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7F72" w:rsidRPr="00EE7F72" w:rsidRDefault="00EE7F72" w:rsidP="00397FFB">
      <w:pPr>
        <w:spacing w:after="0" w:line="360" w:lineRule="auto"/>
        <w:jc w:val="center"/>
        <w:rPr>
          <w:rFonts w:ascii="Arial" w:hAnsi="Arial" w:cs="Arial"/>
          <w:b/>
          <w:sz w:val="24"/>
          <w:szCs w:val="24"/>
        </w:rPr>
      </w:pPr>
      <w:r w:rsidRPr="00EE7F72">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6E7019B8" wp14:editId="5D97A1F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E7F72" w:rsidRPr="000A0FD8" w:rsidRDefault="00EE7F72" w:rsidP="00EE7F7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019B8"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E7F72" w:rsidRPr="000A0FD8" w:rsidRDefault="00EE7F72" w:rsidP="00EE7F72">
                      <w:pPr>
                        <w:jc w:val="right"/>
                        <w:rPr>
                          <w:rFonts w:ascii="Arial" w:hAnsi="Arial" w:cs="Arial"/>
                          <w:b/>
                          <w:sz w:val="24"/>
                          <w:szCs w:val="24"/>
                        </w:rPr>
                      </w:pPr>
                    </w:p>
                  </w:txbxContent>
                </v:textbox>
                <w10:wrap anchorx="margin"/>
              </v:shape>
            </w:pict>
          </mc:Fallback>
        </mc:AlternateContent>
      </w:r>
      <w:r w:rsidRPr="00EE7F72">
        <w:rPr>
          <w:rFonts w:ascii="Arial" w:hAnsi="Arial" w:cs="Arial"/>
          <w:b/>
          <w:sz w:val="24"/>
          <w:szCs w:val="24"/>
        </w:rPr>
        <w:t>REPUBLIC OF NAMIBIA</w:t>
      </w:r>
    </w:p>
    <w:p w:rsidR="00EE7F72" w:rsidRPr="00EE7F72" w:rsidRDefault="00EE7F72" w:rsidP="00397FFB">
      <w:pPr>
        <w:spacing w:after="0" w:line="360" w:lineRule="auto"/>
        <w:rPr>
          <w:rFonts w:ascii="Arial" w:hAnsi="Arial" w:cs="Arial"/>
          <w:b/>
          <w:sz w:val="24"/>
          <w:szCs w:val="24"/>
        </w:rPr>
      </w:pPr>
      <w:r w:rsidRPr="00EE7F72">
        <w:rPr>
          <w:rFonts w:ascii="Arial" w:hAnsi="Arial" w:cs="Arial"/>
          <w:b/>
          <w:noProof/>
          <w:sz w:val="24"/>
          <w:szCs w:val="24"/>
          <w:lang w:eastAsia="en-ZA"/>
        </w:rPr>
        <w:drawing>
          <wp:anchor distT="0" distB="0" distL="114300" distR="114300" simplePos="0" relativeHeight="251660288" behindDoc="0" locked="0" layoutInCell="1" allowOverlap="1" wp14:anchorId="1D2DD0A9" wp14:editId="01AA98E6">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E7F72" w:rsidRPr="00EE7F72" w:rsidRDefault="00EE7F72" w:rsidP="00397FFB">
      <w:pPr>
        <w:spacing w:after="0" w:line="360" w:lineRule="auto"/>
        <w:rPr>
          <w:rFonts w:ascii="Arial" w:hAnsi="Arial" w:cs="Arial"/>
          <w:b/>
          <w:sz w:val="24"/>
          <w:szCs w:val="24"/>
        </w:rPr>
      </w:pPr>
    </w:p>
    <w:p w:rsidR="00EE7F72" w:rsidRPr="00EE7F72" w:rsidRDefault="00EE7F72" w:rsidP="00397FFB">
      <w:pPr>
        <w:spacing w:after="0" w:line="360" w:lineRule="auto"/>
        <w:rPr>
          <w:rFonts w:ascii="Arial" w:hAnsi="Arial" w:cs="Arial"/>
          <w:b/>
          <w:sz w:val="24"/>
          <w:szCs w:val="24"/>
        </w:rPr>
      </w:pPr>
    </w:p>
    <w:p w:rsidR="00EE7F72" w:rsidRPr="00EE7F72" w:rsidRDefault="00EE7F72" w:rsidP="00397FFB">
      <w:pPr>
        <w:spacing w:after="0" w:line="360" w:lineRule="auto"/>
        <w:rPr>
          <w:rFonts w:ascii="Arial" w:hAnsi="Arial" w:cs="Arial"/>
          <w:b/>
          <w:sz w:val="24"/>
          <w:szCs w:val="24"/>
        </w:rPr>
      </w:pPr>
    </w:p>
    <w:p w:rsidR="00EE7F72" w:rsidRPr="00EE7F72" w:rsidRDefault="00EE7F72" w:rsidP="00397FFB">
      <w:pPr>
        <w:spacing w:after="0" w:line="360" w:lineRule="auto"/>
        <w:rPr>
          <w:rFonts w:ascii="Arial" w:hAnsi="Arial" w:cs="Arial"/>
          <w:b/>
          <w:sz w:val="24"/>
          <w:szCs w:val="24"/>
        </w:rPr>
      </w:pPr>
    </w:p>
    <w:p w:rsidR="00EE7F72" w:rsidRPr="00EE7F72" w:rsidRDefault="00EE7F72" w:rsidP="00397FFB">
      <w:pPr>
        <w:spacing w:after="0" w:line="360" w:lineRule="auto"/>
        <w:jc w:val="center"/>
        <w:rPr>
          <w:rFonts w:ascii="Arial" w:hAnsi="Arial" w:cs="Arial"/>
          <w:b/>
          <w:sz w:val="24"/>
          <w:szCs w:val="24"/>
        </w:rPr>
      </w:pPr>
    </w:p>
    <w:p w:rsidR="00EE7F72" w:rsidRPr="00EE7F72" w:rsidRDefault="00EE7F72" w:rsidP="00397FFB">
      <w:pPr>
        <w:spacing w:after="0" w:line="360" w:lineRule="auto"/>
        <w:jc w:val="center"/>
        <w:rPr>
          <w:rFonts w:ascii="Arial" w:hAnsi="Arial" w:cs="Arial"/>
          <w:b/>
          <w:sz w:val="24"/>
          <w:szCs w:val="24"/>
        </w:rPr>
      </w:pPr>
    </w:p>
    <w:p w:rsidR="00EE7F72" w:rsidRPr="00EE7F72" w:rsidRDefault="00EE7F72" w:rsidP="00397FFB">
      <w:pPr>
        <w:spacing w:after="0" w:line="360" w:lineRule="auto"/>
        <w:jc w:val="center"/>
        <w:rPr>
          <w:rFonts w:ascii="Arial" w:hAnsi="Arial" w:cs="Arial"/>
          <w:b/>
          <w:sz w:val="24"/>
          <w:szCs w:val="24"/>
        </w:rPr>
      </w:pPr>
      <w:r w:rsidRPr="00EE7F72">
        <w:rPr>
          <w:rFonts w:ascii="Arial" w:hAnsi="Arial" w:cs="Arial"/>
          <w:b/>
          <w:sz w:val="24"/>
          <w:szCs w:val="24"/>
        </w:rPr>
        <w:t>HIGH COURT OF NAMIBIA, MAIN DIVISION, WINDHOEK</w:t>
      </w:r>
    </w:p>
    <w:p w:rsidR="00EE7F72" w:rsidRPr="00EE7F72" w:rsidRDefault="00EE7F72" w:rsidP="00397FFB">
      <w:pPr>
        <w:spacing w:after="0" w:line="360" w:lineRule="auto"/>
        <w:rPr>
          <w:rFonts w:ascii="Arial" w:hAnsi="Arial" w:cs="Arial"/>
          <w:b/>
          <w:sz w:val="24"/>
          <w:szCs w:val="24"/>
        </w:rPr>
      </w:pPr>
    </w:p>
    <w:p w:rsidR="00EE7F72" w:rsidRPr="00EE7F72" w:rsidRDefault="00221C23" w:rsidP="00397FFB">
      <w:pPr>
        <w:spacing w:after="0" w:line="360" w:lineRule="auto"/>
        <w:jc w:val="center"/>
        <w:rPr>
          <w:rFonts w:ascii="Arial" w:hAnsi="Arial" w:cs="Arial"/>
          <w:sz w:val="24"/>
          <w:szCs w:val="24"/>
        </w:rPr>
      </w:pPr>
      <w:r>
        <w:rPr>
          <w:rFonts w:ascii="Arial" w:hAnsi="Arial" w:cs="Arial"/>
          <w:b/>
          <w:sz w:val="24"/>
          <w:szCs w:val="24"/>
        </w:rPr>
        <w:t>JUDGMENT</w:t>
      </w:r>
    </w:p>
    <w:p w:rsidR="00EE7F72" w:rsidRPr="00EE7F72" w:rsidRDefault="00EE7F72" w:rsidP="00397FFB">
      <w:pPr>
        <w:spacing w:after="0" w:line="360" w:lineRule="auto"/>
        <w:jc w:val="right"/>
        <w:rPr>
          <w:rFonts w:ascii="Arial" w:hAnsi="Arial" w:cs="Arial"/>
          <w:sz w:val="24"/>
          <w:szCs w:val="24"/>
        </w:rPr>
      </w:pPr>
    </w:p>
    <w:p w:rsidR="00EE7F72" w:rsidRPr="00EE7F72" w:rsidRDefault="00EE7F72" w:rsidP="00397FFB">
      <w:pPr>
        <w:spacing w:after="0" w:line="360" w:lineRule="auto"/>
        <w:jc w:val="right"/>
        <w:rPr>
          <w:rFonts w:ascii="Arial" w:hAnsi="Arial" w:cs="Arial"/>
          <w:sz w:val="24"/>
          <w:szCs w:val="24"/>
          <w:lang w:val="en-US"/>
        </w:rPr>
      </w:pPr>
      <w:r w:rsidRPr="00EE7F72">
        <w:rPr>
          <w:rFonts w:ascii="Arial" w:hAnsi="Arial" w:cs="Arial"/>
          <w:sz w:val="24"/>
          <w:szCs w:val="24"/>
        </w:rPr>
        <w:t>Case No: HC-MD-CIV-MOT-</w:t>
      </w:r>
      <w:r w:rsidR="00221C23">
        <w:rPr>
          <w:rFonts w:ascii="Arial" w:hAnsi="Arial" w:cs="Arial"/>
          <w:sz w:val="24"/>
          <w:szCs w:val="24"/>
        </w:rPr>
        <w:t>REV</w:t>
      </w:r>
      <w:r w:rsidRPr="00EE7F72">
        <w:rPr>
          <w:rFonts w:ascii="Arial" w:hAnsi="Arial" w:cs="Arial"/>
          <w:sz w:val="24"/>
          <w:szCs w:val="24"/>
        </w:rPr>
        <w:t>-20</w:t>
      </w:r>
      <w:r w:rsidR="00221C23">
        <w:rPr>
          <w:rFonts w:ascii="Arial" w:hAnsi="Arial" w:cs="Arial"/>
          <w:sz w:val="24"/>
          <w:szCs w:val="24"/>
        </w:rPr>
        <w:t>19</w:t>
      </w:r>
      <w:r w:rsidRPr="00EE7F72">
        <w:rPr>
          <w:rFonts w:ascii="Arial" w:hAnsi="Arial" w:cs="Arial"/>
          <w:sz w:val="24"/>
          <w:szCs w:val="24"/>
        </w:rPr>
        <w:t>/00</w:t>
      </w:r>
      <w:r w:rsidR="00221C23">
        <w:rPr>
          <w:rFonts w:ascii="Arial" w:hAnsi="Arial" w:cs="Arial"/>
          <w:sz w:val="24"/>
          <w:szCs w:val="24"/>
        </w:rPr>
        <w:t>395</w:t>
      </w:r>
    </w:p>
    <w:p w:rsidR="00EE7F72" w:rsidRPr="00EE7F72" w:rsidRDefault="00EE7F72" w:rsidP="00397FFB">
      <w:pPr>
        <w:spacing w:after="0" w:line="360" w:lineRule="auto"/>
        <w:jc w:val="right"/>
        <w:rPr>
          <w:rFonts w:ascii="Arial" w:hAnsi="Arial" w:cs="Arial"/>
          <w:sz w:val="24"/>
          <w:szCs w:val="24"/>
        </w:rPr>
      </w:pPr>
    </w:p>
    <w:p w:rsidR="00EE7F72" w:rsidRPr="00EE7F72" w:rsidRDefault="00EE7F72" w:rsidP="00397FFB">
      <w:pPr>
        <w:spacing w:after="0" w:line="360" w:lineRule="auto"/>
        <w:rPr>
          <w:rFonts w:ascii="Arial" w:hAnsi="Arial" w:cs="Arial"/>
          <w:sz w:val="24"/>
          <w:szCs w:val="24"/>
        </w:rPr>
      </w:pPr>
      <w:r w:rsidRPr="00EE7F72">
        <w:rPr>
          <w:rFonts w:ascii="Arial" w:hAnsi="Arial" w:cs="Arial"/>
          <w:sz w:val="24"/>
          <w:szCs w:val="24"/>
        </w:rPr>
        <w:t>In the matter between:</w:t>
      </w:r>
    </w:p>
    <w:p w:rsidR="00EE7F72" w:rsidRPr="00EE7F72" w:rsidRDefault="00EE7F72" w:rsidP="00397FFB">
      <w:pPr>
        <w:spacing w:after="0" w:line="360" w:lineRule="auto"/>
        <w:rPr>
          <w:rFonts w:ascii="Arial" w:hAnsi="Arial" w:cs="Arial"/>
          <w:sz w:val="24"/>
          <w:szCs w:val="24"/>
        </w:rPr>
      </w:pPr>
    </w:p>
    <w:p w:rsid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RAPHAEL HIJANGUNGO KAPIA</w:t>
      </w:r>
      <w:r w:rsidR="00EE7F72" w:rsidRPr="00EE7F72">
        <w:rPr>
          <w:rFonts w:ascii="Arial" w:hAnsi="Arial" w:cs="Arial"/>
          <w:b/>
          <w:sz w:val="24"/>
          <w:szCs w:val="24"/>
        </w:rPr>
        <w:t xml:space="preserve"> </w:t>
      </w:r>
      <w:r w:rsidR="00EE7F72" w:rsidRPr="00EE7F72">
        <w:rPr>
          <w:rFonts w:ascii="Arial" w:hAnsi="Arial" w:cs="Arial"/>
          <w:b/>
          <w:sz w:val="24"/>
          <w:szCs w:val="24"/>
        </w:rPr>
        <w:tab/>
        <w:t xml:space="preserve">  </w:t>
      </w:r>
      <w:r>
        <w:rPr>
          <w:rFonts w:ascii="Arial" w:hAnsi="Arial" w:cs="Arial"/>
          <w:b/>
          <w:sz w:val="24"/>
          <w:szCs w:val="24"/>
        </w:rPr>
        <w:t>1</w:t>
      </w:r>
      <w:r w:rsidRPr="00221C23">
        <w:rPr>
          <w:rFonts w:ascii="Arial" w:hAnsi="Arial" w:cs="Arial"/>
          <w:b/>
          <w:sz w:val="24"/>
          <w:szCs w:val="24"/>
          <w:vertAlign w:val="superscript"/>
        </w:rPr>
        <w:t>ST</w:t>
      </w:r>
      <w:r>
        <w:rPr>
          <w:rFonts w:ascii="Arial" w:hAnsi="Arial" w:cs="Arial"/>
          <w:b/>
          <w:sz w:val="24"/>
          <w:szCs w:val="24"/>
        </w:rPr>
        <w:t xml:space="preserve"> </w:t>
      </w:r>
      <w:r w:rsidR="00EE7F72" w:rsidRPr="00EE7F72">
        <w:rPr>
          <w:rFonts w:ascii="Arial" w:hAnsi="Arial" w:cs="Arial"/>
          <w:b/>
          <w:sz w:val="24"/>
          <w:szCs w:val="24"/>
        </w:rPr>
        <w:t>APPLICANT</w:t>
      </w:r>
    </w:p>
    <w:p w:rsidR="00221C23" w:rsidRP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SAMUEL PURIZA</w:t>
      </w:r>
      <w:r>
        <w:rPr>
          <w:rFonts w:ascii="Arial" w:hAnsi="Arial" w:cs="Arial"/>
          <w:b/>
          <w:sz w:val="24"/>
          <w:szCs w:val="24"/>
        </w:rPr>
        <w:tab/>
        <w:t>2</w:t>
      </w:r>
      <w:r w:rsidRPr="00221C23">
        <w:rPr>
          <w:rFonts w:ascii="Arial" w:hAnsi="Arial" w:cs="Arial"/>
          <w:b/>
          <w:sz w:val="24"/>
          <w:szCs w:val="24"/>
          <w:vertAlign w:val="superscript"/>
        </w:rPr>
        <w:t>ND</w:t>
      </w:r>
      <w:r>
        <w:rPr>
          <w:rFonts w:ascii="Arial" w:hAnsi="Arial" w:cs="Arial"/>
          <w:b/>
          <w:sz w:val="24"/>
          <w:szCs w:val="24"/>
        </w:rPr>
        <w:t xml:space="preserve"> APPLICANT</w:t>
      </w:r>
    </w:p>
    <w:p w:rsidR="00EE7F72" w:rsidRPr="00EE7F72" w:rsidRDefault="00EE7F72" w:rsidP="00397FFB">
      <w:pPr>
        <w:tabs>
          <w:tab w:val="right" w:pos="9356"/>
        </w:tabs>
        <w:spacing w:after="0" w:line="360" w:lineRule="auto"/>
        <w:rPr>
          <w:rFonts w:ascii="Arial" w:hAnsi="Arial" w:cs="Arial"/>
          <w:b/>
          <w:sz w:val="24"/>
          <w:szCs w:val="24"/>
        </w:rPr>
      </w:pPr>
    </w:p>
    <w:p w:rsidR="00EE7F72" w:rsidRPr="00EE7F72" w:rsidRDefault="00EE7F72" w:rsidP="00397FFB">
      <w:pPr>
        <w:tabs>
          <w:tab w:val="right" w:pos="9356"/>
        </w:tabs>
        <w:spacing w:after="0" w:line="360" w:lineRule="auto"/>
        <w:rPr>
          <w:rFonts w:ascii="Arial" w:hAnsi="Arial" w:cs="Arial"/>
          <w:b/>
          <w:sz w:val="24"/>
          <w:szCs w:val="24"/>
        </w:rPr>
      </w:pPr>
      <w:r w:rsidRPr="00EE7F72">
        <w:rPr>
          <w:rFonts w:ascii="Arial" w:hAnsi="Arial" w:cs="Arial"/>
          <w:b/>
          <w:sz w:val="24"/>
          <w:szCs w:val="24"/>
        </w:rPr>
        <w:t xml:space="preserve">and </w:t>
      </w:r>
    </w:p>
    <w:p w:rsidR="00EE7F72" w:rsidRPr="00EE7F72" w:rsidRDefault="00EE7F72" w:rsidP="00397FFB">
      <w:pPr>
        <w:tabs>
          <w:tab w:val="right" w:pos="9356"/>
        </w:tabs>
        <w:spacing w:after="0" w:line="360" w:lineRule="auto"/>
        <w:rPr>
          <w:rFonts w:ascii="Arial" w:hAnsi="Arial" w:cs="Arial"/>
          <w:b/>
          <w:sz w:val="24"/>
          <w:szCs w:val="24"/>
        </w:rPr>
      </w:pPr>
      <w:r w:rsidRPr="00EE7F72">
        <w:rPr>
          <w:rFonts w:ascii="Arial" w:hAnsi="Arial" w:cs="Arial"/>
          <w:b/>
          <w:sz w:val="24"/>
          <w:szCs w:val="24"/>
        </w:rPr>
        <w:t xml:space="preserve"> </w:t>
      </w:r>
    </w:p>
    <w:p w:rsidR="00EE7F72" w:rsidRP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MINISTER OF URBAN AND RURAL DEVELOPMENT</w:t>
      </w:r>
      <w:r w:rsidR="00EE7F72" w:rsidRPr="00EE7F72">
        <w:rPr>
          <w:rFonts w:ascii="Arial" w:hAnsi="Arial" w:cs="Arial"/>
          <w:b/>
          <w:sz w:val="24"/>
          <w:szCs w:val="24"/>
        </w:rPr>
        <w:t xml:space="preserve"> </w:t>
      </w:r>
      <w:r w:rsidR="00EE7F72" w:rsidRPr="00EE7F72">
        <w:rPr>
          <w:rFonts w:ascii="Arial" w:hAnsi="Arial" w:cs="Arial"/>
          <w:b/>
          <w:sz w:val="24"/>
          <w:szCs w:val="24"/>
        </w:rPr>
        <w:tab/>
        <w:t>1</w:t>
      </w:r>
      <w:r w:rsidR="00EE7F72" w:rsidRPr="00EE7F72">
        <w:rPr>
          <w:rFonts w:ascii="Arial" w:hAnsi="Arial" w:cs="Arial"/>
          <w:b/>
          <w:sz w:val="24"/>
          <w:szCs w:val="24"/>
          <w:vertAlign w:val="superscript"/>
        </w:rPr>
        <w:t>st</w:t>
      </w:r>
      <w:r w:rsidR="00EE7F72" w:rsidRPr="00EE7F72">
        <w:rPr>
          <w:rFonts w:ascii="Arial" w:hAnsi="Arial" w:cs="Arial"/>
          <w:b/>
          <w:sz w:val="24"/>
          <w:szCs w:val="24"/>
        </w:rPr>
        <w:t xml:space="preserve"> RESPONDENT </w:t>
      </w:r>
    </w:p>
    <w:p w:rsidR="00EE7F72" w:rsidRP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ZERAEUA TRADITIONAL AUTHORITY</w:t>
      </w:r>
      <w:r w:rsidR="00EE7F72" w:rsidRPr="00EE7F72">
        <w:rPr>
          <w:rFonts w:ascii="Arial" w:hAnsi="Arial" w:cs="Arial"/>
          <w:b/>
          <w:sz w:val="24"/>
          <w:szCs w:val="24"/>
        </w:rPr>
        <w:t xml:space="preserve"> </w:t>
      </w:r>
      <w:r w:rsidR="00EE7F72" w:rsidRPr="00EE7F72">
        <w:rPr>
          <w:rFonts w:ascii="Arial" w:hAnsi="Arial" w:cs="Arial"/>
          <w:b/>
          <w:sz w:val="24"/>
          <w:szCs w:val="24"/>
        </w:rPr>
        <w:tab/>
        <w:t>2</w:t>
      </w:r>
      <w:r w:rsidR="00EE7F72" w:rsidRPr="00EE7F72">
        <w:rPr>
          <w:rFonts w:ascii="Arial" w:hAnsi="Arial" w:cs="Arial"/>
          <w:b/>
          <w:sz w:val="24"/>
          <w:szCs w:val="24"/>
          <w:vertAlign w:val="superscript"/>
        </w:rPr>
        <w:t>nd</w:t>
      </w:r>
      <w:r w:rsidR="00EE7F72" w:rsidRPr="00EE7F72">
        <w:rPr>
          <w:rFonts w:ascii="Arial" w:hAnsi="Arial" w:cs="Arial"/>
          <w:b/>
          <w:sz w:val="24"/>
          <w:szCs w:val="24"/>
        </w:rPr>
        <w:t xml:space="preserve"> RESPONDENT </w:t>
      </w:r>
    </w:p>
    <w:p w:rsidR="00EE7F72" w:rsidRP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MANASSE MEUNDJU CHRISTIAN ZERAEUA</w:t>
      </w:r>
      <w:r w:rsidR="00EE7F72" w:rsidRPr="00EE7F72">
        <w:rPr>
          <w:rFonts w:ascii="Arial" w:hAnsi="Arial" w:cs="Arial"/>
          <w:b/>
          <w:sz w:val="24"/>
          <w:szCs w:val="24"/>
        </w:rPr>
        <w:t xml:space="preserve"> </w:t>
      </w:r>
      <w:r w:rsidR="00EE7F72" w:rsidRPr="00EE7F72">
        <w:rPr>
          <w:rFonts w:ascii="Arial" w:hAnsi="Arial" w:cs="Arial"/>
          <w:b/>
          <w:sz w:val="24"/>
          <w:szCs w:val="24"/>
        </w:rPr>
        <w:tab/>
        <w:t>3</w:t>
      </w:r>
      <w:r w:rsidR="00EE7F72" w:rsidRPr="00EE7F72">
        <w:rPr>
          <w:rFonts w:ascii="Arial" w:hAnsi="Arial" w:cs="Arial"/>
          <w:b/>
          <w:sz w:val="24"/>
          <w:szCs w:val="24"/>
          <w:vertAlign w:val="superscript"/>
        </w:rPr>
        <w:t>rd</w:t>
      </w:r>
      <w:r w:rsidR="00EE7F72" w:rsidRPr="00EE7F72">
        <w:rPr>
          <w:rFonts w:ascii="Arial" w:hAnsi="Arial" w:cs="Arial"/>
          <w:b/>
          <w:sz w:val="24"/>
          <w:szCs w:val="24"/>
        </w:rPr>
        <w:t xml:space="preserve"> RESPONDENT </w:t>
      </w:r>
    </w:p>
    <w:p w:rsid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FABIANUS UASEUAPUANI</w:t>
      </w:r>
      <w:r w:rsidR="00EE7F72" w:rsidRPr="00EE7F72">
        <w:rPr>
          <w:rFonts w:ascii="Arial" w:hAnsi="Arial" w:cs="Arial"/>
          <w:b/>
          <w:sz w:val="24"/>
          <w:szCs w:val="24"/>
        </w:rPr>
        <w:t xml:space="preserve"> </w:t>
      </w:r>
      <w:r w:rsidR="00EE7F72" w:rsidRPr="00EE7F72">
        <w:rPr>
          <w:rFonts w:ascii="Arial" w:hAnsi="Arial" w:cs="Arial"/>
          <w:b/>
          <w:sz w:val="24"/>
          <w:szCs w:val="24"/>
        </w:rPr>
        <w:tab/>
        <w:t>4</w:t>
      </w:r>
      <w:r w:rsidR="00EE7F72" w:rsidRPr="00EE7F72">
        <w:rPr>
          <w:rFonts w:ascii="Arial" w:hAnsi="Arial" w:cs="Arial"/>
          <w:b/>
          <w:sz w:val="24"/>
          <w:szCs w:val="24"/>
          <w:vertAlign w:val="superscript"/>
        </w:rPr>
        <w:t>th</w:t>
      </w:r>
      <w:r w:rsidR="00EE7F72" w:rsidRPr="00EE7F72">
        <w:rPr>
          <w:rFonts w:ascii="Arial" w:hAnsi="Arial" w:cs="Arial"/>
          <w:b/>
          <w:sz w:val="24"/>
          <w:szCs w:val="24"/>
        </w:rPr>
        <w:t xml:space="preserve"> RESPONDENT</w:t>
      </w:r>
    </w:p>
    <w:p w:rsidR="00221C23" w:rsidRPr="00EE7F72" w:rsidRDefault="00221C23" w:rsidP="00397FFB">
      <w:pPr>
        <w:tabs>
          <w:tab w:val="right" w:pos="9356"/>
        </w:tabs>
        <w:spacing w:after="0" w:line="360" w:lineRule="auto"/>
        <w:rPr>
          <w:rFonts w:ascii="Arial" w:hAnsi="Arial" w:cs="Arial"/>
          <w:b/>
          <w:sz w:val="24"/>
          <w:szCs w:val="24"/>
        </w:rPr>
      </w:pPr>
      <w:r>
        <w:rPr>
          <w:rFonts w:ascii="Arial" w:hAnsi="Arial" w:cs="Arial"/>
          <w:b/>
          <w:sz w:val="24"/>
          <w:szCs w:val="24"/>
        </w:rPr>
        <w:t>THE PRESIDENT OF THE REPUBLIC OF NAMIBIA</w:t>
      </w:r>
      <w:r>
        <w:rPr>
          <w:rFonts w:ascii="Arial" w:hAnsi="Arial" w:cs="Arial"/>
          <w:b/>
          <w:sz w:val="24"/>
          <w:szCs w:val="24"/>
        </w:rPr>
        <w:tab/>
        <w:t>5</w:t>
      </w:r>
      <w:r w:rsidRPr="00221C23">
        <w:rPr>
          <w:rFonts w:ascii="Arial" w:hAnsi="Arial" w:cs="Arial"/>
          <w:b/>
          <w:sz w:val="24"/>
          <w:szCs w:val="24"/>
          <w:vertAlign w:val="superscript"/>
        </w:rPr>
        <w:t>TH</w:t>
      </w:r>
      <w:r>
        <w:rPr>
          <w:rFonts w:ascii="Arial" w:hAnsi="Arial" w:cs="Arial"/>
          <w:b/>
          <w:sz w:val="24"/>
          <w:szCs w:val="24"/>
        </w:rPr>
        <w:t xml:space="preserve"> RESPONDENT</w:t>
      </w:r>
    </w:p>
    <w:p w:rsidR="00EE7F72" w:rsidRPr="00EE7F72" w:rsidRDefault="00EE7F72" w:rsidP="00397FFB">
      <w:pPr>
        <w:tabs>
          <w:tab w:val="right" w:pos="9356"/>
        </w:tabs>
        <w:spacing w:after="0" w:line="360" w:lineRule="auto"/>
        <w:rPr>
          <w:rFonts w:ascii="Arial" w:hAnsi="Arial" w:cs="Arial"/>
          <w:b/>
          <w:sz w:val="24"/>
          <w:szCs w:val="24"/>
        </w:rPr>
      </w:pPr>
    </w:p>
    <w:p w:rsidR="00EE7F72" w:rsidRPr="00EE7F72" w:rsidRDefault="00EE7F72" w:rsidP="00397FFB">
      <w:pPr>
        <w:tabs>
          <w:tab w:val="right" w:pos="9356"/>
        </w:tabs>
        <w:spacing w:after="0" w:line="360" w:lineRule="auto"/>
        <w:jc w:val="both"/>
        <w:rPr>
          <w:rFonts w:ascii="Arial" w:hAnsi="Arial" w:cs="Arial"/>
          <w:b/>
          <w:sz w:val="24"/>
          <w:szCs w:val="24"/>
        </w:rPr>
      </w:pPr>
      <w:r w:rsidRPr="00EE7F72">
        <w:rPr>
          <w:rFonts w:ascii="Arial" w:hAnsi="Arial" w:cs="Arial"/>
          <w:b/>
          <w:sz w:val="24"/>
          <w:szCs w:val="24"/>
        </w:rPr>
        <w:t>Neutral Citation</w:t>
      </w:r>
      <w:r w:rsidRPr="00EE7F72">
        <w:rPr>
          <w:rFonts w:ascii="Arial" w:hAnsi="Arial" w:cs="Arial"/>
          <w:b/>
          <w:i/>
          <w:sz w:val="24"/>
          <w:szCs w:val="24"/>
        </w:rPr>
        <w:t xml:space="preserve">: </w:t>
      </w:r>
      <w:r w:rsidR="003F7A63">
        <w:rPr>
          <w:rFonts w:ascii="Arial" w:hAnsi="Arial" w:cs="Arial"/>
          <w:i/>
          <w:sz w:val="24"/>
          <w:szCs w:val="24"/>
        </w:rPr>
        <w:t>Kapia</w:t>
      </w:r>
      <w:r w:rsidRPr="00EE7F72">
        <w:rPr>
          <w:rFonts w:ascii="Arial" w:hAnsi="Arial" w:cs="Arial"/>
          <w:i/>
          <w:sz w:val="24"/>
          <w:szCs w:val="24"/>
        </w:rPr>
        <w:t xml:space="preserve"> vs </w:t>
      </w:r>
      <w:r w:rsidR="003F7A63">
        <w:rPr>
          <w:rFonts w:ascii="Arial" w:hAnsi="Arial" w:cs="Arial"/>
          <w:i/>
          <w:sz w:val="24"/>
          <w:szCs w:val="24"/>
        </w:rPr>
        <w:t>Minister of Urban and Rural Development</w:t>
      </w:r>
      <w:r w:rsidRPr="00EE7F72">
        <w:rPr>
          <w:rFonts w:ascii="Arial" w:hAnsi="Arial" w:cs="Arial"/>
          <w:i/>
          <w:sz w:val="24"/>
          <w:szCs w:val="24"/>
        </w:rPr>
        <w:t xml:space="preserve"> </w:t>
      </w:r>
      <w:r w:rsidRPr="00EE7F72">
        <w:rPr>
          <w:rFonts w:ascii="Arial" w:hAnsi="Arial" w:cs="Arial"/>
          <w:sz w:val="24"/>
          <w:szCs w:val="24"/>
        </w:rPr>
        <w:t>(</w:t>
      </w:r>
      <w:r w:rsidR="003F7A63" w:rsidRPr="00EE7F72">
        <w:rPr>
          <w:rFonts w:ascii="Arial" w:hAnsi="Arial" w:cs="Arial"/>
          <w:sz w:val="24"/>
          <w:szCs w:val="24"/>
        </w:rPr>
        <w:t>HC-MD-CIV-MOT-</w:t>
      </w:r>
      <w:r w:rsidR="003F7A63">
        <w:rPr>
          <w:rFonts w:ascii="Arial" w:hAnsi="Arial" w:cs="Arial"/>
          <w:sz w:val="24"/>
          <w:szCs w:val="24"/>
        </w:rPr>
        <w:t>REV</w:t>
      </w:r>
      <w:r w:rsidR="003F7A63" w:rsidRPr="00EE7F72">
        <w:rPr>
          <w:rFonts w:ascii="Arial" w:hAnsi="Arial" w:cs="Arial"/>
          <w:sz w:val="24"/>
          <w:szCs w:val="24"/>
        </w:rPr>
        <w:t>-20</w:t>
      </w:r>
      <w:r w:rsidR="003F7A63">
        <w:rPr>
          <w:rFonts w:ascii="Arial" w:hAnsi="Arial" w:cs="Arial"/>
          <w:sz w:val="24"/>
          <w:szCs w:val="24"/>
        </w:rPr>
        <w:t>19</w:t>
      </w:r>
      <w:r w:rsidR="003F7A63" w:rsidRPr="00EE7F72">
        <w:rPr>
          <w:rFonts w:ascii="Arial" w:hAnsi="Arial" w:cs="Arial"/>
          <w:sz w:val="24"/>
          <w:szCs w:val="24"/>
        </w:rPr>
        <w:t>/00</w:t>
      </w:r>
      <w:r w:rsidR="003F7A63">
        <w:rPr>
          <w:rFonts w:ascii="Arial" w:hAnsi="Arial" w:cs="Arial"/>
          <w:sz w:val="24"/>
          <w:szCs w:val="24"/>
        </w:rPr>
        <w:t>395</w:t>
      </w:r>
      <w:r w:rsidRPr="00EE7F72">
        <w:rPr>
          <w:rFonts w:ascii="Arial" w:hAnsi="Arial" w:cs="Arial"/>
          <w:sz w:val="24"/>
          <w:szCs w:val="24"/>
        </w:rPr>
        <w:t xml:space="preserve">) [2021] NAHCMD </w:t>
      </w:r>
      <w:r w:rsidR="003F7A63">
        <w:rPr>
          <w:rFonts w:ascii="Arial" w:hAnsi="Arial" w:cs="Arial"/>
          <w:sz w:val="24"/>
          <w:szCs w:val="24"/>
        </w:rPr>
        <w:t>71</w:t>
      </w:r>
      <w:r w:rsidRPr="00EE7F72">
        <w:rPr>
          <w:rFonts w:ascii="Arial" w:hAnsi="Arial" w:cs="Arial"/>
          <w:sz w:val="24"/>
          <w:szCs w:val="24"/>
        </w:rPr>
        <w:t xml:space="preserve"> (</w:t>
      </w:r>
      <w:r w:rsidR="003F7A63">
        <w:rPr>
          <w:rFonts w:ascii="Arial" w:hAnsi="Arial" w:cs="Arial"/>
          <w:sz w:val="24"/>
          <w:szCs w:val="24"/>
        </w:rPr>
        <w:t>24</w:t>
      </w:r>
      <w:r w:rsidRPr="00EE7F72">
        <w:rPr>
          <w:rFonts w:ascii="Arial" w:hAnsi="Arial" w:cs="Arial"/>
          <w:sz w:val="24"/>
          <w:szCs w:val="24"/>
        </w:rPr>
        <w:t xml:space="preserve"> February 2021)</w:t>
      </w:r>
    </w:p>
    <w:p w:rsidR="00EE7F72" w:rsidRPr="00EE7F72" w:rsidRDefault="00EE7F72" w:rsidP="00397FFB">
      <w:pPr>
        <w:tabs>
          <w:tab w:val="right" w:pos="9356"/>
        </w:tabs>
        <w:spacing w:after="0" w:line="360" w:lineRule="auto"/>
        <w:rPr>
          <w:rFonts w:ascii="Arial" w:hAnsi="Arial" w:cs="Arial"/>
          <w:b/>
          <w:sz w:val="24"/>
          <w:szCs w:val="24"/>
        </w:rPr>
      </w:pPr>
    </w:p>
    <w:p w:rsidR="00EE7F72" w:rsidRPr="00EE7F72" w:rsidRDefault="00EE7F72" w:rsidP="00397FFB">
      <w:pPr>
        <w:spacing w:after="0" w:line="360" w:lineRule="auto"/>
        <w:rPr>
          <w:rFonts w:ascii="Arial" w:hAnsi="Arial" w:cs="Arial"/>
          <w:b/>
          <w:sz w:val="24"/>
          <w:szCs w:val="24"/>
        </w:rPr>
      </w:pPr>
      <w:r w:rsidRPr="00EE7F72">
        <w:rPr>
          <w:rFonts w:ascii="Arial" w:hAnsi="Arial" w:cs="Arial"/>
          <w:b/>
          <w:sz w:val="24"/>
          <w:szCs w:val="24"/>
        </w:rPr>
        <w:t>CORAM:</w:t>
      </w:r>
      <w:r w:rsidRPr="00EE7F72">
        <w:rPr>
          <w:rFonts w:ascii="Arial" w:hAnsi="Arial" w:cs="Arial"/>
          <w:b/>
          <w:sz w:val="24"/>
          <w:szCs w:val="24"/>
        </w:rPr>
        <w:tab/>
      </w:r>
      <w:r w:rsidRPr="00397FFB">
        <w:rPr>
          <w:rFonts w:ascii="Arial" w:hAnsi="Arial" w:cs="Arial"/>
          <w:sz w:val="24"/>
          <w:szCs w:val="24"/>
        </w:rPr>
        <w:t>MILLER AJ</w:t>
      </w:r>
    </w:p>
    <w:p w:rsidR="00EE7F72" w:rsidRPr="00EE7F72" w:rsidRDefault="003F7A63" w:rsidP="00397FFB">
      <w:pPr>
        <w:spacing w:after="0" w:line="360" w:lineRule="auto"/>
        <w:rPr>
          <w:rFonts w:ascii="Arial" w:hAnsi="Arial" w:cs="Arial"/>
          <w:b/>
          <w:sz w:val="24"/>
          <w:szCs w:val="24"/>
        </w:rPr>
      </w:pPr>
      <w:r>
        <w:rPr>
          <w:rFonts w:ascii="Arial" w:hAnsi="Arial" w:cs="Arial"/>
          <w:b/>
          <w:sz w:val="24"/>
          <w:szCs w:val="24"/>
        </w:rPr>
        <w:lastRenderedPageBreak/>
        <w:t>Reserved</w:t>
      </w:r>
      <w:r w:rsidR="00EE7F72" w:rsidRPr="00EE7F72">
        <w:rPr>
          <w:rFonts w:ascii="Arial" w:hAnsi="Arial" w:cs="Arial"/>
          <w:b/>
          <w:sz w:val="24"/>
          <w:szCs w:val="24"/>
        </w:rPr>
        <w:t xml:space="preserve">: </w:t>
      </w:r>
      <w:r w:rsidR="00EE7F72" w:rsidRPr="00EE7F72">
        <w:rPr>
          <w:rFonts w:ascii="Arial" w:hAnsi="Arial" w:cs="Arial"/>
          <w:b/>
          <w:sz w:val="24"/>
          <w:szCs w:val="24"/>
        </w:rPr>
        <w:tab/>
      </w:r>
      <w:r w:rsidR="004F0F04" w:rsidRPr="004F0F04">
        <w:rPr>
          <w:rFonts w:ascii="Arial" w:hAnsi="Arial" w:cs="Arial"/>
          <w:b/>
          <w:sz w:val="24"/>
          <w:szCs w:val="24"/>
        </w:rPr>
        <w:t>2</w:t>
      </w:r>
      <w:r>
        <w:rPr>
          <w:rFonts w:ascii="Arial" w:hAnsi="Arial" w:cs="Arial"/>
          <w:b/>
          <w:sz w:val="24"/>
          <w:szCs w:val="24"/>
        </w:rPr>
        <w:t>6</w:t>
      </w:r>
      <w:r w:rsidR="004F0F04" w:rsidRPr="004F0F04">
        <w:rPr>
          <w:rFonts w:ascii="Arial" w:hAnsi="Arial" w:cs="Arial"/>
          <w:b/>
          <w:sz w:val="24"/>
          <w:szCs w:val="24"/>
        </w:rPr>
        <w:t xml:space="preserve"> January 2021</w:t>
      </w:r>
    </w:p>
    <w:p w:rsidR="00EE7F72" w:rsidRPr="00EE7F72" w:rsidRDefault="004F0F04" w:rsidP="00397FFB">
      <w:pPr>
        <w:spacing w:after="0" w:line="360" w:lineRule="auto"/>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3F7A63">
        <w:rPr>
          <w:rFonts w:ascii="Arial" w:hAnsi="Arial" w:cs="Arial"/>
          <w:b/>
          <w:sz w:val="24"/>
          <w:szCs w:val="24"/>
        </w:rPr>
        <w:t>24</w:t>
      </w:r>
      <w:r>
        <w:rPr>
          <w:rFonts w:ascii="Arial" w:hAnsi="Arial" w:cs="Arial"/>
          <w:b/>
          <w:sz w:val="24"/>
          <w:szCs w:val="24"/>
        </w:rPr>
        <w:t xml:space="preserve"> February 2021</w:t>
      </w:r>
    </w:p>
    <w:p w:rsidR="00EE7F72" w:rsidRPr="00EE7F72" w:rsidRDefault="00EE7F72" w:rsidP="00397FFB">
      <w:pPr>
        <w:spacing w:after="0" w:line="360" w:lineRule="auto"/>
        <w:rPr>
          <w:rFonts w:ascii="Arial" w:hAnsi="Arial" w:cs="Arial"/>
          <w:b/>
          <w:sz w:val="24"/>
          <w:szCs w:val="24"/>
        </w:rPr>
      </w:pPr>
    </w:p>
    <w:p w:rsidR="00191261" w:rsidRPr="00895850" w:rsidRDefault="00191261" w:rsidP="00397FFB">
      <w:pPr>
        <w:spacing w:after="0" w:line="360" w:lineRule="auto"/>
        <w:jc w:val="both"/>
        <w:rPr>
          <w:rFonts w:ascii="Arial" w:hAnsi="Arial" w:cs="Arial"/>
          <w:sz w:val="24"/>
          <w:szCs w:val="24"/>
        </w:rPr>
      </w:pPr>
      <w:r w:rsidRPr="00EE7F72">
        <w:rPr>
          <w:rFonts w:ascii="Arial" w:hAnsi="Arial" w:cs="Arial"/>
          <w:b/>
          <w:sz w:val="24"/>
          <w:szCs w:val="24"/>
        </w:rPr>
        <w:t>Flynote:</w:t>
      </w:r>
      <w:r>
        <w:rPr>
          <w:rFonts w:ascii="Arial" w:hAnsi="Arial" w:cs="Arial"/>
          <w:b/>
          <w:sz w:val="24"/>
          <w:szCs w:val="24"/>
        </w:rPr>
        <w:tab/>
      </w:r>
      <w:r>
        <w:rPr>
          <w:rFonts w:ascii="Arial" w:hAnsi="Arial" w:cs="Arial"/>
          <w:sz w:val="24"/>
          <w:szCs w:val="24"/>
        </w:rPr>
        <w:t xml:space="preserve"> </w:t>
      </w:r>
      <w:r>
        <w:rPr>
          <w:rFonts w:ascii="Arial" w:hAnsi="Arial" w:cs="Arial"/>
          <w:sz w:val="24"/>
          <w:szCs w:val="24"/>
          <w:lang w:val="en-GB"/>
        </w:rPr>
        <w:t xml:space="preserve">Practice – Rule 76 (6) application seeking further documents – First respondent forming the view that discovery made is complete – Applicant seeking papers containing legal advice upon which the first respondent utilised in arriving at its decision – First respondent raising legal privilege on documents sought by applicant – Court to determine whether such documents fall indeed under legal privilege or not – Principles applicable discussed. </w:t>
      </w:r>
    </w:p>
    <w:p w:rsidR="00191261" w:rsidRPr="00EE7F72" w:rsidRDefault="00191261" w:rsidP="00397FFB">
      <w:pPr>
        <w:spacing w:after="0" w:line="360" w:lineRule="auto"/>
        <w:rPr>
          <w:rFonts w:ascii="Arial" w:hAnsi="Arial" w:cs="Arial"/>
          <w:sz w:val="24"/>
          <w:szCs w:val="24"/>
        </w:rPr>
      </w:pPr>
    </w:p>
    <w:p w:rsidR="00191261" w:rsidRDefault="00191261" w:rsidP="00397FFB">
      <w:pPr>
        <w:spacing w:after="0" w:line="360" w:lineRule="auto"/>
        <w:jc w:val="both"/>
        <w:rPr>
          <w:rFonts w:ascii="Arial" w:hAnsi="Arial" w:cs="Arial"/>
          <w:sz w:val="24"/>
        </w:rPr>
      </w:pPr>
      <w:r w:rsidRPr="00EE7F72">
        <w:rPr>
          <w:rFonts w:ascii="Arial" w:hAnsi="Arial" w:cs="Arial"/>
          <w:b/>
          <w:sz w:val="24"/>
          <w:szCs w:val="24"/>
        </w:rPr>
        <w:t>Summary:</w:t>
      </w:r>
      <w:r w:rsidRPr="00EE7F72">
        <w:rPr>
          <w:rFonts w:ascii="Arial" w:hAnsi="Arial" w:cs="Arial"/>
          <w:b/>
          <w:sz w:val="24"/>
          <w:szCs w:val="24"/>
        </w:rPr>
        <w:tab/>
      </w:r>
      <w:r>
        <w:rPr>
          <w:rFonts w:ascii="Arial" w:hAnsi="Arial" w:cs="Arial"/>
          <w:sz w:val="24"/>
          <w:szCs w:val="24"/>
        </w:rPr>
        <w:t xml:space="preserve">This matter involves an </w:t>
      </w:r>
      <w:r>
        <w:rPr>
          <w:rFonts w:ascii="Arial" w:hAnsi="Arial" w:cs="Arial"/>
          <w:bCs/>
          <w:sz w:val="24"/>
          <w:szCs w:val="24"/>
        </w:rPr>
        <w:t xml:space="preserve">opposed interlocutory application for the delivery of a rule-compliant record of decision. The application is based on the notion that the first respondent filed an incomplete record of proceedings under review, causing the applicant to file a notice in terms of rule 76 (6), seeking further documents. </w:t>
      </w:r>
      <w:r>
        <w:rPr>
          <w:rFonts w:ascii="Arial" w:hAnsi="Arial" w:cs="Arial"/>
          <w:sz w:val="24"/>
        </w:rPr>
        <w:t>The first respondent, however, formed the view that the requested documents sought is privileged and cannot be discovered as requested by the applicants and further that the dispute between the parties can proceed without the legal opinion as it has no bearing on the relief sought.</w:t>
      </w:r>
    </w:p>
    <w:p w:rsidR="00191261" w:rsidRDefault="00191261" w:rsidP="00397FFB">
      <w:pPr>
        <w:spacing w:after="0" w:line="360" w:lineRule="auto"/>
        <w:jc w:val="both"/>
        <w:rPr>
          <w:rFonts w:ascii="Arial" w:hAnsi="Arial" w:cs="Arial"/>
          <w:sz w:val="24"/>
        </w:rPr>
      </w:pPr>
    </w:p>
    <w:p w:rsidR="00191261" w:rsidRDefault="00191261" w:rsidP="00397FFB">
      <w:pPr>
        <w:spacing w:after="0" w:line="360" w:lineRule="auto"/>
        <w:jc w:val="both"/>
        <w:rPr>
          <w:rFonts w:ascii="Arial" w:hAnsi="Arial" w:cs="Arial"/>
          <w:sz w:val="24"/>
          <w:szCs w:val="24"/>
        </w:rPr>
      </w:pPr>
      <w:r w:rsidRPr="00397FFB">
        <w:rPr>
          <w:rFonts w:ascii="Arial" w:hAnsi="Arial" w:cs="Arial"/>
          <w:i/>
          <w:sz w:val="24"/>
        </w:rPr>
        <w:t xml:space="preserve">Held </w:t>
      </w:r>
      <w:r>
        <w:rPr>
          <w:rFonts w:ascii="Arial" w:hAnsi="Arial" w:cs="Arial"/>
          <w:sz w:val="24"/>
        </w:rPr>
        <w:t xml:space="preserve">– </w:t>
      </w:r>
      <w:r>
        <w:rPr>
          <w:rFonts w:ascii="Arial" w:hAnsi="Arial" w:cs="Arial"/>
          <w:sz w:val="24"/>
          <w:szCs w:val="24"/>
        </w:rPr>
        <w:t>It is clear that the review record must contain all documentation that are required, whether utilised or not, that is or was relevant in assisting the decision-maker to arrive at its decision, whether such decision was correctly made or not.</w:t>
      </w:r>
    </w:p>
    <w:p w:rsidR="00191261" w:rsidRDefault="00191261" w:rsidP="00397FFB">
      <w:pPr>
        <w:spacing w:after="0" w:line="360" w:lineRule="auto"/>
        <w:jc w:val="both"/>
        <w:rPr>
          <w:rFonts w:ascii="Arial" w:hAnsi="Arial" w:cs="Arial"/>
          <w:sz w:val="24"/>
          <w:szCs w:val="24"/>
        </w:rPr>
      </w:pPr>
    </w:p>
    <w:p w:rsidR="00191261" w:rsidRDefault="00191261" w:rsidP="00397FFB">
      <w:pPr>
        <w:spacing w:after="0" w:line="360" w:lineRule="auto"/>
        <w:jc w:val="both"/>
        <w:rPr>
          <w:rFonts w:ascii="Arial" w:hAnsi="Arial" w:cs="Arial"/>
          <w:bCs/>
          <w:sz w:val="24"/>
          <w:szCs w:val="24"/>
        </w:rPr>
      </w:pPr>
      <w:r w:rsidRPr="00397FFB">
        <w:rPr>
          <w:rFonts w:ascii="Arial" w:hAnsi="Arial" w:cs="Arial"/>
          <w:bCs/>
          <w:i/>
          <w:sz w:val="24"/>
          <w:szCs w:val="24"/>
        </w:rPr>
        <w:t xml:space="preserve">Held </w:t>
      </w:r>
      <w:r>
        <w:rPr>
          <w:rFonts w:ascii="Arial" w:hAnsi="Arial" w:cs="Arial"/>
          <w:bCs/>
          <w:sz w:val="24"/>
          <w:szCs w:val="24"/>
        </w:rPr>
        <w:t xml:space="preserve">– </w:t>
      </w:r>
      <w:r w:rsidRPr="000B34E0">
        <w:rPr>
          <w:rFonts w:ascii="Arial" w:hAnsi="Arial" w:cs="Arial"/>
          <w:sz w:val="24"/>
          <w:szCs w:val="24"/>
        </w:rPr>
        <w:t xml:space="preserve">It is common cause that the legal opinion which the </w:t>
      </w:r>
      <w:r>
        <w:rPr>
          <w:rFonts w:ascii="Arial" w:hAnsi="Arial" w:cs="Arial"/>
          <w:sz w:val="24"/>
          <w:szCs w:val="24"/>
        </w:rPr>
        <w:t>first respondent</w:t>
      </w:r>
      <w:r w:rsidRPr="000B34E0">
        <w:rPr>
          <w:rFonts w:ascii="Arial" w:hAnsi="Arial" w:cs="Arial"/>
          <w:sz w:val="24"/>
          <w:szCs w:val="24"/>
        </w:rPr>
        <w:t xml:space="preserve"> obtained from their counsel falls within the ambit of legal professional privilege, and that the adversary to the party asserting such privilege would normally not be entitled thereto</w:t>
      </w:r>
      <w:r>
        <w:rPr>
          <w:rFonts w:ascii="Arial" w:hAnsi="Arial" w:cs="Arial"/>
          <w:sz w:val="24"/>
          <w:szCs w:val="24"/>
        </w:rPr>
        <w:t>.</w:t>
      </w:r>
    </w:p>
    <w:p w:rsidR="00191261" w:rsidRDefault="00191261" w:rsidP="00397FFB">
      <w:pPr>
        <w:spacing w:after="0" w:line="360" w:lineRule="auto"/>
        <w:jc w:val="both"/>
        <w:rPr>
          <w:rFonts w:ascii="Arial" w:hAnsi="Arial" w:cs="Arial"/>
          <w:bCs/>
          <w:sz w:val="24"/>
          <w:szCs w:val="24"/>
        </w:rPr>
      </w:pPr>
    </w:p>
    <w:p w:rsidR="00191261" w:rsidRDefault="00191261" w:rsidP="00397FFB">
      <w:pPr>
        <w:spacing w:after="0" w:line="360" w:lineRule="auto"/>
        <w:jc w:val="both"/>
        <w:rPr>
          <w:rFonts w:ascii="Arial" w:hAnsi="Arial" w:cs="Arial"/>
          <w:bCs/>
          <w:sz w:val="24"/>
          <w:szCs w:val="24"/>
        </w:rPr>
      </w:pPr>
      <w:r w:rsidRPr="00397FFB">
        <w:rPr>
          <w:rFonts w:ascii="Arial" w:hAnsi="Arial" w:cs="Arial"/>
          <w:bCs/>
          <w:i/>
          <w:sz w:val="24"/>
          <w:szCs w:val="24"/>
        </w:rPr>
        <w:t>Held</w:t>
      </w:r>
      <w:r>
        <w:rPr>
          <w:rFonts w:ascii="Arial" w:hAnsi="Arial" w:cs="Arial"/>
          <w:bCs/>
          <w:sz w:val="24"/>
          <w:szCs w:val="24"/>
        </w:rPr>
        <w:t xml:space="preserve"> – </w:t>
      </w:r>
      <w:r w:rsidRPr="00D506B8">
        <w:rPr>
          <w:rFonts w:ascii="Arial" w:hAnsi="Arial" w:cs="Arial"/>
          <w:bCs/>
          <w:sz w:val="24"/>
          <w:szCs w:val="24"/>
        </w:rPr>
        <w:t>I lean to the finding that the first respondent did not in clear terms waiver his legal privilege to the decision sought, primarily on the stance that he did not in clear terms waiver the privilege by merely referring to it, not necessarily disclosing the contents thereof sufficiently to impliedly waiver same</w:t>
      </w:r>
      <w:r>
        <w:rPr>
          <w:rFonts w:ascii="Arial" w:hAnsi="Arial" w:cs="Arial"/>
          <w:bCs/>
          <w:sz w:val="24"/>
          <w:szCs w:val="24"/>
        </w:rPr>
        <w:t>.</w:t>
      </w:r>
    </w:p>
    <w:p w:rsidR="00EE7F72" w:rsidRPr="00EE7F72" w:rsidRDefault="00EE7F72" w:rsidP="00397FFB">
      <w:pPr>
        <w:spacing w:after="0" w:line="360" w:lineRule="auto"/>
        <w:jc w:val="both"/>
        <w:rPr>
          <w:rFonts w:ascii="Arial" w:hAnsi="Arial" w:cs="Arial"/>
          <w:b/>
          <w:sz w:val="24"/>
          <w:szCs w:val="24"/>
        </w:rPr>
      </w:pPr>
    </w:p>
    <w:p w:rsidR="00EE7F72" w:rsidRPr="00EE7F72" w:rsidRDefault="00EE7F72" w:rsidP="00397FFB">
      <w:pPr>
        <w:pBdr>
          <w:bottom w:val="single" w:sz="6" w:space="1" w:color="auto"/>
        </w:pBdr>
        <w:spacing w:after="0" w:line="360" w:lineRule="auto"/>
        <w:jc w:val="both"/>
        <w:rPr>
          <w:rFonts w:ascii="Arial" w:hAnsi="Arial" w:cs="Arial"/>
          <w:b/>
          <w:sz w:val="24"/>
          <w:szCs w:val="24"/>
        </w:rPr>
      </w:pPr>
    </w:p>
    <w:p w:rsidR="00EE7F72" w:rsidRPr="00EE7F72" w:rsidRDefault="00EE7F72" w:rsidP="00397FFB">
      <w:pPr>
        <w:spacing w:after="0" w:line="360" w:lineRule="auto"/>
        <w:rPr>
          <w:rFonts w:ascii="Arial" w:hAnsi="Arial" w:cs="Arial"/>
          <w:b/>
          <w:sz w:val="24"/>
          <w:szCs w:val="24"/>
        </w:rPr>
      </w:pPr>
    </w:p>
    <w:p w:rsidR="00EE7F72" w:rsidRPr="00EE7F72" w:rsidRDefault="00EE7F72" w:rsidP="00397FFB">
      <w:pPr>
        <w:spacing w:after="0" w:line="360" w:lineRule="auto"/>
        <w:jc w:val="center"/>
        <w:rPr>
          <w:rFonts w:ascii="Arial" w:hAnsi="Arial" w:cs="Arial"/>
          <w:b/>
          <w:sz w:val="24"/>
          <w:szCs w:val="24"/>
        </w:rPr>
      </w:pPr>
      <w:r w:rsidRPr="00EE7F72">
        <w:rPr>
          <w:rFonts w:ascii="Arial" w:hAnsi="Arial" w:cs="Arial"/>
          <w:b/>
          <w:sz w:val="24"/>
          <w:szCs w:val="24"/>
        </w:rPr>
        <w:t>ORDER</w:t>
      </w:r>
    </w:p>
    <w:p w:rsidR="00EE7F72" w:rsidRPr="00EE7F72" w:rsidRDefault="00EE7F72" w:rsidP="00397FFB">
      <w:pPr>
        <w:pBdr>
          <w:bottom w:val="single" w:sz="6" w:space="1" w:color="auto"/>
        </w:pBdr>
        <w:spacing w:after="0" w:line="360" w:lineRule="auto"/>
        <w:jc w:val="center"/>
        <w:rPr>
          <w:rFonts w:ascii="Arial" w:hAnsi="Arial" w:cs="Arial"/>
          <w:b/>
          <w:sz w:val="24"/>
          <w:szCs w:val="24"/>
        </w:rPr>
      </w:pPr>
    </w:p>
    <w:p w:rsidR="00EE7F72" w:rsidRPr="00120313" w:rsidRDefault="00EE7F72" w:rsidP="00397FFB">
      <w:pPr>
        <w:spacing w:after="0" w:line="360" w:lineRule="auto"/>
        <w:rPr>
          <w:rFonts w:ascii="Arial" w:hAnsi="Arial" w:cs="Arial"/>
          <w:b/>
          <w:sz w:val="24"/>
          <w:szCs w:val="24"/>
        </w:rPr>
      </w:pPr>
    </w:p>
    <w:p w:rsidR="00191261" w:rsidRPr="00191261" w:rsidRDefault="00191261" w:rsidP="00397FFB">
      <w:pPr>
        <w:pStyle w:val="ListParagraph"/>
        <w:numPr>
          <w:ilvl w:val="0"/>
          <w:numId w:val="8"/>
        </w:numPr>
        <w:spacing w:after="0" w:line="360" w:lineRule="auto"/>
        <w:ind w:hanging="720"/>
        <w:jc w:val="both"/>
        <w:rPr>
          <w:rFonts w:ascii="Arial" w:hAnsi="Arial" w:cs="Arial"/>
          <w:sz w:val="24"/>
          <w:szCs w:val="24"/>
        </w:rPr>
      </w:pPr>
      <w:r w:rsidRPr="00191261">
        <w:rPr>
          <w:rFonts w:ascii="Arial" w:hAnsi="Arial" w:cs="Arial"/>
          <w:sz w:val="24"/>
          <w:szCs w:val="24"/>
        </w:rPr>
        <w:t>The applicant’s application is dismissed.</w:t>
      </w:r>
    </w:p>
    <w:p w:rsidR="00191261" w:rsidRPr="00B14223" w:rsidRDefault="00191261" w:rsidP="00397FFB">
      <w:pPr>
        <w:spacing w:after="0" w:line="360" w:lineRule="auto"/>
        <w:ind w:left="709"/>
        <w:jc w:val="both"/>
        <w:rPr>
          <w:rFonts w:ascii="Arial" w:hAnsi="Arial" w:cs="Arial"/>
          <w:sz w:val="24"/>
          <w:szCs w:val="24"/>
          <w:lang w:val="en-US"/>
        </w:rPr>
      </w:pPr>
    </w:p>
    <w:p w:rsidR="00191261" w:rsidRPr="00191261" w:rsidRDefault="00191261" w:rsidP="00397FFB">
      <w:pPr>
        <w:pStyle w:val="ListParagraph"/>
        <w:numPr>
          <w:ilvl w:val="0"/>
          <w:numId w:val="8"/>
        </w:numPr>
        <w:spacing w:after="0" w:line="360" w:lineRule="auto"/>
        <w:ind w:hanging="720"/>
        <w:jc w:val="both"/>
        <w:rPr>
          <w:rFonts w:ascii="Arial" w:hAnsi="Arial" w:cs="Arial"/>
          <w:sz w:val="24"/>
          <w:szCs w:val="24"/>
        </w:rPr>
      </w:pPr>
      <w:r w:rsidRPr="00191261">
        <w:rPr>
          <w:rFonts w:ascii="Arial" w:hAnsi="Arial" w:cs="Arial"/>
          <w:sz w:val="24"/>
          <w:szCs w:val="24"/>
        </w:rPr>
        <w:t>The costs are awarded to the respondent, limited to N$20,000.00 in terms of rule 32 (11).</w:t>
      </w:r>
    </w:p>
    <w:p w:rsidR="00191261" w:rsidRPr="00B14223" w:rsidRDefault="00191261" w:rsidP="00397FFB">
      <w:pPr>
        <w:spacing w:after="0" w:line="360" w:lineRule="auto"/>
        <w:ind w:left="709"/>
        <w:jc w:val="both"/>
        <w:rPr>
          <w:rFonts w:ascii="Arial" w:hAnsi="Arial" w:cs="Arial"/>
          <w:sz w:val="24"/>
          <w:szCs w:val="24"/>
          <w:lang w:val="en-US"/>
        </w:rPr>
      </w:pPr>
    </w:p>
    <w:p w:rsidR="00191261" w:rsidRPr="00B14223" w:rsidRDefault="00191261" w:rsidP="00397FFB">
      <w:pPr>
        <w:numPr>
          <w:ilvl w:val="0"/>
          <w:numId w:val="8"/>
        </w:numPr>
        <w:spacing w:after="0" w:line="360" w:lineRule="auto"/>
        <w:ind w:left="709" w:hanging="709"/>
        <w:jc w:val="both"/>
        <w:rPr>
          <w:rFonts w:ascii="Arial" w:hAnsi="Arial" w:cs="Arial"/>
          <w:sz w:val="24"/>
          <w:szCs w:val="24"/>
          <w:lang w:val="en-US"/>
        </w:rPr>
      </w:pPr>
      <w:r w:rsidRPr="00B14223">
        <w:rPr>
          <w:rFonts w:ascii="Arial" w:hAnsi="Arial" w:cs="Arial"/>
          <w:sz w:val="24"/>
          <w:szCs w:val="24"/>
          <w:lang w:val="en-US"/>
        </w:rPr>
        <w:t xml:space="preserve">The matter is postponed to </w:t>
      </w:r>
      <w:r>
        <w:rPr>
          <w:rFonts w:ascii="Arial" w:hAnsi="Arial" w:cs="Arial"/>
          <w:sz w:val="24"/>
          <w:szCs w:val="24"/>
          <w:lang w:val="en-US"/>
        </w:rPr>
        <w:t>3 March 2021 at 08h30 for a status hearing.</w:t>
      </w:r>
    </w:p>
    <w:p w:rsidR="00EE7F72" w:rsidRPr="00120313" w:rsidRDefault="00EE7F72" w:rsidP="00397FFB">
      <w:pPr>
        <w:spacing w:after="0" w:line="360" w:lineRule="auto"/>
        <w:jc w:val="both"/>
        <w:rPr>
          <w:rFonts w:ascii="Arial" w:hAnsi="Arial" w:cs="Arial"/>
          <w:sz w:val="24"/>
          <w:szCs w:val="24"/>
        </w:rPr>
      </w:pPr>
      <w:r w:rsidRPr="00120313">
        <w:rPr>
          <w:rFonts w:ascii="Arial" w:hAnsi="Arial" w:cs="Arial"/>
          <w:sz w:val="24"/>
          <w:szCs w:val="24"/>
        </w:rPr>
        <w:t>______________________________________________</w:t>
      </w:r>
      <w:r w:rsidR="00120313" w:rsidRPr="00120313">
        <w:rPr>
          <w:rFonts w:ascii="Arial" w:hAnsi="Arial" w:cs="Arial"/>
          <w:sz w:val="24"/>
          <w:szCs w:val="24"/>
        </w:rPr>
        <w:t>________________________</w:t>
      </w:r>
    </w:p>
    <w:p w:rsidR="00120313" w:rsidRPr="00120313" w:rsidRDefault="00120313" w:rsidP="00397FFB">
      <w:pPr>
        <w:spacing w:after="0" w:line="360" w:lineRule="auto"/>
        <w:jc w:val="center"/>
        <w:rPr>
          <w:rFonts w:ascii="Arial" w:hAnsi="Arial" w:cs="Arial"/>
          <w:b/>
          <w:sz w:val="24"/>
          <w:szCs w:val="24"/>
        </w:rPr>
      </w:pPr>
    </w:p>
    <w:p w:rsidR="00120313" w:rsidRPr="00120313" w:rsidRDefault="00EE7F72" w:rsidP="00397FFB">
      <w:pPr>
        <w:spacing w:after="0" w:line="360" w:lineRule="auto"/>
        <w:jc w:val="center"/>
        <w:rPr>
          <w:rFonts w:ascii="Arial" w:hAnsi="Arial" w:cs="Arial"/>
          <w:b/>
          <w:sz w:val="24"/>
          <w:szCs w:val="24"/>
        </w:rPr>
      </w:pPr>
      <w:r w:rsidRPr="00120313">
        <w:rPr>
          <w:rFonts w:ascii="Arial" w:hAnsi="Arial" w:cs="Arial"/>
          <w:b/>
          <w:sz w:val="24"/>
          <w:szCs w:val="24"/>
        </w:rPr>
        <w:t>RULING</w:t>
      </w:r>
    </w:p>
    <w:p w:rsidR="00164A77" w:rsidRPr="00120313" w:rsidRDefault="00164A77" w:rsidP="00397FFB">
      <w:pPr>
        <w:spacing w:after="0" w:line="360" w:lineRule="auto"/>
        <w:rPr>
          <w:rFonts w:ascii="Arial" w:hAnsi="Arial" w:cs="Arial"/>
        </w:rPr>
      </w:pPr>
      <w:r w:rsidRPr="00120313">
        <w:rPr>
          <w:rFonts w:ascii="Arial" w:hAnsi="Arial" w:cs="Arial"/>
          <w:sz w:val="24"/>
          <w:szCs w:val="24"/>
        </w:rPr>
        <w:t>______________________________________________</w:t>
      </w:r>
      <w:r w:rsidR="00120313">
        <w:rPr>
          <w:rFonts w:ascii="Arial" w:hAnsi="Arial" w:cs="Arial"/>
          <w:sz w:val="24"/>
          <w:szCs w:val="24"/>
        </w:rPr>
        <w:t>________________________</w:t>
      </w:r>
    </w:p>
    <w:p w:rsidR="00164A77" w:rsidRPr="00EE7F72" w:rsidRDefault="00164A77" w:rsidP="00397FFB">
      <w:pPr>
        <w:spacing w:line="360" w:lineRule="auto"/>
        <w:rPr>
          <w:sz w:val="24"/>
          <w:szCs w:val="24"/>
        </w:rPr>
      </w:pPr>
    </w:p>
    <w:p w:rsidR="00EE7F72" w:rsidRPr="00191261" w:rsidRDefault="00120313" w:rsidP="00397FFB">
      <w:pPr>
        <w:spacing w:after="0" w:line="360" w:lineRule="auto"/>
        <w:jc w:val="both"/>
        <w:rPr>
          <w:rFonts w:ascii="Arial" w:hAnsi="Arial" w:cs="Arial"/>
          <w:sz w:val="24"/>
          <w:szCs w:val="24"/>
        </w:rPr>
      </w:pPr>
      <w:r w:rsidRPr="00191261">
        <w:rPr>
          <w:rFonts w:ascii="Arial" w:hAnsi="Arial" w:cs="Arial"/>
          <w:sz w:val="24"/>
          <w:szCs w:val="24"/>
        </w:rPr>
        <w:t>MILLER AJ:</w:t>
      </w:r>
    </w:p>
    <w:p w:rsidR="00120313" w:rsidRPr="00191261" w:rsidRDefault="00120313"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bCs/>
          <w:sz w:val="24"/>
          <w:szCs w:val="24"/>
        </w:rPr>
        <w:t>[1]</w:t>
      </w:r>
      <w:r w:rsidRPr="00191261">
        <w:rPr>
          <w:rFonts w:ascii="Arial" w:hAnsi="Arial" w:cs="Arial"/>
          <w:bCs/>
          <w:sz w:val="24"/>
          <w:szCs w:val="24"/>
        </w:rPr>
        <w:tab/>
        <w:t>Before me is an opposed interlocutory application for the delivery of a rule-compliant record of decision. The basis upon which the application is based is premised on the notion that the first respondent filed an incomplete record of proceedings under review, causing the applicant to file a notice in terms of rule 76 (6), seeking further documents.</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[2]</w:t>
      </w:r>
      <w:r w:rsidRPr="00191261">
        <w:rPr>
          <w:rFonts w:ascii="Arial" w:hAnsi="Arial" w:cs="Arial"/>
          <w:sz w:val="24"/>
          <w:szCs w:val="24"/>
        </w:rPr>
        <w:tab/>
        <w:t>Responding to the rule 76 (6) notice, the first respondent filed an affidavit stating that the record as filed was complete and constitutes the complete record. The applicants, not in agreement, hence filed the application before me.</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[3]</w:t>
      </w:r>
      <w:r w:rsidRPr="00191261">
        <w:rPr>
          <w:rFonts w:ascii="Arial" w:hAnsi="Arial" w:cs="Arial"/>
          <w:sz w:val="24"/>
          <w:szCs w:val="24"/>
        </w:rPr>
        <w:tab/>
        <w:t>Before proceeding any further, the brief background of the matter before me is necessitated to determine the basis of the rule 76 (6) notice and it can be summarised as follows.</w:t>
      </w:r>
    </w:p>
    <w:p w:rsidR="00191261" w:rsidRPr="00191261" w:rsidRDefault="00191261" w:rsidP="00397FFB">
      <w:pPr>
        <w:spacing w:after="0" w:line="360" w:lineRule="auto"/>
        <w:jc w:val="both"/>
        <w:rPr>
          <w:rFonts w:ascii="Arial" w:hAnsi="Arial" w:cs="Arial"/>
          <w:b/>
          <w:bCs/>
          <w:sz w:val="24"/>
          <w:szCs w:val="24"/>
          <w:u w:val="single"/>
        </w:rPr>
      </w:pPr>
    </w:p>
    <w:p w:rsidR="00191261" w:rsidRPr="00191261" w:rsidRDefault="00191261" w:rsidP="00397FFB">
      <w:pPr>
        <w:spacing w:after="0" w:line="360" w:lineRule="auto"/>
        <w:jc w:val="both"/>
        <w:rPr>
          <w:rFonts w:ascii="Arial" w:hAnsi="Arial" w:cs="Arial"/>
          <w:sz w:val="24"/>
          <w:szCs w:val="24"/>
          <w:shd w:val="clear" w:color="auto" w:fill="FCFCFC"/>
        </w:rPr>
      </w:pPr>
      <w:r w:rsidRPr="00191261">
        <w:rPr>
          <w:rFonts w:ascii="Arial" w:hAnsi="Arial" w:cs="Arial"/>
          <w:sz w:val="24"/>
          <w:szCs w:val="24"/>
        </w:rPr>
        <w:t>[4]</w:t>
      </w:r>
      <w:r w:rsidRPr="00191261">
        <w:rPr>
          <w:rFonts w:ascii="Arial" w:hAnsi="Arial" w:cs="Arial"/>
          <w:sz w:val="24"/>
          <w:szCs w:val="24"/>
        </w:rPr>
        <w:tab/>
        <w:t xml:space="preserve"> The first applicant is the alleged designated successor as Chief of the Zeraeua Traditional Community in accordance with their customs, customary laws and traditions. The second applicant is a member of the Chief’s Council of the Zeraeua Traditional Community and a member of the Zeraeua Royal Family.</w:t>
      </w:r>
    </w:p>
    <w:p w:rsidR="00191261" w:rsidRPr="00191261" w:rsidRDefault="00191261" w:rsidP="00397FFB">
      <w:pPr>
        <w:pStyle w:val="Heading3"/>
        <w:shd w:val="clear" w:color="auto" w:fill="FFFFFF"/>
        <w:spacing w:before="0" w:line="360" w:lineRule="auto"/>
        <w:jc w:val="both"/>
        <w:rPr>
          <w:rFonts w:ascii="Arial" w:hAnsi="Arial" w:cs="Arial"/>
          <w:bCs/>
          <w:color w:val="auto"/>
        </w:rPr>
      </w:pPr>
    </w:p>
    <w:p w:rsidR="00191261" w:rsidRPr="00191261" w:rsidRDefault="00191261" w:rsidP="00397FFB">
      <w:pPr>
        <w:pStyle w:val="Heading3"/>
        <w:shd w:val="clear" w:color="auto" w:fill="FFFFFF"/>
        <w:spacing w:before="0" w:line="360" w:lineRule="auto"/>
        <w:jc w:val="both"/>
        <w:rPr>
          <w:rFonts w:ascii="Arial" w:hAnsi="Arial" w:cs="Arial"/>
          <w:bCs/>
          <w:color w:val="auto"/>
        </w:rPr>
      </w:pPr>
      <w:r w:rsidRPr="00191261">
        <w:rPr>
          <w:rFonts w:ascii="Arial" w:hAnsi="Arial" w:cs="Arial"/>
          <w:bCs/>
          <w:color w:val="auto"/>
        </w:rPr>
        <w:t>[5]</w:t>
      </w:r>
      <w:r w:rsidRPr="00191261">
        <w:rPr>
          <w:rFonts w:ascii="Arial" w:hAnsi="Arial" w:cs="Arial"/>
          <w:bCs/>
          <w:color w:val="auto"/>
        </w:rPr>
        <w:tab/>
        <w:t xml:space="preserve"> Despite the first applicant’s alleged designation as successor, the first respondent approved the third respondent’s designation as Chief of the Zeraeua Traditional Community.</w:t>
      </w:r>
    </w:p>
    <w:p w:rsidR="00191261" w:rsidRPr="00191261" w:rsidRDefault="00191261" w:rsidP="00397FFB">
      <w:pPr>
        <w:spacing w:after="0" w:line="360" w:lineRule="auto"/>
        <w:jc w:val="both"/>
        <w:rPr>
          <w:rFonts w:ascii="Arial" w:hAnsi="Arial" w:cs="Arial"/>
          <w:bCs/>
          <w:sz w:val="24"/>
          <w:szCs w:val="24"/>
        </w:rPr>
      </w:pPr>
    </w:p>
    <w:p w:rsidR="00191261" w:rsidRPr="00191261" w:rsidRDefault="00191261" w:rsidP="00397FFB">
      <w:pPr>
        <w:pStyle w:val="Heading3"/>
        <w:shd w:val="clear" w:color="auto" w:fill="FFFFFF"/>
        <w:spacing w:before="0" w:line="360" w:lineRule="auto"/>
        <w:jc w:val="both"/>
        <w:rPr>
          <w:rFonts w:ascii="Arial" w:hAnsi="Arial" w:cs="Arial"/>
          <w:bCs/>
          <w:color w:val="auto"/>
        </w:rPr>
      </w:pPr>
      <w:r w:rsidRPr="00191261">
        <w:rPr>
          <w:rFonts w:ascii="Arial" w:hAnsi="Arial" w:cs="Arial"/>
          <w:bCs/>
          <w:color w:val="auto"/>
        </w:rPr>
        <w:t>[6]</w:t>
      </w:r>
      <w:r w:rsidRPr="00191261">
        <w:rPr>
          <w:rFonts w:ascii="Arial" w:hAnsi="Arial" w:cs="Arial"/>
          <w:bCs/>
          <w:color w:val="auto"/>
        </w:rPr>
        <w:tab/>
        <w:t>On 2 July 2018 and at a meeting, the first respondent indicated that he decided to recognise the third respondent as Chief without giving reasons. Later on the first respondent called the parties back and retracted his earlier statement, indicating that his decision in recognising the third respondent as Chief was based on wrong advice given from the government attorney’s office. The first respondent allegedly further informed the parties present at the meeting that he was supposed to have submitted the advice obtained from the government attorneys’ office to the office of the attorney-general for a final legal opinion.</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[7]</w:t>
      </w:r>
      <w:r w:rsidRPr="00191261">
        <w:rPr>
          <w:rFonts w:ascii="Arial" w:hAnsi="Arial" w:cs="Arial"/>
          <w:sz w:val="24"/>
          <w:szCs w:val="24"/>
        </w:rPr>
        <w:tab/>
        <w:t xml:space="preserve">It is this purported advice that the applicant submitted its rule 76 (6) notice as it formed the view that the said opinion or documents are of relevance in that they were used in the decision-making process, therefore necessitating that it also forms part of the review record. </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[8]</w:t>
      </w:r>
      <w:r w:rsidRPr="00191261">
        <w:rPr>
          <w:rFonts w:ascii="Arial" w:hAnsi="Arial" w:cs="Arial"/>
          <w:sz w:val="24"/>
          <w:szCs w:val="24"/>
        </w:rPr>
        <w:tab/>
        <w:t>The first respondent, however, formed the view that the requested documents sought is privileged and cannot be discovered as requested by the applicants and further that the dispute between the parties can proceed without the legal opinion as it has no bearing on the relief sought.</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lastRenderedPageBreak/>
        <w:t>[9]</w:t>
      </w:r>
      <w:r w:rsidRPr="00191261">
        <w:rPr>
          <w:rFonts w:ascii="Arial" w:hAnsi="Arial" w:cs="Arial"/>
          <w:sz w:val="24"/>
          <w:szCs w:val="24"/>
        </w:rPr>
        <w:tab/>
        <w:t xml:space="preserve">The principles relating to the rule 76 (6) notice is quite clear and various judgments were delivered by this court. In </w:t>
      </w:r>
      <w:r w:rsidRPr="00191261">
        <w:rPr>
          <w:rFonts w:ascii="Arial" w:hAnsi="Arial" w:cs="Arial"/>
          <w:i/>
          <w:sz w:val="24"/>
          <w:szCs w:val="24"/>
        </w:rPr>
        <w:t>Hollard Insurance Company of Namibia Limited v Minister of Finance,</w:t>
      </w:r>
      <w:r w:rsidRPr="00191261">
        <w:rPr>
          <w:rStyle w:val="FootnoteReference"/>
          <w:rFonts w:ascii="Arial" w:hAnsi="Arial" w:cs="Arial"/>
          <w:i/>
          <w:sz w:val="24"/>
          <w:szCs w:val="24"/>
        </w:rPr>
        <w:footnoteReference w:id="1"/>
      </w:r>
      <w:r w:rsidRPr="00191261">
        <w:rPr>
          <w:rFonts w:ascii="Arial" w:hAnsi="Arial" w:cs="Arial"/>
          <w:i/>
          <w:sz w:val="24"/>
          <w:szCs w:val="24"/>
        </w:rPr>
        <w:t xml:space="preserve"> </w:t>
      </w:r>
      <w:r w:rsidRPr="00191261">
        <w:rPr>
          <w:rFonts w:ascii="Arial" w:hAnsi="Arial" w:cs="Arial"/>
          <w:sz w:val="24"/>
          <w:szCs w:val="24"/>
        </w:rPr>
        <w:t>this court succinctly summarised the position as follows:</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rPr>
      </w:pPr>
      <w:r w:rsidRPr="00191261">
        <w:rPr>
          <w:rFonts w:ascii="Arial" w:hAnsi="Arial" w:cs="Arial"/>
          <w:sz w:val="24"/>
          <w:szCs w:val="24"/>
        </w:rPr>
        <w:tab/>
      </w:r>
      <w:r w:rsidRPr="00191261">
        <w:rPr>
          <w:rFonts w:ascii="Arial" w:hAnsi="Arial" w:cs="Arial"/>
        </w:rPr>
        <w:t>‘[20]</w:t>
      </w:r>
      <w:r w:rsidRPr="00191261">
        <w:rPr>
          <w:rFonts w:ascii="Arial" w:hAnsi="Arial" w:cs="Arial"/>
        </w:rPr>
        <w:tab/>
        <w:t xml:space="preserve">Accordingly what must be disclosed is all information relevant to the impugned decision as otherwise the provisions of Rule 76 would be rendered meaningless. The Rule in any event requires this in express terms. The rule also clearly envisages the grounds of review changing later. ‘Relevance’ should thus be assessed as it relates to the decision sought to be reviewed, not with reference to the case pleaded originally in the founding affidavit. In this regard it can thus be said that, what must be disclosed - and it is here that I would think that the material change comes in - are all those ‘ … documents/materials that could have any tendency, in reason, to establish any possible/potential review ground in relation to the decision to be reviewed, </w:t>
      </w:r>
      <w:r w:rsidR="00397FFB" w:rsidRPr="00191261">
        <w:rPr>
          <w:rFonts w:ascii="Arial" w:hAnsi="Arial" w:cs="Arial"/>
        </w:rPr>
        <w:t>i.e.</w:t>
      </w:r>
      <w:r w:rsidRPr="00191261">
        <w:rPr>
          <w:rFonts w:ascii="Arial" w:hAnsi="Arial" w:cs="Arial"/>
        </w:rPr>
        <w:t xml:space="preserve"> all materials relevant to the exercise of the public power in question …’. It follows - and I thus uphold the submission - that the word ‘relevance’ as used in Rule 76(6) is ‘wide(r) in its scope and meaning’ in these respects. The concept thus differs in its scope and the way and from how it is applied in action- and also in motion proceedings in general. It is thus also not limited only to the actual material serving before the decision-maker but it so also includes all material available to the decision-maker – whether considered or not – for as long as it is relevant to the decision to be reviewed - and in any event it includes the material that is incorporated by reference. In this regard it was thus correctly submitted that ‘an applicant in a review will be entitled to documents that are relevant to the case pleaded in the founding affidavit, and/or(my insertion) to any other information that relates to the decision sought to be reviewed even if the relevance does not specifically appear from the pleadings’.  </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[10]</w:t>
      </w:r>
      <w:r w:rsidRPr="00191261">
        <w:rPr>
          <w:rFonts w:ascii="Arial" w:hAnsi="Arial" w:cs="Arial"/>
          <w:sz w:val="24"/>
          <w:szCs w:val="24"/>
        </w:rPr>
        <w:tab/>
        <w:t>It is therefore quite clear that the review record must contain all documentation that were required, whether utilised or not, that is or was relevant in assisting the decision-maker to arrive at its decision, whether such decision was correctly made or not. However, in the present matter, the first respondent raised the defence of legal privilege in respect of the documentation sought by the applicant, giving rise to a peculiar situation.</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lastRenderedPageBreak/>
        <w:t>[11]</w:t>
      </w:r>
      <w:r w:rsidRPr="00191261">
        <w:rPr>
          <w:rFonts w:ascii="Arial" w:hAnsi="Arial" w:cs="Arial"/>
          <w:sz w:val="24"/>
          <w:szCs w:val="24"/>
        </w:rPr>
        <w:tab/>
        <w:t xml:space="preserve">It is common cause that the legal opinion which the first respondent obtained from their counsel falls within the ambit of legal professional privilege, and that the adversary to the party asserting such privilege would normally not be entitled thereto. In </w:t>
      </w:r>
      <w:r w:rsidRPr="00191261">
        <w:rPr>
          <w:rFonts w:ascii="Arial" w:hAnsi="Arial" w:cs="Arial"/>
          <w:i/>
          <w:sz w:val="24"/>
          <w:szCs w:val="24"/>
        </w:rPr>
        <w:t>Euroshipping Corporation of Monrovia v Minister of Agr</w:t>
      </w:r>
      <w:r w:rsidR="00397FFB">
        <w:rPr>
          <w:rFonts w:ascii="Arial" w:hAnsi="Arial" w:cs="Arial"/>
          <w:i/>
          <w:sz w:val="24"/>
          <w:szCs w:val="24"/>
        </w:rPr>
        <w:t>icultural Economics and</w:t>
      </w:r>
      <w:r w:rsidRPr="00191261">
        <w:rPr>
          <w:rFonts w:ascii="Arial" w:hAnsi="Arial" w:cs="Arial"/>
          <w:i/>
          <w:sz w:val="24"/>
          <w:szCs w:val="24"/>
        </w:rPr>
        <w:t xml:space="preserve"> Marketing and Others</w:t>
      </w:r>
      <w:r w:rsidRPr="00191261">
        <w:rPr>
          <w:rFonts w:ascii="Arial" w:hAnsi="Arial" w:cs="Arial"/>
          <w:sz w:val="24"/>
          <w:szCs w:val="24"/>
        </w:rPr>
        <w:t>,</w:t>
      </w:r>
      <w:r w:rsidRPr="00191261">
        <w:rPr>
          <w:rStyle w:val="FootnoteReference"/>
          <w:rFonts w:ascii="Arial" w:hAnsi="Arial" w:cs="Arial"/>
          <w:sz w:val="24"/>
          <w:szCs w:val="24"/>
        </w:rPr>
        <w:footnoteReference w:id="2"/>
      </w:r>
      <w:r w:rsidRPr="00191261">
        <w:rPr>
          <w:rFonts w:ascii="Arial" w:hAnsi="Arial" w:cs="Arial"/>
          <w:sz w:val="24"/>
          <w:szCs w:val="24"/>
        </w:rPr>
        <w:t xml:space="preserve"> Friedman J referred to ‘this fundamental right of a client’, stressing the importance that:</w:t>
      </w:r>
    </w:p>
    <w:p w:rsidR="00191261" w:rsidRPr="00191261" w:rsidRDefault="00191261" w:rsidP="00397FFB">
      <w:pPr>
        <w:tabs>
          <w:tab w:val="left" w:pos="1515"/>
        </w:tabs>
        <w:spacing w:after="0" w:line="360" w:lineRule="auto"/>
        <w:jc w:val="both"/>
        <w:rPr>
          <w:rFonts w:ascii="Arial" w:hAnsi="Arial" w:cs="Arial"/>
          <w:sz w:val="24"/>
          <w:szCs w:val="24"/>
        </w:rPr>
      </w:pPr>
      <w:r w:rsidRPr="00191261">
        <w:rPr>
          <w:rFonts w:ascii="Arial" w:hAnsi="Arial" w:cs="Arial"/>
          <w:sz w:val="24"/>
          <w:szCs w:val="24"/>
        </w:rPr>
        <w:tab/>
      </w:r>
    </w:p>
    <w:p w:rsidR="00191261" w:rsidRPr="00191261" w:rsidRDefault="00191261" w:rsidP="00397FFB">
      <w:pPr>
        <w:spacing w:after="0" w:line="360" w:lineRule="auto"/>
        <w:ind w:firstLine="720"/>
        <w:jc w:val="both"/>
        <w:rPr>
          <w:rFonts w:ascii="Arial" w:hAnsi="Arial" w:cs="Arial"/>
        </w:rPr>
      </w:pPr>
      <w:r w:rsidRPr="00191261">
        <w:rPr>
          <w:rFonts w:ascii="Arial" w:hAnsi="Arial" w:cs="Arial"/>
        </w:rPr>
        <w:t>‘…inroads should not be made into the right of a client to consult freely with his legal adviser, without fear that his confidential communications to the latter will not be kept a secret.’</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[12]</w:t>
      </w:r>
      <w:r w:rsidRPr="00191261">
        <w:rPr>
          <w:rFonts w:ascii="Arial" w:hAnsi="Arial" w:cs="Arial"/>
          <w:sz w:val="24"/>
          <w:szCs w:val="24"/>
        </w:rPr>
        <w:tab/>
        <w:t xml:space="preserve">Van Dijkhorst J in </w:t>
      </w:r>
      <w:r w:rsidRPr="00191261">
        <w:rPr>
          <w:rFonts w:ascii="Arial" w:hAnsi="Arial" w:cs="Arial"/>
          <w:i/>
          <w:sz w:val="24"/>
          <w:szCs w:val="24"/>
        </w:rPr>
        <w:t>Bank of Lisbon and South Africa Ltd v Tandrien Beleggings (Pty) Ltd and Others</w:t>
      </w:r>
      <w:r w:rsidRPr="00191261">
        <w:rPr>
          <w:rStyle w:val="FootnoteReference"/>
          <w:rFonts w:ascii="Arial" w:hAnsi="Arial" w:cs="Arial"/>
          <w:i/>
          <w:sz w:val="24"/>
          <w:szCs w:val="24"/>
        </w:rPr>
        <w:footnoteReference w:id="3"/>
      </w:r>
      <w:r w:rsidRPr="00191261">
        <w:rPr>
          <w:rFonts w:ascii="Arial" w:hAnsi="Arial" w:cs="Arial"/>
          <w:sz w:val="24"/>
          <w:szCs w:val="24"/>
        </w:rPr>
        <w:t xml:space="preserve"> said:</w:t>
      </w:r>
    </w:p>
    <w:p w:rsidR="00191261" w:rsidRPr="00191261" w:rsidRDefault="00191261" w:rsidP="00397FFB">
      <w:pPr>
        <w:spacing w:after="0" w:line="360" w:lineRule="auto"/>
        <w:jc w:val="both"/>
        <w:rPr>
          <w:rFonts w:ascii="Arial" w:hAnsi="Arial" w:cs="Arial"/>
          <w:sz w:val="24"/>
          <w:szCs w:val="24"/>
        </w:rPr>
      </w:pPr>
    </w:p>
    <w:p w:rsidR="00191261" w:rsidRPr="00191261" w:rsidRDefault="00397FFB" w:rsidP="00397FFB">
      <w:pPr>
        <w:spacing w:after="0" w:line="360" w:lineRule="auto"/>
        <w:ind w:firstLine="720"/>
        <w:jc w:val="both"/>
        <w:rPr>
          <w:rFonts w:ascii="Arial" w:hAnsi="Arial" w:cs="Arial"/>
        </w:rPr>
      </w:pPr>
      <w:r>
        <w:rPr>
          <w:rFonts w:ascii="Arial" w:hAnsi="Arial" w:cs="Arial"/>
        </w:rPr>
        <w:t>‘</w:t>
      </w:r>
      <w:r w:rsidR="00191261" w:rsidRPr="00191261">
        <w:rPr>
          <w:rFonts w:ascii="Arial" w:hAnsi="Arial" w:cs="Arial"/>
        </w:rPr>
        <w:t xml:space="preserve">The privilege claimed in respect of the attorney’s notes is that of the client, the plaintiff, and not that of the attorney. Any waiver of such privilege is by the client, not by the witness (the attorney). Where the case is conducted by the client’s legal representatives, they are in charge of the proceedings. A client is bound by the conduct of the case by counsel within the limits of his brief and subject to such specific instructions as he may have accepted. </w:t>
      </w:r>
      <w:r w:rsidR="00191261" w:rsidRPr="00191261">
        <w:rPr>
          <w:rFonts w:ascii="Arial" w:hAnsi="Arial" w:cs="Arial"/>
          <w:i/>
        </w:rPr>
        <w:t>R v Matonsi</w:t>
      </w:r>
      <w:r w:rsidR="00191261" w:rsidRPr="00191261">
        <w:rPr>
          <w:rFonts w:ascii="Arial" w:hAnsi="Arial" w:cs="Arial"/>
        </w:rPr>
        <w:t xml:space="preserve"> 1958 (2) SA 450 (A) at 456 and 457; </w:t>
      </w:r>
      <w:r w:rsidR="00191261" w:rsidRPr="00191261">
        <w:rPr>
          <w:rFonts w:ascii="Arial" w:hAnsi="Arial" w:cs="Arial"/>
          <w:i/>
        </w:rPr>
        <w:t>S v Mathope</w:t>
      </w:r>
      <w:r w:rsidR="00191261" w:rsidRPr="00191261">
        <w:rPr>
          <w:rFonts w:ascii="Arial" w:hAnsi="Arial" w:cs="Arial"/>
        </w:rPr>
        <w:t xml:space="preserve"> 1982 (3) SA 33 (B) at 34. The conduct of the action inter alia involves decisions as to waiver of privilege and the calling of witnesses. </w:t>
      </w:r>
      <w:r w:rsidR="00191261" w:rsidRPr="00191261">
        <w:rPr>
          <w:rFonts w:ascii="Arial" w:hAnsi="Arial" w:cs="Arial"/>
          <w:i/>
        </w:rPr>
        <w:t>Great Atlantic Insurance Co v Home Insurance Co and Others</w:t>
      </w:r>
      <w:r w:rsidR="00191261" w:rsidRPr="00191261">
        <w:rPr>
          <w:rFonts w:ascii="Arial" w:hAnsi="Arial" w:cs="Arial"/>
        </w:rPr>
        <w:t xml:space="preserve"> [1</w:t>
      </w:r>
      <w:r>
        <w:rPr>
          <w:rFonts w:ascii="Arial" w:hAnsi="Arial" w:cs="Arial"/>
        </w:rPr>
        <w:t>981] 2 All ER 485 (CA) at 493h.’</w:t>
      </w:r>
    </w:p>
    <w:p w:rsidR="00191261" w:rsidRPr="00191261" w:rsidRDefault="00191261" w:rsidP="00397FFB">
      <w:pPr>
        <w:spacing w:after="0" w:line="360" w:lineRule="auto"/>
        <w:jc w:val="both"/>
        <w:rPr>
          <w:rFonts w:ascii="Arial" w:hAnsi="Arial" w:cs="Arial"/>
          <w:sz w:val="24"/>
          <w:szCs w:val="24"/>
        </w:rPr>
      </w:pPr>
    </w:p>
    <w:p w:rsidR="00191261" w:rsidRPr="00191261" w:rsidRDefault="00191261" w:rsidP="00397FFB">
      <w:pPr>
        <w:spacing w:after="0" w:line="360" w:lineRule="auto"/>
        <w:jc w:val="both"/>
        <w:rPr>
          <w:rFonts w:ascii="Arial" w:hAnsi="Arial" w:cs="Arial"/>
          <w:sz w:val="24"/>
          <w:szCs w:val="24"/>
        </w:rPr>
      </w:pPr>
      <w:r w:rsidRPr="00191261">
        <w:rPr>
          <w:rFonts w:ascii="Arial" w:hAnsi="Arial" w:cs="Arial"/>
          <w:sz w:val="24"/>
          <w:szCs w:val="24"/>
        </w:rPr>
        <w:t>Further at 629E-G:</w:t>
      </w:r>
    </w:p>
    <w:p w:rsidR="00191261" w:rsidRPr="00191261" w:rsidRDefault="00191261" w:rsidP="00397FFB">
      <w:pPr>
        <w:spacing w:after="0" w:line="360" w:lineRule="auto"/>
        <w:jc w:val="both"/>
        <w:rPr>
          <w:rFonts w:ascii="Arial" w:hAnsi="Arial" w:cs="Arial"/>
          <w:sz w:val="24"/>
          <w:szCs w:val="24"/>
        </w:rPr>
      </w:pPr>
    </w:p>
    <w:p w:rsidR="00191261" w:rsidRPr="00191261" w:rsidRDefault="00397FFB" w:rsidP="00397FFB">
      <w:pPr>
        <w:spacing w:after="0" w:line="360" w:lineRule="auto"/>
        <w:ind w:firstLine="720"/>
        <w:jc w:val="both"/>
        <w:rPr>
          <w:rFonts w:ascii="Arial" w:hAnsi="Arial" w:cs="Arial"/>
        </w:rPr>
      </w:pPr>
      <w:r>
        <w:rPr>
          <w:rFonts w:ascii="Arial" w:hAnsi="Arial" w:cs="Arial"/>
        </w:rPr>
        <w:t>‘</w:t>
      </w:r>
      <w:r w:rsidR="00191261" w:rsidRPr="00191261">
        <w:rPr>
          <w:rFonts w:ascii="Arial" w:hAnsi="Arial" w:cs="Arial"/>
        </w:rPr>
        <w:t>In my view a waiver of privilege in respect of a consultation between attorney and client or attorney and witness is a waiver of privilege in respect of the communications between them. This means that these communications may be made public. Surely, there can be no logical reason for the prevention of the disclosure of the record of such communications where their contents are already disclosable.</w:t>
      </w:r>
    </w:p>
    <w:p w:rsidR="00191261" w:rsidRPr="00191261" w:rsidRDefault="00191261" w:rsidP="00397FFB">
      <w:pPr>
        <w:spacing w:after="0" w:line="360" w:lineRule="auto"/>
        <w:jc w:val="both"/>
        <w:rPr>
          <w:rFonts w:ascii="Arial" w:hAnsi="Arial" w:cs="Arial"/>
        </w:rPr>
      </w:pPr>
    </w:p>
    <w:p w:rsidR="00191261" w:rsidRPr="00191261" w:rsidRDefault="00191261" w:rsidP="00397FFB">
      <w:pPr>
        <w:spacing w:after="0" w:line="360" w:lineRule="auto"/>
        <w:jc w:val="both"/>
        <w:rPr>
          <w:rFonts w:ascii="Arial" w:hAnsi="Arial" w:cs="Arial"/>
        </w:rPr>
      </w:pPr>
      <w:r w:rsidRPr="00191261">
        <w:rPr>
          <w:rFonts w:ascii="Arial" w:hAnsi="Arial" w:cs="Arial"/>
        </w:rPr>
        <w:t>Why would the veil of secrecy which was lifted from the communication shroud the contemporaneous documentation thereof? The basis of privilege is confidentiality. When confidence ceases, privilege ceases.</w:t>
      </w:r>
      <w:r w:rsidR="00397FFB">
        <w:rPr>
          <w:rFonts w:ascii="Arial" w:hAnsi="Arial" w:cs="Arial"/>
        </w:rPr>
        <w:t>’</w:t>
      </w:r>
    </w:p>
    <w:p w:rsidR="00191261" w:rsidRPr="00191261" w:rsidRDefault="00191261" w:rsidP="00397FFB">
      <w:pPr>
        <w:spacing w:after="0" w:line="360" w:lineRule="auto"/>
        <w:jc w:val="both"/>
        <w:rPr>
          <w:rFonts w:ascii="Arial" w:hAnsi="Arial" w:cs="Arial"/>
          <w:b/>
          <w:bCs/>
          <w:sz w:val="24"/>
          <w:szCs w:val="24"/>
          <w:u w:val="single"/>
        </w:rPr>
      </w:pPr>
    </w:p>
    <w:p w:rsidR="00191261" w:rsidRPr="00191261" w:rsidRDefault="00191261" w:rsidP="00397FFB">
      <w:pPr>
        <w:spacing w:after="0" w:line="360" w:lineRule="auto"/>
        <w:jc w:val="both"/>
        <w:rPr>
          <w:rFonts w:ascii="Arial" w:hAnsi="Arial" w:cs="Arial"/>
          <w:bCs/>
          <w:sz w:val="24"/>
          <w:szCs w:val="24"/>
        </w:rPr>
      </w:pPr>
      <w:r w:rsidRPr="00191261">
        <w:rPr>
          <w:rFonts w:ascii="Arial" w:hAnsi="Arial" w:cs="Arial"/>
          <w:bCs/>
          <w:sz w:val="24"/>
          <w:szCs w:val="24"/>
        </w:rPr>
        <w:t>[13]</w:t>
      </w:r>
      <w:r w:rsidRPr="00191261">
        <w:rPr>
          <w:rFonts w:ascii="Arial" w:hAnsi="Arial" w:cs="Arial"/>
          <w:bCs/>
          <w:sz w:val="24"/>
          <w:szCs w:val="24"/>
        </w:rPr>
        <w:tab/>
        <w:t xml:space="preserve">In </w:t>
      </w:r>
      <w:r w:rsidRPr="00191261">
        <w:rPr>
          <w:rFonts w:ascii="Arial" w:hAnsi="Arial" w:cs="Arial"/>
          <w:bCs/>
          <w:i/>
          <w:sz w:val="24"/>
          <w:szCs w:val="24"/>
        </w:rPr>
        <w:t>Bogoshi v Van Vuuren NO and Others; Bogoshi and Another v Director, Office for Serious Economic Offences, and Others</w:t>
      </w:r>
      <w:r w:rsidRPr="00191261">
        <w:rPr>
          <w:rFonts w:ascii="Arial" w:hAnsi="Arial" w:cs="Arial"/>
          <w:bCs/>
          <w:sz w:val="24"/>
          <w:szCs w:val="24"/>
        </w:rPr>
        <w:t xml:space="preserve"> 1996 (1) SA 785 (A) the court opined as follows at 793G-I:</w:t>
      </w:r>
    </w:p>
    <w:p w:rsidR="00191261" w:rsidRPr="00191261" w:rsidRDefault="00191261" w:rsidP="00397FFB">
      <w:pPr>
        <w:spacing w:after="0" w:line="360" w:lineRule="auto"/>
        <w:jc w:val="both"/>
        <w:rPr>
          <w:rFonts w:ascii="Arial" w:hAnsi="Arial" w:cs="Arial"/>
          <w:bCs/>
          <w:sz w:val="24"/>
          <w:szCs w:val="24"/>
        </w:rPr>
      </w:pPr>
    </w:p>
    <w:p w:rsidR="00191261" w:rsidRPr="00191261" w:rsidRDefault="00397FFB" w:rsidP="00397FFB">
      <w:pPr>
        <w:spacing w:after="0" w:line="360" w:lineRule="auto"/>
        <w:ind w:firstLine="720"/>
        <w:jc w:val="both"/>
        <w:rPr>
          <w:rFonts w:ascii="Arial" w:hAnsi="Arial" w:cs="Arial"/>
          <w:bCs/>
        </w:rPr>
      </w:pPr>
      <w:r>
        <w:rPr>
          <w:rFonts w:ascii="Arial" w:hAnsi="Arial" w:cs="Arial"/>
          <w:bCs/>
        </w:rPr>
        <w:t>‘</w:t>
      </w:r>
      <w:r w:rsidR="00191261" w:rsidRPr="00191261">
        <w:rPr>
          <w:rFonts w:ascii="Arial" w:hAnsi="Arial" w:cs="Arial"/>
          <w:bCs/>
        </w:rPr>
        <w:t xml:space="preserve">But privilege is not cast in stone; it has its limitations. It may be waived. Or it may be destroyed (see </w:t>
      </w:r>
      <w:r w:rsidR="00191261" w:rsidRPr="00191261">
        <w:rPr>
          <w:rFonts w:ascii="Arial" w:hAnsi="Arial" w:cs="Arial"/>
          <w:bCs/>
          <w:i/>
        </w:rPr>
        <w:t>R v Barton</w:t>
      </w:r>
      <w:r w:rsidR="00191261" w:rsidRPr="00191261">
        <w:rPr>
          <w:rFonts w:ascii="Arial" w:hAnsi="Arial" w:cs="Arial"/>
          <w:bCs/>
        </w:rPr>
        <w:t xml:space="preserve"> [1972] 2 All ER 1192 (Crown Ct) and the comments of Botha JA on that case in </w:t>
      </w:r>
      <w:r w:rsidR="00191261" w:rsidRPr="00191261">
        <w:rPr>
          <w:rFonts w:ascii="Arial" w:hAnsi="Arial" w:cs="Arial"/>
          <w:bCs/>
          <w:i/>
        </w:rPr>
        <w:t>S v Safatsa and Others</w:t>
      </w:r>
      <w:r w:rsidR="00191261" w:rsidRPr="00191261">
        <w:rPr>
          <w:rFonts w:ascii="Arial" w:hAnsi="Arial" w:cs="Arial"/>
          <w:bCs/>
        </w:rPr>
        <w:t xml:space="preserve"> 1988 (1) SA 868 (A) at 883E-F). There is also the possibility, referred to in </w:t>
      </w:r>
      <w:r w:rsidR="00191261" w:rsidRPr="00191261">
        <w:rPr>
          <w:rFonts w:ascii="Arial" w:hAnsi="Arial" w:cs="Arial"/>
          <w:bCs/>
          <w:i/>
        </w:rPr>
        <w:t>Safatsa</w:t>
      </w:r>
      <w:r w:rsidR="00191261" w:rsidRPr="00191261">
        <w:rPr>
          <w:rFonts w:ascii="Arial" w:hAnsi="Arial" w:cs="Arial"/>
          <w:bCs/>
        </w:rPr>
        <w:t xml:space="preserve"> (at 886I), that the Court has the power to relax the rules of privilege. But most important for our purposes is the principle that privilege does not arise automatically. It must be claimed. This may be done not only by the client but by the attorney. Indeed, he is under a duty to claim the privilege. However, because the privilege is the right of the client, the attorney, in claiming it, must act not in his own interests or on his own behalf but for the benefit of the client. Unless he does so, his claim to privilege </w:t>
      </w:r>
      <w:r>
        <w:rPr>
          <w:rFonts w:ascii="Arial" w:hAnsi="Arial" w:cs="Arial"/>
          <w:bCs/>
        </w:rPr>
        <w:t>may be regarded as not genuine.’</w:t>
      </w:r>
    </w:p>
    <w:p w:rsidR="00191261" w:rsidRPr="00191261" w:rsidRDefault="00191261" w:rsidP="00397FFB">
      <w:pPr>
        <w:spacing w:after="0" w:line="360" w:lineRule="auto"/>
        <w:jc w:val="both"/>
        <w:rPr>
          <w:rFonts w:ascii="Arial" w:hAnsi="Arial" w:cs="Arial"/>
          <w:bCs/>
          <w:sz w:val="24"/>
          <w:szCs w:val="24"/>
        </w:rPr>
      </w:pPr>
    </w:p>
    <w:p w:rsidR="00191261" w:rsidRPr="00191261" w:rsidRDefault="00191261" w:rsidP="00397FFB">
      <w:pPr>
        <w:spacing w:after="0" w:line="360" w:lineRule="auto"/>
        <w:jc w:val="both"/>
        <w:rPr>
          <w:rFonts w:ascii="Arial" w:hAnsi="Arial" w:cs="Arial"/>
          <w:bCs/>
          <w:sz w:val="24"/>
          <w:szCs w:val="24"/>
        </w:rPr>
      </w:pPr>
      <w:r w:rsidRPr="00191261">
        <w:rPr>
          <w:rFonts w:ascii="Arial" w:hAnsi="Arial" w:cs="Arial"/>
          <w:bCs/>
          <w:sz w:val="24"/>
          <w:szCs w:val="24"/>
        </w:rPr>
        <w:t>[14]</w:t>
      </w:r>
      <w:r w:rsidRPr="00191261">
        <w:rPr>
          <w:rFonts w:ascii="Arial" w:hAnsi="Arial" w:cs="Arial"/>
          <w:bCs/>
          <w:sz w:val="24"/>
          <w:szCs w:val="24"/>
        </w:rPr>
        <w:tab/>
        <w:t xml:space="preserve">In </w:t>
      </w:r>
      <w:r w:rsidRPr="00191261">
        <w:rPr>
          <w:rFonts w:ascii="Arial" w:hAnsi="Arial" w:cs="Arial"/>
          <w:bCs/>
          <w:i/>
          <w:sz w:val="24"/>
          <w:szCs w:val="24"/>
        </w:rPr>
        <w:t>Alexander v Minister of Home Affairs and Others</w:t>
      </w:r>
      <w:r w:rsidRPr="00191261">
        <w:rPr>
          <w:rFonts w:ascii="Arial" w:hAnsi="Arial" w:cs="Arial"/>
          <w:bCs/>
          <w:sz w:val="24"/>
          <w:szCs w:val="24"/>
        </w:rPr>
        <w:t xml:space="preserve"> (A 155/2009) [2010] NAHC 5 (3 February 2010), the court made the following remarks:</w:t>
      </w:r>
    </w:p>
    <w:p w:rsidR="00191261" w:rsidRPr="00191261" w:rsidRDefault="00191261" w:rsidP="00397FFB">
      <w:pPr>
        <w:spacing w:after="0" w:line="360" w:lineRule="auto"/>
        <w:jc w:val="both"/>
        <w:rPr>
          <w:rFonts w:ascii="Arial" w:hAnsi="Arial" w:cs="Arial"/>
          <w:bCs/>
          <w:sz w:val="24"/>
          <w:szCs w:val="24"/>
        </w:rPr>
      </w:pPr>
    </w:p>
    <w:p w:rsidR="00191261" w:rsidRPr="00191261" w:rsidRDefault="00191261" w:rsidP="00397FFB">
      <w:pPr>
        <w:spacing w:after="0" w:line="360" w:lineRule="auto"/>
        <w:jc w:val="both"/>
        <w:rPr>
          <w:rFonts w:ascii="Arial" w:hAnsi="Arial" w:cs="Arial"/>
          <w:bCs/>
        </w:rPr>
      </w:pPr>
      <w:r w:rsidRPr="00191261">
        <w:rPr>
          <w:rFonts w:ascii="Arial" w:hAnsi="Arial" w:cs="Arial"/>
          <w:bCs/>
          <w:sz w:val="24"/>
          <w:szCs w:val="24"/>
        </w:rPr>
        <w:tab/>
      </w:r>
      <w:r w:rsidRPr="00191261">
        <w:rPr>
          <w:rFonts w:ascii="Arial" w:hAnsi="Arial" w:cs="Arial"/>
          <w:bCs/>
        </w:rPr>
        <w:t>‘[20]</w:t>
      </w:r>
      <w:r w:rsidRPr="00191261">
        <w:rPr>
          <w:rFonts w:ascii="Arial" w:hAnsi="Arial" w:cs="Arial"/>
          <w:bCs/>
        </w:rPr>
        <w:tab/>
        <w:t>It was further said that each case has to be considered on its own facts, but from decided cases, they all support two general propositions, namely: (i) That a statement that reveals the contents of legal advice, even if it does so in a summary way or by reference only to a conclusion, will, or probably will, result in a waiver i.e. where it is stated that the party “has legal advice supporting this position/view”; and (ii) That a statement which refers to legal advice, even if it associates that advice with conduct undertaken or with a belief held by the client, will not result in a waiver i.e. where it is said that “on the basis of lega</w:t>
      </w:r>
      <w:r w:rsidR="00397FFB">
        <w:rPr>
          <w:rFonts w:ascii="Arial" w:hAnsi="Arial" w:cs="Arial"/>
          <w:bCs/>
        </w:rPr>
        <w:t>l advice received, X believes …’</w:t>
      </w:r>
    </w:p>
    <w:p w:rsidR="00191261" w:rsidRPr="00191261" w:rsidRDefault="00191261" w:rsidP="00397FFB">
      <w:pPr>
        <w:spacing w:after="0" w:line="360" w:lineRule="auto"/>
        <w:jc w:val="both"/>
        <w:rPr>
          <w:rFonts w:ascii="Arial" w:hAnsi="Arial" w:cs="Arial"/>
          <w:bCs/>
          <w:sz w:val="24"/>
          <w:szCs w:val="24"/>
        </w:rPr>
      </w:pPr>
    </w:p>
    <w:p w:rsidR="00191261" w:rsidRPr="00191261" w:rsidRDefault="00191261" w:rsidP="00397FFB">
      <w:pPr>
        <w:spacing w:after="0" w:line="360" w:lineRule="auto"/>
        <w:jc w:val="both"/>
        <w:rPr>
          <w:rFonts w:ascii="Arial" w:hAnsi="Arial" w:cs="Arial"/>
          <w:bCs/>
        </w:rPr>
      </w:pPr>
      <w:r w:rsidRPr="00191261">
        <w:rPr>
          <w:rFonts w:ascii="Arial" w:hAnsi="Arial" w:cs="Arial"/>
          <w:bCs/>
        </w:rPr>
        <w:t>[21]</w:t>
      </w:r>
      <w:r w:rsidRPr="00191261">
        <w:rPr>
          <w:rFonts w:ascii="Arial" w:hAnsi="Arial" w:cs="Arial"/>
          <w:bCs/>
        </w:rPr>
        <w:tab/>
        <w:t xml:space="preserve">In </w:t>
      </w:r>
      <w:r w:rsidRPr="00191261">
        <w:rPr>
          <w:rFonts w:ascii="Arial" w:hAnsi="Arial" w:cs="Arial"/>
          <w:bCs/>
          <w:i/>
        </w:rPr>
        <w:t>Switchcorp</w:t>
      </w:r>
      <w:r w:rsidRPr="00191261">
        <w:rPr>
          <w:rFonts w:ascii="Arial" w:hAnsi="Arial" w:cs="Arial"/>
          <w:bCs/>
        </w:rPr>
        <w:t xml:space="preserve"> the court perceived inconsistency between the particular statement and the maintenance of confidentiality of the advice referred to and found that there was a clear and deliberate disclosure of the gist or the conclusion of legal advice received by the defendant from </w:t>
      </w:r>
      <w:r w:rsidRPr="00191261">
        <w:rPr>
          <w:rFonts w:ascii="Arial" w:hAnsi="Arial" w:cs="Arial"/>
          <w:bCs/>
        </w:rPr>
        <w:lastRenderedPageBreak/>
        <w:t>its lawyers about the outcome of the proceedings. It found that it would be unfair if the defendant were to be permitted “to cast aside confidentiality of the advice in making the statement to the world at large so as to explain or justify its position and to then insist upon confidentiality when inspection is sought of an otherwise discoverable document.” On that ground the court found that there had been a waiver of privilege.’</w:t>
      </w:r>
    </w:p>
    <w:p w:rsidR="00191261" w:rsidRPr="00191261" w:rsidRDefault="00191261" w:rsidP="00397FFB">
      <w:pPr>
        <w:spacing w:after="0" w:line="360" w:lineRule="auto"/>
        <w:jc w:val="both"/>
        <w:rPr>
          <w:rFonts w:ascii="Arial" w:hAnsi="Arial" w:cs="Arial"/>
          <w:bCs/>
          <w:sz w:val="24"/>
          <w:szCs w:val="24"/>
        </w:rPr>
      </w:pPr>
    </w:p>
    <w:p w:rsidR="00191261" w:rsidRPr="00191261" w:rsidRDefault="00191261" w:rsidP="00397FFB">
      <w:pPr>
        <w:pStyle w:val="Heading3"/>
        <w:shd w:val="clear" w:color="auto" w:fill="FFFFFF"/>
        <w:spacing w:before="0" w:line="360" w:lineRule="auto"/>
        <w:jc w:val="both"/>
        <w:rPr>
          <w:rFonts w:ascii="Arial" w:hAnsi="Arial" w:cs="Arial"/>
          <w:bCs/>
          <w:color w:val="auto"/>
        </w:rPr>
      </w:pPr>
      <w:r w:rsidRPr="00191261">
        <w:rPr>
          <w:rFonts w:ascii="Arial" w:hAnsi="Arial" w:cs="Arial"/>
          <w:bCs/>
          <w:color w:val="auto"/>
        </w:rPr>
        <w:t>[15]</w:t>
      </w:r>
      <w:r w:rsidRPr="00191261">
        <w:rPr>
          <w:rFonts w:ascii="Arial" w:hAnsi="Arial" w:cs="Arial"/>
          <w:bCs/>
          <w:color w:val="auto"/>
        </w:rPr>
        <w:tab/>
        <w:t xml:space="preserve">In the present matter, I find no qualms over the fact that the legal opinion upon which the first respondent based its decision falls within the legal privilege realm. However, as the decisions cited above dictate, such privilege can be impliedly waived. </w:t>
      </w:r>
    </w:p>
    <w:p w:rsidR="00191261" w:rsidRPr="00191261" w:rsidRDefault="00191261" w:rsidP="00397FFB">
      <w:pPr>
        <w:pStyle w:val="Heading3"/>
        <w:shd w:val="clear" w:color="auto" w:fill="FFFFFF"/>
        <w:spacing w:before="0" w:line="360" w:lineRule="auto"/>
        <w:jc w:val="both"/>
        <w:rPr>
          <w:rFonts w:ascii="Arial" w:hAnsi="Arial" w:cs="Arial"/>
          <w:bCs/>
          <w:color w:val="auto"/>
        </w:rPr>
      </w:pPr>
    </w:p>
    <w:p w:rsidR="00191261" w:rsidRPr="00191261" w:rsidRDefault="00191261" w:rsidP="00397FFB">
      <w:pPr>
        <w:pStyle w:val="Heading3"/>
        <w:shd w:val="clear" w:color="auto" w:fill="FFFFFF"/>
        <w:spacing w:before="0" w:line="360" w:lineRule="auto"/>
        <w:jc w:val="both"/>
        <w:rPr>
          <w:rFonts w:ascii="Arial" w:hAnsi="Arial" w:cs="Arial"/>
          <w:bCs/>
          <w:color w:val="auto"/>
        </w:rPr>
      </w:pPr>
      <w:r w:rsidRPr="00191261">
        <w:rPr>
          <w:rFonts w:ascii="Arial" w:hAnsi="Arial" w:cs="Arial"/>
          <w:bCs/>
          <w:color w:val="auto"/>
        </w:rPr>
        <w:t>[16]</w:t>
      </w:r>
      <w:r w:rsidRPr="00191261">
        <w:rPr>
          <w:rFonts w:ascii="Arial" w:hAnsi="Arial" w:cs="Arial"/>
          <w:bCs/>
          <w:color w:val="auto"/>
        </w:rPr>
        <w:tab/>
        <w:t>The first respondent indicated that prior to his decision, he awaited a legal opinion from the attorney-general’s office and once same as obtained, formed his decision in approving the third respondent’s designation as chief. Keeping the authority mentioned above, I lean to the finding that the first respondent did not in clear terms waiver his legal privilege to the decision sought, primarily on the stance that he did not in clear terms waiver the privilege by merely referring to it, not necessarily disclosing the contents thereof sufficiently to impliedly waiver same.</w:t>
      </w:r>
    </w:p>
    <w:p w:rsidR="00191261" w:rsidRPr="00191261" w:rsidRDefault="00191261" w:rsidP="00397FFB">
      <w:pPr>
        <w:pStyle w:val="Heading3"/>
        <w:shd w:val="clear" w:color="auto" w:fill="FFFFFF"/>
        <w:spacing w:before="0" w:line="360" w:lineRule="auto"/>
        <w:jc w:val="both"/>
        <w:rPr>
          <w:rFonts w:ascii="Arial" w:hAnsi="Arial" w:cs="Arial"/>
          <w:bCs/>
          <w:color w:val="auto"/>
        </w:rPr>
      </w:pPr>
    </w:p>
    <w:p w:rsidR="00191261" w:rsidRDefault="00191261" w:rsidP="00397FFB">
      <w:pPr>
        <w:pStyle w:val="Heading3"/>
        <w:shd w:val="clear" w:color="auto" w:fill="FFFFFF"/>
        <w:spacing w:before="0" w:line="360" w:lineRule="auto"/>
        <w:jc w:val="both"/>
        <w:rPr>
          <w:rFonts w:ascii="Arial" w:hAnsi="Arial" w:cs="Arial"/>
          <w:bCs/>
          <w:color w:val="auto"/>
        </w:rPr>
      </w:pPr>
      <w:r w:rsidRPr="00191261">
        <w:rPr>
          <w:rFonts w:ascii="Arial" w:hAnsi="Arial" w:cs="Arial"/>
          <w:bCs/>
          <w:color w:val="auto"/>
        </w:rPr>
        <w:t>[17]</w:t>
      </w:r>
      <w:r w:rsidRPr="00191261">
        <w:rPr>
          <w:rFonts w:ascii="Arial" w:hAnsi="Arial" w:cs="Arial"/>
          <w:bCs/>
          <w:color w:val="auto"/>
        </w:rPr>
        <w:tab/>
        <w:t>As a result, the following order is made:</w:t>
      </w:r>
    </w:p>
    <w:p w:rsidR="00191261" w:rsidRPr="00191261" w:rsidRDefault="00191261" w:rsidP="00397FFB">
      <w:pPr>
        <w:spacing w:line="360" w:lineRule="auto"/>
      </w:pPr>
    </w:p>
    <w:p w:rsidR="00191261" w:rsidRPr="00191261" w:rsidRDefault="00191261" w:rsidP="00397FFB">
      <w:pPr>
        <w:pStyle w:val="ListParagraph"/>
        <w:numPr>
          <w:ilvl w:val="0"/>
          <w:numId w:val="9"/>
        </w:numPr>
        <w:spacing w:after="0" w:line="360" w:lineRule="auto"/>
        <w:ind w:hanging="720"/>
        <w:jc w:val="both"/>
        <w:rPr>
          <w:rFonts w:ascii="Arial" w:hAnsi="Arial" w:cs="Arial"/>
          <w:sz w:val="24"/>
          <w:szCs w:val="24"/>
        </w:rPr>
      </w:pPr>
      <w:r w:rsidRPr="00191261">
        <w:rPr>
          <w:rFonts w:ascii="Arial" w:hAnsi="Arial" w:cs="Arial"/>
          <w:sz w:val="24"/>
          <w:szCs w:val="24"/>
        </w:rPr>
        <w:t>The applicant’s application is dismissed.</w:t>
      </w:r>
    </w:p>
    <w:p w:rsidR="00191261" w:rsidRPr="00B14223" w:rsidRDefault="00191261" w:rsidP="00397FFB">
      <w:pPr>
        <w:spacing w:after="0" w:line="360" w:lineRule="auto"/>
        <w:ind w:left="709"/>
        <w:jc w:val="both"/>
        <w:rPr>
          <w:rFonts w:ascii="Arial" w:hAnsi="Arial" w:cs="Arial"/>
          <w:sz w:val="24"/>
          <w:szCs w:val="24"/>
          <w:lang w:val="en-US"/>
        </w:rPr>
      </w:pPr>
    </w:p>
    <w:p w:rsidR="00191261" w:rsidRPr="00191261" w:rsidRDefault="00191261" w:rsidP="00397FFB">
      <w:pPr>
        <w:pStyle w:val="ListParagraph"/>
        <w:numPr>
          <w:ilvl w:val="0"/>
          <w:numId w:val="9"/>
        </w:numPr>
        <w:spacing w:after="0" w:line="360" w:lineRule="auto"/>
        <w:ind w:hanging="720"/>
        <w:jc w:val="both"/>
        <w:rPr>
          <w:rFonts w:ascii="Arial" w:hAnsi="Arial" w:cs="Arial"/>
          <w:sz w:val="24"/>
          <w:szCs w:val="24"/>
        </w:rPr>
      </w:pPr>
      <w:r w:rsidRPr="00191261">
        <w:rPr>
          <w:rFonts w:ascii="Arial" w:hAnsi="Arial" w:cs="Arial"/>
          <w:sz w:val="24"/>
          <w:szCs w:val="24"/>
        </w:rPr>
        <w:t>The costs are awarded to the respondent, limited to N$20,000.00 in terms of rule 32 (11).</w:t>
      </w:r>
    </w:p>
    <w:p w:rsidR="00191261" w:rsidRPr="00B14223" w:rsidRDefault="00191261" w:rsidP="00397FFB">
      <w:pPr>
        <w:spacing w:after="0" w:line="360" w:lineRule="auto"/>
        <w:ind w:left="709"/>
        <w:jc w:val="both"/>
        <w:rPr>
          <w:rFonts w:ascii="Arial" w:hAnsi="Arial" w:cs="Arial"/>
          <w:sz w:val="24"/>
          <w:szCs w:val="24"/>
          <w:lang w:val="en-US"/>
        </w:rPr>
      </w:pPr>
    </w:p>
    <w:p w:rsidR="00191261" w:rsidRDefault="00191261" w:rsidP="00397FFB">
      <w:pPr>
        <w:numPr>
          <w:ilvl w:val="0"/>
          <w:numId w:val="9"/>
        </w:numPr>
        <w:spacing w:after="0" w:line="360" w:lineRule="auto"/>
        <w:ind w:left="709" w:hanging="709"/>
        <w:jc w:val="both"/>
        <w:rPr>
          <w:rFonts w:ascii="Arial" w:hAnsi="Arial" w:cs="Arial"/>
          <w:sz w:val="24"/>
          <w:szCs w:val="24"/>
          <w:lang w:val="en-US"/>
        </w:rPr>
      </w:pPr>
      <w:r w:rsidRPr="00B14223">
        <w:rPr>
          <w:rFonts w:ascii="Arial" w:hAnsi="Arial" w:cs="Arial"/>
          <w:sz w:val="24"/>
          <w:szCs w:val="24"/>
          <w:lang w:val="en-US"/>
        </w:rPr>
        <w:t xml:space="preserve">The matter is postponed to </w:t>
      </w:r>
      <w:r>
        <w:rPr>
          <w:rFonts w:ascii="Arial" w:hAnsi="Arial" w:cs="Arial"/>
          <w:sz w:val="24"/>
          <w:szCs w:val="24"/>
          <w:lang w:val="en-US"/>
        </w:rPr>
        <w:t>3 March 2021 at 08h30 for a status hearing.</w:t>
      </w:r>
    </w:p>
    <w:p w:rsidR="00191261" w:rsidRDefault="00191261" w:rsidP="00397FFB">
      <w:pPr>
        <w:pStyle w:val="ListParagraph"/>
        <w:spacing w:line="360" w:lineRule="auto"/>
        <w:rPr>
          <w:rFonts w:ascii="Arial" w:hAnsi="Arial" w:cs="Arial"/>
          <w:sz w:val="24"/>
          <w:szCs w:val="24"/>
        </w:rPr>
      </w:pPr>
    </w:p>
    <w:p w:rsidR="00EE7F72" w:rsidRPr="00EE7F72" w:rsidRDefault="00EE7F72" w:rsidP="00397FFB">
      <w:pPr>
        <w:spacing w:after="0" w:line="360" w:lineRule="auto"/>
        <w:jc w:val="both"/>
        <w:rPr>
          <w:rFonts w:ascii="Arial" w:hAnsi="Arial" w:cs="Arial"/>
          <w:sz w:val="24"/>
          <w:szCs w:val="24"/>
        </w:rPr>
      </w:pPr>
    </w:p>
    <w:p w:rsidR="00EE7F72" w:rsidRPr="00EE7F72" w:rsidRDefault="00EE7F72" w:rsidP="00397FFB">
      <w:pPr>
        <w:spacing w:after="0" w:line="360" w:lineRule="auto"/>
        <w:jc w:val="right"/>
        <w:rPr>
          <w:rFonts w:ascii="Arial" w:hAnsi="Arial" w:cs="Arial"/>
          <w:sz w:val="24"/>
          <w:szCs w:val="24"/>
        </w:rPr>
      </w:pPr>
      <w:r w:rsidRPr="00EE7F72">
        <w:rPr>
          <w:rFonts w:ascii="Arial" w:hAnsi="Arial" w:cs="Arial"/>
          <w:sz w:val="24"/>
          <w:szCs w:val="24"/>
        </w:rPr>
        <w:t>_____________</w:t>
      </w:r>
    </w:p>
    <w:p w:rsidR="00EE7F72" w:rsidRPr="00EE7F72" w:rsidRDefault="00220DB1" w:rsidP="00397FFB">
      <w:pPr>
        <w:spacing w:after="0" w:line="360" w:lineRule="auto"/>
        <w:jc w:val="right"/>
        <w:rPr>
          <w:rFonts w:ascii="Arial" w:hAnsi="Arial" w:cs="Arial"/>
          <w:sz w:val="24"/>
          <w:szCs w:val="24"/>
        </w:rPr>
      </w:pPr>
      <w:r>
        <w:rPr>
          <w:rFonts w:ascii="Arial" w:hAnsi="Arial" w:cs="Arial"/>
          <w:sz w:val="24"/>
          <w:szCs w:val="24"/>
        </w:rPr>
        <w:t>K MILLER</w:t>
      </w:r>
    </w:p>
    <w:p w:rsidR="00397FFB" w:rsidRDefault="00220DB1" w:rsidP="00397FFB">
      <w:pPr>
        <w:spacing w:after="0" w:line="360" w:lineRule="auto"/>
        <w:jc w:val="right"/>
        <w:rPr>
          <w:rFonts w:ascii="Arial" w:hAnsi="Arial" w:cs="Arial"/>
          <w:sz w:val="24"/>
          <w:szCs w:val="24"/>
        </w:rPr>
      </w:pPr>
      <w:r>
        <w:rPr>
          <w:rFonts w:ascii="Arial" w:hAnsi="Arial" w:cs="Arial"/>
          <w:sz w:val="24"/>
          <w:szCs w:val="24"/>
        </w:rPr>
        <w:t xml:space="preserve">Acting </w:t>
      </w:r>
      <w:r w:rsidR="00EE7F72" w:rsidRPr="00EE7F72">
        <w:rPr>
          <w:rFonts w:ascii="Arial" w:hAnsi="Arial" w:cs="Arial"/>
          <w:sz w:val="24"/>
          <w:szCs w:val="24"/>
        </w:rPr>
        <w:t>Judge</w:t>
      </w:r>
    </w:p>
    <w:p w:rsidR="00EE7F72" w:rsidRPr="00EE7F72" w:rsidRDefault="00397FFB" w:rsidP="00397FFB">
      <w:pPr>
        <w:spacing w:after="200" w:line="276" w:lineRule="auto"/>
        <w:rPr>
          <w:rFonts w:ascii="Arial" w:hAnsi="Arial" w:cs="Arial"/>
          <w:sz w:val="24"/>
          <w:szCs w:val="24"/>
        </w:rPr>
      </w:pPr>
      <w:r>
        <w:rPr>
          <w:rFonts w:ascii="Arial" w:hAnsi="Arial" w:cs="Arial"/>
          <w:sz w:val="24"/>
          <w:szCs w:val="24"/>
        </w:rPr>
        <w:br w:type="page"/>
      </w:r>
      <w:r w:rsidR="00EE7F72" w:rsidRPr="00EE7F72">
        <w:rPr>
          <w:rFonts w:ascii="Arial" w:hAnsi="Arial" w:cs="Arial"/>
          <w:sz w:val="24"/>
          <w:szCs w:val="24"/>
        </w:rPr>
        <w:lastRenderedPageBreak/>
        <w:t>APPEARANCES:</w:t>
      </w:r>
    </w:p>
    <w:p w:rsidR="00EE7F72" w:rsidRPr="00EE7F72" w:rsidRDefault="00EE7F72" w:rsidP="00397FFB">
      <w:pPr>
        <w:spacing w:after="0" w:line="360" w:lineRule="auto"/>
        <w:rPr>
          <w:rFonts w:ascii="Arial" w:hAnsi="Arial" w:cs="Arial"/>
          <w:sz w:val="24"/>
          <w:szCs w:val="24"/>
        </w:rPr>
      </w:pPr>
    </w:p>
    <w:p w:rsidR="00EE7F72" w:rsidRDefault="00220DB1" w:rsidP="00397FFB">
      <w:pPr>
        <w:spacing w:after="0" w:line="360" w:lineRule="auto"/>
        <w:rPr>
          <w:rFonts w:ascii="Arial" w:hAnsi="Arial" w:cs="Arial"/>
          <w:sz w:val="24"/>
          <w:szCs w:val="24"/>
        </w:rPr>
      </w:pPr>
      <w:r>
        <w:rPr>
          <w:rFonts w:ascii="Arial" w:hAnsi="Arial" w:cs="Arial"/>
          <w:sz w:val="24"/>
          <w:szCs w:val="24"/>
        </w:rPr>
        <w:t>APPLICANT</w:t>
      </w:r>
      <w:r w:rsidR="00191261">
        <w:rPr>
          <w:rFonts w:ascii="Arial" w:hAnsi="Arial" w:cs="Arial"/>
          <w:sz w:val="24"/>
          <w:szCs w:val="24"/>
        </w:rPr>
        <w:t>S</w:t>
      </w:r>
      <w:r>
        <w:rPr>
          <w:rFonts w:ascii="Arial" w:hAnsi="Arial" w:cs="Arial"/>
          <w:sz w:val="24"/>
          <w:szCs w:val="24"/>
        </w:rPr>
        <w:t>:</w:t>
      </w:r>
      <w:r w:rsidR="00F05242">
        <w:rPr>
          <w:rFonts w:ascii="Arial" w:hAnsi="Arial" w:cs="Arial"/>
          <w:sz w:val="24"/>
          <w:szCs w:val="24"/>
        </w:rPr>
        <w:tab/>
      </w:r>
      <w:r w:rsidR="00F05242">
        <w:rPr>
          <w:rFonts w:ascii="Arial" w:hAnsi="Arial" w:cs="Arial"/>
          <w:sz w:val="24"/>
          <w:szCs w:val="24"/>
        </w:rPr>
        <w:tab/>
      </w:r>
      <w:r w:rsidR="00F05242">
        <w:rPr>
          <w:rFonts w:ascii="Arial" w:hAnsi="Arial" w:cs="Arial"/>
          <w:sz w:val="24"/>
          <w:szCs w:val="24"/>
        </w:rPr>
        <w:tab/>
      </w:r>
      <w:r w:rsidR="00191261">
        <w:rPr>
          <w:rFonts w:ascii="Arial" w:hAnsi="Arial" w:cs="Arial"/>
          <w:sz w:val="24"/>
          <w:szCs w:val="24"/>
        </w:rPr>
        <w:t>K</w:t>
      </w:r>
      <w:r>
        <w:rPr>
          <w:rFonts w:ascii="Arial" w:hAnsi="Arial" w:cs="Arial"/>
          <w:sz w:val="24"/>
          <w:szCs w:val="24"/>
        </w:rPr>
        <w:t xml:space="preserve"> </w:t>
      </w:r>
      <w:r w:rsidR="00191261">
        <w:rPr>
          <w:rFonts w:ascii="Arial" w:hAnsi="Arial" w:cs="Arial"/>
          <w:sz w:val="24"/>
          <w:szCs w:val="24"/>
        </w:rPr>
        <w:t>Kangueehi</w:t>
      </w:r>
    </w:p>
    <w:p w:rsidR="00220DB1" w:rsidRDefault="00191261" w:rsidP="00397FFB">
      <w:pPr>
        <w:spacing w:after="0" w:line="360" w:lineRule="auto"/>
        <w:ind w:left="3600"/>
        <w:rPr>
          <w:rFonts w:ascii="Arial" w:hAnsi="Arial" w:cs="Arial"/>
          <w:sz w:val="24"/>
          <w:szCs w:val="24"/>
        </w:rPr>
      </w:pPr>
      <w:r>
        <w:rPr>
          <w:rFonts w:ascii="Arial" w:hAnsi="Arial" w:cs="Arial"/>
          <w:sz w:val="24"/>
          <w:szCs w:val="24"/>
        </w:rPr>
        <w:t>Kangueehi &amp; Kavendjii Inc.</w:t>
      </w:r>
      <w:r w:rsidR="00F05242">
        <w:rPr>
          <w:rFonts w:ascii="Arial" w:hAnsi="Arial" w:cs="Arial"/>
          <w:sz w:val="24"/>
          <w:szCs w:val="24"/>
        </w:rPr>
        <w:t>, Windhoek</w:t>
      </w:r>
    </w:p>
    <w:p w:rsidR="00220DB1" w:rsidRPr="00EE7F72" w:rsidRDefault="00220DB1" w:rsidP="00397FFB">
      <w:pPr>
        <w:spacing w:after="0" w:line="360" w:lineRule="auto"/>
        <w:ind w:left="5040" w:hanging="1440"/>
        <w:rPr>
          <w:rFonts w:ascii="Arial" w:hAnsi="Arial" w:cs="Arial"/>
          <w:sz w:val="24"/>
          <w:szCs w:val="24"/>
        </w:rPr>
      </w:pPr>
    </w:p>
    <w:p w:rsidR="00EE7F72" w:rsidRPr="00EE7F72" w:rsidRDefault="00555A39" w:rsidP="00397FFB">
      <w:pPr>
        <w:spacing w:after="0" w:line="360" w:lineRule="auto"/>
        <w:rPr>
          <w:rFonts w:ascii="Arial" w:hAnsi="Arial" w:cs="Arial"/>
          <w:sz w:val="24"/>
          <w:szCs w:val="24"/>
        </w:rPr>
      </w:pPr>
      <w:r>
        <w:rPr>
          <w:rFonts w:ascii="Arial" w:hAnsi="Arial" w:cs="Arial"/>
          <w:sz w:val="24"/>
          <w:szCs w:val="24"/>
        </w:rPr>
        <w:t>1</w:t>
      </w:r>
      <w:r w:rsidRPr="00555A39">
        <w:rPr>
          <w:rFonts w:ascii="Arial" w:hAnsi="Arial" w:cs="Arial"/>
          <w:sz w:val="24"/>
          <w:szCs w:val="24"/>
          <w:vertAlign w:val="superscript"/>
        </w:rPr>
        <w:t>st</w:t>
      </w:r>
      <w:r>
        <w:rPr>
          <w:rFonts w:ascii="Arial" w:hAnsi="Arial" w:cs="Arial"/>
          <w:sz w:val="24"/>
          <w:szCs w:val="24"/>
        </w:rPr>
        <w:t xml:space="preserve"> </w:t>
      </w:r>
      <w:r w:rsidR="00220DB1">
        <w:rPr>
          <w:rFonts w:ascii="Arial" w:hAnsi="Arial" w:cs="Arial"/>
          <w:sz w:val="24"/>
          <w:szCs w:val="24"/>
        </w:rPr>
        <w:t>RESPONDENT</w:t>
      </w:r>
      <w:r w:rsidR="00EE7F72" w:rsidRPr="00EE7F72">
        <w:rPr>
          <w:rFonts w:ascii="Arial" w:hAnsi="Arial" w:cs="Arial"/>
          <w:sz w:val="24"/>
          <w:szCs w:val="24"/>
        </w:rPr>
        <w:t>:</w:t>
      </w:r>
      <w:r w:rsidR="00220DB1">
        <w:rPr>
          <w:rFonts w:ascii="Arial" w:hAnsi="Arial" w:cs="Arial"/>
          <w:sz w:val="24"/>
          <w:szCs w:val="24"/>
        </w:rPr>
        <w:tab/>
      </w:r>
      <w:r>
        <w:rPr>
          <w:rFonts w:ascii="Arial" w:hAnsi="Arial" w:cs="Arial"/>
          <w:sz w:val="24"/>
          <w:szCs w:val="24"/>
        </w:rPr>
        <w:tab/>
      </w:r>
      <w:r w:rsidR="00220DB1">
        <w:rPr>
          <w:rFonts w:ascii="Arial" w:hAnsi="Arial" w:cs="Arial"/>
          <w:sz w:val="24"/>
          <w:szCs w:val="24"/>
        </w:rPr>
        <w:tab/>
      </w:r>
      <w:r>
        <w:rPr>
          <w:rFonts w:ascii="Arial" w:hAnsi="Arial" w:cs="Arial"/>
          <w:sz w:val="24"/>
          <w:szCs w:val="24"/>
        </w:rPr>
        <w:t>J</w:t>
      </w:r>
      <w:r w:rsidR="00220DB1">
        <w:rPr>
          <w:rFonts w:ascii="Arial" w:hAnsi="Arial" w:cs="Arial"/>
          <w:sz w:val="24"/>
          <w:szCs w:val="24"/>
        </w:rPr>
        <w:t xml:space="preserve"> </w:t>
      </w:r>
      <w:r>
        <w:rPr>
          <w:rFonts w:ascii="Arial" w:hAnsi="Arial" w:cs="Arial"/>
          <w:sz w:val="24"/>
          <w:szCs w:val="24"/>
        </w:rPr>
        <w:t>Ncube</w:t>
      </w:r>
      <w:r w:rsidR="00EE7F72" w:rsidRPr="00EE7F72">
        <w:rPr>
          <w:rFonts w:ascii="Arial" w:hAnsi="Arial" w:cs="Arial"/>
          <w:sz w:val="24"/>
          <w:szCs w:val="24"/>
        </w:rPr>
        <w:tab/>
      </w:r>
    </w:p>
    <w:p w:rsidR="00220DB1" w:rsidRDefault="00555A39" w:rsidP="00397FFB">
      <w:pPr>
        <w:spacing w:after="0" w:line="360" w:lineRule="auto"/>
        <w:ind w:left="3600"/>
        <w:rPr>
          <w:rFonts w:ascii="Arial" w:hAnsi="Arial" w:cs="Arial"/>
          <w:sz w:val="24"/>
          <w:szCs w:val="24"/>
        </w:rPr>
      </w:pPr>
      <w:r>
        <w:rPr>
          <w:rFonts w:ascii="Arial" w:hAnsi="Arial" w:cs="Arial"/>
          <w:sz w:val="24"/>
          <w:szCs w:val="24"/>
        </w:rPr>
        <w:t>Office of the Government Attorney</w:t>
      </w:r>
      <w:r w:rsidR="00F05242">
        <w:rPr>
          <w:rFonts w:ascii="Arial" w:hAnsi="Arial" w:cs="Arial"/>
          <w:sz w:val="24"/>
          <w:szCs w:val="24"/>
        </w:rPr>
        <w:t>, Windhoek</w:t>
      </w:r>
    </w:p>
    <w:p w:rsidR="00EE7F72" w:rsidRPr="00EE7F72" w:rsidRDefault="00EE7F72" w:rsidP="00397FFB">
      <w:pPr>
        <w:spacing w:after="0" w:line="360" w:lineRule="auto"/>
        <w:rPr>
          <w:rFonts w:ascii="Arial" w:hAnsi="Arial" w:cs="Arial"/>
          <w:sz w:val="24"/>
          <w:szCs w:val="24"/>
        </w:rPr>
      </w:pPr>
    </w:p>
    <w:p w:rsidR="00EE7F72" w:rsidRPr="00EE7F72" w:rsidRDefault="00EE7F72" w:rsidP="00397FFB">
      <w:pPr>
        <w:spacing w:after="0" w:line="360" w:lineRule="auto"/>
        <w:rPr>
          <w:rFonts w:ascii="Arial" w:hAnsi="Arial" w:cs="Arial"/>
          <w:sz w:val="24"/>
          <w:szCs w:val="24"/>
        </w:rPr>
      </w:pPr>
    </w:p>
    <w:p w:rsidR="00EE7F72" w:rsidRPr="00EE7F72" w:rsidRDefault="00EE7F72" w:rsidP="00397FFB">
      <w:pPr>
        <w:spacing w:after="0" w:line="360" w:lineRule="auto"/>
        <w:rPr>
          <w:rFonts w:ascii="Arial" w:hAnsi="Arial" w:cs="Arial"/>
          <w:sz w:val="24"/>
          <w:szCs w:val="24"/>
        </w:rPr>
      </w:pPr>
      <w:r w:rsidRPr="00EE7F72">
        <w:rPr>
          <w:rFonts w:ascii="Arial" w:hAnsi="Arial" w:cs="Arial"/>
          <w:sz w:val="24"/>
          <w:szCs w:val="24"/>
        </w:rPr>
        <w:t xml:space="preserve">                                                                         </w:t>
      </w:r>
    </w:p>
    <w:p w:rsidR="00EE7F72" w:rsidRPr="00EE7F72" w:rsidRDefault="00EE7F72" w:rsidP="00397FFB">
      <w:pPr>
        <w:spacing w:line="360" w:lineRule="auto"/>
        <w:rPr>
          <w:sz w:val="24"/>
          <w:szCs w:val="24"/>
        </w:rPr>
      </w:pPr>
    </w:p>
    <w:p w:rsidR="00EE7F72" w:rsidRPr="00EE7F72" w:rsidRDefault="00EE7F72" w:rsidP="00397FFB">
      <w:pPr>
        <w:spacing w:line="360" w:lineRule="auto"/>
        <w:rPr>
          <w:sz w:val="24"/>
          <w:szCs w:val="24"/>
        </w:rPr>
      </w:pPr>
    </w:p>
    <w:p w:rsidR="00627FDD" w:rsidRPr="00EE7F72" w:rsidRDefault="007A5A33" w:rsidP="00397FFB">
      <w:pPr>
        <w:spacing w:line="360" w:lineRule="auto"/>
        <w:rPr>
          <w:sz w:val="24"/>
          <w:szCs w:val="24"/>
        </w:rPr>
      </w:pPr>
    </w:p>
    <w:sectPr w:rsidR="00627FDD" w:rsidRPr="00EE7F72" w:rsidSect="00D2799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33" w:rsidRDefault="007A5A33" w:rsidP="00EE7F72">
      <w:pPr>
        <w:spacing w:after="0" w:line="240" w:lineRule="auto"/>
      </w:pPr>
      <w:r>
        <w:separator/>
      </w:r>
    </w:p>
  </w:endnote>
  <w:endnote w:type="continuationSeparator" w:id="0">
    <w:p w:rsidR="007A5A33" w:rsidRDefault="007A5A33" w:rsidP="00EE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33" w:rsidRDefault="007A5A33" w:rsidP="00EE7F72">
      <w:pPr>
        <w:spacing w:after="0" w:line="240" w:lineRule="auto"/>
      </w:pPr>
      <w:r>
        <w:separator/>
      </w:r>
    </w:p>
  </w:footnote>
  <w:footnote w:type="continuationSeparator" w:id="0">
    <w:p w:rsidR="007A5A33" w:rsidRDefault="007A5A33" w:rsidP="00EE7F72">
      <w:pPr>
        <w:spacing w:after="0" w:line="240" w:lineRule="auto"/>
      </w:pPr>
      <w:r>
        <w:continuationSeparator/>
      </w:r>
    </w:p>
  </w:footnote>
  <w:footnote w:id="1">
    <w:p w:rsidR="00191261" w:rsidRPr="00191261" w:rsidRDefault="00191261" w:rsidP="00191261">
      <w:pPr>
        <w:pStyle w:val="FootnoteText"/>
        <w:rPr>
          <w:rFonts w:ascii="Arial" w:hAnsi="Arial" w:cs="Arial"/>
          <w:lang w:val="en-US"/>
        </w:rPr>
      </w:pPr>
      <w:r w:rsidRPr="00191261">
        <w:rPr>
          <w:rStyle w:val="FootnoteReference"/>
          <w:rFonts w:ascii="Arial" w:hAnsi="Arial" w:cs="Arial"/>
        </w:rPr>
        <w:footnoteRef/>
      </w:r>
      <w:r w:rsidRPr="00191261">
        <w:rPr>
          <w:rFonts w:ascii="Arial" w:hAnsi="Arial" w:cs="Arial"/>
        </w:rPr>
        <w:t xml:space="preserve"> </w:t>
      </w:r>
      <w:r w:rsidR="00397FFB" w:rsidRPr="00397FFB">
        <w:rPr>
          <w:rFonts w:ascii="Arial" w:hAnsi="Arial" w:cs="Arial"/>
          <w:i/>
        </w:rPr>
        <w:t>Hollard Insurance Company of Namibia Limited v Minister of Finance</w:t>
      </w:r>
      <w:r w:rsidR="00397FFB" w:rsidRPr="00397FFB">
        <w:rPr>
          <w:rFonts w:ascii="Arial" w:hAnsi="Arial" w:cs="Arial"/>
        </w:rPr>
        <w:t xml:space="preserve"> </w:t>
      </w:r>
      <w:r w:rsidRPr="00191261">
        <w:rPr>
          <w:rFonts w:ascii="Arial" w:hAnsi="Arial" w:cs="Arial"/>
        </w:rPr>
        <w:t>(HC-MD-CIV-MOT-REV-2018/00127) [2019] NAHCMD 9 (21 January 2020)</w:t>
      </w:r>
      <w:r>
        <w:rPr>
          <w:rFonts w:ascii="Arial" w:hAnsi="Arial" w:cs="Arial"/>
        </w:rPr>
        <w:t>.</w:t>
      </w:r>
    </w:p>
  </w:footnote>
  <w:footnote w:id="2">
    <w:p w:rsidR="00191261" w:rsidRPr="00191261" w:rsidRDefault="00191261" w:rsidP="00191261">
      <w:pPr>
        <w:pStyle w:val="FootnoteText"/>
        <w:rPr>
          <w:rFonts w:ascii="Arial" w:hAnsi="Arial" w:cs="Arial"/>
          <w:lang w:val="en-US"/>
        </w:rPr>
      </w:pPr>
      <w:r w:rsidRPr="00191261">
        <w:rPr>
          <w:rStyle w:val="FootnoteReference"/>
          <w:rFonts w:ascii="Arial" w:hAnsi="Arial" w:cs="Arial"/>
        </w:rPr>
        <w:footnoteRef/>
      </w:r>
      <w:r w:rsidRPr="00191261">
        <w:rPr>
          <w:rFonts w:ascii="Arial" w:hAnsi="Arial" w:cs="Arial"/>
        </w:rPr>
        <w:t xml:space="preserve"> </w:t>
      </w:r>
      <w:r w:rsidR="00397FFB">
        <w:rPr>
          <w:rFonts w:ascii="Arial" w:hAnsi="Arial" w:cs="Arial"/>
        </w:rPr>
        <w:t xml:space="preserve"> </w:t>
      </w:r>
      <w:r w:rsidR="00397FFB" w:rsidRPr="00397FFB">
        <w:rPr>
          <w:rFonts w:ascii="Arial" w:hAnsi="Arial" w:cs="Arial"/>
          <w:i/>
        </w:rPr>
        <w:t>Euroshipping Corporation of Monrovia v Minister of Agricultural Economics an</w:t>
      </w:r>
      <w:r w:rsidR="00397FFB">
        <w:rPr>
          <w:rFonts w:ascii="Arial" w:hAnsi="Arial" w:cs="Arial"/>
          <w:i/>
        </w:rPr>
        <w:t>d</w:t>
      </w:r>
      <w:r w:rsidR="00397FFB" w:rsidRPr="00397FFB">
        <w:rPr>
          <w:rFonts w:ascii="Arial" w:hAnsi="Arial" w:cs="Arial"/>
          <w:i/>
        </w:rPr>
        <w:t xml:space="preserve"> Marketing and Others</w:t>
      </w:r>
      <w:r w:rsidR="00397FFB" w:rsidRPr="00397FFB">
        <w:rPr>
          <w:rFonts w:ascii="Arial" w:hAnsi="Arial" w:cs="Arial"/>
        </w:rPr>
        <w:t>,</w:t>
      </w:r>
      <w:r w:rsidR="00397FFB" w:rsidRPr="00397FFB">
        <w:rPr>
          <w:rFonts w:ascii="Arial" w:hAnsi="Arial" w:cs="Arial"/>
          <w:vertAlign w:val="superscript"/>
        </w:rPr>
        <w:footnoteRef/>
      </w:r>
      <w:r w:rsidR="00397FFB" w:rsidRPr="00397FFB">
        <w:rPr>
          <w:rFonts w:ascii="Arial" w:hAnsi="Arial" w:cs="Arial"/>
        </w:rPr>
        <w:t xml:space="preserve"> </w:t>
      </w:r>
      <w:r w:rsidRPr="00191261">
        <w:rPr>
          <w:rFonts w:ascii="Arial" w:hAnsi="Arial" w:cs="Arial"/>
        </w:rPr>
        <w:t>1979 (1) SA 637 (C) at 643H – 644B.</w:t>
      </w:r>
    </w:p>
  </w:footnote>
  <w:footnote w:id="3">
    <w:p w:rsidR="00191261" w:rsidRPr="00191261" w:rsidRDefault="00191261" w:rsidP="00191261">
      <w:pPr>
        <w:pStyle w:val="FootnoteText"/>
        <w:rPr>
          <w:rFonts w:ascii="Arial" w:hAnsi="Arial" w:cs="Arial"/>
          <w:lang w:val="en-US"/>
        </w:rPr>
      </w:pPr>
      <w:r w:rsidRPr="00191261">
        <w:rPr>
          <w:rStyle w:val="FootnoteReference"/>
          <w:rFonts w:ascii="Arial" w:hAnsi="Arial" w:cs="Arial"/>
        </w:rPr>
        <w:footnoteRef/>
      </w:r>
      <w:r w:rsidRPr="00191261">
        <w:rPr>
          <w:rFonts w:ascii="Arial" w:hAnsi="Arial" w:cs="Arial"/>
        </w:rPr>
        <w:t xml:space="preserve"> </w:t>
      </w:r>
      <w:r w:rsidR="00397FFB" w:rsidRPr="00397FFB">
        <w:rPr>
          <w:rFonts w:ascii="Arial" w:hAnsi="Arial" w:cs="Arial"/>
          <w:i/>
        </w:rPr>
        <w:t>Bank of Lisbon and South Africa Ltd v Tandrien Beleggings (Pty) Ltd and Others</w:t>
      </w:r>
      <w:r w:rsidR="00397FFB" w:rsidRPr="00397FFB">
        <w:rPr>
          <w:rFonts w:ascii="Arial" w:hAnsi="Arial" w:cs="Arial"/>
        </w:rPr>
        <w:t xml:space="preserve"> </w:t>
      </w:r>
      <w:r w:rsidRPr="00191261">
        <w:rPr>
          <w:rFonts w:ascii="Arial" w:hAnsi="Arial" w:cs="Arial"/>
        </w:rPr>
        <w:t>(2) 1983 (2) SA 626 (WLD) at 627F-H.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57062"/>
      <w:docPartObj>
        <w:docPartGallery w:val="Page Numbers (Top of Page)"/>
        <w:docPartUnique/>
      </w:docPartObj>
    </w:sdtPr>
    <w:sdtEndPr>
      <w:rPr>
        <w:noProof/>
      </w:rPr>
    </w:sdtEndPr>
    <w:sdtContent>
      <w:p w:rsidR="009F42D0" w:rsidRDefault="00202799" w:rsidP="00D27996">
        <w:pPr>
          <w:pStyle w:val="Header"/>
          <w:jc w:val="right"/>
        </w:pPr>
        <w:r>
          <w:fldChar w:fldCharType="begin"/>
        </w:r>
        <w:r>
          <w:instrText xml:space="preserve"> PAGE   \* MERGEFORMAT </w:instrText>
        </w:r>
        <w:r>
          <w:fldChar w:fldCharType="separate"/>
        </w:r>
        <w:r w:rsidR="00C548AD">
          <w:rPr>
            <w:noProof/>
          </w:rPr>
          <w:t>9</w:t>
        </w:r>
        <w:r>
          <w:rPr>
            <w:noProof/>
          </w:rPr>
          <w:fldChar w:fldCharType="end"/>
        </w:r>
      </w:p>
    </w:sdtContent>
  </w:sdt>
  <w:p w:rsidR="009F42D0" w:rsidRDefault="007A5A33" w:rsidP="00D279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162"/>
    <w:multiLevelType w:val="hybridMultilevel"/>
    <w:tmpl w:val="46186AC2"/>
    <w:lvl w:ilvl="0" w:tplc="61789F9A">
      <w:start w:val="1"/>
      <w:numFmt w:val="lowerLetter"/>
      <w:lvlText w:val="%1)"/>
      <w:lvlJc w:val="left"/>
      <w:pPr>
        <w:ind w:left="360" w:hanging="360"/>
      </w:pPr>
      <w:rPr>
        <w:rFonts w:hint="default"/>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 w15:restartNumberingAfterBreak="0">
    <w:nsid w:val="11EB219E"/>
    <w:multiLevelType w:val="hybridMultilevel"/>
    <w:tmpl w:val="B3A8AA08"/>
    <w:lvl w:ilvl="0" w:tplc="6292DA80">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45F0"/>
    <w:multiLevelType w:val="hybridMultilevel"/>
    <w:tmpl w:val="B07AD3B2"/>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7C2064"/>
    <w:multiLevelType w:val="hybridMultilevel"/>
    <w:tmpl w:val="7F263722"/>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0307E2"/>
    <w:multiLevelType w:val="hybridMultilevel"/>
    <w:tmpl w:val="89E21DB6"/>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EB1226"/>
    <w:multiLevelType w:val="hybridMultilevel"/>
    <w:tmpl w:val="12D26C56"/>
    <w:lvl w:ilvl="0" w:tplc="E51295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3273BB"/>
    <w:multiLevelType w:val="hybridMultilevel"/>
    <w:tmpl w:val="18582A14"/>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2F0F26"/>
    <w:multiLevelType w:val="hybridMultilevel"/>
    <w:tmpl w:val="EAB4A5C2"/>
    <w:lvl w:ilvl="0" w:tplc="91469A46">
      <w:start w:val="1"/>
      <w:numFmt w:val="lowerLetter"/>
      <w:lvlText w:val="%1)"/>
      <w:lvlJc w:val="left"/>
      <w:pPr>
        <w:ind w:left="900" w:hanging="360"/>
      </w:pPr>
      <w:rPr>
        <w:rFonts w:ascii="Arial" w:hAnsi="Arial" w:cs="Aria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809D6"/>
    <w:multiLevelType w:val="hybridMultilevel"/>
    <w:tmpl w:val="EE5003B0"/>
    <w:lvl w:ilvl="0" w:tplc="3CFA8B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2"/>
    <w:rsid w:val="00070389"/>
    <w:rsid w:val="00085E6E"/>
    <w:rsid w:val="000939BF"/>
    <w:rsid w:val="00120313"/>
    <w:rsid w:val="00164A77"/>
    <w:rsid w:val="00191261"/>
    <w:rsid w:val="001F2099"/>
    <w:rsid w:val="00202799"/>
    <w:rsid w:val="00220DB1"/>
    <w:rsid w:val="00221C23"/>
    <w:rsid w:val="00221EB9"/>
    <w:rsid w:val="002A1411"/>
    <w:rsid w:val="00365A16"/>
    <w:rsid w:val="00397FFB"/>
    <w:rsid w:val="003D4E3C"/>
    <w:rsid w:val="003F7A63"/>
    <w:rsid w:val="00492F30"/>
    <w:rsid w:val="004B3BBE"/>
    <w:rsid w:val="004F0F04"/>
    <w:rsid w:val="00524DEC"/>
    <w:rsid w:val="00555A39"/>
    <w:rsid w:val="005650B6"/>
    <w:rsid w:val="00593114"/>
    <w:rsid w:val="005B51AC"/>
    <w:rsid w:val="006026EA"/>
    <w:rsid w:val="0067696A"/>
    <w:rsid w:val="006F4541"/>
    <w:rsid w:val="0070196C"/>
    <w:rsid w:val="007A5A33"/>
    <w:rsid w:val="007C0E3C"/>
    <w:rsid w:val="00895850"/>
    <w:rsid w:val="00932F36"/>
    <w:rsid w:val="0097346B"/>
    <w:rsid w:val="00AE79A4"/>
    <w:rsid w:val="00B21E34"/>
    <w:rsid w:val="00BB79F9"/>
    <w:rsid w:val="00C548AD"/>
    <w:rsid w:val="00CC59C6"/>
    <w:rsid w:val="00D65616"/>
    <w:rsid w:val="00DB37CD"/>
    <w:rsid w:val="00DC0ED4"/>
    <w:rsid w:val="00E17CA1"/>
    <w:rsid w:val="00E27CBC"/>
    <w:rsid w:val="00E85CBA"/>
    <w:rsid w:val="00EE7F72"/>
    <w:rsid w:val="00F05242"/>
    <w:rsid w:val="00F2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646B0-DF95-4F17-A643-88216A3A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72"/>
    <w:pPr>
      <w:spacing w:after="160" w:line="259" w:lineRule="auto"/>
    </w:pPr>
    <w:rPr>
      <w:lang w:val="en-ZA"/>
    </w:rPr>
  </w:style>
  <w:style w:type="paragraph" w:styleId="Heading3">
    <w:name w:val="heading 3"/>
    <w:basedOn w:val="Normal"/>
    <w:next w:val="Normal"/>
    <w:link w:val="Heading3Char"/>
    <w:uiPriority w:val="9"/>
    <w:unhideWhenUsed/>
    <w:qFormat/>
    <w:rsid w:val="00EE7F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F72"/>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EE7F72"/>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EE7F7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EE7F72"/>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EE7F72"/>
    <w:rPr>
      <w:vertAlign w:val="superscript"/>
    </w:rPr>
  </w:style>
  <w:style w:type="character" w:styleId="Hyperlink">
    <w:name w:val="Hyperlink"/>
    <w:basedOn w:val="DefaultParagraphFont"/>
    <w:uiPriority w:val="99"/>
    <w:unhideWhenUsed/>
    <w:rsid w:val="00EE7F72"/>
    <w:rPr>
      <w:color w:val="0000FF"/>
      <w:u w:val="single"/>
    </w:rPr>
  </w:style>
  <w:style w:type="paragraph" w:styleId="Header">
    <w:name w:val="header"/>
    <w:basedOn w:val="Normal"/>
    <w:link w:val="HeaderChar"/>
    <w:uiPriority w:val="99"/>
    <w:unhideWhenUsed/>
    <w:rsid w:val="00EE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7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2021-02-23T18:30:00+00:00</Judgment_x0020_Date>
    <Year xmlns="c1afb1bd-f2fb-40fd-9abb-aea55b4d7662">2021</Year>
  </documentManagement>
</p:properties>
</file>

<file path=customXml/itemProps1.xml><?xml version="1.0" encoding="utf-8"?>
<ds:datastoreItem xmlns:ds="http://schemas.openxmlformats.org/officeDocument/2006/customXml" ds:itemID="{57D2AA46-E32D-40A5-A375-0EFDD314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2B1D4-AC93-4117-8D52-43565F4881E3}">
  <ds:schemaRefs>
    <ds:schemaRef ds:uri="http://schemas.microsoft.com/sharepoint/v3/contenttype/forms"/>
  </ds:schemaRefs>
</ds:datastoreItem>
</file>

<file path=customXml/itemProps3.xml><?xml version="1.0" encoding="utf-8"?>
<ds:datastoreItem xmlns:ds="http://schemas.openxmlformats.org/officeDocument/2006/customXml" ds:itemID="{35F0578C-95BC-44E4-A2AE-878127A58C2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HOME</cp:lastModifiedBy>
  <cp:revision>2</cp:revision>
  <cp:lastPrinted>2021-02-18T06:11:00Z</cp:lastPrinted>
  <dcterms:created xsi:type="dcterms:W3CDTF">2021-07-10T08:54:00Z</dcterms:created>
  <dcterms:modified xsi:type="dcterms:W3CDTF">2021-07-10T08:54:00Z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