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E7F72" w:rsidRPr="00EE7F72" w:rsidRDefault="00EE7F72" w:rsidP="00EE7F72">
      <w:pPr>
        <w:spacing w:after="0" w:line="360" w:lineRule="auto"/>
        <w:jc w:val="center"/>
        <w:rPr>
          <w:rFonts w:ascii="Arial" w:hAnsi="Arial" w:cs="Arial"/>
          <w:b/>
          <w:sz w:val="24"/>
          <w:szCs w:val="24"/>
        </w:rPr>
      </w:pPr>
      <w:r w:rsidRPr="00EE7F72">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6E7019B8" wp14:editId="5D97A1FA">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A62094" w:rsidRPr="000A0FD8" w:rsidRDefault="00A62094" w:rsidP="00EE7F72">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019B8"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A62094" w:rsidRPr="000A0FD8" w:rsidRDefault="00A62094" w:rsidP="00EE7F72">
                      <w:pPr>
                        <w:jc w:val="right"/>
                        <w:rPr>
                          <w:rFonts w:ascii="Arial" w:hAnsi="Arial" w:cs="Arial"/>
                          <w:b/>
                          <w:sz w:val="24"/>
                          <w:szCs w:val="24"/>
                        </w:rPr>
                      </w:pPr>
                    </w:p>
                  </w:txbxContent>
                </v:textbox>
                <w10:wrap anchorx="margin"/>
              </v:shape>
            </w:pict>
          </mc:Fallback>
        </mc:AlternateContent>
      </w:r>
      <w:r w:rsidRPr="00EE7F72">
        <w:rPr>
          <w:rFonts w:ascii="Arial" w:hAnsi="Arial" w:cs="Arial"/>
          <w:b/>
          <w:sz w:val="24"/>
          <w:szCs w:val="24"/>
        </w:rPr>
        <w:t>REPUBLIC OF NAMIBIA</w:t>
      </w:r>
    </w:p>
    <w:p w:rsidR="00EE7F72" w:rsidRPr="00EE7F72" w:rsidRDefault="00EE7F72" w:rsidP="00EE7F72">
      <w:pPr>
        <w:spacing w:after="0" w:line="360" w:lineRule="auto"/>
        <w:rPr>
          <w:rFonts w:ascii="Arial" w:hAnsi="Arial" w:cs="Arial"/>
          <w:b/>
          <w:sz w:val="24"/>
          <w:szCs w:val="24"/>
        </w:rPr>
      </w:pPr>
      <w:r w:rsidRPr="00EE7F72">
        <w:rPr>
          <w:rFonts w:ascii="Arial" w:hAnsi="Arial" w:cs="Arial"/>
          <w:b/>
          <w:noProof/>
          <w:sz w:val="24"/>
          <w:szCs w:val="24"/>
          <w:lang w:eastAsia="en-ZA"/>
        </w:rPr>
        <w:drawing>
          <wp:anchor distT="0" distB="0" distL="114300" distR="114300" simplePos="0" relativeHeight="251660288" behindDoc="0" locked="0" layoutInCell="1" allowOverlap="1" wp14:anchorId="1D2DD0A9" wp14:editId="01AA98E6">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EE7F72" w:rsidRPr="00EE7F72" w:rsidRDefault="00EE7F72" w:rsidP="00EE7F72">
      <w:pPr>
        <w:spacing w:after="0" w:line="360" w:lineRule="auto"/>
        <w:rPr>
          <w:rFonts w:ascii="Arial" w:hAnsi="Arial" w:cs="Arial"/>
          <w:b/>
          <w:sz w:val="24"/>
          <w:szCs w:val="24"/>
        </w:rPr>
      </w:pPr>
    </w:p>
    <w:p w:rsidR="00EE7F72" w:rsidRPr="00EE7F72" w:rsidRDefault="00EE7F72" w:rsidP="00EE7F72">
      <w:pPr>
        <w:spacing w:after="0" w:line="360" w:lineRule="auto"/>
        <w:rPr>
          <w:rFonts w:ascii="Arial" w:hAnsi="Arial" w:cs="Arial"/>
          <w:b/>
          <w:sz w:val="24"/>
          <w:szCs w:val="24"/>
        </w:rPr>
      </w:pPr>
    </w:p>
    <w:p w:rsidR="00EE7F72" w:rsidRPr="00EE7F72" w:rsidRDefault="00EE7F72" w:rsidP="00EE7F72">
      <w:pPr>
        <w:spacing w:after="0" w:line="360" w:lineRule="auto"/>
        <w:rPr>
          <w:rFonts w:ascii="Arial" w:hAnsi="Arial" w:cs="Arial"/>
          <w:b/>
          <w:sz w:val="24"/>
          <w:szCs w:val="24"/>
        </w:rPr>
      </w:pPr>
    </w:p>
    <w:p w:rsidR="00EE7F72" w:rsidRPr="00EE7F72" w:rsidRDefault="00EE7F72" w:rsidP="00EE7F72">
      <w:pPr>
        <w:spacing w:after="0" w:line="360" w:lineRule="auto"/>
        <w:rPr>
          <w:rFonts w:ascii="Arial" w:hAnsi="Arial" w:cs="Arial"/>
          <w:b/>
          <w:sz w:val="24"/>
          <w:szCs w:val="24"/>
        </w:rPr>
      </w:pPr>
    </w:p>
    <w:p w:rsidR="00EE7F72" w:rsidRPr="00EE7F72" w:rsidRDefault="00EE7F72" w:rsidP="00EE7F72">
      <w:pPr>
        <w:spacing w:after="0" w:line="360" w:lineRule="auto"/>
        <w:jc w:val="center"/>
        <w:rPr>
          <w:rFonts w:ascii="Arial" w:hAnsi="Arial" w:cs="Arial"/>
          <w:b/>
          <w:sz w:val="24"/>
          <w:szCs w:val="24"/>
        </w:rPr>
      </w:pPr>
    </w:p>
    <w:p w:rsidR="00EE7F72" w:rsidRPr="00EE7F72" w:rsidRDefault="00EE7F72" w:rsidP="00EE7F72">
      <w:pPr>
        <w:spacing w:after="0" w:line="360" w:lineRule="auto"/>
        <w:jc w:val="center"/>
        <w:rPr>
          <w:rFonts w:ascii="Arial" w:hAnsi="Arial" w:cs="Arial"/>
          <w:b/>
          <w:sz w:val="24"/>
          <w:szCs w:val="24"/>
        </w:rPr>
      </w:pPr>
    </w:p>
    <w:p w:rsidR="00EE7F72" w:rsidRPr="00EE7F72" w:rsidRDefault="00EE7F72" w:rsidP="00EE7F72">
      <w:pPr>
        <w:spacing w:after="0" w:line="360" w:lineRule="auto"/>
        <w:jc w:val="center"/>
        <w:rPr>
          <w:rFonts w:ascii="Arial" w:hAnsi="Arial" w:cs="Arial"/>
          <w:b/>
          <w:sz w:val="24"/>
          <w:szCs w:val="24"/>
        </w:rPr>
      </w:pPr>
      <w:r w:rsidRPr="00EE7F72">
        <w:rPr>
          <w:rFonts w:ascii="Arial" w:hAnsi="Arial" w:cs="Arial"/>
          <w:b/>
          <w:sz w:val="24"/>
          <w:szCs w:val="24"/>
        </w:rPr>
        <w:t>HIGH COURT OF NAMIBIA, MAIN DIVISION, WINDHOEK</w:t>
      </w:r>
    </w:p>
    <w:p w:rsidR="00EE7F72" w:rsidRPr="00EE7F72" w:rsidRDefault="00EE7F72" w:rsidP="00EE7F72">
      <w:pPr>
        <w:spacing w:after="0" w:line="360" w:lineRule="auto"/>
        <w:rPr>
          <w:rFonts w:ascii="Arial" w:hAnsi="Arial" w:cs="Arial"/>
          <w:b/>
          <w:sz w:val="24"/>
          <w:szCs w:val="24"/>
        </w:rPr>
      </w:pPr>
    </w:p>
    <w:p w:rsidR="00EE7F72" w:rsidRPr="00EE7F72" w:rsidRDefault="009728A5" w:rsidP="00EE7F72">
      <w:pPr>
        <w:spacing w:after="0" w:line="360" w:lineRule="auto"/>
        <w:jc w:val="center"/>
        <w:rPr>
          <w:rFonts w:ascii="Arial" w:hAnsi="Arial" w:cs="Arial"/>
          <w:sz w:val="24"/>
          <w:szCs w:val="24"/>
        </w:rPr>
      </w:pPr>
      <w:r>
        <w:rPr>
          <w:rFonts w:ascii="Arial" w:hAnsi="Arial" w:cs="Arial"/>
          <w:b/>
          <w:sz w:val="24"/>
          <w:szCs w:val="24"/>
        </w:rPr>
        <w:t>JUDGMENT</w:t>
      </w:r>
    </w:p>
    <w:p w:rsidR="00EE7F72" w:rsidRPr="00EE7F72" w:rsidRDefault="00EE7F72" w:rsidP="00EE7F72">
      <w:pPr>
        <w:spacing w:after="0" w:line="360" w:lineRule="auto"/>
        <w:jc w:val="right"/>
        <w:rPr>
          <w:rFonts w:ascii="Arial" w:hAnsi="Arial" w:cs="Arial"/>
          <w:sz w:val="24"/>
          <w:szCs w:val="24"/>
        </w:rPr>
      </w:pPr>
    </w:p>
    <w:p w:rsidR="00EE7F72" w:rsidRPr="00EE7F72" w:rsidRDefault="00EE7F72" w:rsidP="00EE7F72">
      <w:pPr>
        <w:spacing w:after="0" w:line="360" w:lineRule="auto"/>
        <w:jc w:val="right"/>
        <w:rPr>
          <w:rFonts w:ascii="Arial" w:hAnsi="Arial" w:cs="Arial"/>
          <w:sz w:val="24"/>
          <w:szCs w:val="24"/>
          <w:lang w:val="en-US"/>
        </w:rPr>
      </w:pPr>
      <w:r w:rsidRPr="00EE7F72">
        <w:rPr>
          <w:rFonts w:ascii="Arial" w:hAnsi="Arial" w:cs="Arial"/>
          <w:sz w:val="24"/>
          <w:szCs w:val="24"/>
        </w:rPr>
        <w:t>Case No: HC-MD-CIV-MOT-</w:t>
      </w:r>
      <w:r w:rsidR="00342288">
        <w:rPr>
          <w:rFonts w:ascii="Arial" w:hAnsi="Arial" w:cs="Arial"/>
          <w:sz w:val="24"/>
          <w:szCs w:val="24"/>
        </w:rPr>
        <w:t>REV</w:t>
      </w:r>
      <w:r w:rsidRPr="00EE7F72">
        <w:rPr>
          <w:rFonts w:ascii="Arial" w:hAnsi="Arial" w:cs="Arial"/>
          <w:sz w:val="24"/>
          <w:szCs w:val="24"/>
        </w:rPr>
        <w:t>-20</w:t>
      </w:r>
      <w:r w:rsidR="00342288">
        <w:rPr>
          <w:rFonts w:ascii="Arial" w:hAnsi="Arial" w:cs="Arial"/>
          <w:sz w:val="24"/>
          <w:szCs w:val="24"/>
        </w:rPr>
        <w:t>18</w:t>
      </w:r>
      <w:r w:rsidRPr="00EE7F72">
        <w:rPr>
          <w:rFonts w:ascii="Arial" w:hAnsi="Arial" w:cs="Arial"/>
          <w:sz w:val="24"/>
          <w:szCs w:val="24"/>
        </w:rPr>
        <w:t>/</w:t>
      </w:r>
      <w:r w:rsidR="00342288">
        <w:rPr>
          <w:rFonts w:ascii="Arial" w:hAnsi="Arial" w:cs="Arial"/>
          <w:sz w:val="24"/>
          <w:szCs w:val="24"/>
        </w:rPr>
        <w:t>0</w:t>
      </w:r>
      <w:r w:rsidRPr="00EE7F72">
        <w:rPr>
          <w:rFonts w:ascii="Arial" w:hAnsi="Arial" w:cs="Arial"/>
          <w:sz w:val="24"/>
          <w:szCs w:val="24"/>
        </w:rPr>
        <w:t>0</w:t>
      </w:r>
      <w:r w:rsidR="00342288">
        <w:rPr>
          <w:rFonts w:ascii="Arial" w:hAnsi="Arial" w:cs="Arial"/>
          <w:sz w:val="24"/>
          <w:szCs w:val="24"/>
        </w:rPr>
        <w:t>454</w:t>
      </w:r>
    </w:p>
    <w:p w:rsidR="00EE7F72" w:rsidRPr="00EE7F72" w:rsidRDefault="00EE7F72" w:rsidP="00EE7F72">
      <w:pPr>
        <w:spacing w:after="0" w:line="360" w:lineRule="auto"/>
        <w:jc w:val="right"/>
        <w:rPr>
          <w:rFonts w:ascii="Arial" w:hAnsi="Arial" w:cs="Arial"/>
          <w:sz w:val="24"/>
          <w:szCs w:val="24"/>
        </w:rPr>
      </w:pPr>
    </w:p>
    <w:p w:rsidR="00EE7F72" w:rsidRPr="00EE7F72" w:rsidRDefault="00EE7F72" w:rsidP="00EE7F72">
      <w:pPr>
        <w:spacing w:after="0" w:line="360" w:lineRule="auto"/>
        <w:rPr>
          <w:rFonts w:ascii="Arial" w:hAnsi="Arial" w:cs="Arial"/>
          <w:sz w:val="24"/>
          <w:szCs w:val="24"/>
        </w:rPr>
      </w:pPr>
      <w:r w:rsidRPr="00EE7F72">
        <w:rPr>
          <w:rFonts w:ascii="Arial" w:hAnsi="Arial" w:cs="Arial"/>
          <w:sz w:val="24"/>
          <w:szCs w:val="24"/>
        </w:rPr>
        <w:t>In the matter between:</w:t>
      </w:r>
    </w:p>
    <w:p w:rsidR="00EE7F72" w:rsidRPr="00EE7F72" w:rsidRDefault="00EE7F72" w:rsidP="00EE7F72">
      <w:pPr>
        <w:spacing w:after="0" w:line="360" w:lineRule="auto"/>
        <w:rPr>
          <w:rFonts w:ascii="Arial" w:hAnsi="Arial" w:cs="Arial"/>
          <w:sz w:val="24"/>
          <w:szCs w:val="24"/>
        </w:rPr>
      </w:pPr>
    </w:p>
    <w:p w:rsidR="00EE7F72" w:rsidRPr="00EE7F72" w:rsidRDefault="009F07D1" w:rsidP="00EE7F72">
      <w:pPr>
        <w:tabs>
          <w:tab w:val="right" w:pos="9356"/>
        </w:tabs>
        <w:spacing w:after="0" w:line="360" w:lineRule="auto"/>
        <w:rPr>
          <w:rFonts w:ascii="Arial" w:hAnsi="Arial" w:cs="Arial"/>
          <w:b/>
          <w:sz w:val="24"/>
          <w:szCs w:val="24"/>
        </w:rPr>
      </w:pPr>
      <w:r>
        <w:rPr>
          <w:rFonts w:ascii="Arial" w:hAnsi="Arial" w:cs="Arial"/>
          <w:b/>
          <w:sz w:val="24"/>
          <w:szCs w:val="24"/>
        </w:rPr>
        <w:t>OLD MUTUAL LIFE ASSURANCE COMPANY (NAMIBIA) LTD</w:t>
      </w:r>
      <w:r w:rsidR="00EE7F72" w:rsidRPr="00EE7F72">
        <w:rPr>
          <w:rFonts w:ascii="Arial" w:hAnsi="Arial" w:cs="Arial"/>
          <w:b/>
          <w:sz w:val="24"/>
          <w:szCs w:val="24"/>
        </w:rPr>
        <w:t xml:space="preserve"> </w:t>
      </w:r>
      <w:r w:rsidR="00EE7F72" w:rsidRPr="00EE7F72">
        <w:rPr>
          <w:rFonts w:ascii="Arial" w:hAnsi="Arial" w:cs="Arial"/>
          <w:b/>
          <w:sz w:val="24"/>
          <w:szCs w:val="24"/>
        </w:rPr>
        <w:tab/>
        <w:t xml:space="preserve">  APPLICANT</w:t>
      </w:r>
    </w:p>
    <w:p w:rsidR="00EE7F72" w:rsidRPr="00EE7F72" w:rsidRDefault="00EE7F72" w:rsidP="00EE7F72">
      <w:pPr>
        <w:tabs>
          <w:tab w:val="right" w:pos="9356"/>
        </w:tabs>
        <w:spacing w:after="0" w:line="360" w:lineRule="auto"/>
        <w:rPr>
          <w:rFonts w:ascii="Arial" w:hAnsi="Arial" w:cs="Arial"/>
          <w:b/>
          <w:sz w:val="24"/>
          <w:szCs w:val="24"/>
        </w:rPr>
      </w:pPr>
    </w:p>
    <w:p w:rsidR="00EE7F72" w:rsidRPr="00EE7F72" w:rsidRDefault="00EE7F72" w:rsidP="00EE7F72">
      <w:pPr>
        <w:tabs>
          <w:tab w:val="right" w:pos="9356"/>
        </w:tabs>
        <w:spacing w:after="0" w:line="360" w:lineRule="auto"/>
        <w:rPr>
          <w:rFonts w:ascii="Arial" w:hAnsi="Arial" w:cs="Arial"/>
          <w:b/>
          <w:sz w:val="24"/>
          <w:szCs w:val="24"/>
        </w:rPr>
      </w:pPr>
      <w:r w:rsidRPr="00EE7F72">
        <w:rPr>
          <w:rFonts w:ascii="Arial" w:hAnsi="Arial" w:cs="Arial"/>
          <w:b/>
          <w:sz w:val="24"/>
          <w:szCs w:val="24"/>
        </w:rPr>
        <w:t xml:space="preserve">and </w:t>
      </w:r>
    </w:p>
    <w:p w:rsidR="00EE7F72" w:rsidRPr="00EE7F72" w:rsidRDefault="00EE7F72" w:rsidP="00EE7F72">
      <w:pPr>
        <w:tabs>
          <w:tab w:val="right" w:pos="9356"/>
        </w:tabs>
        <w:spacing w:after="0" w:line="360" w:lineRule="auto"/>
        <w:rPr>
          <w:rFonts w:ascii="Arial" w:hAnsi="Arial" w:cs="Arial"/>
          <w:b/>
          <w:sz w:val="24"/>
          <w:szCs w:val="24"/>
        </w:rPr>
      </w:pPr>
      <w:r w:rsidRPr="00EE7F72">
        <w:rPr>
          <w:rFonts w:ascii="Arial" w:hAnsi="Arial" w:cs="Arial"/>
          <w:b/>
          <w:sz w:val="24"/>
          <w:szCs w:val="24"/>
        </w:rPr>
        <w:t xml:space="preserve"> </w:t>
      </w:r>
    </w:p>
    <w:p w:rsidR="00EE7F72" w:rsidRPr="00EE7F72" w:rsidRDefault="009F07D1" w:rsidP="00EE7F72">
      <w:pPr>
        <w:tabs>
          <w:tab w:val="right" w:pos="9356"/>
        </w:tabs>
        <w:spacing w:after="0" w:line="360" w:lineRule="auto"/>
        <w:rPr>
          <w:rFonts w:ascii="Arial" w:hAnsi="Arial" w:cs="Arial"/>
          <w:b/>
          <w:sz w:val="24"/>
          <w:szCs w:val="24"/>
        </w:rPr>
      </w:pPr>
      <w:r>
        <w:rPr>
          <w:rFonts w:ascii="Arial" w:hAnsi="Arial" w:cs="Arial"/>
          <w:b/>
          <w:sz w:val="24"/>
          <w:szCs w:val="24"/>
        </w:rPr>
        <w:t>DEPUTY SHERIFF OF WINDHOEK</w:t>
      </w:r>
      <w:r w:rsidR="00EE7F72" w:rsidRPr="00EE7F72">
        <w:rPr>
          <w:rFonts w:ascii="Arial" w:hAnsi="Arial" w:cs="Arial"/>
          <w:b/>
          <w:sz w:val="24"/>
          <w:szCs w:val="24"/>
        </w:rPr>
        <w:t xml:space="preserve"> </w:t>
      </w:r>
      <w:r w:rsidR="00EE7F72" w:rsidRPr="00EE7F72">
        <w:rPr>
          <w:rFonts w:ascii="Arial" w:hAnsi="Arial" w:cs="Arial"/>
          <w:b/>
          <w:sz w:val="24"/>
          <w:szCs w:val="24"/>
        </w:rPr>
        <w:tab/>
      </w:r>
      <w:r>
        <w:rPr>
          <w:rFonts w:ascii="Arial" w:hAnsi="Arial" w:cs="Arial"/>
          <w:b/>
          <w:sz w:val="24"/>
          <w:szCs w:val="24"/>
        </w:rPr>
        <w:t>1</w:t>
      </w:r>
      <w:r w:rsidRPr="009F07D1">
        <w:rPr>
          <w:rFonts w:ascii="Arial" w:hAnsi="Arial" w:cs="Arial"/>
          <w:b/>
          <w:sz w:val="24"/>
          <w:szCs w:val="24"/>
          <w:vertAlign w:val="superscript"/>
        </w:rPr>
        <w:t>ST</w:t>
      </w:r>
      <w:r>
        <w:rPr>
          <w:rFonts w:ascii="Arial" w:hAnsi="Arial" w:cs="Arial"/>
          <w:b/>
          <w:sz w:val="24"/>
          <w:szCs w:val="24"/>
        </w:rPr>
        <w:t xml:space="preserve"> </w:t>
      </w:r>
      <w:r w:rsidR="00EE7F72" w:rsidRPr="00EE7F72">
        <w:rPr>
          <w:rFonts w:ascii="Arial" w:hAnsi="Arial" w:cs="Arial"/>
          <w:b/>
          <w:sz w:val="24"/>
          <w:szCs w:val="24"/>
        </w:rPr>
        <w:t xml:space="preserve">RESPONDENT </w:t>
      </w:r>
    </w:p>
    <w:p w:rsidR="00EE7F72" w:rsidRPr="00EE7F72" w:rsidRDefault="009F07D1" w:rsidP="00EE7F72">
      <w:pPr>
        <w:tabs>
          <w:tab w:val="right" w:pos="9356"/>
        </w:tabs>
        <w:spacing w:after="0" w:line="360" w:lineRule="auto"/>
        <w:rPr>
          <w:rFonts w:ascii="Arial" w:hAnsi="Arial" w:cs="Arial"/>
          <w:b/>
          <w:sz w:val="24"/>
          <w:szCs w:val="24"/>
        </w:rPr>
      </w:pPr>
      <w:r>
        <w:rPr>
          <w:rFonts w:ascii="Arial" w:hAnsi="Arial" w:cs="Arial"/>
          <w:b/>
          <w:sz w:val="24"/>
          <w:szCs w:val="24"/>
        </w:rPr>
        <w:t>ANDRE HARRIS</w:t>
      </w:r>
      <w:r w:rsidR="00EE7F72" w:rsidRPr="00EE7F72">
        <w:rPr>
          <w:rFonts w:ascii="Arial" w:hAnsi="Arial" w:cs="Arial"/>
          <w:b/>
          <w:sz w:val="24"/>
          <w:szCs w:val="24"/>
        </w:rPr>
        <w:t xml:space="preserve"> </w:t>
      </w:r>
      <w:r w:rsidR="00EE7F72" w:rsidRPr="00EE7F72">
        <w:rPr>
          <w:rFonts w:ascii="Arial" w:hAnsi="Arial" w:cs="Arial"/>
          <w:b/>
          <w:sz w:val="24"/>
          <w:szCs w:val="24"/>
        </w:rPr>
        <w:tab/>
      </w:r>
      <w:r>
        <w:rPr>
          <w:rFonts w:ascii="Arial" w:hAnsi="Arial" w:cs="Arial"/>
          <w:b/>
          <w:sz w:val="24"/>
          <w:szCs w:val="24"/>
        </w:rPr>
        <w:t>2</w:t>
      </w:r>
      <w:r w:rsidRPr="009F07D1">
        <w:rPr>
          <w:rFonts w:ascii="Arial" w:hAnsi="Arial" w:cs="Arial"/>
          <w:b/>
          <w:sz w:val="24"/>
          <w:szCs w:val="24"/>
          <w:vertAlign w:val="superscript"/>
        </w:rPr>
        <w:t>ND</w:t>
      </w:r>
      <w:r>
        <w:rPr>
          <w:rFonts w:ascii="Arial" w:hAnsi="Arial" w:cs="Arial"/>
          <w:b/>
          <w:sz w:val="24"/>
          <w:szCs w:val="24"/>
        </w:rPr>
        <w:t xml:space="preserve"> </w:t>
      </w:r>
      <w:r w:rsidR="00EE7F72" w:rsidRPr="00EE7F72">
        <w:rPr>
          <w:rFonts w:ascii="Arial" w:hAnsi="Arial" w:cs="Arial"/>
          <w:b/>
          <w:sz w:val="24"/>
          <w:szCs w:val="24"/>
        </w:rPr>
        <w:t xml:space="preserve">RESPONDENT </w:t>
      </w:r>
    </w:p>
    <w:p w:rsidR="00EE7F72" w:rsidRPr="00EE7F72" w:rsidRDefault="009F07D1" w:rsidP="00EE7F72">
      <w:pPr>
        <w:tabs>
          <w:tab w:val="right" w:pos="9356"/>
        </w:tabs>
        <w:spacing w:after="0" w:line="360" w:lineRule="auto"/>
        <w:rPr>
          <w:rFonts w:ascii="Arial" w:hAnsi="Arial" w:cs="Arial"/>
          <w:b/>
          <w:sz w:val="24"/>
          <w:szCs w:val="24"/>
        </w:rPr>
      </w:pPr>
      <w:r>
        <w:rPr>
          <w:rFonts w:ascii="Arial" w:hAnsi="Arial" w:cs="Arial"/>
          <w:b/>
          <w:sz w:val="24"/>
          <w:szCs w:val="24"/>
        </w:rPr>
        <w:t>H. HENDRICKS INVESTMENT CC</w:t>
      </w:r>
      <w:r w:rsidR="00EE7F72" w:rsidRPr="00EE7F72">
        <w:rPr>
          <w:rFonts w:ascii="Arial" w:hAnsi="Arial" w:cs="Arial"/>
          <w:b/>
          <w:sz w:val="24"/>
          <w:szCs w:val="24"/>
        </w:rPr>
        <w:t xml:space="preserve"> </w:t>
      </w:r>
      <w:r w:rsidR="00EE7F72" w:rsidRPr="00EE7F72">
        <w:rPr>
          <w:rFonts w:ascii="Arial" w:hAnsi="Arial" w:cs="Arial"/>
          <w:b/>
          <w:sz w:val="24"/>
          <w:szCs w:val="24"/>
        </w:rPr>
        <w:tab/>
      </w:r>
      <w:r>
        <w:rPr>
          <w:rFonts w:ascii="Arial" w:hAnsi="Arial" w:cs="Arial"/>
          <w:b/>
          <w:sz w:val="24"/>
          <w:szCs w:val="24"/>
        </w:rPr>
        <w:t>3</w:t>
      </w:r>
      <w:r w:rsidRPr="009F07D1">
        <w:rPr>
          <w:rFonts w:ascii="Arial" w:hAnsi="Arial" w:cs="Arial"/>
          <w:b/>
          <w:sz w:val="24"/>
          <w:szCs w:val="24"/>
          <w:vertAlign w:val="superscript"/>
        </w:rPr>
        <w:t>RD</w:t>
      </w:r>
      <w:r>
        <w:rPr>
          <w:rFonts w:ascii="Arial" w:hAnsi="Arial" w:cs="Arial"/>
          <w:b/>
          <w:sz w:val="24"/>
          <w:szCs w:val="24"/>
        </w:rPr>
        <w:t xml:space="preserve"> </w:t>
      </w:r>
      <w:r w:rsidR="00EE7F72" w:rsidRPr="00EE7F72">
        <w:rPr>
          <w:rFonts w:ascii="Arial" w:hAnsi="Arial" w:cs="Arial"/>
          <w:b/>
          <w:sz w:val="24"/>
          <w:szCs w:val="24"/>
        </w:rPr>
        <w:t xml:space="preserve">RESPONDENT </w:t>
      </w:r>
    </w:p>
    <w:p w:rsidR="00EE7F72" w:rsidRDefault="009F07D1" w:rsidP="00EE7F72">
      <w:pPr>
        <w:tabs>
          <w:tab w:val="right" w:pos="9356"/>
        </w:tabs>
        <w:spacing w:after="0" w:line="360" w:lineRule="auto"/>
        <w:rPr>
          <w:rFonts w:ascii="Arial" w:hAnsi="Arial" w:cs="Arial"/>
          <w:b/>
          <w:sz w:val="24"/>
          <w:szCs w:val="24"/>
        </w:rPr>
      </w:pPr>
      <w:r>
        <w:rPr>
          <w:rFonts w:ascii="Arial" w:hAnsi="Arial" w:cs="Arial"/>
          <w:b/>
          <w:sz w:val="24"/>
          <w:szCs w:val="24"/>
        </w:rPr>
        <w:t>OLD MUTUAL HOLDINGS (NAMIBIA) (PTY) LTD</w:t>
      </w:r>
      <w:r w:rsidR="00EE7F72" w:rsidRPr="00EE7F72">
        <w:rPr>
          <w:rFonts w:ascii="Arial" w:hAnsi="Arial" w:cs="Arial"/>
          <w:b/>
          <w:sz w:val="24"/>
          <w:szCs w:val="24"/>
        </w:rPr>
        <w:t xml:space="preserve"> </w:t>
      </w:r>
      <w:r w:rsidR="00EE7F72" w:rsidRPr="00EE7F72">
        <w:rPr>
          <w:rFonts w:ascii="Arial" w:hAnsi="Arial" w:cs="Arial"/>
          <w:b/>
          <w:sz w:val="24"/>
          <w:szCs w:val="24"/>
        </w:rPr>
        <w:tab/>
      </w:r>
      <w:r>
        <w:rPr>
          <w:rFonts w:ascii="Arial" w:hAnsi="Arial" w:cs="Arial"/>
          <w:b/>
          <w:sz w:val="24"/>
          <w:szCs w:val="24"/>
        </w:rPr>
        <w:t>4</w:t>
      </w:r>
      <w:r w:rsidRPr="009F07D1">
        <w:rPr>
          <w:rFonts w:ascii="Arial" w:hAnsi="Arial" w:cs="Arial"/>
          <w:b/>
          <w:sz w:val="24"/>
          <w:szCs w:val="24"/>
          <w:vertAlign w:val="superscript"/>
        </w:rPr>
        <w:t>TH</w:t>
      </w:r>
      <w:r>
        <w:rPr>
          <w:rFonts w:ascii="Arial" w:hAnsi="Arial" w:cs="Arial"/>
          <w:b/>
          <w:sz w:val="24"/>
          <w:szCs w:val="24"/>
        </w:rPr>
        <w:t xml:space="preserve"> </w:t>
      </w:r>
      <w:r w:rsidR="00EE7F72" w:rsidRPr="00EE7F72">
        <w:rPr>
          <w:rFonts w:ascii="Arial" w:hAnsi="Arial" w:cs="Arial"/>
          <w:b/>
          <w:sz w:val="24"/>
          <w:szCs w:val="24"/>
        </w:rPr>
        <w:t>RESPONDENT</w:t>
      </w:r>
    </w:p>
    <w:p w:rsidR="009F07D1" w:rsidRDefault="009F07D1" w:rsidP="00EE7F72">
      <w:pPr>
        <w:tabs>
          <w:tab w:val="right" w:pos="9356"/>
        </w:tabs>
        <w:spacing w:after="0" w:line="360" w:lineRule="auto"/>
        <w:rPr>
          <w:rFonts w:ascii="Arial" w:hAnsi="Arial" w:cs="Arial"/>
          <w:b/>
          <w:sz w:val="24"/>
          <w:szCs w:val="24"/>
        </w:rPr>
      </w:pPr>
      <w:r>
        <w:rPr>
          <w:rFonts w:ascii="Arial" w:hAnsi="Arial" w:cs="Arial"/>
          <w:b/>
          <w:sz w:val="24"/>
          <w:szCs w:val="24"/>
        </w:rPr>
        <w:t>ETZOLD-DUVENHAGE</w:t>
      </w:r>
      <w:r>
        <w:rPr>
          <w:rFonts w:ascii="Arial" w:hAnsi="Arial" w:cs="Arial"/>
          <w:b/>
          <w:sz w:val="24"/>
          <w:szCs w:val="24"/>
        </w:rPr>
        <w:tab/>
        <w:t>5</w:t>
      </w:r>
      <w:r w:rsidRPr="009F07D1">
        <w:rPr>
          <w:rFonts w:ascii="Arial" w:hAnsi="Arial" w:cs="Arial"/>
          <w:b/>
          <w:sz w:val="24"/>
          <w:szCs w:val="24"/>
          <w:vertAlign w:val="superscript"/>
        </w:rPr>
        <w:t>TH</w:t>
      </w:r>
      <w:r>
        <w:rPr>
          <w:rFonts w:ascii="Arial" w:hAnsi="Arial" w:cs="Arial"/>
          <w:b/>
          <w:sz w:val="24"/>
          <w:szCs w:val="24"/>
        </w:rPr>
        <w:t xml:space="preserve"> RESPONDENT</w:t>
      </w:r>
    </w:p>
    <w:p w:rsidR="009F07D1" w:rsidRPr="00EE7F72" w:rsidRDefault="009F07D1" w:rsidP="00EE7F72">
      <w:pPr>
        <w:tabs>
          <w:tab w:val="right" w:pos="9356"/>
        </w:tabs>
        <w:spacing w:after="0" w:line="360" w:lineRule="auto"/>
        <w:rPr>
          <w:rFonts w:ascii="Arial" w:hAnsi="Arial" w:cs="Arial"/>
          <w:b/>
          <w:sz w:val="24"/>
          <w:szCs w:val="24"/>
        </w:rPr>
      </w:pPr>
      <w:r>
        <w:rPr>
          <w:rFonts w:ascii="Arial" w:hAnsi="Arial" w:cs="Arial"/>
          <w:b/>
          <w:sz w:val="24"/>
          <w:szCs w:val="24"/>
        </w:rPr>
        <w:t>FIRST NATIONAL BANK OF NAMIBIA LIMITED</w:t>
      </w:r>
      <w:r>
        <w:rPr>
          <w:rFonts w:ascii="Arial" w:hAnsi="Arial" w:cs="Arial"/>
          <w:b/>
          <w:sz w:val="24"/>
          <w:szCs w:val="24"/>
        </w:rPr>
        <w:tab/>
        <w:t>6</w:t>
      </w:r>
      <w:r w:rsidRPr="009F07D1">
        <w:rPr>
          <w:rFonts w:ascii="Arial" w:hAnsi="Arial" w:cs="Arial"/>
          <w:b/>
          <w:sz w:val="24"/>
          <w:szCs w:val="24"/>
          <w:vertAlign w:val="superscript"/>
        </w:rPr>
        <w:t>TH</w:t>
      </w:r>
      <w:r>
        <w:rPr>
          <w:rFonts w:ascii="Arial" w:hAnsi="Arial" w:cs="Arial"/>
          <w:b/>
          <w:sz w:val="24"/>
          <w:szCs w:val="24"/>
        </w:rPr>
        <w:t xml:space="preserve"> RESPONDENT</w:t>
      </w:r>
    </w:p>
    <w:p w:rsidR="00EE7F72" w:rsidRPr="00EE7F72" w:rsidRDefault="00EE7F72" w:rsidP="00EE7F72">
      <w:pPr>
        <w:tabs>
          <w:tab w:val="right" w:pos="9356"/>
        </w:tabs>
        <w:spacing w:after="0" w:line="360" w:lineRule="auto"/>
        <w:rPr>
          <w:rFonts w:ascii="Arial" w:hAnsi="Arial" w:cs="Arial"/>
          <w:b/>
          <w:sz w:val="24"/>
          <w:szCs w:val="24"/>
        </w:rPr>
      </w:pPr>
    </w:p>
    <w:p w:rsidR="00EE7F72" w:rsidRPr="00EE7F72" w:rsidRDefault="00EE7F72" w:rsidP="00EE7F72">
      <w:pPr>
        <w:tabs>
          <w:tab w:val="right" w:pos="9356"/>
        </w:tabs>
        <w:spacing w:after="0" w:line="360" w:lineRule="auto"/>
        <w:jc w:val="both"/>
        <w:rPr>
          <w:rFonts w:ascii="Arial" w:hAnsi="Arial" w:cs="Arial"/>
          <w:b/>
          <w:sz w:val="24"/>
          <w:szCs w:val="24"/>
        </w:rPr>
      </w:pPr>
      <w:r w:rsidRPr="00EE7F72">
        <w:rPr>
          <w:rFonts w:ascii="Arial" w:hAnsi="Arial" w:cs="Arial"/>
          <w:b/>
          <w:sz w:val="24"/>
          <w:szCs w:val="24"/>
        </w:rPr>
        <w:t>Neutral Citation</w:t>
      </w:r>
      <w:r w:rsidRPr="00EE7F72">
        <w:rPr>
          <w:rFonts w:ascii="Arial" w:hAnsi="Arial" w:cs="Arial"/>
          <w:b/>
          <w:i/>
          <w:sz w:val="24"/>
          <w:szCs w:val="24"/>
        </w:rPr>
        <w:t xml:space="preserve">: </w:t>
      </w:r>
      <w:r w:rsidR="009F07D1">
        <w:rPr>
          <w:rFonts w:ascii="Arial" w:hAnsi="Arial" w:cs="Arial"/>
          <w:i/>
          <w:sz w:val="24"/>
          <w:szCs w:val="24"/>
        </w:rPr>
        <w:t>Old Mutual Life Assurance Company (Namibia) Ltd</w:t>
      </w:r>
      <w:r w:rsidRPr="00EE7F72">
        <w:rPr>
          <w:rFonts w:ascii="Arial" w:hAnsi="Arial" w:cs="Arial"/>
          <w:i/>
          <w:sz w:val="24"/>
          <w:szCs w:val="24"/>
        </w:rPr>
        <w:t xml:space="preserve"> vs </w:t>
      </w:r>
      <w:r w:rsidR="009F07D1">
        <w:rPr>
          <w:rFonts w:ascii="Arial" w:hAnsi="Arial" w:cs="Arial"/>
          <w:i/>
          <w:sz w:val="24"/>
          <w:szCs w:val="24"/>
        </w:rPr>
        <w:t>Deputy Sheriff of Windhoek</w:t>
      </w:r>
      <w:r w:rsidRPr="00EE7F72">
        <w:rPr>
          <w:rFonts w:ascii="Arial" w:hAnsi="Arial" w:cs="Arial"/>
          <w:i/>
          <w:sz w:val="24"/>
          <w:szCs w:val="24"/>
        </w:rPr>
        <w:t xml:space="preserve"> </w:t>
      </w:r>
      <w:r w:rsidRPr="00EE7F72">
        <w:rPr>
          <w:rFonts w:ascii="Arial" w:hAnsi="Arial" w:cs="Arial"/>
          <w:sz w:val="24"/>
          <w:szCs w:val="24"/>
        </w:rPr>
        <w:t>(</w:t>
      </w:r>
      <w:r w:rsidR="00C70D24" w:rsidRPr="00EE7F72">
        <w:rPr>
          <w:rFonts w:ascii="Arial" w:hAnsi="Arial" w:cs="Arial"/>
          <w:sz w:val="24"/>
          <w:szCs w:val="24"/>
        </w:rPr>
        <w:t>HC-MD-CIV-MOT-</w:t>
      </w:r>
      <w:r w:rsidR="00C70D24">
        <w:rPr>
          <w:rFonts w:ascii="Arial" w:hAnsi="Arial" w:cs="Arial"/>
          <w:sz w:val="24"/>
          <w:szCs w:val="24"/>
        </w:rPr>
        <w:t>REV</w:t>
      </w:r>
      <w:r w:rsidR="00C70D24" w:rsidRPr="00EE7F72">
        <w:rPr>
          <w:rFonts w:ascii="Arial" w:hAnsi="Arial" w:cs="Arial"/>
          <w:sz w:val="24"/>
          <w:szCs w:val="24"/>
        </w:rPr>
        <w:t>-20</w:t>
      </w:r>
      <w:r w:rsidR="00C70D24">
        <w:rPr>
          <w:rFonts w:ascii="Arial" w:hAnsi="Arial" w:cs="Arial"/>
          <w:sz w:val="24"/>
          <w:szCs w:val="24"/>
        </w:rPr>
        <w:t>18</w:t>
      </w:r>
      <w:r w:rsidR="00C70D24" w:rsidRPr="00EE7F72">
        <w:rPr>
          <w:rFonts w:ascii="Arial" w:hAnsi="Arial" w:cs="Arial"/>
          <w:sz w:val="24"/>
          <w:szCs w:val="24"/>
        </w:rPr>
        <w:t>/</w:t>
      </w:r>
      <w:r w:rsidR="00C70D24">
        <w:rPr>
          <w:rFonts w:ascii="Arial" w:hAnsi="Arial" w:cs="Arial"/>
          <w:sz w:val="24"/>
          <w:szCs w:val="24"/>
        </w:rPr>
        <w:t>0</w:t>
      </w:r>
      <w:r w:rsidR="00C70D24" w:rsidRPr="00EE7F72">
        <w:rPr>
          <w:rFonts w:ascii="Arial" w:hAnsi="Arial" w:cs="Arial"/>
          <w:sz w:val="24"/>
          <w:szCs w:val="24"/>
        </w:rPr>
        <w:t>0</w:t>
      </w:r>
      <w:r w:rsidR="00C70D24">
        <w:rPr>
          <w:rFonts w:ascii="Arial" w:hAnsi="Arial" w:cs="Arial"/>
          <w:sz w:val="24"/>
          <w:szCs w:val="24"/>
        </w:rPr>
        <w:t>454</w:t>
      </w:r>
      <w:r w:rsidRPr="00EE7F72">
        <w:rPr>
          <w:rFonts w:ascii="Arial" w:hAnsi="Arial" w:cs="Arial"/>
          <w:sz w:val="24"/>
          <w:szCs w:val="24"/>
        </w:rPr>
        <w:t xml:space="preserve">) [2021] NAHCMD </w:t>
      </w:r>
      <w:r w:rsidR="00BC18D0">
        <w:rPr>
          <w:rFonts w:ascii="Arial" w:hAnsi="Arial" w:cs="Arial"/>
          <w:sz w:val="24"/>
          <w:szCs w:val="24"/>
        </w:rPr>
        <w:t>88</w:t>
      </w:r>
      <w:r w:rsidRPr="00EE7F72">
        <w:rPr>
          <w:rFonts w:ascii="Arial" w:hAnsi="Arial" w:cs="Arial"/>
          <w:sz w:val="24"/>
          <w:szCs w:val="24"/>
        </w:rPr>
        <w:t xml:space="preserve"> (</w:t>
      </w:r>
      <w:r w:rsidR="009F07D1">
        <w:rPr>
          <w:rFonts w:ascii="Arial" w:hAnsi="Arial" w:cs="Arial"/>
          <w:sz w:val="24"/>
          <w:szCs w:val="24"/>
        </w:rPr>
        <w:t>26</w:t>
      </w:r>
      <w:r w:rsidRPr="00EE7F72">
        <w:rPr>
          <w:rFonts w:ascii="Arial" w:hAnsi="Arial" w:cs="Arial"/>
          <w:sz w:val="24"/>
          <w:szCs w:val="24"/>
        </w:rPr>
        <w:t xml:space="preserve"> February 2021)</w:t>
      </w:r>
    </w:p>
    <w:p w:rsidR="00EE7F72" w:rsidRPr="00EE7F72" w:rsidRDefault="00EE7F72" w:rsidP="00EE7F72">
      <w:pPr>
        <w:tabs>
          <w:tab w:val="right" w:pos="9356"/>
        </w:tabs>
        <w:spacing w:after="0" w:line="360" w:lineRule="auto"/>
        <w:rPr>
          <w:rFonts w:ascii="Arial" w:hAnsi="Arial" w:cs="Arial"/>
          <w:b/>
          <w:sz w:val="24"/>
          <w:szCs w:val="24"/>
        </w:rPr>
      </w:pPr>
    </w:p>
    <w:p w:rsidR="00EE7F72" w:rsidRPr="00EE7F72" w:rsidRDefault="00EE7F72" w:rsidP="00EE7F72">
      <w:pPr>
        <w:spacing w:after="0" w:line="360" w:lineRule="auto"/>
        <w:rPr>
          <w:rFonts w:ascii="Arial" w:hAnsi="Arial" w:cs="Arial"/>
          <w:b/>
          <w:sz w:val="24"/>
          <w:szCs w:val="24"/>
        </w:rPr>
      </w:pPr>
      <w:r w:rsidRPr="00EE7F72">
        <w:rPr>
          <w:rFonts w:ascii="Arial" w:hAnsi="Arial" w:cs="Arial"/>
          <w:b/>
          <w:sz w:val="24"/>
          <w:szCs w:val="24"/>
        </w:rPr>
        <w:lastRenderedPageBreak/>
        <w:t>CORAM:</w:t>
      </w:r>
      <w:r w:rsidRPr="00EE7F72">
        <w:rPr>
          <w:rFonts w:ascii="Arial" w:hAnsi="Arial" w:cs="Arial"/>
          <w:b/>
          <w:sz w:val="24"/>
          <w:szCs w:val="24"/>
        </w:rPr>
        <w:tab/>
      </w:r>
      <w:r w:rsidRPr="00CF035F">
        <w:rPr>
          <w:rFonts w:ascii="Arial" w:hAnsi="Arial" w:cs="Arial"/>
          <w:sz w:val="24"/>
          <w:szCs w:val="24"/>
        </w:rPr>
        <w:t>MILLER AJ</w:t>
      </w:r>
    </w:p>
    <w:p w:rsidR="00EE7F72" w:rsidRPr="00EE7F72" w:rsidRDefault="00EE7F72" w:rsidP="00EE7F72">
      <w:pPr>
        <w:spacing w:after="0" w:line="360" w:lineRule="auto"/>
        <w:rPr>
          <w:rFonts w:ascii="Arial" w:hAnsi="Arial" w:cs="Arial"/>
          <w:b/>
          <w:sz w:val="24"/>
          <w:szCs w:val="24"/>
        </w:rPr>
      </w:pPr>
      <w:r w:rsidRPr="00EE7F72">
        <w:rPr>
          <w:rFonts w:ascii="Arial" w:hAnsi="Arial" w:cs="Arial"/>
          <w:b/>
          <w:sz w:val="24"/>
          <w:szCs w:val="24"/>
        </w:rPr>
        <w:t xml:space="preserve">Heard: </w:t>
      </w:r>
      <w:r w:rsidRPr="00EE7F72">
        <w:rPr>
          <w:rFonts w:ascii="Arial" w:hAnsi="Arial" w:cs="Arial"/>
          <w:b/>
          <w:sz w:val="24"/>
          <w:szCs w:val="24"/>
        </w:rPr>
        <w:tab/>
      </w:r>
      <w:r w:rsidR="009F07D1">
        <w:rPr>
          <w:rFonts w:ascii="Arial" w:hAnsi="Arial" w:cs="Arial"/>
          <w:b/>
          <w:sz w:val="24"/>
          <w:szCs w:val="24"/>
        </w:rPr>
        <w:t>28</w:t>
      </w:r>
      <w:r w:rsidR="004F0F04" w:rsidRPr="004F0F04">
        <w:rPr>
          <w:rFonts w:ascii="Arial" w:hAnsi="Arial" w:cs="Arial"/>
          <w:b/>
          <w:sz w:val="24"/>
          <w:szCs w:val="24"/>
        </w:rPr>
        <w:t xml:space="preserve"> January 2021</w:t>
      </w:r>
    </w:p>
    <w:p w:rsidR="00EE7F72" w:rsidRPr="00EE7F72" w:rsidRDefault="004F0F04" w:rsidP="00EE7F72">
      <w:pPr>
        <w:spacing w:after="0" w:line="360" w:lineRule="auto"/>
        <w:rPr>
          <w:rFonts w:ascii="Arial" w:hAnsi="Arial" w:cs="Arial"/>
          <w:b/>
          <w:sz w:val="24"/>
          <w:szCs w:val="24"/>
        </w:rPr>
      </w:pPr>
      <w:r>
        <w:rPr>
          <w:rFonts w:ascii="Arial" w:hAnsi="Arial" w:cs="Arial"/>
          <w:b/>
          <w:sz w:val="24"/>
          <w:szCs w:val="24"/>
        </w:rPr>
        <w:t xml:space="preserve">Delivered:  </w:t>
      </w:r>
      <w:r>
        <w:rPr>
          <w:rFonts w:ascii="Arial" w:hAnsi="Arial" w:cs="Arial"/>
          <w:b/>
          <w:sz w:val="24"/>
          <w:szCs w:val="24"/>
        </w:rPr>
        <w:tab/>
      </w:r>
      <w:r w:rsidR="009F07D1">
        <w:rPr>
          <w:rFonts w:ascii="Arial" w:hAnsi="Arial" w:cs="Arial"/>
          <w:b/>
          <w:sz w:val="24"/>
          <w:szCs w:val="24"/>
        </w:rPr>
        <w:t>26</w:t>
      </w:r>
      <w:r>
        <w:rPr>
          <w:rFonts w:ascii="Arial" w:hAnsi="Arial" w:cs="Arial"/>
          <w:b/>
          <w:sz w:val="24"/>
          <w:szCs w:val="24"/>
        </w:rPr>
        <w:t xml:space="preserve"> February 2021</w:t>
      </w:r>
    </w:p>
    <w:p w:rsidR="00EE7F72" w:rsidRPr="00EE7F72" w:rsidRDefault="00EE7F72" w:rsidP="00EE7F72">
      <w:pPr>
        <w:spacing w:after="0" w:line="360" w:lineRule="auto"/>
        <w:rPr>
          <w:rFonts w:ascii="Arial" w:hAnsi="Arial" w:cs="Arial"/>
          <w:b/>
          <w:sz w:val="24"/>
          <w:szCs w:val="24"/>
        </w:rPr>
      </w:pPr>
    </w:p>
    <w:p w:rsidR="00EE7F72" w:rsidRPr="00895850" w:rsidRDefault="00EE7F72" w:rsidP="00EE7F72">
      <w:pPr>
        <w:spacing w:after="0" w:line="360" w:lineRule="auto"/>
        <w:jc w:val="both"/>
        <w:rPr>
          <w:rFonts w:ascii="Arial" w:hAnsi="Arial" w:cs="Arial"/>
          <w:sz w:val="24"/>
          <w:szCs w:val="24"/>
        </w:rPr>
      </w:pPr>
      <w:r w:rsidRPr="00EE7F72">
        <w:rPr>
          <w:rFonts w:ascii="Arial" w:hAnsi="Arial" w:cs="Arial"/>
          <w:b/>
          <w:sz w:val="24"/>
          <w:szCs w:val="24"/>
        </w:rPr>
        <w:t>Flynote:</w:t>
      </w:r>
      <w:r w:rsidR="00895850">
        <w:rPr>
          <w:rFonts w:ascii="Arial" w:hAnsi="Arial" w:cs="Arial"/>
          <w:b/>
          <w:sz w:val="24"/>
          <w:szCs w:val="24"/>
        </w:rPr>
        <w:tab/>
      </w:r>
      <w:r w:rsidR="00A62094">
        <w:rPr>
          <w:rFonts w:ascii="Arial" w:hAnsi="Arial" w:cs="Arial"/>
          <w:sz w:val="24"/>
          <w:szCs w:val="24"/>
        </w:rPr>
        <w:t>Practice – Execution of immovable property – Requirements for rule 109 and 110 to be complied with – Language used in the said rules, whether same indicating to be peremptory or not</w:t>
      </w:r>
      <w:r w:rsidR="00E62E68">
        <w:rPr>
          <w:rFonts w:ascii="Arial" w:hAnsi="Arial" w:cs="Arial"/>
          <w:sz w:val="24"/>
          <w:szCs w:val="24"/>
        </w:rPr>
        <w:t>.</w:t>
      </w:r>
    </w:p>
    <w:p w:rsidR="00EE7F72" w:rsidRPr="00EE7F72" w:rsidRDefault="00EE7F72" w:rsidP="00EE7F72">
      <w:pPr>
        <w:spacing w:after="0" w:line="360" w:lineRule="auto"/>
        <w:rPr>
          <w:rFonts w:ascii="Arial" w:hAnsi="Arial" w:cs="Arial"/>
          <w:sz w:val="24"/>
          <w:szCs w:val="24"/>
        </w:rPr>
      </w:pPr>
    </w:p>
    <w:p w:rsidR="0070196C" w:rsidRDefault="00EE7F72" w:rsidP="009F07D1">
      <w:pPr>
        <w:spacing w:after="0" w:line="360" w:lineRule="auto"/>
        <w:jc w:val="both"/>
        <w:rPr>
          <w:rFonts w:ascii="Arial" w:hAnsi="Arial" w:cs="Arial"/>
          <w:bCs/>
          <w:sz w:val="24"/>
          <w:szCs w:val="24"/>
        </w:rPr>
      </w:pPr>
      <w:r w:rsidRPr="00EE7F72">
        <w:rPr>
          <w:rFonts w:ascii="Arial" w:hAnsi="Arial" w:cs="Arial"/>
          <w:b/>
          <w:sz w:val="24"/>
          <w:szCs w:val="24"/>
        </w:rPr>
        <w:t>Summary:</w:t>
      </w:r>
      <w:r w:rsidRPr="00EE7F72">
        <w:rPr>
          <w:rFonts w:ascii="Arial" w:hAnsi="Arial" w:cs="Arial"/>
          <w:b/>
          <w:sz w:val="24"/>
          <w:szCs w:val="24"/>
        </w:rPr>
        <w:tab/>
      </w:r>
      <w:r w:rsidR="00E62E68">
        <w:rPr>
          <w:rFonts w:ascii="Arial" w:hAnsi="Arial" w:cs="Arial"/>
          <w:sz w:val="24"/>
          <w:szCs w:val="24"/>
        </w:rPr>
        <w:t>The present matter involved an</w:t>
      </w:r>
      <w:r w:rsidR="00E62E68" w:rsidRPr="00E62E68">
        <w:rPr>
          <w:rFonts w:ascii="Arial" w:hAnsi="Arial" w:cs="Arial"/>
          <w:bCs/>
          <w:sz w:val="24"/>
          <w:szCs w:val="24"/>
        </w:rPr>
        <w:t xml:space="preserve"> immovable</w:t>
      </w:r>
      <w:r w:rsidR="00E62E68">
        <w:rPr>
          <w:rFonts w:ascii="Arial" w:hAnsi="Arial" w:cs="Arial"/>
          <w:bCs/>
          <w:sz w:val="24"/>
          <w:szCs w:val="24"/>
        </w:rPr>
        <w:t xml:space="preserve"> property that</w:t>
      </w:r>
      <w:r w:rsidR="00E62E68" w:rsidRPr="00E62E68">
        <w:rPr>
          <w:rFonts w:ascii="Arial" w:hAnsi="Arial" w:cs="Arial"/>
          <w:bCs/>
          <w:sz w:val="24"/>
          <w:szCs w:val="24"/>
        </w:rPr>
        <w:t xml:space="preserve"> was attached by the first respondent on the instructions</w:t>
      </w:r>
      <w:r w:rsidR="00E62E68">
        <w:rPr>
          <w:rFonts w:ascii="Arial" w:hAnsi="Arial" w:cs="Arial"/>
          <w:bCs/>
          <w:sz w:val="24"/>
          <w:szCs w:val="24"/>
        </w:rPr>
        <w:t xml:space="preserve"> of the applicant, to which </w:t>
      </w:r>
      <w:r w:rsidR="00E62E68" w:rsidRPr="00E62E68">
        <w:rPr>
          <w:rFonts w:ascii="Arial" w:hAnsi="Arial" w:cs="Arial"/>
          <w:bCs/>
          <w:sz w:val="24"/>
          <w:szCs w:val="24"/>
        </w:rPr>
        <w:t>a sale thereof in execution was held on 11 September 2018.</w:t>
      </w:r>
      <w:r w:rsidR="00E62E68">
        <w:rPr>
          <w:rFonts w:ascii="Arial" w:hAnsi="Arial" w:cs="Arial"/>
          <w:bCs/>
          <w:sz w:val="24"/>
          <w:szCs w:val="24"/>
        </w:rPr>
        <w:t xml:space="preserve"> What brought rise to the application before me was an</w:t>
      </w:r>
      <w:r w:rsidR="00E62E68" w:rsidRPr="00E62E68">
        <w:rPr>
          <w:rFonts w:ascii="Arial" w:hAnsi="Arial" w:cs="Arial"/>
          <w:bCs/>
          <w:sz w:val="24"/>
          <w:szCs w:val="24"/>
        </w:rPr>
        <w:t xml:space="preserve"> ostensible factual dispute particularly concerning the discussion between the first respondent and two representatives of the applicant immediately prior to the sale in execution proceedings.  </w:t>
      </w:r>
    </w:p>
    <w:p w:rsidR="00A62094" w:rsidRDefault="00A62094" w:rsidP="009F07D1">
      <w:pPr>
        <w:spacing w:after="0" w:line="360" w:lineRule="auto"/>
        <w:jc w:val="both"/>
        <w:rPr>
          <w:rFonts w:ascii="Arial" w:hAnsi="Arial" w:cs="Arial"/>
          <w:b/>
          <w:sz w:val="24"/>
          <w:szCs w:val="24"/>
        </w:rPr>
      </w:pPr>
    </w:p>
    <w:p w:rsidR="00E62E68" w:rsidRDefault="00E62E68" w:rsidP="009F07D1">
      <w:pPr>
        <w:spacing w:after="0" w:line="360" w:lineRule="auto"/>
        <w:jc w:val="both"/>
        <w:rPr>
          <w:rFonts w:ascii="Arial" w:hAnsi="Arial" w:cs="Arial"/>
          <w:sz w:val="24"/>
          <w:szCs w:val="24"/>
        </w:rPr>
      </w:pPr>
      <w:r w:rsidRPr="00CF035F">
        <w:rPr>
          <w:rFonts w:ascii="Arial" w:hAnsi="Arial" w:cs="Arial"/>
          <w:i/>
          <w:sz w:val="24"/>
          <w:szCs w:val="24"/>
        </w:rPr>
        <w:t>Held</w:t>
      </w:r>
      <w:r>
        <w:rPr>
          <w:rFonts w:ascii="Arial" w:hAnsi="Arial" w:cs="Arial"/>
          <w:sz w:val="24"/>
          <w:szCs w:val="24"/>
        </w:rPr>
        <w:t xml:space="preserve"> – A perusal of Rules 109 and 110 will show that the words “must” and “may” are used interchangeably.  That is in itself a strong indication of what the drafter of the Rules considered to be mandatory requirements and what directory requirements are.</w:t>
      </w:r>
    </w:p>
    <w:p w:rsidR="00E62E68" w:rsidRDefault="00E62E68" w:rsidP="009F07D1">
      <w:pPr>
        <w:spacing w:after="0" w:line="360" w:lineRule="auto"/>
        <w:jc w:val="both"/>
        <w:rPr>
          <w:rFonts w:ascii="Arial" w:hAnsi="Arial" w:cs="Arial"/>
          <w:sz w:val="24"/>
          <w:szCs w:val="24"/>
        </w:rPr>
      </w:pPr>
    </w:p>
    <w:p w:rsidR="00E62E68" w:rsidRDefault="00E62E68" w:rsidP="009F07D1">
      <w:pPr>
        <w:spacing w:after="0" w:line="360" w:lineRule="auto"/>
        <w:jc w:val="both"/>
        <w:rPr>
          <w:rFonts w:ascii="Arial" w:hAnsi="Arial" w:cs="Arial"/>
          <w:sz w:val="24"/>
          <w:szCs w:val="24"/>
        </w:rPr>
      </w:pPr>
      <w:r w:rsidRPr="00CF035F">
        <w:rPr>
          <w:rFonts w:ascii="Arial" w:hAnsi="Arial" w:cs="Arial"/>
          <w:i/>
          <w:sz w:val="24"/>
          <w:szCs w:val="24"/>
        </w:rPr>
        <w:t xml:space="preserve">Held </w:t>
      </w:r>
      <w:r>
        <w:rPr>
          <w:rFonts w:ascii="Arial" w:hAnsi="Arial" w:cs="Arial"/>
          <w:sz w:val="24"/>
          <w:szCs w:val="24"/>
        </w:rPr>
        <w:t>– It follows that an immovable may only be sold, in these circumstances, without a reserve price if the preferred creditor or local authority failed to stipulate a reasonable reserve price or in circumstances where the deputy-sheriff is satisfied that it is impossible to notify any preferred creditor.</w:t>
      </w:r>
    </w:p>
    <w:p w:rsidR="00E62E68" w:rsidRDefault="00E62E68" w:rsidP="009F07D1">
      <w:pPr>
        <w:spacing w:after="0" w:line="360" w:lineRule="auto"/>
        <w:jc w:val="both"/>
        <w:rPr>
          <w:rFonts w:ascii="Arial" w:hAnsi="Arial" w:cs="Arial"/>
          <w:sz w:val="24"/>
          <w:szCs w:val="24"/>
        </w:rPr>
      </w:pPr>
    </w:p>
    <w:p w:rsidR="00E62E68" w:rsidRPr="00A62094" w:rsidRDefault="00E62E68" w:rsidP="009F07D1">
      <w:pPr>
        <w:spacing w:after="0" w:line="360" w:lineRule="auto"/>
        <w:jc w:val="both"/>
        <w:rPr>
          <w:rFonts w:ascii="Arial" w:hAnsi="Arial" w:cs="Arial"/>
          <w:sz w:val="24"/>
          <w:szCs w:val="24"/>
          <w:shd w:val="clear" w:color="auto" w:fill="FCFCFC"/>
        </w:rPr>
      </w:pPr>
      <w:r w:rsidRPr="00CF035F">
        <w:rPr>
          <w:rFonts w:ascii="Arial" w:hAnsi="Arial" w:cs="Arial"/>
          <w:i/>
          <w:sz w:val="24"/>
          <w:szCs w:val="24"/>
        </w:rPr>
        <w:t xml:space="preserve">Held </w:t>
      </w:r>
      <w:r>
        <w:rPr>
          <w:rFonts w:ascii="Arial" w:hAnsi="Arial" w:cs="Arial"/>
          <w:sz w:val="24"/>
          <w:szCs w:val="24"/>
        </w:rPr>
        <w:t>– In considering the not merely the words used but the context of particularly Rules 109 and 110, it is apparent that some provision is made to protect the rights of bond holders and local or regional authorities. When considered in context I conclude that the word “must” where it appears imposes a mandatory obligation on the Deputy-Sheriff or the judgment creditor as the case may be.</w:t>
      </w:r>
    </w:p>
    <w:p w:rsidR="00EE7F72" w:rsidRDefault="00EE7F72" w:rsidP="00EE7F72">
      <w:pPr>
        <w:spacing w:after="0" w:line="360" w:lineRule="auto"/>
        <w:jc w:val="both"/>
        <w:rPr>
          <w:rFonts w:ascii="Arial" w:hAnsi="Arial" w:cs="Arial"/>
          <w:b/>
          <w:sz w:val="24"/>
          <w:szCs w:val="24"/>
        </w:rPr>
      </w:pPr>
    </w:p>
    <w:p w:rsidR="00E62E68" w:rsidRDefault="00E62E68" w:rsidP="00E62E68">
      <w:pPr>
        <w:spacing w:after="0" w:line="360" w:lineRule="auto"/>
        <w:jc w:val="both"/>
        <w:rPr>
          <w:rFonts w:ascii="Arial" w:hAnsi="Arial" w:cs="Arial"/>
          <w:sz w:val="24"/>
          <w:szCs w:val="24"/>
        </w:rPr>
      </w:pPr>
      <w:r w:rsidRPr="00CF035F">
        <w:rPr>
          <w:rFonts w:ascii="Arial" w:hAnsi="Arial" w:cs="Arial"/>
          <w:i/>
          <w:sz w:val="24"/>
          <w:szCs w:val="24"/>
        </w:rPr>
        <w:lastRenderedPageBreak/>
        <w:t>Held</w:t>
      </w:r>
      <w:r>
        <w:rPr>
          <w:rFonts w:ascii="Arial" w:hAnsi="Arial" w:cs="Arial"/>
          <w:sz w:val="24"/>
          <w:szCs w:val="24"/>
        </w:rPr>
        <w:t xml:space="preserve"> – Rules 109 and 110 insofar as they relate to bond holders or local or regional authorities were drafted to ensure adequate protection of their rights as a pre-emptive measure. Fundamental to this is the fact that they must as a first step be notified that the property is to be sold in execution. Non-compliance will defeat the object and intention of the Rules and will lead to a nullity in the case of non-compliance.  Bond holders must be notified in advance, to enable them to exercise the rights offered to them.  It is not intended that they should found out </w:t>
      </w:r>
      <w:r w:rsidRPr="005E69ED">
        <w:rPr>
          <w:rFonts w:ascii="Arial" w:hAnsi="Arial" w:cs="Arial"/>
          <w:i/>
          <w:sz w:val="24"/>
          <w:szCs w:val="24"/>
        </w:rPr>
        <w:t>ex post facto</w:t>
      </w:r>
      <w:r>
        <w:rPr>
          <w:rFonts w:ascii="Arial" w:hAnsi="Arial" w:cs="Arial"/>
          <w:sz w:val="24"/>
          <w:szCs w:val="24"/>
        </w:rPr>
        <w:t xml:space="preserve"> that a property over which they have rights had been sold.</w:t>
      </w:r>
    </w:p>
    <w:p w:rsidR="00EE7F72" w:rsidRPr="00EE7F72" w:rsidRDefault="00EE7F72" w:rsidP="00EE7F72">
      <w:pPr>
        <w:pBdr>
          <w:bottom w:val="single" w:sz="6" w:space="1" w:color="auto"/>
        </w:pBdr>
        <w:spacing w:after="0" w:line="360" w:lineRule="auto"/>
        <w:jc w:val="both"/>
        <w:rPr>
          <w:rFonts w:ascii="Arial" w:hAnsi="Arial" w:cs="Arial"/>
          <w:b/>
          <w:sz w:val="24"/>
          <w:szCs w:val="24"/>
        </w:rPr>
      </w:pPr>
    </w:p>
    <w:p w:rsidR="00EE7F72" w:rsidRPr="00EE7F72" w:rsidRDefault="00EE7F72" w:rsidP="00EE7F72">
      <w:pPr>
        <w:spacing w:after="0" w:line="240" w:lineRule="auto"/>
        <w:rPr>
          <w:rFonts w:ascii="Arial" w:hAnsi="Arial" w:cs="Arial"/>
          <w:b/>
          <w:sz w:val="24"/>
          <w:szCs w:val="24"/>
        </w:rPr>
      </w:pPr>
    </w:p>
    <w:p w:rsidR="00EE7F72" w:rsidRPr="00EE7F72" w:rsidRDefault="00EE7F72" w:rsidP="00EE7F72">
      <w:pPr>
        <w:spacing w:after="0" w:line="240" w:lineRule="auto"/>
        <w:jc w:val="center"/>
        <w:rPr>
          <w:rFonts w:ascii="Arial" w:hAnsi="Arial" w:cs="Arial"/>
          <w:b/>
          <w:sz w:val="24"/>
          <w:szCs w:val="24"/>
        </w:rPr>
      </w:pPr>
      <w:r w:rsidRPr="00EE7F72">
        <w:rPr>
          <w:rFonts w:ascii="Arial" w:hAnsi="Arial" w:cs="Arial"/>
          <w:b/>
          <w:sz w:val="24"/>
          <w:szCs w:val="24"/>
        </w:rPr>
        <w:t>ORDER</w:t>
      </w:r>
    </w:p>
    <w:p w:rsidR="00EE7F72" w:rsidRPr="00EE7F72" w:rsidRDefault="00EE7F72" w:rsidP="00EE7F72">
      <w:pPr>
        <w:pBdr>
          <w:bottom w:val="single" w:sz="6" w:space="1" w:color="auto"/>
        </w:pBdr>
        <w:spacing w:after="0" w:line="240" w:lineRule="auto"/>
        <w:jc w:val="center"/>
        <w:rPr>
          <w:rFonts w:ascii="Arial" w:hAnsi="Arial" w:cs="Arial"/>
          <w:b/>
          <w:sz w:val="24"/>
          <w:szCs w:val="24"/>
        </w:rPr>
      </w:pPr>
    </w:p>
    <w:p w:rsidR="00EE7F72" w:rsidRPr="00120313" w:rsidRDefault="00EE7F72" w:rsidP="00120313">
      <w:pPr>
        <w:spacing w:after="0" w:line="360" w:lineRule="auto"/>
        <w:rPr>
          <w:rFonts w:ascii="Arial" w:hAnsi="Arial" w:cs="Arial"/>
          <w:b/>
          <w:sz w:val="24"/>
          <w:szCs w:val="24"/>
        </w:rPr>
      </w:pPr>
    </w:p>
    <w:p w:rsidR="004E0580" w:rsidRDefault="004E0580" w:rsidP="004E0580">
      <w:pPr>
        <w:pStyle w:val="ListParagraph"/>
        <w:numPr>
          <w:ilvl w:val="0"/>
          <w:numId w:val="8"/>
        </w:numPr>
        <w:spacing w:after="0" w:line="360" w:lineRule="auto"/>
        <w:ind w:hanging="720"/>
        <w:jc w:val="both"/>
        <w:rPr>
          <w:rFonts w:ascii="Arial" w:hAnsi="Arial" w:cs="Arial"/>
          <w:sz w:val="24"/>
          <w:szCs w:val="24"/>
        </w:rPr>
      </w:pPr>
      <w:r>
        <w:rPr>
          <w:rFonts w:ascii="Arial" w:hAnsi="Arial" w:cs="Arial"/>
          <w:sz w:val="24"/>
          <w:szCs w:val="24"/>
        </w:rPr>
        <w:t>I grant prayer 1 of the Notice of Motion.</w:t>
      </w:r>
    </w:p>
    <w:p w:rsidR="004E0580" w:rsidRDefault="004E0580" w:rsidP="004E0580">
      <w:pPr>
        <w:pStyle w:val="ListParagraph"/>
        <w:spacing w:after="0" w:line="360" w:lineRule="auto"/>
        <w:jc w:val="both"/>
        <w:rPr>
          <w:rFonts w:ascii="Arial" w:hAnsi="Arial" w:cs="Arial"/>
          <w:sz w:val="24"/>
          <w:szCs w:val="24"/>
        </w:rPr>
      </w:pPr>
    </w:p>
    <w:p w:rsidR="004E0580" w:rsidRPr="009B4D63" w:rsidRDefault="004E0580" w:rsidP="004E0580">
      <w:pPr>
        <w:pStyle w:val="ListParagraph"/>
        <w:numPr>
          <w:ilvl w:val="0"/>
          <w:numId w:val="8"/>
        </w:numPr>
        <w:spacing w:after="0" w:line="360" w:lineRule="auto"/>
        <w:ind w:hanging="720"/>
        <w:jc w:val="both"/>
        <w:rPr>
          <w:rFonts w:ascii="Arial" w:hAnsi="Arial" w:cs="Arial"/>
          <w:sz w:val="24"/>
          <w:szCs w:val="24"/>
        </w:rPr>
      </w:pPr>
      <w:r>
        <w:rPr>
          <w:rFonts w:ascii="Arial" w:hAnsi="Arial" w:cs="Arial"/>
          <w:sz w:val="24"/>
          <w:szCs w:val="24"/>
        </w:rPr>
        <w:t>The second respondent is ordered to pay the applicant’s costs, which costs will include the costs of one instructing- and one instructed counsel.</w:t>
      </w:r>
      <w:r w:rsidRPr="009B4D63">
        <w:rPr>
          <w:rFonts w:ascii="Arial" w:hAnsi="Arial" w:cs="Arial"/>
          <w:sz w:val="24"/>
          <w:szCs w:val="24"/>
        </w:rPr>
        <w:t xml:space="preserve">   </w:t>
      </w:r>
    </w:p>
    <w:p w:rsidR="00EE7F72" w:rsidRPr="00120313" w:rsidRDefault="00EE7F72" w:rsidP="00F05242">
      <w:pPr>
        <w:spacing w:after="0" w:line="360" w:lineRule="auto"/>
        <w:jc w:val="both"/>
        <w:rPr>
          <w:rFonts w:ascii="Arial" w:hAnsi="Arial" w:cs="Arial"/>
          <w:sz w:val="24"/>
          <w:szCs w:val="24"/>
        </w:rPr>
      </w:pPr>
      <w:r w:rsidRPr="00120313">
        <w:rPr>
          <w:rFonts w:ascii="Arial" w:hAnsi="Arial" w:cs="Arial"/>
          <w:sz w:val="24"/>
          <w:szCs w:val="24"/>
        </w:rPr>
        <w:t>______________________________________________</w:t>
      </w:r>
      <w:r w:rsidR="00120313" w:rsidRPr="00120313">
        <w:rPr>
          <w:rFonts w:ascii="Arial" w:hAnsi="Arial" w:cs="Arial"/>
          <w:sz w:val="24"/>
          <w:szCs w:val="24"/>
        </w:rPr>
        <w:t>________________________</w:t>
      </w:r>
    </w:p>
    <w:p w:rsidR="00120313" w:rsidRPr="00120313" w:rsidRDefault="00120313" w:rsidP="00120313">
      <w:pPr>
        <w:spacing w:after="0" w:line="240" w:lineRule="auto"/>
        <w:jc w:val="center"/>
        <w:rPr>
          <w:rFonts w:ascii="Arial" w:hAnsi="Arial" w:cs="Arial"/>
          <w:b/>
          <w:sz w:val="24"/>
          <w:szCs w:val="24"/>
        </w:rPr>
      </w:pPr>
    </w:p>
    <w:p w:rsidR="00120313" w:rsidRPr="00120313" w:rsidRDefault="00EE7F72" w:rsidP="00120313">
      <w:pPr>
        <w:spacing w:after="0" w:line="240" w:lineRule="auto"/>
        <w:jc w:val="center"/>
        <w:rPr>
          <w:rFonts w:ascii="Arial" w:hAnsi="Arial" w:cs="Arial"/>
          <w:b/>
          <w:sz w:val="24"/>
          <w:szCs w:val="24"/>
        </w:rPr>
      </w:pPr>
      <w:r w:rsidRPr="00120313">
        <w:rPr>
          <w:rFonts w:ascii="Arial" w:hAnsi="Arial" w:cs="Arial"/>
          <w:b/>
          <w:sz w:val="24"/>
          <w:szCs w:val="24"/>
        </w:rPr>
        <w:t>RULING</w:t>
      </w:r>
    </w:p>
    <w:p w:rsidR="00164A77" w:rsidRPr="00120313" w:rsidRDefault="00164A77" w:rsidP="00120313">
      <w:pPr>
        <w:spacing w:after="0" w:line="240" w:lineRule="auto"/>
        <w:rPr>
          <w:rFonts w:ascii="Arial" w:hAnsi="Arial" w:cs="Arial"/>
        </w:rPr>
      </w:pPr>
      <w:r w:rsidRPr="00120313">
        <w:rPr>
          <w:rFonts w:ascii="Arial" w:hAnsi="Arial" w:cs="Arial"/>
          <w:sz w:val="24"/>
          <w:szCs w:val="24"/>
        </w:rPr>
        <w:t>______________________________________________</w:t>
      </w:r>
      <w:r w:rsidR="00120313">
        <w:rPr>
          <w:rFonts w:ascii="Arial" w:hAnsi="Arial" w:cs="Arial"/>
          <w:sz w:val="24"/>
          <w:szCs w:val="24"/>
        </w:rPr>
        <w:t>________________________</w:t>
      </w:r>
    </w:p>
    <w:p w:rsidR="00164A77" w:rsidRPr="00EE7F72" w:rsidRDefault="00164A77" w:rsidP="00EE7F72">
      <w:pPr>
        <w:rPr>
          <w:sz w:val="24"/>
          <w:szCs w:val="24"/>
        </w:rPr>
      </w:pPr>
    </w:p>
    <w:p w:rsidR="00EE7F72" w:rsidRDefault="00120313" w:rsidP="00EE7F72">
      <w:pPr>
        <w:spacing w:after="0" w:line="360" w:lineRule="auto"/>
        <w:jc w:val="both"/>
        <w:rPr>
          <w:rFonts w:ascii="Arial" w:hAnsi="Arial" w:cs="Arial"/>
          <w:sz w:val="24"/>
          <w:szCs w:val="24"/>
        </w:rPr>
      </w:pPr>
      <w:r>
        <w:rPr>
          <w:rFonts w:ascii="Arial" w:hAnsi="Arial" w:cs="Arial"/>
          <w:sz w:val="24"/>
          <w:szCs w:val="24"/>
        </w:rPr>
        <w:t>MILLER AJ:</w:t>
      </w:r>
    </w:p>
    <w:p w:rsidR="00120313" w:rsidRPr="00120313" w:rsidRDefault="00120313" w:rsidP="00EE7F72">
      <w:pPr>
        <w:spacing w:after="0" w:line="360" w:lineRule="auto"/>
        <w:jc w:val="both"/>
        <w:rPr>
          <w:rFonts w:ascii="Arial" w:hAnsi="Arial" w:cs="Arial"/>
          <w:sz w:val="24"/>
          <w:szCs w:val="24"/>
        </w:rPr>
      </w:pPr>
    </w:p>
    <w:p w:rsidR="00EE7F72" w:rsidRDefault="00EE7F72" w:rsidP="00E95CE9">
      <w:pPr>
        <w:spacing w:after="0" w:line="360" w:lineRule="auto"/>
        <w:jc w:val="both"/>
        <w:rPr>
          <w:rFonts w:ascii="Arial" w:hAnsi="Arial" w:cs="Arial"/>
          <w:bCs/>
          <w:sz w:val="24"/>
          <w:szCs w:val="24"/>
        </w:rPr>
      </w:pPr>
      <w:r w:rsidRPr="00EE7F72">
        <w:rPr>
          <w:rFonts w:ascii="Arial" w:hAnsi="Arial" w:cs="Arial"/>
          <w:bCs/>
          <w:sz w:val="24"/>
          <w:szCs w:val="24"/>
        </w:rPr>
        <w:t>[1]</w:t>
      </w:r>
      <w:r w:rsidRPr="00EE7F72">
        <w:rPr>
          <w:rFonts w:ascii="Arial" w:hAnsi="Arial" w:cs="Arial"/>
          <w:bCs/>
          <w:sz w:val="24"/>
          <w:szCs w:val="24"/>
        </w:rPr>
        <w:tab/>
        <w:t xml:space="preserve"> </w:t>
      </w:r>
      <w:r w:rsidR="00C70D24">
        <w:rPr>
          <w:rFonts w:ascii="Arial" w:hAnsi="Arial" w:cs="Arial"/>
          <w:bCs/>
          <w:sz w:val="24"/>
          <w:szCs w:val="24"/>
        </w:rPr>
        <w:t>The applicant seeks the following orders:</w:t>
      </w:r>
    </w:p>
    <w:p w:rsidR="00C70D24" w:rsidRDefault="00C70D24" w:rsidP="00E95CE9">
      <w:pPr>
        <w:spacing w:after="0" w:line="360" w:lineRule="auto"/>
        <w:jc w:val="both"/>
        <w:rPr>
          <w:rFonts w:ascii="Arial" w:hAnsi="Arial" w:cs="Arial"/>
          <w:bCs/>
          <w:sz w:val="24"/>
          <w:szCs w:val="24"/>
        </w:rPr>
      </w:pPr>
    </w:p>
    <w:p w:rsidR="00C70D24" w:rsidRPr="00A67F54" w:rsidRDefault="00C70D24" w:rsidP="00E95CE9">
      <w:pPr>
        <w:spacing w:after="0" w:line="360" w:lineRule="auto"/>
        <w:jc w:val="both"/>
        <w:rPr>
          <w:rFonts w:ascii="Arial" w:hAnsi="Arial" w:cs="Arial"/>
          <w:bCs/>
        </w:rPr>
      </w:pPr>
      <w:r>
        <w:rPr>
          <w:rFonts w:ascii="Arial" w:hAnsi="Arial" w:cs="Arial"/>
          <w:bCs/>
          <w:sz w:val="24"/>
          <w:szCs w:val="24"/>
        </w:rPr>
        <w:tab/>
      </w:r>
      <w:r w:rsidRPr="00A67F54">
        <w:rPr>
          <w:rFonts w:ascii="Arial" w:hAnsi="Arial" w:cs="Arial"/>
          <w:bCs/>
        </w:rPr>
        <w:t>‘1.1</w:t>
      </w:r>
      <w:r w:rsidRPr="00A67F54">
        <w:rPr>
          <w:rFonts w:ascii="Arial" w:hAnsi="Arial" w:cs="Arial"/>
          <w:bCs/>
        </w:rPr>
        <w:tab/>
        <w:t>That the sale in execution by the first respondent of Erf No. 3444 (a portion of consolidated Erf No. 441), 85 Frans Indongo Street, Windhoek (“the immovable property”) by public auction on 11 September 2018 in pursuance of a judgment in the matter under case number I 1890/16 be set aside.</w:t>
      </w:r>
    </w:p>
    <w:p w:rsidR="00C70D24" w:rsidRPr="00A67F54" w:rsidRDefault="00C70D24" w:rsidP="00E95CE9">
      <w:pPr>
        <w:spacing w:after="0" w:line="360" w:lineRule="auto"/>
        <w:jc w:val="both"/>
        <w:rPr>
          <w:rFonts w:ascii="Arial" w:hAnsi="Arial" w:cs="Arial"/>
          <w:bCs/>
        </w:rPr>
      </w:pPr>
    </w:p>
    <w:p w:rsidR="00C70D24" w:rsidRPr="00A67F54" w:rsidRDefault="00C70D24" w:rsidP="00E95CE9">
      <w:pPr>
        <w:spacing w:after="0" w:line="360" w:lineRule="auto"/>
        <w:jc w:val="both"/>
        <w:rPr>
          <w:rFonts w:ascii="Arial" w:hAnsi="Arial" w:cs="Arial"/>
        </w:rPr>
      </w:pPr>
      <w:r w:rsidRPr="00A67F54">
        <w:rPr>
          <w:rFonts w:ascii="Arial" w:hAnsi="Arial" w:cs="Arial"/>
          <w:bCs/>
        </w:rPr>
        <w:lastRenderedPageBreak/>
        <w:t>1.2</w:t>
      </w:r>
      <w:r w:rsidRPr="00A67F54">
        <w:rPr>
          <w:rFonts w:ascii="Arial" w:hAnsi="Arial" w:cs="Arial"/>
          <w:bCs/>
        </w:rPr>
        <w:tab/>
        <w:t>That those respondents opposing this application shall pay the cost of this application jointly and severally, which costs are to include the costs of one instructing and one instructed counsel.’</w:t>
      </w:r>
    </w:p>
    <w:p w:rsidR="00EE7F72" w:rsidRPr="00EE7F72" w:rsidRDefault="00EE7F72" w:rsidP="00E95CE9">
      <w:pPr>
        <w:spacing w:after="0" w:line="360" w:lineRule="auto"/>
        <w:jc w:val="both"/>
        <w:rPr>
          <w:rFonts w:ascii="Arial" w:hAnsi="Arial" w:cs="Arial"/>
          <w:sz w:val="24"/>
          <w:szCs w:val="24"/>
        </w:rPr>
      </w:pPr>
    </w:p>
    <w:p w:rsidR="00EE7F72" w:rsidRDefault="00EE7F72" w:rsidP="00E95CE9">
      <w:pPr>
        <w:spacing w:after="0" w:line="360" w:lineRule="auto"/>
        <w:jc w:val="both"/>
        <w:rPr>
          <w:rFonts w:ascii="Arial" w:hAnsi="Arial" w:cs="Arial"/>
          <w:sz w:val="24"/>
          <w:szCs w:val="24"/>
        </w:rPr>
      </w:pPr>
      <w:r w:rsidRPr="00EE7F72">
        <w:rPr>
          <w:rFonts w:ascii="Arial" w:hAnsi="Arial" w:cs="Arial"/>
          <w:sz w:val="24"/>
          <w:szCs w:val="24"/>
        </w:rPr>
        <w:t>[2]</w:t>
      </w:r>
      <w:r w:rsidRPr="00EE7F72">
        <w:rPr>
          <w:rFonts w:ascii="Arial" w:hAnsi="Arial" w:cs="Arial"/>
          <w:sz w:val="24"/>
          <w:szCs w:val="24"/>
        </w:rPr>
        <w:tab/>
      </w:r>
      <w:r w:rsidR="00C70D24">
        <w:rPr>
          <w:rFonts w:ascii="Arial" w:hAnsi="Arial" w:cs="Arial"/>
          <w:sz w:val="24"/>
          <w:szCs w:val="24"/>
        </w:rPr>
        <w:t>As matters turned out the second respondent opposes the application.</w:t>
      </w:r>
    </w:p>
    <w:p w:rsidR="00D65616" w:rsidRPr="00EE7F72" w:rsidRDefault="00D65616" w:rsidP="00E95CE9">
      <w:pPr>
        <w:spacing w:after="0" w:line="360" w:lineRule="auto"/>
        <w:jc w:val="both"/>
        <w:rPr>
          <w:rFonts w:ascii="Arial" w:hAnsi="Arial" w:cs="Arial"/>
          <w:sz w:val="24"/>
          <w:szCs w:val="24"/>
        </w:rPr>
      </w:pPr>
    </w:p>
    <w:p w:rsidR="00EE7F72" w:rsidRPr="00F24281" w:rsidRDefault="00EE7F72" w:rsidP="00E95CE9">
      <w:pPr>
        <w:spacing w:after="0" w:line="360" w:lineRule="auto"/>
        <w:jc w:val="both"/>
        <w:rPr>
          <w:rFonts w:ascii="Arial" w:hAnsi="Arial" w:cs="Arial"/>
          <w:sz w:val="24"/>
          <w:szCs w:val="24"/>
        </w:rPr>
      </w:pPr>
      <w:r w:rsidRPr="00EE7F72">
        <w:rPr>
          <w:rFonts w:ascii="Arial" w:hAnsi="Arial" w:cs="Arial"/>
          <w:sz w:val="24"/>
          <w:szCs w:val="24"/>
        </w:rPr>
        <w:t>[3]</w:t>
      </w:r>
      <w:r w:rsidRPr="00EE7F72">
        <w:rPr>
          <w:rFonts w:ascii="Arial" w:hAnsi="Arial" w:cs="Arial"/>
          <w:sz w:val="24"/>
          <w:szCs w:val="24"/>
        </w:rPr>
        <w:tab/>
      </w:r>
      <w:r w:rsidR="00C70D24">
        <w:rPr>
          <w:rFonts w:ascii="Arial" w:hAnsi="Arial" w:cs="Arial"/>
          <w:sz w:val="24"/>
        </w:rPr>
        <w:t xml:space="preserve">It is common cause that the third respondent was indebted to the applicant, which indebtedness was secured by the passing of a </w:t>
      </w:r>
      <w:r w:rsidR="00F16837">
        <w:rPr>
          <w:rFonts w:ascii="Arial" w:hAnsi="Arial" w:cs="Arial"/>
          <w:sz w:val="24"/>
        </w:rPr>
        <w:t xml:space="preserve">first </w:t>
      </w:r>
      <w:r w:rsidR="00C70D24">
        <w:rPr>
          <w:rFonts w:ascii="Arial" w:hAnsi="Arial" w:cs="Arial"/>
          <w:sz w:val="24"/>
        </w:rPr>
        <w:t>mortgage bond over the property forming the subject of this matter.</w:t>
      </w:r>
    </w:p>
    <w:p w:rsidR="00D65616" w:rsidRPr="00EE7F72" w:rsidRDefault="00D65616" w:rsidP="00E95CE9">
      <w:pPr>
        <w:spacing w:after="0" w:line="360" w:lineRule="auto"/>
        <w:jc w:val="both"/>
        <w:rPr>
          <w:rFonts w:ascii="Arial" w:hAnsi="Arial" w:cs="Arial"/>
          <w:b/>
          <w:bCs/>
          <w:sz w:val="24"/>
          <w:szCs w:val="24"/>
          <w:u w:val="single"/>
        </w:rPr>
      </w:pPr>
    </w:p>
    <w:p w:rsidR="00EE7F72" w:rsidRPr="00EE7F72" w:rsidRDefault="00EE7F72" w:rsidP="00E95CE9">
      <w:pPr>
        <w:spacing w:after="0" w:line="360" w:lineRule="auto"/>
        <w:jc w:val="both"/>
        <w:rPr>
          <w:rFonts w:ascii="Arial" w:hAnsi="Arial" w:cs="Arial"/>
          <w:sz w:val="24"/>
          <w:szCs w:val="24"/>
          <w:shd w:val="clear" w:color="auto" w:fill="FCFCFC"/>
        </w:rPr>
      </w:pPr>
      <w:r w:rsidRPr="00EE7F72">
        <w:rPr>
          <w:rFonts w:ascii="Arial" w:hAnsi="Arial" w:cs="Arial"/>
          <w:sz w:val="24"/>
          <w:szCs w:val="24"/>
        </w:rPr>
        <w:t>[4]</w:t>
      </w:r>
      <w:r w:rsidRPr="00EE7F72">
        <w:rPr>
          <w:rFonts w:ascii="Arial" w:hAnsi="Arial" w:cs="Arial"/>
          <w:sz w:val="24"/>
          <w:szCs w:val="24"/>
        </w:rPr>
        <w:tab/>
      </w:r>
      <w:r w:rsidR="00C70D24">
        <w:rPr>
          <w:rFonts w:ascii="Arial" w:hAnsi="Arial" w:cs="Arial"/>
          <w:sz w:val="24"/>
          <w:szCs w:val="24"/>
        </w:rPr>
        <w:t xml:space="preserve">Pursuant </w:t>
      </w:r>
      <w:r w:rsidR="00A56551">
        <w:rPr>
          <w:rFonts w:ascii="Arial" w:hAnsi="Arial" w:cs="Arial"/>
          <w:sz w:val="24"/>
          <w:szCs w:val="24"/>
        </w:rPr>
        <w:t xml:space="preserve">to </w:t>
      </w:r>
      <w:r w:rsidR="00A67F54">
        <w:rPr>
          <w:rFonts w:ascii="Arial" w:hAnsi="Arial" w:cs="Arial"/>
          <w:sz w:val="24"/>
          <w:szCs w:val="24"/>
        </w:rPr>
        <w:t>a</w:t>
      </w:r>
      <w:r w:rsidR="00A56551">
        <w:rPr>
          <w:rFonts w:ascii="Arial" w:hAnsi="Arial" w:cs="Arial"/>
          <w:sz w:val="24"/>
          <w:szCs w:val="24"/>
        </w:rPr>
        <w:t xml:space="preserve"> default on the part of the third respondent, the applicant instituted action in this court against the third respondent under case I 1890/2016</w:t>
      </w:r>
      <w:r w:rsidR="00A67F54">
        <w:rPr>
          <w:rFonts w:ascii="Arial" w:hAnsi="Arial" w:cs="Arial"/>
          <w:sz w:val="24"/>
          <w:szCs w:val="24"/>
        </w:rPr>
        <w:t>,</w:t>
      </w:r>
      <w:r w:rsidR="00A56551">
        <w:rPr>
          <w:rFonts w:ascii="Arial" w:hAnsi="Arial" w:cs="Arial"/>
          <w:sz w:val="24"/>
          <w:szCs w:val="24"/>
        </w:rPr>
        <w:t xml:space="preserve"> in which the applicant claimed payment in the sum of N$6, 372, 938.84 together with some ancillary relief. </w:t>
      </w:r>
    </w:p>
    <w:p w:rsidR="00EE7F72" w:rsidRPr="00EE7F72" w:rsidRDefault="00EE7F72" w:rsidP="00E95CE9">
      <w:pPr>
        <w:pStyle w:val="Heading3"/>
        <w:shd w:val="clear" w:color="auto" w:fill="FFFFFF"/>
        <w:spacing w:before="0" w:line="360" w:lineRule="auto"/>
        <w:jc w:val="both"/>
        <w:rPr>
          <w:rFonts w:ascii="Arial" w:hAnsi="Arial" w:cs="Arial"/>
          <w:bCs/>
          <w:color w:val="auto"/>
        </w:rPr>
      </w:pPr>
    </w:p>
    <w:p w:rsidR="00EE7F72" w:rsidRPr="00EE7F72" w:rsidRDefault="00EE7F72" w:rsidP="00E95CE9">
      <w:pPr>
        <w:pStyle w:val="Heading3"/>
        <w:shd w:val="clear" w:color="auto" w:fill="FFFFFF"/>
        <w:spacing w:before="0" w:line="360" w:lineRule="auto"/>
        <w:jc w:val="both"/>
      </w:pPr>
      <w:r w:rsidRPr="00EE7F72">
        <w:rPr>
          <w:rFonts w:ascii="Arial" w:hAnsi="Arial" w:cs="Arial"/>
          <w:bCs/>
          <w:color w:val="auto"/>
        </w:rPr>
        <w:t>[5]</w:t>
      </w:r>
      <w:r w:rsidRPr="00EE7F72">
        <w:rPr>
          <w:rFonts w:ascii="Arial" w:hAnsi="Arial" w:cs="Arial"/>
          <w:bCs/>
          <w:color w:val="auto"/>
        </w:rPr>
        <w:tab/>
        <w:t xml:space="preserve"> </w:t>
      </w:r>
      <w:r w:rsidR="003730EA">
        <w:rPr>
          <w:rFonts w:ascii="Arial" w:hAnsi="Arial" w:cs="Arial"/>
          <w:bCs/>
          <w:color w:val="auto"/>
        </w:rPr>
        <w:t>On 22 September 2016</w:t>
      </w:r>
      <w:r w:rsidR="001870AA">
        <w:rPr>
          <w:rFonts w:ascii="Arial" w:hAnsi="Arial" w:cs="Arial"/>
          <w:bCs/>
          <w:color w:val="auto"/>
        </w:rPr>
        <w:t>,</w:t>
      </w:r>
      <w:r w:rsidR="003730EA">
        <w:rPr>
          <w:rFonts w:ascii="Arial" w:hAnsi="Arial" w:cs="Arial"/>
          <w:bCs/>
          <w:color w:val="auto"/>
        </w:rPr>
        <w:t xml:space="preserve"> the applicant obtained judgment against the third respondent for payment of the amount I mentioned together with the ancillary relief.</w:t>
      </w:r>
    </w:p>
    <w:p w:rsidR="00EE7F72" w:rsidRPr="00EE7F72" w:rsidRDefault="00EE7F72" w:rsidP="00E95CE9">
      <w:pPr>
        <w:spacing w:after="0"/>
        <w:jc w:val="both"/>
        <w:rPr>
          <w:rFonts w:ascii="Arial" w:hAnsi="Arial" w:cs="Arial"/>
          <w:bCs/>
          <w:sz w:val="24"/>
          <w:szCs w:val="24"/>
        </w:rPr>
      </w:pPr>
    </w:p>
    <w:p w:rsidR="000939BF" w:rsidRPr="00EE7F72" w:rsidRDefault="00EE7F72" w:rsidP="00E95CE9">
      <w:pPr>
        <w:pStyle w:val="Heading3"/>
        <w:shd w:val="clear" w:color="auto" w:fill="FFFFFF"/>
        <w:spacing w:before="0" w:line="360" w:lineRule="auto"/>
        <w:jc w:val="both"/>
        <w:rPr>
          <w:rFonts w:ascii="Arial" w:hAnsi="Arial" w:cs="Arial"/>
          <w:bCs/>
          <w:color w:val="auto"/>
        </w:rPr>
      </w:pPr>
      <w:r w:rsidRPr="000939BF">
        <w:rPr>
          <w:rFonts w:ascii="Arial" w:hAnsi="Arial" w:cs="Arial"/>
          <w:bCs/>
          <w:color w:val="auto"/>
        </w:rPr>
        <w:t>[6]</w:t>
      </w:r>
      <w:r w:rsidRPr="000939BF">
        <w:rPr>
          <w:rFonts w:ascii="Arial" w:hAnsi="Arial" w:cs="Arial"/>
          <w:bCs/>
          <w:color w:val="auto"/>
        </w:rPr>
        <w:tab/>
      </w:r>
      <w:r w:rsidR="003730EA">
        <w:rPr>
          <w:rFonts w:ascii="Arial" w:hAnsi="Arial" w:cs="Arial"/>
          <w:bCs/>
          <w:color w:val="auto"/>
        </w:rPr>
        <w:t>The immovable was attached by the first respondent on the instruction</w:t>
      </w:r>
      <w:r w:rsidR="00F16837">
        <w:rPr>
          <w:rFonts w:ascii="Arial" w:hAnsi="Arial" w:cs="Arial"/>
          <w:bCs/>
          <w:color w:val="auto"/>
        </w:rPr>
        <w:t>s</w:t>
      </w:r>
      <w:r w:rsidR="003730EA">
        <w:rPr>
          <w:rFonts w:ascii="Arial" w:hAnsi="Arial" w:cs="Arial"/>
          <w:bCs/>
          <w:color w:val="auto"/>
        </w:rPr>
        <w:t xml:space="preserve"> of the applicant and a sale thereof in execution was held on 11 September 2018.</w:t>
      </w:r>
    </w:p>
    <w:p w:rsidR="00EE7F72" w:rsidRPr="00EE7F72" w:rsidRDefault="00EE7F72" w:rsidP="00E95CE9">
      <w:pPr>
        <w:spacing w:after="0" w:line="360" w:lineRule="auto"/>
        <w:jc w:val="both"/>
        <w:rPr>
          <w:rFonts w:ascii="Arial" w:hAnsi="Arial" w:cs="Arial"/>
          <w:b/>
          <w:bCs/>
          <w:sz w:val="24"/>
          <w:szCs w:val="24"/>
          <w:u w:val="single"/>
        </w:rPr>
      </w:pPr>
    </w:p>
    <w:p w:rsidR="00EE7F72" w:rsidRDefault="00EE7F72" w:rsidP="00E95CE9">
      <w:pPr>
        <w:pStyle w:val="Heading3"/>
        <w:shd w:val="clear" w:color="auto" w:fill="FFFFFF"/>
        <w:spacing w:before="0" w:line="360" w:lineRule="auto"/>
        <w:jc w:val="both"/>
        <w:rPr>
          <w:rFonts w:ascii="Arial" w:hAnsi="Arial" w:cs="Arial"/>
          <w:bCs/>
          <w:color w:val="auto"/>
        </w:rPr>
      </w:pPr>
      <w:r w:rsidRPr="00EE7F72">
        <w:rPr>
          <w:rFonts w:ascii="Arial" w:hAnsi="Arial" w:cs="Arial"/>
          <w:bCs/>
          <w:color w:val="auto"/>
        </w:rPr>
        <w:t>[7]</w:t>
      </w:r>
      <w:r w:rsidRPr="00EE7F72">
        <w:rPr>
          <w:rFonts w:ascii="Arial" w:hAnsi="Arial" w:cs="Arial"/>
          <w:bCs/>
          <w:color w:val="auto"/>
        </w:rPr>
        <w:tab/>
      </w:r>
      <w:r w:rsidR="003730EA">
        <w:rPr>
          <w:rFonts w:ascii="Arial" w:hAnsi="Arial" w:cs="Arial"/>
          <w:bCs/>
          <w:color w:val="auto"/>
        </w:rPr>
        <w:t>Eventually the property was sold to the second respondent for the sum of N$4, 600, 000.00.</w:t>
      </w:r>
    </w:p>
    <w:p w:rsidR="003730EA" w:rsidRPr="003730EA" w:rsidRDefault="003730EA" w:rsidP="00E95CE9">
      <w:pPr>
        <w:spacing w:after="0" w:line="360" w:lineRule="auto"/>
        <w:jc w:val="both"/>
        <w:rPr>
          <w:rFonts w:ascii="Arial" w:hAnsi="Arial" w:cs="Arial"/>
          <w:sz w:val="24"/>
          <w:szCs w:val="24"/>
        </w:rPr>
      </w:pPr>
    </w:p>
    <w:p w:rsidR="003730EA" w:rsidRDefault="003730EA" w:rsidP="00E95CE9">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2B09D7">
        <w:rPr>
          <w:rFonts w:ascii="Arial" w:hAnsi="Arial" w:cs="Arial"/>
          <w:sz w:val="24"/>
          <w:szCs w:val="24"/>
        </w:rPr>
        <w:t xml:space="preserve">There remains on the papers some </w:t>
      </w:r>
      <w:r w:rsidR="00F16837">
        <w:rPr>
          <w:rFonts w:ascii="Arial" w:hAnsi="Arial" w:cs="Arial"/>
          <w:sz w:val="24"/>
          <w:szCs w:val="24"/>
        </w:rPr>
        <w:t>ostensible</w:t>
      </w:r>
      <w:r w:rsidR="002B09D7">
        <w:rPr>
          <w:rFonts w:ascii="Arial" w:hAnsi="Arial" w:cs="Arial"/>
          <w:sz w:val="24"/>
          <w:szCs w:val="24"/>
        </w:rPr>
        <w:t xml:space="preserve"> factual dispute particularly concerning the discussion between the first respondent and two representatives of the applicant immediately prior to the sale in execution proceedings.  I will return to this aspect of the case in due course.</w:t>
      </w:r>
    </w:p>
    <w:p w:rsidR="002B09D7" w:rsidRDefault="002B09D7" w:rsidP="00E95CE9">
      <w:pPr>
        <w:spacing w:after="0" w:line="360" w:lineRule="auto"/>
        <w:jc w:val="both"/>
        <w:rPr>
          <w:rFonts w:ascii="Arial" w:hAnsi="Arial" w:cs="Arial"/>
          <w:sz w:val="24"/>
          <w:szCs w:val="24"/>
        </w:rPr>
      </w:pPr>
    </w:p>
    <w:p w:rsidR="002B09D7" w:rsidRDefault="002B09D7" w:rsidP="00E95CE9">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B317A9">
        <w:rPr>
          <w:rFonts w:ascii="Arial" w:hAnsi="Arial" w:cs="Arial"/>
          <w:sz w:val="24"/>
          <w:szCs w:val="24"/>
        </w:rPr>
        <w:t xml:space="preserve">The requirements for </w:t>
      </w:r>
      <w:r w:rsidR="00F16837">
        <w:rPr>
          <w:rFonts w:ascii="Arial" w:hAnsi="Arial" w:cs="Arial"/>
          <w:sz w:val="24"/>
          <w:szCs w:val="24"/>
        </w:rPr>
        <w:t>want</w:t>
      </w:r>
      <w:r w:rsidR="00B317A9">
        <w:rPr>
          <w:rFonts w:ascii="Arial" w:hAnsi="Arial" w:cs="Arial"/>
          <w:sz w:val="24"/>
          <w:szCs w:val="24"/>
        </w:rPr>
        <w:t xml:space="preserve"> of a better word, relating to the sale in execution</w:t>
      </w:r>
      <w:r w:rsidR="00F16837">
        <w:rPr>
          <w:rFonts w:ascii="Arial" w:hAnsi="Arial" w:cs="Arial"/>
          <w:sz w:val="24"/>
          <w:szCs w:val="24"/>
        </w:rPr>
        <w:t xml:space="preserve"> of immovable property</w:t>
      </w:r>
      <w:r w:rsidR="00B317A9">
        <w:rPr>
          <w:rFonts w:ascii="Arial" w:hAnsi="Arial" w:cs="Arial"/>
          <w:sz w:val="24"/>
          <w:szCs w:val="24"/>
        </w:rPr>
        <w:t xml:space="preserve"> are those to </w:t>
      </w:r>
      <w:r w:rsidR="00D20067">
        <w:rPr>
          <w:rFonts w:ascii="Arial" w:hAnsi="Arial" w:cs="Arial"/>
          <w:sz w:val="24"/>
          <w:szCs w:val="24"/>
        </w:rPr>
        <w:t xml:space="preserve">be found in Rule 109 of the Rules of the High Court.  It </w:t>
      </w:r>
      <w:r w:rsidR="00D20067">
        <w:rPr>
          <w:rFonts w:ascii="Arial" w:hAnsi="Arial" w:cs="Arial"/>
          <w:sz w:val="24"/>
          <w:szCs w:val="24"/>
        </w:rPr>
        <w:lastRenderedPageBreak/>
        <w:t>is also necessary to have regard to Rule 110 insofar as Rule 110 determines the procedure</w:t>
      </w:r>
      <w:r w:rsidR="00F16837">
        <w:rPr>
          <w:rFonts w:ascii="Arial" w:hAnsi="Arial" w:cs="Arial"/>
          <w:sz w:val="24"/>
          <w:szCs w:val="24"/>
        </w:rPr>
        <w:t xml:space="preserve"> to be adopted</w:t>
      </w:r>
      <w:r w:rsidR="00D20067">
        <w:rPr>
          <w:rFonts w:ascii="Arial" w:hAnsi="Arial" w:cs="Arial"/>
          <w:sz w:val="24"/>
          <w:szCs w:val="24"/>
        </w:rPr>
        <w:t xml:space="preserve"> for the sale of the property.</w:t>
      </w:r>
    </w:p>
    <w:p w:rsidR="000A2B49" w:rsidRDefault="000A2B49" w:rsidP="00E95CE9">
      <w:pPr>
        <w:spacing w:after="0" w:line="360" w:lineRule="auto"/>
        <w:jc w:val="both"/>
        <w:rPr>
          <w:rFonts w:ascii="Arial" w:hAnsi="Arial" w:cs="Arial"/>
          <w:sz w:val="24"/>
          <w:szCs w:val="24"/>
        </w:rPr>
      </w:pPr>
    </w:p>
    <w:p w:rsidR="00E53BBD" w:rsidRDefault="000A2B49" w:rsidP="00E95CE9">
      <w:pPr>
        <w:spacing w:after="0" w:line="360" w:lineRule="auto"/>
        <w:jc w:val="both"/>
        <w:rPr>
          <w:rFonts w:ascii="Arial" w:hAnsi="Arial" w:cs="Arial"/>
          <w:sz w:val="24"/>
          <w:szCs w:val="24"/>
        </w:rPr>
      </w:pPr>
      <w:r>
        <w:rPr>
          <w:rFonts w:ascii="Arial" w:hAnsi="Arial" w:cs="Arial"/>
          <w:sz w:val="24"/>
          <w:szCs w:val="24"/>
        </w:rPr>
        <w:t>[10]</w:t>
      </w:r>
      <w:r w:rsidR="00E53BBD">
        <w:rPr>
          <w:rFonts w:ascii="Arial" w:hAnsi="Arial" w:cs="Arial"/>
          <w:sz w:val="24"/>
          <w:szCs w:val="24"/>
        </w:rPr>
        <w:tab/>
        <w:t>As a first step Rule 109(1) provides that the writ of execution must contain a full description of the nature and situation including the address of the property and must b</w:t>
      </w:r>
      <w:r w:rsidR="001870AA">
        <w:rPr>
          <w:rFonts w:ascii="Arial" w:hAnsi="Arial" w:cs="Arial"/>
          <w:sz w:val="24"/>
          <w:szCs w:val="24"/>
        </w:rPr>
        <w:t xml:space="preserve">e accompanied (where necessary </w:t>
      </w:r>
      <w:r w:rsidR="00E53BBD">
        <w:rPr>
          <w:rFonts w:ascii="Arial" w:hAnsi="Arial" w:cs="Arial"/>
          <w:sz w:val="24"/>
          <w:szCs w:val="24"/>
        </w:rPr>
        <w:t xml:space="preserve">I suppose) </w:t>
      </w:r>
      <w:r w:rsidR="00A67F54">
        <w:rPr>
          <w:rFonts w:ascii="Arial" w:hAnsi="Arial" w:cs="Arial"/>
          <w:sz w:val="24"/>
          <w:szCs w:val="24"/>
        </w:rPr>
        <w:t>other</w:t>
      </w:r>
      <w:r w:rsidR="00E53BBD">
        <w:rPr>
          <w:rFonts w:ascii="Arial" w:hAnsi="Arial" w:cs="Arial"/>
          <w:sz w:val="24"/>
          <w:szCs w:val="24"/>
        </w:rPr>
        <w:t xml:space="preserve"> detail to enable it to be traced.</w:t>
      </w:r>
    </w:p>
    <w:p w:rsidR="00E53BBD" w:rsidRDefault="00E53BBD" w:rsidP="00E95CE9">
      <w:pPr>
        <w:spacing w:after="0" w:line="360" w:lineRule="auto"/>
        <w:jc w:val="both"/>
        <w:rPr>
          <w:rFonts w:ascii="Arial" w:hAnsi="Arial" w:cs="Arial"/>
          <w:sz w:val="24"/>
          <w:szCs w:val="24"/>
        </w:rPr>
      </w:pPr>
    </w:p>
    <w:p w:rsidR="00E53BBD" w:rsidRDefault="00E53BBD" w:rsidP="00E95CE9">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The attachment </w:t>
      </w:r>
      <w:r w:rsidR="00F16837">
        <w:rPr>
          <w:rFonts w:ascii="Arial" w:hAnsi="Arial" w:cs="Arial"/>
          <w:sz w:val="24"/>
          <w:szCs w:val="24"/>
        </w:rPr>
        <w:t xml:space="preserve">must </w:t>
      </w:r>
      <w:r>
        <w:rPr>
          <w:rFonts w:ascii="Arial" w:hAnsi="Arial" w:cs="Arial"/>
          <w:sz w:val="24"/>
          <w:szCs w:val="24"/>
        </w:rPr>
        <w:t xml:space="preserve">made on Form 25 must be made by the </w:t>
      </w:r>
      <w:r w:rsidR="00F65E4A">
        <w:rPr>
          <w:rFonts w:ascii="Arial" w:hAnsi="Arial" w:cs="Arial"/>
          <w:sz w:val="24"/>
          <w:szCs w:val="24"/>
        </w:rPr>
        <w:t>d</w:t>
      </w:r>
      <w:r>
        <w:rPr>
          <w:rFonts w:ascii="Arial" w:hAnsi="Arial" w:cs="Arial"/>
          <w:sz w:val="24"/>
          <w:szCs w:val="24"/>
        </w:rPr>
        <w:t>eputy</w:t>
      </w:r>
      <w:r w:rsidR="00F65E4A">
        <w:rPr>
          <w:rFonts w:ascii="Arial" w:hAnsi="Arial" w:cs="Arial"/>
          <w:sz w:val="24"/>
          <w:szCs w:val="24"/>
        </w:rPr>
        <w:t>-s</w:t>
      </w:r>
      <w:r>
        <w:rPr>
          <w:rFonts w:ascii="Arial" w:hAnsi="Arial" w:cs="Arial"/>
          <w:sz w:val="24"/>
          <w:szCs w:val="24"/>
        </w:rPr>
        <w:t xml:space="preserve">heriff of the district in which the property is situated or the </w:t>
      </w:r>
      <w:r w:rsidR="00F65E4A">
        <w:rPr>
          <w:rFonts w:ascii="Arial" w:hAnsi="Arial" w:cs="Arial"/>
          <w:sz w:val="24"/>
          <w:szCs w:val="24"/>
        </w:rPr>
        <w:t>deputy-sheriff</w:t>
      </w:r>
      <w:r>
        <w:rPr>
          <w:rFonts w:ascii="Arial" w:hAnsi="Arial" w:cs="Arial"/>
          <w:sz w:val="24"/>
          <w:szCs w:val="24"/>
        </w:rPr>
        <w:t xml:space="preserve"> of the district in which the </w:t>
      </w:r>
      <w:r w:rsidR="00F65E4A">
        <w:rPr>
          <w:rFonts w:ascii="Arial" w:hAnsi="Arial" w:cs="Arial"/>
          <w:sz w:val="24"/>
          <w:szCs w:val="24"/>
        </w:rPr>
        <w:t>O</w:t>
      </w:r>
      <w:r>
        <w:rPr>
          <w:rFonts w:ascii="Arial" w:hAnsi="Arial" w:cs="Arial"/>
          <w:sz w:val="24"/>
          <w:szCs w:val="24"/>
        </w:rPr>
        <w:t>ffice of the</w:t>
      </w:r>
      <w:r w:rsidR="00F65E4A">
        <w:rPr>
          <w:rFonts w:ascii="Arial" w:hAnsi="Arial" w:cs="Arial"/>
          <w:sz w:val="24"/>
          <w:szCs w:val="24"/>
        </w:rPr>
        <w:t xml:space="preserve"> Registrar of Deeds is situated</w:t>
      </w:r>
      <w:r>
        <w:rPr>
          <w:rFonts w:ascii="Arial" w:hAnsi="Arial" w:cs="Arial"/>
          <w:sz w:val="24"/>
          <w:szCs w:val="24"/>
        </w:rPr>
        <w:t>.</w:t>
      </w:r>
    </w:p>
    <w:p w:rsidR="00E53BBD" w:rsidRDefault="00E53BBD" w:rsidP="00E95CE9">
      <w:pPr>
        <w:spacing w:after="0" w:line="360" w:lineRule="auto"/>
        <w:jc w:val="both"/>
        <w:rPr>
          <w:rFonts w:ascii="Arial" w:hAnsi="Arial" w:cs="Arial"/>
          <w:sz w:val="24"/>
          <w:szCs w:val="24"/>
        </w:rPr>
      </w:pPr>
    </w:p>
    <w:p w:rsidR="00E95CE9" w:rsidRDefault="00E53BBD" w:rsidP="00E95CE9">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Upon receipt of a written instruction from the </w:t>
      </w:r>
      <w:r w:rsidR="00F65E4A">
        <w:rPr>
          <w:rFonts w:ascii="Arial" w:hAnsi="Arial" w:cs="Arial"/>
          <w:sz w:val="24"/>
          <w:szCs w:val="24"/>
        </w:rPr>
        <w:t>execution</w:t>
      </w:r>
      <w:r>
        <w:rPr>
          <w:rFonts w:ascii="Arial" w:hAnsi="Arial" w:cs="Arial"/>
          <w:sz w:val="24"/>
          <w:szCs w:val="24"/>
        </w:rPr>
        <w:t xml:space="preserve"> creditor to proceed with the sale, the </w:t>
      </w:r>
      <w:r w:rsidR="00F65E4A">
        <w:rPr>
          <w:rFonts w:ascii="Arial" w:hAnsi="Arial" w:cs="Arial"/>
          <w:sz w:val="24"/>
          <w:szCs w:val="24"/>
        </w:rPr>
        <w:t>deputy-sheriff</w:t>
      </w:r>
      <w:r>
        <w:rPr>
          <w:rFonts w:ascii="Arial" w:hAnsi="Arial" w:cs="Arial"/>
          <w:sz w:val="24"/>
          <w:szCs w:val="24"/>
        </w:rPr>
        <w:t xml:space="preserve"> must ascertain and record what bonds or other encumbrances </w:t>
      </w:r>
      <w:r w:rsidR="00F65E4A">
        <w:rPr>
          <w:rFonts w:ascii="Arial" w:hAnsi="Arial" w:cs="Arial"/>
          <w:sz w:val="24"/>
          <w:szCs w:val="24"/>
        </w:rPr>
        <w:t>are</w:t>
      </w:r>
      <w:r>
        <w:rPr>
          <w:rFonts w:ascii="Arial" w:hAnsi="Arial" w:cs="Arial"/>
          <w:sz w:val="24"/>
          <w:szCs w:val="24"/>
        </w:rPr>
        <w:t xml:space="preserve"> registered against the property</w:t>
      </w:r>
      <w:r w:rsidR="00501C2B">
        <w:rPr>
          <w:rFonts w:ascii="Arial" w:hAnsi="Arial" w:cs="Arial"/>
          <w:sz w:val="24"/>
          <w:szCs w:val="24"/>
        </w:rPr>
        <w:t xml:space="preserve"> together with the names and addresses of the persons in whose favour those bonds or encumbrances </w:t>
      </w:r>
      <w:r w:rsidR="00F16837">
        <w:rPr>
          <w:rFonts w:ascii="Arial" w:hAnsi="Arial" w:cs="Arial"/>
          <w:sz w:val="24"/>
          <w:szCs w:val="24"/>
        </w:rPr>
        <w:t>are</w:t>
      </w:r>
      <w:r w:rsidR="00501C2B">
        <w:rPr>
          <w:rFonts w:ascii="Arial" w:hAnsi="Arial" w:cs="Arial"/>
          <w:sz w:val="24"/>
          <w:szCs w:val="24"/>
        </w:rPr>
        <w:t xml:space="preserve"> so registered and must notify </w:t>
      </w:r>
      <w:r w:rsidR="00F65E4A">
        <w:rPr>
          <w:rFonts w:ascii="Arial" w:hAnsi="Arial" w:cs="Arial"/>
          <w:sz w:val="24"/>
          <w:szCs w:val="24"/>
        </w:rPr>
        <w:t>the</w:t>
      </w:r>
      <w:r w:rsidR="00501C2B">
        <w:rPr>
          <w:rFonts w:ascii="Arial" w:hAnsi="Arial" w:cs="Arial"/>
          <w:sz w:val="24"/>
          <w:szCs w:val="24"/>
        </w:rPr>
        <w:t xml:space="preserve"> e</w:t>
      </w:r>
      <w:r w:rsidR="00F65E4A">
        <w:rPr>
          <w:rFonts w:ascii="Arial" w:hAnsi="Arial" w:cs="Arial"/>
          <w:sz w:val="24"/>
          <w:szCs w:val="24"/>
        </w:rPr>
        <w:t xml:space="preserve">xecution creditor accordingly. </w:t>
      </w:r>
      <w:r w:rsidR="00501C2B">
        <w:rPr>
          <w:rFonts w:ascii="Arial" w:hAnsi="Arial" w:cs="Arial"/>
          <w:sz w:val="24"/>
          <w:szCs w:val="24"/>
        </w:rPr>
        <w:t>That, by way of summary is what is required by Rule 109(5).</w:t>
      </w:r>
    </w:p>
    <w:p w:rsidR="00E95CE9" w:rsidRDefault="00E95CE9" w:rsidP="00E95CE9">
      <w:pPr>
        <w:spacing w:after="0" w:line="360" w:lineRule="auto"/>
        <w:jc w:val="both"/>
        <w:rPr>
          <w:rFonts w:ascii="Arial" w:hAnsi="Arial" w:cs="Arial"/>
          <w:sz w:val="24"/>
          <w:szCs w:val="24"/>
        </w:rPr>
      </w:pPr>
    </w:p>
    <w:p w:rsidR="000A2B49" w:rsidRDefault="00E95CE9" w:rsidP="00E95CE9">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The reason for the Rule 109(5) is essentially to give effect to, where necessary </w:t>
      </w:r>
      <w:r w:rsidR="00F16837">
        <w:rPr>
          <w:rFonts w:ascii="Arial" w:hAnsi="Arial" w:cs="Arial"/>
          <w:sz w:val="24"/>
          <w:szCs w:val="24"/>
        </w:rPr>
        <w:t>to</w:t>
      </w:r>
      <w:r>
        <w:rPr>
          <w:rFonts w:ascii="Arial" w:hAnsi="Arial" w:cs="Arial"/>
          <w:sz w:val="24"/>
          <w:szCs w:val="24"/>
        </w:rPr>
        <w:t xml:space="preserve"> Rule 109(6).  It enables the judgment creditor to know </w:t>
      </w:r>
      <w:r w:rsidR="00F16837">
        <w:rPr>
          <w:rFonts w:ascii="Arial" w:hAnsi="Arial" w:cs="Arial"/>
          <w:sz w:val="24"/>
          <w:szCs w:val="24"/>
        </w:rPr>
        <w:t>in advance</w:t>
      </w:r>
      <w:r w:rsidR="00300D5C">
        <w:rPr>
          <w:rFonts w:ascii="Arial" w:hAnsi="Arial" w:cs="Arial"/>
          <w:sz w:val="24"/>
          <w:szCs w:val="24"/>
        </w:rPr>
        <w:t xml:space="preserve"> </w:t>
      </w:r>
      <w:r>
        <w:rPr>
          <w:rFonts w:ascii="Arial" w:hAnsi="Arial" w:cs="Arial"/>
          <w:sz w:val="24"/>
          <w:szCs w:val="24"/>
        </w:rPr>
        <w:t xml:space="preserve">there may exist a claim </w:t>
      </w:r>
      <w:r w:rsidR="00F16837">
        <w:rPr>
          <w:rFonts w:ascii="Arial" w:hAnsi="Arial" w:cs="Arial"/>
          <w:sz w:val="24"/>
          <w:szCs w:val="24"/>
        </w:rPr>
        <w:t>preferent</w:t>
      </w:r>
      <w:r>
        <w:rPr>
          <w:rFonts w:ascii="Arial" w:hAnsi="Arial" w:cs="Arial"/>
          <w:sz w:val="24"/>
          <w:szCs w:val="24"/>
        </w:rPr>
        <w:t xml:space="preserve"> to that of the execution creditor, a regional council authority or local authority i</w:t>
      </w:r>
      <w:r w:rsidR="00300D5C">
        <w:rPr>
          <w:rFonts w:ascii="Arial" w:hAnsi="Arial" w:cs="Arial"/>
          <w:sz w:val="24"/>
          <w:szCs w:val="24"/>
        </w:rPr>
        <w:t>f</w:t>
      </w:r>
      <w:r>
        <w:rPr>
          <w:rFonts w:ascii="Arial" w:hAnsi="Arial" w:cs="Arial"/>
          <w:sz w:val="24"/>
          <w:szCs w:val="24"/>
        </w:rPr>
        <w:t xml:space="preserve"> the property is </w:t>
      </w:r>
      <w:r w:rsidR="00F16837">
        <w:rPr>
          <w:rFonts w:ascii="Arial" w:hAnsi="Arial" w:cs="Arial"/>
          <w:sz w:val="24"/>
          <w:szCs w:val="24"/>
        </w:rPr>
        <w:t>rate</w:t>
      </w:r>
      <w:r>
        <w:rPr>
          <w:rFonts w:ascii="Arial" w:hAnsi="Arial" w:cs="Arial"/>
          <w:sz w:val="24"/>
          <w:szCs w:val="24"/>
        </w:rPr>
        <w:t>able.  In that event</w:t>
      </w:r>
      <w:r w:rsidR="001870AA">
        <w:rPr>
          <w:rFonts w:ascii="Arial" w:hAnsi="Arial" w:cs="Arial"/>
          <w:sz w:val="24"/>
          <w:szCs w:val="24"/>
        </w:rPr>
        <w:t>,</w:t>
      </w:r>
      <w:r>
        <w:rPr>
          <w:rFonts w:ascii="Arial" w:hAnsi="Arial" w:cs="Arial"/>
          <w:sz w:val="24"/>
          <w:szCs w:val="24"/>
        </w:rPr>
        <w:t xml:space="preserve"> the judgment creditor must notify the preferred creditor or the local or regional authority of the intended sale.  This is done by way of registered post.  The notice must call on the preferred creditor or local or regional authority to </w:t>
      </w:r>
      <w:r w:rsidR="00D3067B">
        <w:rPr>
          <w:rFonts w:ascii="Arial" w:hAnsi="Arial" w:cs="Arial"/>
          <w:sz w:val="24"/>
          <w:szCs w:val="24"/>
        </w:rPr>
        <w:t>state</w:t>
      </w:r>
      <w:r>
        <w:rPr>
          <w:rFonts w:ascii="Arial" w:hAnsi="Arial" w:cs="Arial"/>
          <w:sz w:val="24"/>
          <w:szCs w:val="24"/>
        </w:rPr>
        <w:t xml:space="preserve"> within 10 days a reasonable reserve price or to agree on writing to a sale without reserve.</w:t>
      </w:r>
    </w:p>
    <w:p w:rsidR="00E95CE9" w:rsidRDefault="00E95CE9" w:rsidP="00E95CE9">
      <w:pPr>
        <w:spacing w:after="0" w:line="360" w:lineRule="auto"/>
        <w:jc w:val="both"/>
        <w:rPr>
          <w:rFonts w:ascii="Arial" w:hAnsi="Arial" w:cs="Arial"/>
          <w:sz w:val="24"/>
          <w:szCs w:val="24"/>
        </w:rPr>
      </w:pPr>
    </w:p>
    <w:p w:rsidR="00220DAE" w:rsidRDefault="00E95CE9" w:rsidP="00E95CE9">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It follows that an immovable may only be sold, in these circumstances, without a reserve price if the preferred creditor or local authority fa</w:t>
      </w:r>
      <w:r w:rsidR="00220DAE">
        <w:rPr>
          <w:rFonts w:ascii="Arial" w:hAnsi="Arial" w:cs="Arial"/>
          <w:sz w:val="24"/>
          <w:szCs w:val="24"/>
        </w:rPr>
        <w:t>i</w:t>
      </w:r>
      <w:r>
        <w:rPr>
          <w:rFonts w:ascii="Arial" w:hAnsi="Arial" w:cs="Arial"/>
          <w:sz w:val="24"/>
          <w:szCs w:val="24"/>
        </w:rPr>
        <w:t>led to stipulate</w:t>
      </w:r>
      <w:r w:rsidR="00220DAE">
        <w:rPr>
          <w:rFonts w:ascii="Arial" w:hAnsi="Arial" w:cs="Arial"/>
          <w:sz w:val="24"/>
          <w:szCs w:val="24"/>
        </w:rPr>
        <w:t xml:space="preserve"> a reasonable reserve price or in circumstances where the </w:t>
      </w:r>
      <w:r w:rsidR="00D3067B">
        <w:rPr>
          <w:rFonts w:ascii="Arial" w:hAnsi="Arial" w:cs="Arial"/>
          <w:sz w:val="24"/>
          <w:szCs w:val="24"/>
        </w:rPr>
        <w:t>deputy-sheriff</w:t>
      </w:r>
      <w:r w:rsidR="00220DAE">
        <w:rPr>
          <w:rFonts w:ascii="Arial" w:hAnsi="Arial" w:cs="Arial"/>
          <w:sz w:val="24"/>
          <w:szCs w:val="24"/>
        </w:rPr>
        <w:t xml:space="preserve"> is satisfied that </w:t>
      </w:r>
      <w:r w:rsidR="00D3067B">
        <w:rPr>
          <w:rFonts w:ascii="Arial" w:hAnsi="Arial" w:cs="Arial"/>
          <w:sz w:val="24"/>
          <w:szCs w:val="24"/>
        </w:rPr>
        <w:t>it is</w:t>
      </w:r>
      <w:r w:rsidR="00220DAE">
        <w:rPr>
          <w:rFonts w:ascii="Arial" w:hAnsi="Arial" w:cs="Arial"/>
          <w:sz w:val="24"/>
          <w:szCs w:val="24"/>
        </w:rPr>
        <w:t xml:space="preserve"> impossible to notify any preferred creditor.</w:t>
      </w:r>
    </w:p>
    <w:p w:rsidR="00220DAE" w:rsidRDefault="00220DAE" w:rsidP="00E95CE9">
      <w:pPr>
        <w:spacing w:after="0"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t xml:space="preserve">Rule 110(1) obliges the </w:t>
      </w:r>
      <w:r w:rsidR="00D3067B">
        <w:rPr>
          <w:rFonts w:ascii="Arial" w:hAnsi="Arial" w:cs="Arial"/>
          <w:sz w:val="24"/>
          <w:szCs w:val="24"/>
        </w:rPr>
        <w:t>deputy-sheriff</w:t>
      </w:r>
      <w:r>
        <w:rPr>
          <w:rFonts w:ascii="Arial" w:hAnsi="Arial" w:cs="Arial"/>
          <w:sz w:val="24"/>
          <w:szCs w:val="24"/>
        </w:rPr>
        <w:t xml:space="preserve"> to appoint a day or place for the sale being a day not less than one month after the attachment was made.  Rules 110(2) and (3) relate to the manner in which the notice of the sale must be published.</w:t>
      </w:r>
    </w:p>
    <w:p w:rsidR="00220DAE" w:rsidRDefault="00220DAE" w:rsidP="00E95CE9">
      <w:pPr>
        <w:spacing w:after="0" w:line="360" w:lineRule="auto"/>
        <w:jc w:val="both"/>
        <w:rPr>
          <w:rFonts w:ascii="Arial" w:hAnsi="Arial" w:cs="Arial"/>
          <w:sz w:val="24"/>
          <w:szCs w:val="24"/>
        </w:rPr>
      </w:pPr>
    </w:p>
    <w:p w:rsidR="00852CB5" w:rsidRDefault="00220DAE" w:rsidP="00E95CE9">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852CB5">
        <w:rPr>
          <w:rFonts w:ascii="Arial" w:hAnsi="Arial" w:cs="Arial"/>
          <w:sz w:val="24"/>
          <w:szCs w:val="24"/>
        </w:rPr>
        <w:t xml:space="preserve">Rule 110(4) provides that the </w:t>
      </w:r>
      <w:r w:rsidR="00D3067B">
        <w:rPr>
          <w:rFonts w:ascii="Arial" w:hAnsi="Arial" w:cs="Arial"/>
          <w:sz w:val="24"/>
          <w:szCs w:val="24"/>
        </w:rPr>
        <w:t>deputy-sheriff</w:t>
      </w:r>
      <w:r w:rsidR="00852CB5">
        <w:rPr>
          <w:rFonts w:ascii="Arial" w:hAnsi="Arial" w:cs="Arial"/>
          <w:sz w:val="24"/>
          <w:szCs w:val="24"/>
        </w:rPr>
        <w:t xml:space="preserve"> must not less than 10 days prior to </w:t>
      </w:r>
      <w:r w:rsidR="00D3067B">
        <w:rPr>
          <w:rFonts w:ascii="Arial" w:hAnsi="Arial" w:cs="Arial"/>
          <w:sz w:val="24"/>
          <w:szCs w:val="24"/>
        </w:rPr>
        <w:t>the</w:t>
      </w:r>
      <w:r w:rsidR="00852CB5">
        <w:rPr>
          <w:rFonts w:ascii="Arial" w:hAnsi="Arial" w:cs="Arial"/>
          <w:sz w:val="24"/>
          <w:szCs w:val="24"/>
        </w:rPr>
        <w:t xml:space="preserve"> sale</w:t>
      </w:r>
      <w:r w:rsidR="001870AA">
        <w:rPr>
          <w:rFonts w:ascii="Arial" w:hAnsi="Arial" w:cs="Arial"/>
          <w:sz w:val="24"/>
          <w:szCs w:val="24"/>
        </w:rPr>
        <w:t>,</w:t>
      </w:r>
      <w:r w:rsidR="00852CB5">
        <w:rPr>
          <w:rFonts w:ascii="Arial" w:hAnsi="Arial" w:cs="Arial"/>
          <w:sz w:val="24"/>
          <w:szCs w:val="24"/>
        </w:rPr>
        <w:t xml:space="preserve"> forward by registered post a copy of notice of sale to every execution creditor who </w:t>
      </w:r>
      <w:r w:rsidR="00F16837">
        <w:rPr>
          <w:rFonts w:ascii="Arial" w:hAnsi="Arial" w:cs="Arial"/>
          <w:sz w:val="24"/>
          <w:szCs w:val="24"/>
        </w:rPr>
        <w:t>caused the</w:t>
      </w:r>
      <w:r w:rsidR="00852CB5" w:rsidRPr="00F16837">
        <w:rPr>
          <w:rFonts w:ascii="Arial" w:hAnsi="Arial" w:cs="Arial"/>
          <w:sz w:val="24"/>
          <w:szCs w:val="24"/>
        </w:rPr>
        <w:t xml:space="preserve"> </w:t>
      </w:r>
      <w:r w:rsidR="00852CB5">
        <w:rPr>
          <w:rFonts w:ascii="Arial" w:hAnsi="Arial" w:cs="Arial"/>
          <w:sz w:val="24"/>
          <w:szCs w:val="24"/>
        </w:rPr>
        <w:t xml:space="preserve">immovable property to be attached and to every mortgagee of the property whose address is known.  It will be remembered </w:t>
      </w:r>
      <w:r w:rsidR="00D3067B">
        <w:rPr>
          <w:rFonts w:ascii="Arial" w:hAnsi="Arial" w:cs="Arial"/>
          <w:sz w:val="24"/>
          <w:szCs w:val="24"/>
        </w:rPr>
        <w:t>that</w:t>
      </w:r>
      <w:r w:rsidR="00852CB5">
        <w:rPr>
          <w:rFonts w:ascii="Arial" w:hAnsi="Arial" w:cs="Arial"/>
          <w:sz w:val="24"/>
          <w:szCs w:val="24"/>
        </w:rPr>
        <w:t xml:space="preserve"> Rule 109(5) requires that the Deputy-Sheriff </w:t>
      </w:r>
      <w:r w:rsidR="001870AA">
        <w:rPr>
          <w:rFonts w:ascii="Arial" w:hAnsi="Arial" w:cs="Arial"/>
          <w:sz w:val="24"/>
          <w:szCs w:val="24"/>
        </w:rPr>
        <w:t>is to</w:t>
      </w:r>
      <w:r w:rsidR="00852CB5">
        <w:rPr>
          <w:rFonts w:ascii="Arial" w:hAnsi="Arial" w:cs="Arial"/>
          <w:sz w:val="24"/>
          <w:szCs w:val="24"/>
        </w:rPr>
        <w:t xml:space="preserve"> ascertain the names and addresses of inter alia bond holders </w:t>
      </w:r>
      <w:r w:rsidR="001870AA">
        <w:rPr>
          <w:rFonts w:ascii="Arial" w:hAnsi="Arial" w:cs="Arial"/>
          <w:sz w:val="24"/>
          <w:szCs w:val="24"/>
        </w:rPr>
        <w:t>at an</w:t>
      </w:r>
      <w:r w:rsidR="00852CB5">
        <w:rPr>
          <w:rFonts w:ascii="Arial" w:hAnsi="Arial" w:cs="Arial"/>
          <w:sz w:val="24"/>
          <w:szCs w:val="24"/>
        </w:rPr>
        <w:t xml:space="preserve"> earlie</w:t>
      </w:r>
      <w:r w:rsidR="00F16837">
        <w:rPr>
          <w:rFonts w:ascii="Arial" w:hAnsi="Arial" w:cs="Arial"/>
          <w:sz w:val="24"/>
          <w:szCs w:val="24"/>
        </w:rPr>
        <w:t>r</w:t>
      </w:r>
      <w:r w:rsidR="00852CB5">
        <w:rPr>
          <w:rFonts w:ascii="Arial" w:hAnsi="Arial" w:cs="Arial"/>
          <w:sz w:val="24"/>
          <w:szCs w:val="24"/>
        </w:rPr>
        <w:t xml:space="preserve"> stage in process.</w:t>
      </w:r>
    </w:p>
    <w:p w:rsidR="00852CB5" w:rsidRDefault="00852CB5" w:rsidP="00E95CE9">
      <w:pPr>
        <w:spacing w:after="0" w:line="360" w:lineRule="auto"/>
        <w:jc w:val="both"/>
        <w:rPr>
          <w:rFonts w:ascii="Arial" w:hAnsi="Arial" w:cs="Arial"/>
          <w:sz w:val="24"/>
          <w:szCs w:val="24"/>
        </w:rPr>
      </w:pPr>
    </w:p>
    <w:p w:rsidR="00852CB5" w:rsidRDefault="00852CB5" w:rsidP="00E95CE9">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It is against the backdrop of </w:t>
      </w:r>
      <w:r w:rsidR="00F16837">
        <w:rPr>
          <w:rFonts w:ascii="Arial" w:hAnsi="Arial" w:cs="Arial"/>
          <w:sz w:val="24"/>
          <w:szCs w:val="24"/>
        </w:rPr>
        <w:t xml:space="preserve">what </w:t>
      </w:r>
      <w:r>
        <w:rPr>
          <w:rFonts w:ascii="Arial" w:hAnsi="Arial" w:cs="Arial"/>
          <w:sz w:val="24"/>
          <w:szCs w:val="24"/>
        </w:rPr>
        <w:t xml:space="preserve">Rules 109 and 110 require, that I turn to the </w:t>
      </w:r>
      <w:r w:rsidR="00F16837">
        <w:rPr>
          <w:rFonts w:ascii="Arial" w:hAnsi="Arial" w:cs="Arial"/>
          <w:sz w:val="24"/>
          <w:szCs w:val="24"/>
        </w:rPr>
        <w:t>f</w:t>
      </w:r>
      <w:r>
        <w:rPr>
          <w:rFonts w:ascii="Arial" w:hAnsi="Arial" w:cs="Arial"/>
          <w:sz w:val="24"/>
          <w:szCs w:val="24"/>
        </w:rPr>
        <w:t>acts relevant to this case.</w:t>
      </w:r>
    </w:p>
    <w:p w:rsidR="00852CB5" w:rsidRDefault="00852CB5" w:rsidP="00E95CE9">
      <w:pPr>
        <w:spacing w:after="0" w:line="360" w:lineRule="auto"/>
        <w:jc w:val="both"/>
        <w:rPr>
          <w:rFonts w:ascii="Arial" w:hAnsi="Arial" w:cs="Arial"/>
          <w:sz w:val="24"/>
          <w:szCs w:val="24"/>
        </w:rPr>
      </w:pPr>
    </w:p>
    <w:p w:rsidR="0071128F" w:rsidRDefault="00852CB5" w:rsidP="00E95CE9">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D6822">
        <w:rPr>
          <w:rFonts w:ascii="Arial" w:hAnsi="Arial" w:cs="Arial"/>
          <w:sz w:val="24"/>
          <w:szCs w:val="24"/>
        </w:rPr>
        <w:t>At the time the sale in execution look place</w:t>
      </w:r>
      <w:r w:rsidR="001870AA">
        <w:rPr>
          <w:rFonts w:ascii="Arial" w:hAnsi="Arial" w:cs="Arial"/>
          <w:sz w:val="24"/>
          <w:szCs w:val="24"/>
        </w:rPr>
        <w:t>,</w:t>
      </w:r>
      <w:r w:rsidR="00FD6822">
        <w:rPr>
          <w:rFonts w:ascii="Arial" w:hAnsi="Arial" w:cs="Arial"/>
          <w:sz w:val="24"/>
          <w:szCs w:val="24"/>
        </w:rPr>
        <w:t xml:space="preserve"> the </w:t>
      </w:r>
      <w:r w:rsidR="00F16837">
        <w:rPr>
          <w:rFonts w:ascii="Arial" w:hAnsi="Arial" w:cs="Arial"/>
          <w:sz w:val="24"/>
          <w:szCs w:val="24"/>
        </w:rPr>
        <w:t>sixth</w:t>
      </w:r>
      <w:r w:rsidR="0071128F">
        <w:rPr>
          <w:rFonts w:ascii="Arial" w:hAnsi="Arial" w:cs="Arial"/>
          <w:sz w:val="24"/>
          <w:szCs w:val="24"/>
        </w:rPr>
        <w:t xml:space="preserve"> respondent was the holder of a </w:t>
      </w:r>
      <w:r w:rsidR="00D3067B">
        <w:rPr>
          <w:rFonts w:ascii="Arial" w:hAnsi="Arial" w:cs="Arial"/>
          <w:sz w:val="24"/>
          <w:szCs w:val="24"/>
        </w:rPr>
        <w:t xml:space="preserve">secured </w:t>
      </w:r>
      <w:r w:rsidR="0071128F">
        <w:rPr>
          <w:rFonts w:ascii="Arial" w:hAnsi="Arial" w:cs="Arial"/>
          <w:sz w:val="24"/>
          <w:szCs w:val="24"/>
        </w:rPr>
        <w:t xml:space="preserve">continuing </w:t>
      </w:r>
      <w:r w:rsidR="00D3067B">
        <w:rPr>
          <w:rFonts w:ascii="Arial" w:hAnsi="Arial" w:cs="Arial"/>
          <w:sz w:val="24"/>
          <w:szCs w:val="24"/>
        </w:rPr>
        <w:t>second</w:t>
      </w:r>
      <w:r w:rsidR="001870AA">
        <w:rPr>
          <w:rFonts w:ascii="Arial" w:hAnsi="Arial" w:cs="Arial"/>
          <w:sz w:val="24"/>
          <w:szCs w:val="24"/>
        </w:rPr>
        <w:t xml:space="preserve"> bond registered in its</w:t>
      </w:r>
      <w:r w:rsidR="0071128F">
        <w:rPr>
          <w:rFonts w:ascii="Arial" w:hAnsi="Arial" w:cs="Arial"/>
          <w:sz w:val="24"/>
          <w:szCs w:val="24"/>
        </w:rPr>
        <w:t xml:space="preserve"> favour over the property concerned.  It was not notified of the inte</w:t>
      </w:r>
      <w:r w:rsidR="001870AA">
        <w:rPr>
          <w:rFonts w:ascii="Arial" w:hAnsi="Arial" w:cs="Arial"/>
          <w:sz w:val="24"/>
          <w:szCs w:val="24"/>
        </w:rPr>
        <w:t xml:space="preserve">nded sale of the property as at </w:t>
      </w:r>
      <w:r w:rsidR="0071128F">
        <w:rPr>
          <w:rFonts w:ascii="Arial" w:hAnsi="Arial" w:cs="Arial"/>
          <w:sz w:val="24"/>
          <w:szCs w:val="24"/>
        </w:rPr>
        <w:t>the face of it, is</w:t>
      </w:r>
      <w:r w:rsidR="001870AA">
        <w:rPr>
          <w:rFonts w:ascii="Arial" w:hAnsi="Arial" w:cs="Arial"/>
          <w:sz w:val="24"/>
          <w:szCs w:val="24"/>
        </w:rPr>
        <w:t xml:space="preserve"> as</w:t>
      </w:r>
      <w:r w:rsidR="0071128F">
        <w:rPr>
          <w:rFonts w:ascii="Arial" w:hAnsi="Arial" w:cs="Arial"/>
          <w:sz w:val="24"/>
          <w:szCs w:val="24"/>
        </w:rPr>
        <w:t xml:space="preserve"> require</w:t>
      </w:r>
      <w:r w:rsidR="00D3067B">
        <w:rPr>
          <w:rFonts w:ascii="Arial" w:hAnsi="Arial" w:cs="Arial"/>
          <w:sz w:val="24"/>
          <w:szCs w:val="24"/>
        </w:rPr>
        <w:t>d by Rule 110(4). Two issues fal</w:t>
      </w:r>
      <w:r w:rsidR="0071128F">
        <w:rPr>
          <w:rFonts w:ascii="Arial" w:hAnsi="Arial" w:cs="Arial"/>
          <w:sz w:val="24"/>
          <w:szCs w:val="24"/>
        </w:rPr>
        <w:t>l for determination. They are:</w:t>
      </w:r>
    </w:p>
    <w:p w:rsidR="0071128F" w:rsidRDefault="0071128F" w:rsidP="00E95CE9">
      <w:pPr>
        <w:spacing w:after="0" w:line="360" w:lineRule="auto"/>
        <w:jc w:val="both"/>
        <w:rPr>
          <w:rFonts w:ascii="Arial" w:hAnsi="Arial" w:cs="Arial"/>
          <w:sz w:val="24"/>
          <w:szCs w:val="24"/>
        </w:rPr>
      </w:pPr>
    </w:p>
    <w:p w:rsidR="0071128F" w:rsidRDefault="00D3067B" w:rsidP="0071128F">
      <w:pPr>
        <w:pStyle w:val="ListParagraph"/>
        <w:numPr>
          <w:ilvl w:val="0"/>
          <w:numId w:val="6"/>
        </w:numPr>
        <w:spacing w:after="0" w:line="360" w:lineRule="auto"/>
        <w:ind w:left="0" w:firstLine="0"/>
        <w:jc w:val="both"/>
        <w:rPr>
          <w:rFonts w:ascii="Arial" w:hAnsi="Arial" w:cs="Arial"/>
          <w:sz w:val="24"/>
          <w:szCs w:val="24"/>
        </w:rPr>
      </w:pPr>
      <w:r>
        <w:rPr>
          <w:rFonts w:ascii="Arial" w:hAnsi="Arial" w:cs="Arial"/>
          <w:sz w:val="24"/>
          <w:szCs w:val="24"/>
        </w:rPr>
        <w:t>Whether</w:t>
      </w:r>
      <w:r w:rsidR="0071128F" w:rsidRPr="0071128F">
        <w:rPr>
          <w:rFonts w:ascii="Arial" w:hAnsi="Arial" w:cs="Arial"/>
          <w:sz w:val="24"/>
          <w:szCs w:val="24"/>
        </w:rPr>
        <w:t xml:space="preserve"> </w:t>
      </w:r>
      <w:r>
        <w:rPr>
          <w:rFonts w:ascii="Arial" w:hAnsi="Arial" w:cs="Arial"/>
          <w:sz w:val="24"/>
          <w:szCs w:val="24"/>
        </w:rPr>
        <w:t>the</w:t>
      </w:r>
      <w:r w:rsidR="0071128F" w:rsidRPr="0071128F">
        <w:rPr>
          <w:rFonts w:ascii="Arial" w:hAnsi="Arial" w:cs="Arial"/>
          <w:sz w:val="24"/>
          <w:szCs w:val="24"/>
        </w:rPr>
        <w:t xml:space="preserve"> provisions of Rule 110(4) are peremptory and;</w:t>
      </w:r>
    </w:p>
    <w:p w:rsidR="00D3067B" w:rsidRPr="0071128F" w:rsidRDefault="00D3067B" w:rsidP="00D3067B">
      <w:pPr>
        <w:pStyle w:val="ListParagraph"/>
        <w:spacing w:after="0" w:line="360" w:lineRule="auto"/>
        <w:ind w:left="0"/>
        <w:jc w:val="both"/>
        <w:rPr>
          <w:rFonts w:ascii="Arial" w:hAnsi="Arial" w:cs="Arial"/>
          <w:sz w:val="24"/>
          <w:szCs w:val="24"/>
        </w:rPr>
      </w:pPr>
    </w:p>
    <w:p w:rsidR="0071128F" w:rsidRDefault="0071128F" w:rsidP="0071128F">
      <w:pPr>
        <w:pStyle w:val="ListParagraph"/>
        <w:numPr>
          <w:ilvl w:val="0"/>
          <w:numId w:val="6"/>
        </w:numPr>
        <w:spacing w:after="0" w:line="360" w:lineRule="auto"/>
        <w:ind w:hanging="720"/>
        <w:jc w:val="both"/>
        <w:rPr>
          <w:rFonts w:ascii="Arial" w:hAnsi="Arial" w:cs="Arial"/>
          <w:sz w:val="24"/>
          <w:szCs w:val="24"/>
        </w:rPr>
      </w:pPr>
      <w:r>
        <w:rPr>
          <w:rFonts w:ascii="Arial" w:hAnsi="Arial" w:cs="Arial"/>
          <w:sz w:val="24"/>
          <w:szCs w:val="24"/>
        </w:rPr>
        <w:t>If they are, whether non-compliance results in setting aside the sale in execution.</w:t>
      </w:r>
    </w:p>
    <w:p w:rsidR="0071128F" w:rsidRDefault="0071128F" w:rsidP="0071128F">
      <w:pPr>
        <w:spacing w:after="0" w:line="360" w:lineRule="auto"/>
        <w:jc w:val="both"/>
        <w:rPr>
          <w:rFonts w:ascii="Arial" w:hAnsi="Arial" w:cs="Arial"/>
          <w:sz w:val="24"/>
          <w:szCs w:val="24"/>
        </w:rPr>
      </w:pPr>
    </w:p>
    <w:p w:rsidR="00E95CE9" w:rsidRDefault="0071128F" w:rsidP="0071128F">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220DAE" w:rsidRPr="0071128F">
        <w:rPr>
          <w:rFonts w:ascii="Arial" w:hAnsi="Arial" w:cs="Arial"/>
          <w:sz w:val="24"/>
          <w:szCs w:val="24"/>
        </w:rPr>
        <w:t xml:space="preserve"> </w:t>
      </w:r>
      <w:r w:rsidR="006247B1">
        <w:rPr>
          <w:rFonts w:ascii="Arial" w:hAnsi="Arial" w:cs="Arial"/>
          <w:sz w:val="24"/>
          <w:szCs w:val="24"/>
        </w:rPr>
        <w:t>A perusal of Rules 109 and 110 will show that the words “must” and “may” are used interchangeably.  That is in itself a strong indication of what the drafter of the Rules considered to be mandatory requirements and what are directory requirements.</w:t>
      </w:r>
      <w:r w:rsidR="001870AA">
        <w:rPr>
          <w:rStyle w:val="FootnoteReference"/>
          <w:rFonts w:ascii="Arial" w:hAnsi="Arial" w:cs="Arial"/>
          <w:sz w:val="24"/>
          <w:szCs w:val="24"/>
        </w:rPr>
        <w:footnoteReference w:id="1"/>
      </w:r>
      <w:r w:rsidR="006247B1">
        <w:rPr>
          <w:rFonts w:ascii="Arial" w:hAnsi="Arial" w:cs="Arial"/>
          <w:sz w:val="24"/>
          <w:szCs w:val="24"/>
        </w:rPr>
        <w:t xml:space="preserve"> </w:t>
      </w:r>
    </w:p>
    <w:p w:rsidR="006247B1" w:rsidRDefault="006247B1" w:rsidP="0071128F">
      <w:pPr>
        <w:spacing w:after="0" w:line="360" w:lineRule="auto"/>
        <w:jc w:val="both"/>
        <w:rPr>
          <w:rFonts w:ascii="Arial" w:hAnsi="Arial" w:cs="Arial"/>
          <w:sz w:val="24"/>
          <w:szCs w:val="24"/>
        </w:rPr>
      </w:pPr>
    </w:p>
    <w:p w:rsidR="00085016" w:rsidRDefault="006247B1" w:rsidP="0071128F">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The mere use of the word “must” is not </w:t>
      </w:r>
      <w:r w:rsidR="001870AA">
        <w:rPr>
          <w:rFonts w:ascii="Arial" w:hAnsi="Arial" w:cs="Arial"/>
          <w:sz w:val="24"/>
          <w:szCs w:val="24"/>
        </w:rPr>
        <w:t xml:space="preserve">per se </w:t>
      </w:r>
      <w:r w:rsidR="00D3067B">
        <w:rPr>
          <w:rFonts w:ascii="Arial" w:hAnsi="Arial" w:cs="Arial"/>
          <w:sz w:val="24"/>
          <w:szCs w:val="24"/>
        </w:rPr>
        <w:t xml:space="preserve">an </w:t>
      </w:r>
      <w:r w:rsidR="00085016">
        <w:rPr>
          <w:rFonts w:ascii="Arial" w:hAnsi="Arial" w:cs="Arial"/>
          <w:sz w:val="24"/>
          <w:szCs w:val="24"/>
        </w:rPr>
        <w:t>indication that the provision is peremptory.  It is more</w:t>
      </w:r>
      <w:r w:rsidR="00F16837">
        <w:rPr>
          <w:rFonts w:ascii="Arial" w:hAnsi="Arial" w:cs="Arial"/>
          <w:sz w:val="24"/>
          <w:szCs w:val="24"/>
        </w:rPr>
        <w:t xml:space="preserve"> likely</w:t>
      </w:r>
      <w:r w:rsidR="00085016">
        <w:rPr>
          <w:rFonts w:ascii="Arial" w:hAnsi="Arial" w:cs="Arial"/>
          <w:sz w:val="24"/>
          <w:szCs w:val="24"/>
        </w:rPr>
        <w:t xml:space="preserve"> to be peremptory where</w:t>
      </w:r>
      <w:r w:rsidR="00F16837">
        <w:rPr>
          <w:rFonts w:ascii="Arial" w:hAnsi="Arial" w:cs="Arial"/>
          <w:sz w:val="24"/>
          <w:szCs w:val="24"/>
        </w:rPr>
        <w:t>,</w:t>
      </w:r>
      <w:r w:rsidR="00085016">
        <w:rPr>
          <w:rFonts w:ascii="Arial" w:hAnsi="Arial" w:cs="Arial"/>
          <w:sz w:val="24"/>
          <w:szCs w:val="24"/>
        </w:rPr>
        <w:t xml:space="preserve"> as I indicated</w:t>
      </w:r>
      <w:r w:rsidR="00F16837">
        <w:rPr>
          <w:rFonts w:ascii="Arial" w:hAnsi="Arial" w:cs="Arial"/>
          <w:sz w:val="24"/>
          <w:szCs w:val="24"/>
        </w:rPr>
        <w:t>,</w:t>
      </w:r>
      <w:r w:rsidR="00085016">
        <w:rPr>
          <w:rFonts w:ascii="Arial" w:hAnsi="Arial" w:cs="Arial"/>
          <w:sz w:val="24"/>
          <w:szCs w:val="24"/>
        </w:rPr>
        <w:t xml:space="preserve"> the word “must” is </w:t>
      </w:r>
      <w:r w:rsidR="00085016">
        <w:rPr>
          <w:rFonts w:ascii="Arial" w:hAnsi="Arial" w:cs="Arial"/>
          <w:sz w:val="24"/>
          <w:szCs w:val="24"/>
        </w:rPr>
        <w:lastRenderedPageBreak/>
        <w:t>used in conjunction with the word may. One may well consider that if the word “must” when used in the Rules mean “may”, what does the word “may” then mean?</w:t>
      </w:r>
    </w:p>
    <w:p w:rsidR="00085016" w:rsidRDefault="00085016" w:rsidP="0071128F">
      <w:pPr>
        <w:spacing w:after="0" w:line="360" w:lineRule="auto"/>
        <w:jc w:val="both"/>
        <w:rPr>
          <w:rFonts w:ascii="Arial" w:hAnsi="Arial" w:cs="Arial"/>
          <w:sz w:val="24"/>
          <w:szCs w:val="24"/>
        </w:rPr>
      </w:pPr>
    </w:p>
    <w:p w:rsidR="00A557B3" w:rsidRDefault="00085016" w:rsidP="0071128F">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A557B3">
        <w:rPr>
          <w:rFonts w:ascii="Arial" w:hAnsi="Arial" w:cs="Arial"/>
          <w:sz w:val="24"/>
          <w:szCs w:val="24"/>
        </w:rPr>
        <w:t>The sale in execution of immovable property potentially affects real rights of persons other than the judgment creditor, such as persons or entities in whose favour bonds are registered over the property to be sold.  The claims</w:t>
      </w:r>
      <w:r w:rsidR="00F16837">
        <w:rPr>
          <w:rFonts w:ascii="Arial" w:hAnsi="Arial" w:cs="Arial"/>
          <w:sz w:val="24"/>
          <w:szCs w:val="24"/>
        </w:rPr>
        <w:t xml:space="preserve"> of some of them may be preferent</w:t>
      </w:r>
      <w:r w:rsidR="00A557B3">
        <w:rPr>
          <w:rFonts w:ascii="Arial" w:hAnsi="Arial" w:cs="Arial"/>
          <w:sz w:val="24"/>
          <w:szCs w:val="24"/>
        </w:rPr>
        <w:t xml:space="preserve"> to that of the execution creditor.  They may well not be aware that the property is to be sold </w:t>
      </w:r>
      <w:r w:rsidR="005A3317">
        <w:rPr>
          <w:rFonts w:ascii="Arial" w:hAnsi="Arial" w:cs="Arial"/>
          <w:sz w:val="24"/>
          <w:szCs w:val="24"/>
        </w:rPr>
        <w:t>in</w:t>
      </w:r>
      <w:r w:rsidR="00A557B3">
        <w:rPr>
          <w:rFonts w:ascii="Arial" w:hAnsi="Arial" w:cs="Arial"/>
          <w:sz w:val="24"/>
          <w:szCs w:val="24"/>
        </w:rPr>
        <w:t xml:space="preserve"> execut</w:t>
      </w:r>
      <w:r w:rsidR="005A3317">
        <w:rPr>
          <w:rFonts w:ascii="Arial" w:hAnsi="Arial" w:cs="Arial"/>
          <w:sz w:val="24"/>
          <w:szCs w:val="24"/>
        </w:rPr>
        <w:t>ion</w:t>
      </w:r>
      <w:r w:rsidR="00A557B3">
        <w:rPr>
          <w:rFonts w:ascii="Arial" w:hAnsi="Arial" w:cs="Arial"/>
          <w:sz w:val="24"/>
          <w:szCs w:val="24"/>
        </w:rPr>
        <w:t xml:space="preserve">.  In the case of possible </w:t>
      </w:r>
      <w:r w:rsidR="005E69ED">
        <w:rPr>
          <w:rFonts w:ascii="Arial" w:hAnsi="Arial" w:cs="Arial"/>
          <w:sz w:val="24"/>
          <w:szCs w:val="24"/>
        </w:rPr>
        <w:t>preferent</w:t>
      </w:r>
      <w:r w:rsidR="00A557B3">
        <w:rPr>
          <w:rFonts w:ascii="Arial" w:hAnsi="Arial" w:cs="Arial"/>
          <w:sz w:val="24"/>
          <w:szCs w:val="24"/>
        </w:rPr>
        <w:t xml:space="preserve"> creditors they have certain rights such as the determination of a reasonable reserve price is envisaged in Rule 109(6).</w:t>
      </w:r>
    </w:p>
    <w:p w:rsidR="00A557B3" w:rsidRDefault="00A557B3" w:rsidP="0071128F">
      <w:pPr>
        <w:spacing w:after="0" w:line="360" w:lineRule="auto"/>
        <w:jc w:val="both"/>
        <w:rPr>
          <w:rFonts w:ascii="Arial" w:hAnsi="Arial" w:cs="Arial"/>
          <w:sz w:val="24"/>
          <w:szCs w:val="24"/>
        </w:rPr>
      </w:pPr>
    </w:p>
    <w:p w:rsidR="00A557B3" w:rsidRDefault="005A3317" w:rsidP="0071128F">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In considering the </w:t>
      </w:r>
      <w:r w:rsidR="005E69ED">
        <w:rPr>
          <w:rFonts w:ascii="Arial" w:hAnsi="Arial" w:cs="Arial"/>
          <w:sz w:val="24"/>
          <w:szCs w:val="24"/>
        </w:rPr>
        <w:t>not</w:t>
      </w:r>
      <w:r>
        <w:rPr>
          <w:rFonts w:ascii="Arial" w:hAnsi="Arial" w:cs="Arial"/>
          <w:sz w:val="24"/>
          <w:szCs w:val="24"/>
        </w:rPr>
        <w:t xml:space="preserve"> merely</w:t>
      </w:r>
      <w:r w:rsidR="00A557B3">
        <w:rPr>
          <w:rFonts w:ascii="Arial" w:hAnsi="Arial" w:cs="Arial"/>
          <w:sz w:val="24"/>
          <w:szCs w:val="24"/>
        </w:rPr>
        <w:t xml:space="preserve"> the words used but the conte</w:t>
      </w:r>
      <w:r w:rsidR="005E69ED">
        <w:rPr>
          <w:rFonts w:ascii="Arial" w:hAnsi="Arial" w:cs="Arial"/>
          <w:sz w:val="24"/>
          <w:szCs w:val="24"/>
        </w:rPr>
        <w:t>x</w:t>
      </w:r>
      <w:r w:rsidR="00A557B3">
        <w:rPr>
          <w:rFonts w:ascii="Arial" w:hAnsi="Arial" w:cs="Arial"/>
          <w:sz w:val="24"/>
          <w:szCs w:val="24"/>
        </w:rPr>
        <w:t>t of particularly Rules 109 and 110, it is apparent that some provision is made to protect the rights of bond holders and local or regional authorities. When considered in conte</w:t>
      </w:r>
      <w:r w:rsidR="005E69ED">
        <w:rPr>
          <w:rFonts w:ascii="Arial" w:hAnsi="Arial" w:cs="Arial"/>
          <w:sz w:val="24"/>
          <w:szCs w:val="24"/>
        </w:rPr>
        <w:t>x</w:t>
      </w:r>
      <w:r w:rsidR="00A557B3">
        <w:rPr>
          <w:rFonts w:ascii="Arial" w:hAnsi="Arial" w:cs="Arial"/>
          <w:sz w:val="24"/>
          <w:szCs w:val="24"/>
        </w:rPr>
        <w:t>t I conclude that the word “must” where it appears imposes a mandatory obligation on the Deputy-Sheriff or the judgment creditor as the case may be.</w:t>
      </w:r>
    </w:p>
    <w:p w:rsidR="00A557B3" w:rsidRDefault="00A557B3" w:rsidP="0071128F">
      <w:pPr>
        <w:spacing w:after="0" w:line="360" w:lineRule="auto"/>
        <w:jc w:val="both"/>
        <w:rPr>
          <w:rFonts w:ascii="Arial" w:hAnsi="Arial" w:cs="Arial"/>
          <w:sz w:val="24"/>
          <w:szCs w:val="24"/>
        </w:rPr>
      </w:pPr>
    </w:p>
    <w:p w:rsidR="002E042C" w:rsidRDefault="00A557B3" w:rsidP="0071128F">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050DB">
        <w:rPr>
          <w:rFonts w:ascii="Arial" w:hAnsi="Arial" w:cs="Arial"/>
          <w:sz w:val="24"/>
          <w:szCs w:val="24"/>
        </w:rPr>
        <w:t xml:space="preserve">In </w:t>
      </w:r>
      <w:r w:rsidR="002E042C" w:rsidRPr="001870AA">
        <w:rPr>
          <w:rFonts w:ascii="Arial" w:hAnsi="Arial" w:cs="Arial"/>
          <w:i/>
          <w:sz w:val="24"/>
          <w:szCs w:val="24"/>
        </w:rPr>
        <w:t>V</w:t>
      </w:r>
      <w:r w:rsidR="005E69ED" w:rsidRPr="001870AA">
        <w:rPr>
          <w:rFonts w:ascii="Arial" w:hAnsi="Arial" w:cs="Arial"/>
          <w:i/>
          <w:sz w:val="24"/>
          <w:szCs w:val="24"/>
        </w:rPr>
        <w:t>o</w:t>
      </w:r>
      <w:r w:rsidR="002E042C" w:rsidRPr="001870AA">
        <w:rPr>
          <w:rFonts w:ascii="Arial" w:hAnsi="Arial" w:cs="Arial"/>
          <w:i/>
          <w:sz w:val="24"/>
          <w:szCs w:val="24"/>
        </w:rPr>
        <w:t>lsclenk v V</w:t>
      </w:r>
      <w:r w:rsidR="005E69ED" w:rsidRPr="001870AA">
        <w:rPr>
          <w:rFonts w:ascii="Arial" w:hAnsi="Arial" w:cs="Arial"/>
          <w:i/>
          <w:sz w:val="24"/>
          <w:szCs w:val="24"/>
        </w:rPr>
        <w:t>o</w:t>
      </w:r>
      <w:r w:rsidR="002E042C" w:rsidRPr="001870AA">
        <w:rPr>
          <w:rFonts w:ascii="Arial" w:hAnsi="Arial" w:cs="Arial"/>
          <w:i/>
          <w:sz w:val="24"/>
          <w:szCs w:val="24"/>
        </w:rPr>
        <w:t>lsclenk</w:t>
      </w:r>
      <w:r w:rsidR="001870AA">
        <w:rPr>
          <w:rStyle w:val="FootnoteReference"/>
          <w:rFonts w:ascii="Arial" w:hAnsi="Arial" w:cs="Arial"/>
          <w:i/>
          <w:sz w:val="24"/>
          <w:szCs w:val="24"/>
        </w:rPr>
        <w:footnoteReference w:id="2"/>
      </w:r>
      <w:r w:rsidR="002E042C">
        <w:rPr>
          <w:rFonts w:ascii="Arial" w:hAnsi="Arial" w:cs="Arial"/>
          <w:sz w:val="24"/>
          <w:szCs w:val="24"/>
        </w:rPr>
        <w:t xml:space="preserve"> the passage on page 490 read</w:t>
      </w:r>
      <w:r w:rsidR="005E69ED">
        <w:rPr>
          <w:rFonts w:ascii="Arial" w:hAnsi="Arial" w:cs="Arial"/>
          <w:sz w:val="24"/>
          <w:szCs w:val="24"/>
        </w:rPr>
        <w:t>,</w:t>
      </w:r>
      <w:r w:rsidR="002E042C">
        <w:rPr>
          <w:rFonts w:ascii="Arial" w:hAnsi="Arial" w:cs="Arial"/>
          <w:sz w:val="24"/>
          <w:szCs w:val="24"/>
        </w:rPr>
        <w:t xml:space="preserve"> that:</w:t>
      </w:r>
    </w:p>
    <w:p w:rsidR="002E042C" w:rsidRDefault="002E042C" w:rsidP="0071128F">
      <w:pPr>
        <w:spacing w:after="0" w:line="360" w:lineRule="auto"/>
        <w:jc w:val="both"/>
        <w:rPr>
          <w:rFonts w:ascii="Arial" w:hAnsi="Arial" w:cs="Arial"/>
          <w:sz w:val="24"/>
          <w:szCs w:val="24"/>
        </w:rPr>
      </w:pPr>
    </w:p>
    <w:p w:rsidR="002E042C" w:rsidRDefault="002E042C" w:rsidP="0071128F">
      <w:pPr>
        <w:spacing w:after="0" w:line="360" w:lineRule="auto"/>
        <w:jc w:val="both"/>
        <w:rPr>
          <w:rFonts w:ascii="Arial" w:hAnsi="Arial" w:cs="Arial"/>
        </w:rPr>
      </w:pPr>
      <w:r>
        <w:rPr>
          <w:rFonts w:ascii="Arial" w:hAnsi="Arial" w:cs="Arial"/>
          <w:sz w:val="24"/>
          <w:szCs w:val="24"/>
        </w:rPr>
        <w:tab/>
      </w:r>
      <w:r w:rsidRPr="005A3317">
        <w:rPr>
          <w:rFonts w:ascii="Arial" w:hAnsi="Arial" w:cs="Arial"/>
        </w:rPr>
        <w:t>‘I am not aware of any deci</w:t>
      </w:r>
      <w:r w:rsidR="005E69ED">
        <w:rPr>
          <w:rFonts w:ascii="Arial" w:hAnsi="Arial" w:cs="Arial"/>
        </w:rPr>
        <w:t>sion laying down a general rule,</w:t>
      </w:r>
      <w:r w:rsidRPr="005A3317">
        <w:rPr>
          <w:rFonts w:ascii="Arial" w:hAnsi="Arial" w:cs="Arial"/>
        </w:rPr>
        <w:t xml:space="preserve"> </w:t>
      </w:r>
      <w:r w:rsidR="005E69ED">
        <w:rPr>
          <w:rFonts w:ascii="Arial" w:hAnsi="Arial" w:cs="Arial"/>
        </w:rPr>
        <w:t>t</w:t>
      </w:r>
      <w:r w:rsidRPr="005A3317">
        <w:rPr>
          <w:rFonts w:ascii="Arial" w:hAnsi="Arial" w:cs="Arial"/>
        </w:rPr>
        <w:t>hat all provisions with respect to time are necessarily obligatory and that failure to comply therewith results in nullifying all act</w:t>
      </w:r>
      <w:r w:rsidR="005A3317" w:rsidRPr="005A3317">
        <w:rPr>
          <w:rFonts w:ascii="Arial" w:hAnsi="Arial" w:cs="Arial"/>
        </w:rPr>
        <w:t>s</w:t>
      </w:r>
      <w:r w:rsidRPr="005A3317">
        <w:rPr>
          <w:rFonts w:ascii="Arial" w:hAnsi="Arial" w:cs="Arial"/>
        </w:rPr>
        <w:t xml:space="preserve"> done pursuant thereto.  The real intention of the legislature should in al</w:t>
      </w:r>
      <w:r w:rsidR="005A3317" w:rsidRPr="005A3317">
        <w:rPr>
          <w:rFonts w:ascii="Arial" w:hAnsi="Arial" w:cs="Arial"/>
        </w:rPr>
        <w:t>l</w:t>
      </w:r>
      <w:r w:rsidR="001870AA">
        <w:rPr>
          <w:rFonts w:ascii="Arial" w:hAnsi="Arial" w:cs="Arial"/>
        </w:rPr>
        <w:t xml:space="preserve"> cases be enquired into . . .  </w:t>
      </w:r>
      <w:r w:rsidRPr="005A3317">
        <w:rPr>
          <w:rFonts w:ascii="Arial" w:hAnsi="Arial" w:cs="Arial"/>
        </w:rPr>
        <w:t xml:space="preserve">the reasons ascertained </w:t>
      </w:r>
      <w:r w:rsidR="001870AA">
        <w:rPr>
          <w:rFonts w:ascii="Arial" w:hAnsi="Arial" w:cs="Arial"/>
        </w:rPr>
        <w:t xml:space="preserve">why the legislature should have . . . to . . . </w:t>
      </w:r>
      <w:r w:rsidRPr="005A3317">
        <w:rPr>
          <w:rFonts w:ascii="Arial" w:hAnsi="Arial" w:cs="Arial"/>
        </w:rPr>
        <w:t>a nullity.</w:t>
      </w:r>
      <w:r w:rsidR="001870AA">
        <w:rPr>
          <w:rFonts w:ascii="Arial" w:hAnsi="Arial" w:cs="Arial"/>
        </w:rPr>
        <w:t>’</w:t>
      </w:r>
      <w:r w:rsidR="001870AA">
        <w:rPr>
          <w:rStyle w:val="FootnoteReference"/>
          <w:rFonts w:ascii="Arial" w:hAnsi="Arial" w:cs="Arial"/>
        </w:rPr>
        <w:footnoteReference w:id="3"/>
      </w:r>
      <w:r w:rsidRPr="005A3317">
        <w:rPr>
          <w:rFonts w:ascii="Arial" w:hAnsi="Arial" w:cs="Arial"/>
        </w:rPr>
        <w:t xml:space="preserve"> </w:t>
      </w:r>
    </w:p>
    <w:p w:rsidR="001870AA" w:rsidRDefault="001870AA" w:rsidP="0071128F">
      <w:pPr>
        <w:spacing w:after="0" w:line="360" w:lineRule="auto"/>
        <w:jc w:val="both"/>
        <w:rPr>
          <w:rFonts w:ascii="Arial" w:hAnsi="Arial" w:cs="Arial"/>
          <w:sz w:val="24"/>
          <w:szCs w:val="24"/>
        </w:rPr>
      </w:pPr>
    </w:p>
    <w:p w:rsidR="003636AE" w:rsidRDefault="002E042C" w:rsidP="0071128F">
      <w:pPr>
        <w:spacing w:after="0" w:line="360" w:lineRule="auto"/>
        <w:jc w:val="both"/>
        <w:rPr>
          <w:rFonts w:ascii="Arial" w:hAnsi="Arial" w:cs="Arial"/>
          <w:sz w:val="24"/>
          <w:szCs w:val="24"/>
        </w:rPr>
      </w:pPr>
      <w:r>
        <w:rPr>
          <w:rFonts w:ascii="Arial" w:hAnsi="Arial" w:cs="Arial"/>
          <w:sz w:val="24"/>
          <w:szCs w:val="24"/>
        </w:rPr>
        <w:t>Rules 109 and 110 insofar as they relate to bond holders or local or regional authorities were drafted to ensure adequate protection of the</w:t>
      </w:r>
      <w:r w:rsidR="005E69ED">
        <w:rPr>
          <w:rFonts w:ascii="Arial" w:hAnsi="Arial" w:cs="Arial"/>
          <w:sz w:val="24"/>
          <w:szCs w:val="24"/>
        </w:rPr>
        <w:t>ir</w:t>
      </w:r>
      <w:r>
        <w:rPr>
          <w:rFonts w:ascii="Arial" w:hAnsi="Arial" w:cs="Arial"/>
          <w:sz w:val="24"/>
          <w:szCs w:val="24"/>
        </w:rPr>
        <w:t xml:space="preserve"> rights as a </w:t>
      </w:r>
      <w:r w:rsidR="003A4DDB">
        <w:rPr>
          <w:rFonts w:ascii="Arial" w:hAnsi="Arial" w:cs="Arial"/>
          <w:sz w:val="24"/>
          <w:szCs w:val="24"/>
        </w:rPr>
        <w:t>pre-emptive</w:t>
      </w:r>
      <w:r w:rsidR="005A3317">
        <w:rPr>
          <w:rFonts w:ascii="Arial" w:hAnsi="Arial" w:cs="Arial"/>
          <w:sz w:val="24"/>
          <w:szCs w:val="24"/>
        </w:rPr>
        <w:t xml:space="preserve"> measure</w:t>
      </w:r>
      <w:r w:rsidR="003A4DDB">
        <w:rPr>
          <w:rFonts w:ascii="Arial" w:hAnsi="Arial" w:cs="Arial"/>
          <w:sz w:val="24"/>
          <w:szCs w:val="24"/>
        </w:rPr>
        <w:t xml:space="preserve">. </w:t>
      </w:r>
      <w:r w:rsidR="003636AE">
        <w:rPr>
          <w:rFonts w:ascii="Arial" w:hAnsi="Arial" w:cs="Arial"/>
          <w:sz w:val="24"/>
          <w:szCs w:val="24"/>
        </w:rPr>
        <w:t xml:space="preserve">Fundamental to this is the fact that they must as a first step be notified that the property is to be sold in execution. Non-compliance will </w:t>
      </w:r>
      <w:r w:rsidR="005E69ED">
        <w:rPr>
          <w:rFonts w:ascii="Arial" w:hAnsi="Arial" w:cs="Arial"/>
          <w:sz w:val="24"/>
          <w:szCs w:val="24"/>
        </w:rPr>
        <w:t>defeat</w:t>
      </w:r>
      <w:r w:rsidR="003636AE">
        <w:rPr>
          <w:rFonts w:ascii="Arial" w:hAnsi="Arial" w:cs="Arial"/>
          <w:sz w:val="24"/>
          <w:szCs w:val="24"/>
        </w:rPr>
        <w:t xml:space="preserve"> the object and intention of the Rules </w:t>
      </w:r>
      <w:r w:rsidR="003636AE">
        <w:rPr>
          <w:rFonts w:ascii="Arial" w:hAnsi="Arial" w:cs="Arial"/>
          <w:sz w:val="24"/>
          <w:szCs w:val="24"/>
        </w:rPr>
        <w:lastRenderedPageBreak/>
        <w:t>and will lead to a nullity in the case of non-compliance.</w:t>
      </w:r>
      <w:r w:rsidR="005E69ED">
        <w:rPr>
          <w:rFonts w:ascii="Arial" w:hAnsi="Arial" w:cs="Arial"/>
          <w:sz w:val="24"/>
          <w:szCs w:val="24"/>
        </w:rPr>
        <w:t xml:space="preserve">  Bond holders must be notified in advance, to enable them to exercise the rights offered to them.  It is not</w:t>
      </w:r>
      <w:r w:rsidR="001870AA">
        <w:rPr>
          <w:rFonts w:ascii="Arial" w:hAnsi="Arial" w:cs="Arial"/>
          <w:sz w:val="24"/>
          <w:szCs w:val="24"/>
        </w:rPr>
        <w:t xml:space="preserve"> intended that they should find</w:t>
      </w:r>
      <w:r w:rsidR="005E69ED">
        <w:rPr>
          <w:rFonts w:ascii="Arial" w:hAnsi="Arial" w:cs="Arial"/>
          <w:sz w:val="24"/>
          <w:szCs w:val="24"/>
        </w:rPr>
        <w:t xml:space="preserve"> out </w:t>
      </w:r>
      <w:r w:rsidR="005E69ED" w:rsidRPr="005E69ED">
        <w:rPr>
          <w:rFonts w:ascii="Arial" w:hAnsi="Arial" w:cs="Arial"/>
          <w:i/>
          <w:sz w:val="24"/>
          <w:szCs w:val="24"/>
        </w:rPr>
        <w:t>ex post facto</w:t>
      </w:r>
      <w:r w:rsidR="005E69ED">
        <w:rPr>
          <w:rFonts w:ascii="Arial" w:hAnsi="Arial" w:cs="Arial"/>
          <w:sz w:val="24"/>
          <w:szCs w:val="24"/>
        </w:rPr>
        <w:t xml:space="preserve"> that a property over which they have rights had been sold.</w:t>
      </w:r>
    </w:p>
    <w:p w:rsidR="003636AE" w:rsidRDefault="003636AE" w:rsidP="0071128F">
      <w:pPr>
        <w:spacing w:after="0" w:line="360" w:lineRule="auto"/>
        <w:jc w:val="both"/>
        <w:rPr>
          <w:rFonts w:ascii="Arial" w:hAnsi="Arial" w:cs="Arial"/>
          <w:sz w:val="24"/>
          <w:szCs w:val="24"/>
        </w:rPr>
      </w:pPr>
    </w:p>
    <w:p w:rsidR="003636AE" w:rsidRDefault="003636AE" w:rsidP="0071128F">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It is not disputed that the sixth respondent was not advised of the intended sale in execution.  The stance adopted by the sixth respondent is that the debt secured by the bond ha</w:t>
      </w:r>
      <w:r w:rsidR="005E69ED">
        <w:rPr>
          <w:rFonts w:ascii="Arial" w:hAnsi="Arial" w:cs="Arial"/>
          <w:sz w:val="24"/>
          <w:szCs w:val="24"/>
        </w:rPr>
        <w:t>d</w:t>
      </w:r>
      <w:r>
        <w:rPr>
          <w:rFonts w:ascii="Arial" w:hAnsi="Arial" w:cs="Arial"/>
          <w:sz w:val="24"/>
          <w:szCs w:val="24"/>
        </w:rPr>
        <w:t xml:space="preserve"> been paid.  That may well be so.  That fact does not mean that they should not have received the required notice. </w:t>
      </w:r>
      <w:r w:rsidR="005E69ED">
        <w:rPr>
          <w:rFonts w:ascii="Arial" w:hAnsi="Arial" w:cs="Arial"/>
          <w:sz w:val="24"/>
          <w:szCs w:val="24"/>
        </w:rPr>
        <w:t>Had the</w:t>
      </w:r>
      <w:r>
        <w:rPr>
          <w:rFonts w:ascii="Arial" w:hAnsi="Arial" w:cs="Arial"/>
          <w:sz w:val="24"/>
          <w:szCs w:val="24"/>
        </w:rPr>
        <w:t xml:space="preserve"> sixth respondent </w:t>
      </w:r>
      <w:r w:rsidR="005E69ED">
        <w:rPr>
          <w:rFonts w:ascii="Arial" w:hAnsi="Arial" w:cs="Arial"/>
          <w:sz w:val="24"/>
          <w:szCs w:val="24"/>
        </w:rPr>
        <w:t>been</w:t>
      </w:r>
      <w:r>
        <w:rPr>
          <w:rFonts w:ascii="Arial" w:hAnsi="Arial" w:cs="Arial"/>
          <w:sz w:val="24"/>
          <w:szCs w:val="24"/>
        </w:rPr>
        <w:t xml:space="preserve"> notified, it was up to the </w:t>
      </w:r>
      <w:r w:rsidR="005E69ED">
        <w:rPr>
          <w:rFonts w:ascii="Arial" w:hAnsi="Arial" w:cs="Arial"/>
          <w:sz w:val="24"/>
          <w:szCs w:val="24"/>
        </w:rPr>
        <w:t>sixth respondent</w:t>
      </w:r>
      <w:r>
        <w:rPr>
          <w:rFonts w:ascii="Arial" w:hAnsi="Arial" w:cs="Arial"/>
          <w:sz w:val="24"/>
          <w:szCs w:val="24"/>
        </w:rPr>
        <w:t xml:space="preserve"> </w:t>
      </w:r>
      <w:r w:rsidR="005E69ED">
        <w:rPr>
          <w:rFonts w:ascii="Arial" w:hAnsi="Arial" w:cs="Arial"/>
          <w:sz w:val="24"/>
          <w:szCs w:val="24"/>
        </w:rPr>
        <w:t xml:space="preserve">to </w:t>
      </w:r>
      <w:r>
        <w:rPr>
          <w:rFonts w:ascii="Arial" w:hAnsi="Arial" w:cs="Arial"/>
          <w:sz w:val="24"/>
          <w:szCs w:val="24"/>
        </w:rPr>
        <w:t xml:space="preserve">determine what </w:t>
      </w:r>
      <w:r w:rsidR="005E69ED">
        <w:rPr>
          <w:rFonts w:ascii="Arial" w:hAnsi="Arial" w:cs="Arial"/>
          <w:sz w:val="24"/>
          <w:szCs w:val="24"/>
        </w:rPr>
        <w:t>its</w:t>
      </w:r>
      <w:r>
        <w:rPr>
          <w:rFonts w:ascii="Arial" w:hAnsi="Arial" w:cs="Arial"/>
          <w:sz w:val="24"/>
          <w:szCs w:val="24"/>
        </w:rPr>
        <w:t xml:space="preserve"> position would </w:t>
      </w:r>
      <w:r w:rsidRPr="00C60581">
        <w:rPr>
          <w:rFonts w:ascii="Arial" w:hAnsi="Arial" w:cs="Arial"/>
          <w:b/>
          <w:sz w:val="24"/>
          <w:szCs w:val="24"/>
        </w:rPr>
        <w:t>be</w:t>
      </w:r>
      <w:r>
        <w:rPr>
          <w:rFonts w:ascii="Arial" w:hAnsi="Arial" w:cs="Arial"/>
          <w:sz w:val="24"/>
          <w:szCs w:val="24"/>
        </w:rPr>
        <w:t xml:space="preserve"> should the property be sold.  If </w:t>
      </w:r>
      <w:r w:rsidR="00C60581">
        <w:rPr>
          <w:rFonts w:ascii="Arial" w:hAnsi="Arial" w:cs="Arial"/>
          <w:sz w:val="24"/>
          <w:szCs w:val="24"/>
        </w:rPr>
        <w:t xml:space="preserve">it had </w:t>
      </w:r>
      <w:r>
        <w:rPr>
          <w:rFonts w:ascii="Arial" w:hAnsi="Arial" w:cs="Arial"/>
          <w:sz w:val="24"/>
          <w:szCs w:val="24"/>
        </w:rPr>
        <w:t>no</w:t>
      </w:r>
      <w:r w:rsidR="00C60581">
        <w:rPr>
          <w:rFonts w:ascii="Arial" w:hAnsi="Arial" w:cs="Arial"/>
          <w:sz w:val="24"/>
          <w:szCs w:val="24"/>
        </w:rPr>
        <w:t xml:space="preserve"> further interest in the matter,</w:t>
      </w:r>
      <w:r>
        <w:rPr>
          <w:rFonts w:ascii="Arial" w:hAnsi="Arial" w:cs="Arial"/>
          <w:sz w:val="24"/>
          <w:szCs w:val="24"/>
        </w:rPr>
        <w:t xml:space="preserve"> </w:t>
      </w:r>
      <w:r w:rsidR="00C60581">
        <w:rPr>
          <w:rFonts w:ascii="Arial" w:hAnsi="Arial" w:cs="Arial"/>
          <w:sz w:val="24"/>
          <w:szCs w:val="24"/>
        </w:rPr>
        <w:t>i</w:t>
      </w:r>
      <w:r w:rsidR="00D3440C">
        <w:rPr>
          <w:rFonts w:ascii="Arial" w:hAnsi="Arial" w:cs="Arial"/>
          <w:sz w:val="24"/>
          <w:szCs w:val="24"/>
        </w:rPr>
        <w:t>t</w:t>
      </w:r>
      <w:r>
        <w:rPr>
          <w:rFonts w:ascii="Arial" w:hAnsi="Arial" w:cs="Arial"/>
          <w:sz w:val="24"/>
          <w:szCs w:val="24"/>
        </w:rPr>
        <w:t xml:space="preserve"> would not </w:t>
      </w:r>
      <w:r w:rsidR="00C60581">
        <w:rPr>
          <w:rFonts w:ascii="Arial" w:hAnsi="Arial" w:cs="Arial"/>
          <w:sz w:val="24"/>
          <w:szCs w:val="24"/>
        </w:rPr>
        <w:t xml:space="preserve">likely </w:t>
      </w:r>
      <w:r>
        <w:rPr>
          <w:rFonts w:ascii="Arial" w:hAnsi="Arial" w:cs="Arial"/>
          <w:sz w:val="24"/>
          <w:szCs w:val="24"/>
        </w:rPr>
        <w:t xml:space="preserve">seek to intervene. It can only exercise </w:t>
      </w:r>
      <w:r w:rsidR="00C60581">
        <w:rPr>
          <w:rFonts w:ascii="Arial" w:hAnsi="Arial" w:cs="Arial"/>
          <w:sz w:val="24"/>
          <w:szCs w:val="24"/>
        </w:rPr>
        <w:t>this</w:t>
      </w:r>
      <w:r>
        <w:rPr>
          <w:rFonts w:ascii="Arial" w:hAnsi="Arial" w:cs="Arial"/>
          <w:sz w:val="24"/>
          <w:szCs w:val="24"/>
        </w:rPr>
        <w:t xml:space="preserve"> option once it is notified.  The fact that the sixth respondent established </w:t>
      </w:r>
      <w:r w:rsidR="00C60581" w:rsidRPr="005E69ED">
        <w:rPr>
          <w:rFonts w:ascii="Arial" w:hAnsi="Arial" w:cs="Arial"/>
          <w:i/>
          <w:sz w:val="24"/>
          <w:szCs w:val="24"/>
        </w:rPr>
        <w:t>ex post facto</w:t>
      </w:r>
      <w:r>
        <w:rPr>
          <w:rFonts w:ascii="Arial" w:hAnsi="Arial" w:cs="Arial"/>
          <w:sz w:val="24"/>
          <w:szCs w:val="24"/>
        </w:rPr>
        <w:t xml:space="preserve"> facts that the debt has been repaid does not assist the matter in any sense.</w:t>
      </w:r>
    </w:p>
    <w:p w:rsidR="003636AE" w:rsidRDefault="003636AE" w:rsidP="0071128F">
      <w:pPr>
        <w:spacing w:after="0" w:line="360" w:lineRule="auto"/>
        <w:jc w:val="both"/>
        <w:rPr>
          <w:rFonts w:ascii="Arial" w:hAnsi="Arial" w:cs="Arial"/>
          <w:sz w:val="24"/>
          <w:szCs w:val="24"/>
        </w:rPr>
      </w:pPr>
    </w:p>
    <w:p w:rsidR="003636AE" w:rsidRDefault="003636AE" w:rsidP="0071128F">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It follows that the applicant is entitled to the relief it seeks for these reasons.</w:t>
      </w:r>
    </w:p>
    <w:p w:rsidR="003636AE" w:rsidRDefault="003636AE" w:rsidP="0071128F">
      <w:pPr>
        <w:spacing w:after="0" w:line="360" w:lineRule="auto"/>
        <w:jc w:val="both"/>
        <w:rPr>
          <w:rFonts w:ascii="Arial" w:hAnsi="Arial" w:cs="Arial"/>
          <w:sz w:val="24"/>
          <w:szCs w:val="24"/>
        </w:rPr>
      </w:pPr>
    </w:p>
    <w:p w:rsidR="003636AE" w:rsidRDefault="003636AE" w:rsidP="0071128F">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There remains the further issue concerning what transpired between the representatives of the applicant and the first respondent immediately prior to the sale proceedings.</w:t>
      </w:r>
    </w:p>
    <w:p w:rsidR="003636AE" w:rsidRDefault="003636AE" w:rsidP="0071128F">
      <w:pPr>
        <w:spacing w:after="0" w:line="360" w:lineRule="auto"/>
        <w:jc w:val="both"/>
        <w:rPr>
          <w:rFonts w:ascii="Arial" w:hAnsi="Arial" w:cs="Arial"/>
          <w:sz w:val="24"/>
          <w:szCs w:val="24"/>
        </w:rPr>
      </w:pPr>
    </w:p>
    <w:p w:rsidR="00D3440C" w:rsidRDefault="003636AE" w:rsidP="0071128F">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D3440C">
        <w:rPr>
          <w:rFonts w:ascii="Arial" w:hAnsi="Arial" w:cs="Arial"/>
          <w:sz w:val="24"/>
          <w:szCs w:val="24"/>
        </w:rPr>
        <w:t>What is to be determined is whether or not a factual dispute insofar as it exists can be resolved on the papers, these being motion proceedings.</w:t>
      </w:r>
    </w:p>
    <w:p w:rsidR="00D3440C" w:rsidRDefault="00D3440C" w:rsidP="0071128F">
      <w:pPr>
        <w:spacing w:after="0" w:line="360" w:lineRule="auto"/>
        <w:jc w:val="both"/>
        <w:rPr>
          <w:rFonts w:ascii="Arial" w:hAnsi="Arial" w:cs="Arial"/>
          <w:sz w:val="24"/>
          <w:szCs w:val="24"/>
        </w:rPr>
      </w:pPr>
    </w:p>
    <w:p w:rsidR="00E10039" w:rsidRDefault="00D3440C" w:rsidP="0071128F">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E10039">
        <w:rPr>
          <w:rFonts w:ascii="Arial" w:hAnsi="Arial" w:cs="Arial"/>
          <w:sz w:val="24"/>
          <w:szCs w:val="24"/>
        </w:rPr>
        <w:t xml:space="preserve">At the </w:t>
      </w:r>
      <w:r w:rsidR="00C60581">
        <w:rPr>
          <w:rFonts w:ascii="Arial" w:hAnsi="Arial" w:cs="Arial"/>
          <w:sz w:val="24"/>
          <w:szCs w:val="24"/>
        </w:rPr>
        <w:t>heart of it</w:t>
      </w:r>
      <w:r w:rsidR="00E10039">
        <w:rPr>
          <w:rFonts w:ascii="Arial" w:hAnsi="Arial" w:cs="Arial"/>
          <w:sz w:val="24"/>
          <w:szCs w:val="24"/>
        </w:rPr>
        <w:t xml:space="preserve"> lies the allegation that the applicant</w:t>
      </w:r>
      <w:r>
        <w:rPr>
          <w:rFonts w:ascii="Arial" w:hAnsi="Arial" w:cs="Arial"/>
          <w:sz w:val="24"/>
          <w:szCs w:val="24"/>
        </w:rPr>
        <w:t>’</w:t>
      </w:r>
      <w:r w:rsidR="00E10039">
        <w:rPr>
          <w:rFonts w:ascii="Arial" w:hAnsi="Arial" w:cs="Arial"/>
          <w:sz w:val="24"/>
          <w:szCs w:val="24"/>
        </w:rPr>
        <w:t>s representatives instructed the first respondent to cancel the sale.  The response of the first respond</w:t>
      </w:r>
      <w:r w:rsidR="00487A1A">
        <w:rPr>
          <w:rFonts w:ascii="Arial" w:hAnsi="Arial" w:cs="Arial"/>
          <w:sz w:val="24"/>
          <w:szCs w:val="24"/>
        </w:rPr>
        <w:t>ent</w:t>
      </w:r>
      <w:r w:rsidR="00E10039">
        <w:rPr>
          <w:rFonts w:ascii="Arial" w:hAnsi="Arial" w:cs="Arial"/>
          <w:sz w:val="24"/>
          <w:szCs w:val="24"/>
        </w:rPr>
        <w:t xml:space="preserve"> is equivocal</w:t>
      </w:r>
      <w:r w:rsidR="00487A1A">
        <w:rPr>
          <w:rFonts w:ascii="Arial" w:hAnsi="Arial" w:cs="Arial"/>
          <w:sz w:val="24"/>
          <w:szCs w:val="24"/>
        </w:rPr>
        <w:t>.</w:t>
      </w:r>
      <w:r w:rsidR="00E10039">
        <w:rPr>
          <w:rFonts w:ascii="Arial" w:hAnsi="Arial" w:cs="Arial"/>
          <w:sz w:val="24"/>
          <w:szCs w:val="24"/>
        </w:rPr>
        <w:t xml:space="preserve"> </w:t>
      </w:r>
      <w:r w:rsidR="00487A1A">
        <w:rPr>
          <w:rFonts w:ascii="Arial" w:hAnsi="Arial" w:cs="Arial"/>
          <w:sz w:val="24"/>
          <w:szCs w:val="24"/>
        </w:rPr>
        <w:t>He</w:t>
      </w:r>
      <w:r w:rsidR="00E10039">
        <w:rPr>
          <w:rFonts w:ascii="Arial" w:hAnsi="Arial" w:cs="Arial"/>
          <w:sz w:val="24"/>
          <w:szCs w:val="24"/>
        </w:rPr>
        <w:t xml:space="preserve"> states merely that </w:t>
      </w:r>
      <w:r w:rsidR="00487A1A">
        <w:rPr>
          <w:rFonts w:ascii="Arial" w:hAnsi="Arial" w:cs="Arial"/>
          <w:sz w:val="24"/>
          <w:szCs w:val="24"/>
        </w:rPr>
        <w:t xml:space="preserve">the </w:t>
      </w:r>
      <w:r>
        <w:rPr>
          <w:rFonts w:ascii="Arial" w:hAnsi="Arial" w:cs="Arial"/>
          <w:sz w:val="24"/>
          <w:szCs w:val="24"/>
        </w:rPr>
        <w:t>representative</w:t>
      </w:r>
      <w:r w:rsidR="00487A1A">
        <w:rPr>
          <w:rFonts w:ascii="Arial" w:hAnsi="Arial" w:cs="Arial"/>
          <w:sz w:val="24"/>
          <w:szCs w:val="24"/>
        </w:rPr>
        <w:t>s</w:t>
      </w:r>
      <w:r>
        <w:rPr>
          <w:rFonts w:ascii="Arial" w:hAnsi="Arial" w:cs="Arial"/>
          <w:sz w:val="24"/>
          <w:szCs w:val="24"/>
        </w:rPr>
        <w:t xml:space="preserve"> of the applicant expressed </w:t>
      </w:r>
      <w:r w:rsidR="00E10039">
        <w:rPr>
          <w:rFonts w:ascii="Arial" w:hAnsi="Arial" w:cs="Arial"/>
          <w:sz w:val="24"/>
          <w:szCs w:val="24"/>
        </w:rPr>
        <w:t xml:space="preserve">their dissatisfaction. As such it does not raise </w:t>
      </w:r>
      <w:r>
        <w:rPr>
          <w:rFonts w:ascii="Arial" w:hAnsi="Arial" w:cs="Arial"/>
          <w:sz w:val="24"/>
          <w:szCs w:val="24"/>
        </w:rPr>
        <w:t>a</w:t>
      </w:r>
      <w:r w:rsidR="00E10039">
        <w:rPr>
          <w:rFonts w:ascii="Arial" w:hAnsi="Arial" w:cs="Arial"/>
          <w:sz w:val="24"/>
          <w:szCs w:val="24"/>
        </w:rPr>
        <w:t xml:space="preserve"> real and concrete dispute.  The second respondent</w:t>
      </w:r>
      <w:r>
        <w:rPr>
          <w:rFonts w:ascii="Arial" w:hAnsi="Arial" w:cs="Arial"/>
          <w:sz w:val="24"/>
          <w:szCs w:val="24"/>
        </w:rPr>
        <w:t>’</w:t>
      </w:r>
      <w:r w:rsidR="00E10039">
        <w:rPr>
          <w:rFonts w:ascii="Arial" w:hAnsi="Arial" w:cs="Arial"/>
          <w:sz w:val="24"/>
          <w:szCs w:val="24"/>
        </w:rPr>
        <w:t xml:space="preserve">s denial that such an instruction was given is a bold denial. </w:t>
      </w:r>
      <w:r w:rsidR="00487A1A">
        <w:rPr>
          <w:rFonts w:ascii="Arial" w:hAnsi="Arial" w:cs="Arial"/>
          <w:sz w:val="24"/>
          <w:szCs w:val="24"/>
        </w:rPr>
        <w:t>He</w:t>
      </w:r>
      <w:r w:rsidR="00E10039">
        <w:rPr>
          <w:rFonts w:ascii="Arial" w:hAnsi="Arial" w:cs="Arial"/>
          <w:sz w:val="24"/>
          <w:szCs w:val="24"/>
        </w:rPr>
        <w:t xml:space="preserve"> does not say that he was present during the discussion </w:t>
      </w:r>
      <w:r w:rsidR="00487A1A">
        <w:rPr>
          <w:rFonts w:ascii="Arial" w:hAnsi="Arial" w:cs="Arial"/>
          <w:sz w:val="24"/>
          <w:szCs w:val="24"/>
        </w:rPr>
        <w:t>or</w:t>
      </w:r>
      <w:r w:rsidR="00E10039">
        <w:rPr>
          <w:rFonts w:ascii="Arial" w:hAnsi="Arial" w:cs="Arial"/>
          <w:sz w:val="24"/>
          <w:szCs w:val="24"/>
        </w:rPr>
        <w:t xml:space="preserve"> was privy in one way or another to what was </w:t>
      </w:r>
      <w:r>
        <w:rPr>
          <w:rFonts w:ascii="Arial" w:hAnsi="Arial" w:cs="Arial"/>
          <w:sz w:val="24"/>
          <w:szCs w:val="24"/>
        </w:rPr>
        <w:t>being</w:t>
      </w:r>
      <w:r w:rsidR="00E10039">
        <w:rPr>
          <w:rFonts w:ascii="Arial" w:hAnsi="Arial" w:cs="Arial"/>
          <w:sz w:val="24"/>
          <w:szCs w:val="24"/>
        </w:rPr>
        <w:t xml:space="preserve"> discussed.  I conclude that the first respondent was instructed to cancel the sale.  It matter</w:t>
      </w:r>
      <w:r>
        <w:rPr>
          <w:rFonts w:ascii="Arial" w:hAnsi="Arial" w:cs="Arial"/>
          <w:sz w:val="24"/>
          <w:szCs w:val="24"/>
        </w:rPr>
        <w:t>s</w:t>
      </w:r>
      <w:r w:rsidR="00E10039">
        <w:rPr>
          <w:rFonts w:ascii="Arial" w:hAnsi="Arial" w:cs="Arial"/>
          <w:sz w:val="24"/>
          <w:szCs w:val="24"/>
        </w:rPr>
        <w:t xml:space="preserve"> not that the applicant</w:t>
      </w:r>
      <w:r>
        <w:rPr>
          <w:rFonts w:ascii="Arial" w:hAnsi="Arial" w:cs="Arial"/>
          <w:sz w:val="24"/>
          <w:szCs w:val="24"/>
        </w:rPr>
        <w:t>’</w:t>
      </w:r>
      <w:r w:rsidR="00E10039">
        <w:rPr>
          <w:rFonts w:ascii="Arial" w:hAnsi="Arial" w:cs="Arial"/>
          <w:sz w:val="24"/>
          <w:szCs w:val="24"/>
        </w:rPr>
        <w:t>s representative</w:t>
      </w:r>
      <w:r w:rsidR="00487A1A">
        <w:rPr>
          <w:rFonts w:ascii="Arial" w:hAnsi="Arial" w:cs="Arial"/>
          <w:sz w:val="24"/>
          <w:szCs w:val="24"/>
        </w:rPr>
        <w:t>s</w:t>
      </w:r>
      <w:r w:rsidR="00E10039">
        <w:rPr>
          <w:rFonts w:ascii="Arial" w:hAnsi="Arial" w:cs="Arial"/>
          <w:sz w:val="24"/>
          <w:szCs w:val="24"/>
        </w:rPr>
        <w:t xml:space="preserve"> believed</w:t>
      </w:r>
      <w:r>
        <w:rPr>
          <w:rFonts w:ascii="Arial" w:hAnsi="Arial" w:cs="Arial"/>
          <w:sz w:val="24"/>
          <w:szCs w:val="24"/>
        </w:rPr>
        <w:t>,</w:t>
      </w:r>
      <w:r w:rsidR="00E10039">
        <w:rPr>
          <w:rFonts w:ascii="Arial" w:hAnsi="Arial" w:cs="Arial"/>
          <w:sz w:val="24"/>
          <w:szCs w:val="24"/>
        </w:rPr>
        <w:t xml:space="preserve"> erroneously as it turned out, that the property should only be sold against a reserve price.</w:t>
      </w:r>
    </w:p>
    <w:p w:rsidR="00E10039" w:rsidRDefault="00E10039" w:rsidP="0071128F">
      <w:pPr>
        <w:spacing w:after="0" w:line="360" w:lineRule="auto"/>
        <w:jc w:val="both"/>
        <w:rPr>
          <w:rFonts w:ascii="Arial" w:hAnsi="Arial" w:cs="Arial"/>
          <w:sz w:val="24"/>
          <w:szCs w:val="24"/>
        </w:rPr>
      </w:pPr>
    </w:p>
    <w:p w:rsidR="00E10039" w:rsidRDefault="00E10039" w:rsidP="0071128F">
      <w:pPr>
        <w:spacing w:after="0" w:line="360" w:lineRule="auto"/>
        <w:jc w:val="both"/>
        <w:rPr>
          <w:rFonts w:ascii="Arial" w:hAnsi="Arial" w:cs="Arial"/>
          <w:sz w:val="24"/>
          <w:szCs w:val="24"/>
        </w:rPr>
      </w:pPr>
      <w:r>
        <w:rPr>
          <w:rFonts w:ascii="Arial" w:hAnsi="Arial" w:cs="Arial"/>
          <w:sz w:val="24"/>
          <w:szCs w:val="24"/>
        </w:rPr>
        <w:t>[2</w:t>
      </w:r>
      <w:r w:rsidR="00D3440C">
        <w:rPr>
          <w:rFonts w:ascii="Arial" w:hAnsi="Arial" w:cs="Arial"/>
          <w:sz w:val="24"/>
          <w:szCs w:val="24"/>
        </w:rPr>
        <w:t>7</w:t>
      </w:r>
      <w:r>
        <w:rPr>
          <w:rFonts w:ascii="Arial" w:hAnsi="Arial" w:cs="Arial"/>
          <w:sz w:val="24"/>
          <w:szCs w:val="24"/>
        </w:rPr>
        <w:t>]</w:t>
      </w:r>
      <w:r>
        <w:rPr>
          <w:rFonts w:ascii="Arial" w:hAnsi="Arial" w:cs="Arial"/>
          <w:sz w:val="24"/>
          <w:szCs w:val="24"/>
        </w:rPr>
        <w:tab/>
        <w:t>The fact remains that the applicant, through its representatives</w:t>
      </w:r>
      <w:r w:rsidR="001870AA">
        <w:rPr>
          <w:rFonts w:ascii="Arial" w:hAnsi="Arial" w:cs="Arial"/>
          <w:sz w:val="24"/>
          <w:szCs w:val="24"/>
        </w:rPr>
        <w:t>,</w:t>
      </w:r>
      <w:r>
        <w:rPr>
          <w:rFonts w:ascii="Arial" w:hAnsi="Arial" w:cs="Arial"/>
          <w:sz w:val="24"/>
          <w:szCs w:val="24"/>
        </w:rPr>
        <w:t xml:space="preserve"> had unequivocally </w:t>
      </w:r>
      <w:r w:rsidR="00487A1A">
        <w:rPr>
          <w:rFonts w:ascii="Arial" w:hAnsi="Arial" w:cs="Arial"/>
          <w:sz w:val="24"/>
          <w:szCs w:val="24"/>
        </w:rPr>
        <w:t>instructed</w:t>
      </w:r>
      <w:r>
        <w:rPr>
          <w:rFonts w:ascii="Arial" w:hAnsi="Arial" w:cs="Arial"/>
          <w:sz w:val="24"/>
          <w:szCs w:val="24"/>
        </w:rPr>
        <w:t xml:space="preserve"> the first respondent </w:t>
      </w:r>
      <w:r w:rsidR="00487A1A">
        <w:rPr>
          <w:rFonts w:ascii="Arial" w:hAnsi="Arial" w:cs="Arial"/>
          <w:sz w:val="24"/>
          <w:szCs w:val="24"/>
        </w:rPr>
        <w:t>not</w:t>
      </w:r>
      <w:r>
        <w:rPr>
          <w:rFonts w:ascii="Arial" w:hAnsi="Arial" w:cs="Arial"/>
          <w:sz w:val="24"/>
          <w:szCs w:val="24"/>
        </w:rPr>
        <w:t xml:space="preserve"> to proceed with the sale in execution. The first respondent was obliged to give effect to the instruction. It was not open to first respondent to suggest alternative solutions and to proceed to sell the property.</w:t>
      </w:r>
    </w:p>
    <w:p w:rsidR="00E10039" w:rsidRDefault="00E10039" w:rsidP="0071128F">
      <w:pPr>
        <w:spacing w:after="0" w:line="360" w:lineRule="auto"/>
        <w:jc w:val="both"/>
        <w:rPr>
          <w:rFonts w:ascii="Arial" w:hAnsi="Arial" w:cs="Arial"/>
          <w:sz w:val="24"/>
          <w:szCs w:val="24"/>
        </w:rPr>
      </w:pPr>
    </w:p>
    <w:p w:rsidR="00E10039" w:rsidRDefault="00E10039" w:rsidP="0071128F">
      <w:pPr>
        <w:spacing w:after="0" w:line="360" w:lineRule="auto"/>
        <w:jc w:val="both"/>
        <w:rPr>
          <w:rFonts w:ascii="Arial" w:hAnsi="Arial" w:cs="Arial"/>
          <w:sz w:val="24"/>
          <w:szCs w:val="24"/>
        </w:rPr>
      </w:pPr>
      <w:r>
        <w:rPr>
          <w:rFonts w:ascii="Arial" w:hAnsi="Arial" w:cs="Arial"/>
          <w:sz w:val="24"/>
          <w:szCs w:val="24"/>
        </w:rPr>
        <w:t>[2</w:t>
      </w:r>
      <w:r w:rsidR="009A63F9">
        <w:rPr>
          <w:rFonts w:ascii="Arial" w:hAnsi="Arial" w:cs="Arial"/>
          <w:sz w:val="24"/>
          <w:szCs w:val="24"/>
        </w:rPr>
        <w:t>8</w:t>
      </w:r>
      <w:r>
        <w:rPr>
          <w:rFonts w:ascii="Arial" w:hAnsi="Arial" w:cs="Arial"/>
          <w:sz w:val="24"/>
          <w:szCs w:val="24"/>
        </w:rPr>
        <w:t>]</w:t>
      </w:r>
      <w:r>
        <w:rPr>
          <w:rFonts w:ascii="Arial" w:hAnsi="Arial" w:cs="Arial"/>
          <w:sz w:val="24"/>
          <w:szCs w:val="24"/>
        </w:rPr>
        <w:tab/>
        <w:t>In those circumstances the sale became irregular and has to be set aside.</w:t>
      </w:r>
    </w:p>
    <w:p w:rsidR="00E10039" w:rsidRDefault="00E10039" w:rsidP="0071128F">
      <w:pPr>
        <w:spacing w:after="0" w:line="360" w:lineRule="auto"/>
        <w:jc w:val="both"/>
        <w:rPr>
          <w:rFonts w:ascii="Arial" w:hAnsi="Arial" w:cs="Arial"/>
          <w:sz w:val="24"/>
          <w:szCs w:val="24"/>
        </w:rPr>
      </w:pPr>
    </w:p>
    <w:p w:rsidR="009B4D63" w:rsidRDefault="00E10039" w:rsidP="0071128F">
      <w:pPr>
        <w:spacing w:after="0" w:line="360" w:lineRule="auto"/>
        <w:jc w:val="both"/>
        <w:rPr>
          <w:rFonts w:ascii="Arial" w:hAnsi="Arial" w:cs="Arial"/>
          <w:sz w:val="24"/>
          <w:szCs w:val="24"/>
        </w:rPr>
      </w:pPr>
      <w:r>
        <w:rPr>
          <w:rFonts w:ascii="Arial" w:hAnsi="Arial" w:cs="Arial"/>
          <w:sz w:val="24"/>
          <w:szCs w:val="24"/>
        </w:rPr>
        <w:t>[2</w:t>
      </w:r>
      <w:r w:rsidR="009A63F9">
        <w:rPr>
          <w:rFonts w:ascii="Arial" w:hAnsi="Arial" w:cs="Arial"/>
          <w:sz w:val="24"/>
          <w:szCs w:val="24"/>
        </w:rPr>
        <w:t>9</w:t>
      </w:r>
      <w:r>
        <w:rPr>
          <w:rFonts w:ascii="Arial" w:hAnsi="Arial" w:cs="Arial"/>
          <w:sz w:val="24"/>
          <w:szCs w:val="24"/>
        </w:rPr>
        <w:t>]</w:t>
      </w:r>
      <w:r>
        <w:rPr>
          <w:rFonts w:ascii="Arial" w:hAnsi="Arial" w:cs="Arial"/>
          <w:sz w:val="24"/>
          <w:szCs w:val="24"/>
        </w:rPr>
        <w:tab/>
        <w:t xml:space="preserve">Having reached </w:t>
      </w:r>
      <w:r w:rsidR="00487A1A">
        <w:rPr>
          <w:rFonts w:ascii="Arial" w:hAnsi="Arial" w:cs="Arial"/>
          <w:sz w:val="24"/>
          <w:szCs w:val="24"/>
        </w:rPr>
        <w:t>these</w:t>
      </w:r>
      <w:r>
        <w:rPr>
          <w:rFonts w:ascii="Arial" w:hAnsi="Arial" w:cs="Arial"/>
          <w:sz w:val="24"/>
          <w:szCs w:val="24"/>
        </w:rPr>
        <w:t xml:space="preserve"> conclusion</w:t>
      </w:r>
      <w:r w:rsidR="00487A1A">
        <w:rPr>
          <w:rFonts w:ascii="Arial" w:hAnsi="Arial" w:cs="Arial"/>
          <w:sz w:val="24"/>
          <w:szCs w:val="24"/>
        </w:rPr>
        <w:t>s</w:t>
      </w:r>
      <w:r>
        <w:rPr>
          <w:rFonts w:ascii="Arial" w:hAnsi="Arial" w:cs="Arial"/>
          <w:sz w:val="24"/>
          <w:szCs w:val="24"/>
        </w:rPr>
        <w:t xml:space="preserve"> it is not necessary in the circumstances to deal with the other issues raised by the applicant</w:t>
      </w:r>
      <w:r w:rsidR="009B4D63">
        <w:rPr>
          <w:rFonts w:ascii="Arial" w:hAnsi="Arial" w:cs="Arial"/>
          <w:sz w:val="24"/>
          <w:szCs w:val="24"/>
        </w:rPr>
        <w:t>.</w:t>
      </w:r>
    </w:p>
    <w:p w:rsidR="009B4D63" w:rsidRDefault="009B4D63" w:rsidP="0071128F">
      <w:pPr>
        <w:spacing w:after="0" w:line="360" w:lineRule="auto"/>
        <w:jc w:val="both"/>
        <w:rPr>
          <w:rFonts w:ascii="Arial" w:hAnsi="Arial" w:cs="Arial"/>
          <w:sz w:val="24"/>
          <w:szCs w:val="24"/>
        </w:rPr>
      </w:pPr>
    </w:p>
    <w:p w:rsidR="009B4D63" w:rsidRDefault="009B4D63" w:rsidP="0071128F">
      <w:pPr>
        <w:spacing w:after="0" w:line="360" w:lineRule="auto"/>
        <w:jc w:val="both"/>
        <w:rPr>
          <w:rFonts w:ascii="Arial" w:hAnsi="Arial" w:cs="Arial"/>
          <w:sz w:val="24"/>
          <w:szCs w:val="24"/>
        </w:rPr>
      </w:pPr>
      <w:r>
        <w:rPr>
          <w:rFonts w:ascii="Arial" w:hAnsi="Arial" w:cs="Arial"/>
          <w:sz w:val="24"/>
          <w:szCs w:val="24"/>
        </w:rPr>
        <w:t>[</w:t>
      </w:r>
      <w:r w:rsidR="009A63F9">
        <w:rPr>
          <w:rFonts w:ascii="Arial" w:hAnsi="Arial" w:cs="Arial"/>
          <w:sz w:val="24"/>
          <w:szCs w:val="24"/>
        </w:rPr>
        <w:t>30</w:t>
      </w:r>
      <w:r>
        <w:rPr>
          <w:rFonts w:ascii="Arial" w:hAnsi="Arial" w:cs="Arial"/>
          <w:sz w:val="24"/>
          <w:szCs w:val="24"/>
        </w:rPr>
        <w:t>]</w:t>
      </w:r>
      <w:r>
        <w:rPr>
          <w:rFonts w:ascii="Arial" w:hAnsi="Arial" w:cs="Arial"/>
          <w:sz w:val="24"/>
          <w:szCs w:val="24"/>
        </w:rPr>
        <w:tab/>
        <w:t>I will therefore make the following order:</w:t>
      </w:r>
    </w:p>
    <w:p w:rsidR="009B4D63" w:rsidRDefault="009B4D63" w:rsidP="0071128F">
      <w:pPr>
        <w:spacing w:after="0" w:line="360" w:lineRule="auto"/>
        <w:jc w:val="both"/>
        <w:rPr>
          <w:rFonts w:ascii="Arial" w:hAnsi="Arial" w:cs="Arial"/>
          <w:sz w:val="24"/>
          <w:szCs w:val="24"/>
        </w:rPr>
      </w:pPr>
    </w:p>
    <w:p w:rsidR="009B4D63" w:rsidRPr="00487A1A" w:rsidRDefault="009B4D63" w:rsidP="00487A1A">
      <w:pPr>
        <w:pStyle w:val="ListParagraph"/>
        <w:numPr>
          <w:ilvl w:val="0"/>
          <w:numId w:val="9"/>
        </w:numPr>
        <w:spacing w:after="0" w:line="360" w:lineRule="auto"/>
        <w:ind w:hanging="720"/>
        <w:jc w:val="both"/>
        <w:rPr>
          <w:rFonts w:ascii="Arial" w:hAnsi="Arial" w:cs="Arial"/>
          <w:sz w:val="24"/>
          <w:szCs w:val="24"/>
        </w:rPr>
      </w:pPr>
      <w:r w:rsidRPr="00487A1A">
        <w:rPr>
          <w:rFonts w:ascii="Arial" w:hAnsi="Arial" w:cs="Arial"/>
          <w:sz w:val="24"/>
          <w:szCs w:val="24"/>
        </w:rPr>
        <w:t>I grant prayer 1 of the Notice of Motion.</w:t>
      </w:r>
    </w:p>
    <w:p w:rsidR="009A63F9" w:rsidRDefault="009A63F9" w:rsidP="009A63F9">
      <w:pPr>
        <w:pStyle w:val="ListParagraph"/>
        <w:spacing w:after="0" w:line="360" w:lineRule="auto"/>
        <w:jc w:val="both"/>
        <w:rPr>
          <w:rFonts w:ascii="Arial" w:hAnsi="Arial" w:cs="Arial"/>
          <w:sz w:val="24"/>
          <w:szCs w:val="24"/>
        </w:rPr>
      </w:pPr>
    </w:p>
    <w:p w:rsidR="006247B1" w:rsidRPr="009B4D63" w:rsidRDefault="009B4D63" w:rsidP="00487A1A">
      <w:pPr>
        <w:pStyle w:val="ListParagraph"/>
        <w:numPr>
          <w:ilvl w:val="0"/>
          <w:numId w:val="9"/>
        </w:numPr>
        <w:spacing w:after="0" w:line="360" w:lineRule="auto"/>
        <w:ind w:hanging="720"/>
        <w:jc w:val="both"/>
        <w:rPr>
          <w:rFonts w:ascii="Arial" w:hAnsi="Arial" w:cs="Arial"/>
          <w:sz w:val="24"/>
          <w:szCs w:val="24"/>
        </w:rPr>
      </w:pPr>
      <w:r>
        <w:rPr>
          <w:rFonts w:ascii="Arial" w:hAnsi="Arial" w:cs="Arial"/>
          <w:sz w:val="24"/>
          <w:szCs w:val="24"/>
        </w:rPr>
        <w:t>The second respondent is ordered to pay the applicant’s costs, which costs will include the costs of one instructing- and one instructed counsel.</w:t>
      </w:r>
      <w:r w:rsidR="00A557B3" w:rsidRPr="009B4D63">
        <w:rPr>
          <w:rFonts w:ascii="Arial" w:hAnsi="Arial" w:cs="Arial"/>
          <w:sz w:val="24"/>
          <w:szCs w:val="24"/>
        </w:rPr>
        <w:t xml:space="preserve"> </w:t>
      </w:r>
      <w:r w:rsidR="00085016" w:rsidRPr="009B4D63">
        <w:rPr>
          <w:rFonts w:ascii="Arial" w:hAnsi="Arial" w:cs="Arial"/>
          <w:sz w:val="24"/>
          <w:szCs w:val="24"/>
        </w:rPr>
        <w:t xml:space="preserve"> </w:t>
      </w:r>
      <w:r w:rsidR="006247B1" w:rsidRPr="009B4D63">
        <w:rPr>
          <w:rFonts w:ascii="Arial" w:hAnsi="Arial" w:cs="Arial"/>
          <w:sz w:val="24"/>
          <w:szCs w:val="24"/>
        </w:rPr>
        <w:t xml:space="preserve"> </w:t>
      </w:r>
    </w:p>
    <w:p w:rsidR="00220DB1" w:rsidRPr="00220DB1" w:rsidRDefault="00220DB1" w:rsidP="00E95CE9">
      <w:pPr>
        <w:spacing w:after="0" w:line="360" w:lineRule="auto"/>
        <w:jc w:val="both"/>
      </w:pPr>
    </w:p>
    <w:p w:rsidR="00EE7F72" w:rsidRDefault="00EE7F72" w:rsidP="00EE7F72">
      <w:pPr>
        <w:spacing w:after="0" w:line="360" w:lineRule="auto"/>
        <w:jc w:val="both"/>
        <w:rPr>
          <w:rFonts w:ascii="Arial" w:hAnsi="Arial" w:cs="Arial"/>
          <w:sz w:val="24"/>
          <w:szCs w:val="24"/>
        </w:rPr>
      </w:pPr>
    </w:p>
    <w:p w:rsidR="00487A1A" w:rsidRPr="00EE7F72" w:rsidRDefault="00487A1A" w:rsidP="00EE7F72">
      <w:pPr>
        <w:spacing w:after="0" w:line="360" w:lineRule="auto"/>
        <w:jc w:val="both"/>
        <w:rPr>
          <w:rFonts w:ascii="Arial" w:hAnsi="Arial" w:cs="Arial"/>
          <w:sz w:val="24"/>
          <w:szCs w:val="24"/>
        </w:rPr>
      </w:pPr>
    </w:p>
    <w:p w:rsidR="00EE7F72" w:rsidRPr="00EE7F72" w:rsidRDefault="00EE7F72" w:rsidP="00EE7F72">
      <w:pPr>
        <w:spacing w:after="0" w:line="360" w:lineRule="auto"/>
        <w:jc w:val="right"/>
        <w:rPr>
          <w:rFonts w:ascii="Arial" w:hAnsi="Arial" w:cs="Arial"/>
          <w:sz w:val="24"/>
          <w:szCs w:val="24"/>
        </w:rPr>
      </w:pPr>
      <w:r w:rsidRPr="00EE7F72">
        <w:rPr>
          <w:rFonts w:ascii="Arial" w:hAnsi="Arial" w:cs="Arial"/>
          <w:sz w:val="24"/>
          <w:szCs w:val="24"/>
        </w:rPr>
        <w:t>_____________</w:t>
      </w:r>
    </w:p>
    <w:p w:rsidR="00EE7F72" w:rsidRPr="00EE7F72" w:rsidRDefault="00220DB1" w:rsidP="00EE7F72">
      <w:pPr>
        <w:spacing w:after="0" w:line="360" w:lineRule="auto"/>
        <w:jc w:val="right"/>
        <w:rPr>
          <w:rFonts w:ascii="Arial" w:hAnsi="Arial" w:cs="Arial"/>
          <w:sz w:val="24"/>
          <w:szCs w:val="24"/>
        </w:rPr>
      </w:pPr>
      <w:r>
        <w:rPr>
          <w:rFonts w:ascii="Arial" w:hAnsi="Arial" w:cs="Arial"/>
          <w:sz w:val="24"/>
          <w:szCs w:val="24"/>
        </w:rPr>
        <w:t>K MILLER</w:t>
      </w:r>
    </w:p>
    <w:p w:rsidR="00EE7F72" w:rsidRPr="00EE7F72" w:rsidRDefault="00220DB1" w:rsidP="00EE7F72">
      <w:pPr>
        <w:spacing w:after="0" w:line="360" w:lineRule="auto"/>
        <w:jc w:val="right"/>
        <w:rPr>
          <w:rFonts w:ascii="Arial" w:hAnsi="Arial" w:cs="Arial"/>
          <w:sz w:val="24"/>
          <w:szCs w:val="24"/>
        </w:rPr>
      </w:pPr>
      <w:r>
        <w:rPr>
          <w:rFonts w:ascii="Arial" w:hAnsi="Arial" w:cs="Arial"/>
          <w:sz w:val="24"/>
          <w:szCs w:val="24"/>
        </w:rPr>
        <w:t xml:space="preserve">Acting </w:t>
      </w:r>
      <w:r w:rsidR="00EE7F72" w:rsidRPr="00EE7F72">
        <w:rPr>
          <w:rFonts w:ascii="Arial" w:hAnsi="Arial" w:cs="Arial"/>
          <w:sz w:val="24"/>
          <w:szCs w:val="24"/>
        </w:rPr>
        <w:t>Judge</w:t>
      </w:r>
    </w:p>
    <w:p w:rsidR="00EE7F72" w:rsidRPr="00EE7F72" w:rsidRDefault="00EE7F72" w:rsidP="00EE7F72">
      <w:pPr>
        <w:spacing w:after="0" w:line="360" w:lineRule="auto"/>
        <w:jc w:val="right"/>
        <w:rPr>
          <w:rFonts w:ascii="Arial" w:hAnsi="Arial" w:cs="Arial"/>
          <w:sz w:val="24"/>
          <w:szCs w:val="24"/>
        </w:rPr>
      </w:pPr>
    </w:p>
    <w:p w:rsidR="00EE7F72" w:rsidRPr="00EE7F72" w:rsidRDefault="00EE7F72" w:rsidP="00EE7F72">
      <w:pPr>
        <w:spacing w:after="0" w:line="360" w:lineRule="auto"/>
        <w:jc w:val="right"/>
        <w:rPr>
          <w:rFonts w:ascii="Arial" w:hAnsi="Arial" w:cs="Arial"/>
          <w:sz w:val="24"/>
          <w:szCs w:val="24"/>
        </w:rPr>
      </w:pPr>
    </w:p>
    <w:p w:rsidR="00524DEC" w:rsidRDefault="00524DEC" w:rsidP="00EE7F72">
      <w:pPr>
        <w:spacing w:after="0" w:line="360" w:lineRule="auto"/>
        <w:rPr>
          <w:rFonts w:ascii="Arial" w:hAnsi="Arial" w:cs="Arial"/>
          <w:sz w:val="24"/>
          <w:szCs w:val="24"/>
        </w:rPr>
      </w:pPr>
    </w:p>
    <w:p w:rsidR="00524DEC" w:rsidRDefault="00524DEC" w:rsidP="00EE7F72">
      <w:pPr>
        <w:spacing w:after="0" w:line="360" w:lineRule="auto"/>
        <w:rPr>
          <w:rFonts w:ascii="Arial" w:hAnsi="Arial" w:cs="Arial"/>
          <w:sz w:val="24"/>
          <w:szCs w:val="24"/>
        </w:rPr>
      </w:pPr>
    </w:p>
    <w:p w:rsidR="00524DEC" w:rsidRDefault="00524DEC" w:rsidP="00EE7F72">
      <w:pPr>
        <w:spacing w:after="0" w:line="360" w:lineRule="auto"/>
        <w:rPr>
          <w:rFonts w:ascii="Arial" w:hAnsi="Arial" w:cs="Arial"/>
          <w:sz w:val="24"/>
          <w:szCs w:val="24"/>
        </w:rPr>
      </w:pPr>
    </w:p>
    <w:p w:rsidR="00524DEC" w:rsidRDefault="00524DEC" w:rsidP="00EE7F72">
      <w:pPr>
        <w:spacing w:after="0" w:line="360" w:lineRule="auto"/>
        <w:rPr>
          <w:rFonts w:ascii="Arial" w:hAnsi="Arial" w:cs="Arial"/>
          <w:sz w:val="24"/>
          <w:szCs w:val="24"/>
        </w:rPr>
      </w:pPr>
    </w:p>
    <w:p w:rsidR="00EE7F72" w:rsidRPr="00EE7F72" w:rsidRDefault="00EE7F72" w:rsidP="00EE7F72">
      <w:pPr>
        <w:spacing w:after="0" w:line="360" w:lineRule="auto"/>
        <w:rPr>
          <w:rFonts w:ascii="Arial" w:hAnsi="Arial" w:cs="Arial"/>
          <w:sz w:val="24"/>
          <w:szCs w:val="24"/>
        </w:rPr>
      </w:pPr>
      <w:r w:rsidRPr="00EE7F72">
        <w:rPr>
          <w:rFonts w:ascii="Arial" w:hAnsi="Arial" w:cs="Arial"/>
          <w:sz w:val="24"/>
          <w:szCs w:val="24"/>
        </w:rPr>
        <w:t>APPEARANCES:</w:t>
      </w:r>
    </w:p>
    <w:p w:rsidR="00EE7F72" w:rsidRDefault="00EE7F72" w:rsidP="00EE7F72">
      <w:pPr>
        <w:spacing w:after="0" w:line="360" w:lineRule="auto"/>
        <w:rPr>
          <w:rFonts w:ascii="Arial" w:hAnsi="Arial" w:cs="Arial"/>
          <w:sz w:val="24"/>
          <w:szCs w:val="24"/>
        </w:rPr>
      </w:pPr>
    </w:p>
    <w:p w:rsidR="00CF035F" w:rsidRPr="00EE7F72" w:rsidRDefault="00CF035F" w:rsidP="00EE7F72">
      <w:pPr>
        <w:spacing w:after="0" w:line="360" w:lineRule="auto"/>
        <w:rPr>
          <w:rFonts w:ascii="Arial" w:hAnsi="Arial" w:cs="Arial"/>
          <w:sz w:val="24"/>
          <w:szCs w:val="24"/>
        </w:rPr>
      </w:pPr>
    </w:p>
    <w:p w:rsidR="00EE7F72" w:rsidRDefault="00220DB1" w:rsidP="00F05242">
      <w:pPr>
        <w:spacing w:after="0" w:line="360" w:lineRule="auto"/>
        <w:rPr>
          <w:rFonts w:ascii="Arial" w:hAnsi="Arial" w:cs="Arial"/>
          <w:sz w:val="24"/>
          <w:szCs w:val="24"/>
        </w:rPr>
      </w:pPr>
      <w:r>
        <w:rPr>
          <w:rFonts w:ascii="Arial" w:hAnsi="Arial" w:cs="Arial"/>
          <w:sz w:val="24"/>
          <w:szCs w:val="24"/>
        </w:rPr>
        <w:t>APPLICANT:</w:t>
      </w:r>
      <w:r w:rsidR="00F05242">
        <w:rPr>
          <w:rFonts w:ascii="Arial" w:hAnsi="Arial" w:cs="Arial"/>
          <w:sz w:val="24"/>
          <w:szCs w:val="24"/>
        </w:rPr>
        <w:tab/>
      </w:r>
      <w:r w:rsidR="00F05242">
        <w:rPr>
          <w:rFonts w:ascii="Arial" w:hAnsi="Arial" w:cs="Arial"/>
          <w:sz w:val="24"/>
          <w:szCs w:val="24"/>
        </w:rPr>
        <w:tab/>
      </w:r>
      <w:r w:rsidR="00F05242">
        <w:rPr>
          <w:rFonts w:ascii="Arial" w:hAnsi="Arial" w:cs="Arial"/>
          <w:sz w:val="24"/>
          <w:szCs w:val="24"/>
        </w:rPr>
        <w:tab/>
      </w:r>
      <w:r w:rsidR="00F05242">
        <w:rPr>
          <w:rFonts w:ascii="Arial" w:hAnsi="Arial" w:cs="Arial"/>
          <w:sz w:val="24"/>
          <w:szCs w:val="24"/>
        </w:rPr>
        <w:tab/>
      </w:r>
      <w:r w:rsidR="000F7E5D">
        <w:rPr>
          <w:rFonts w:ascii="Arial" w:hAnsi="Arial" w:cs="Arial"/>
          <w:sz w:val="24"/>
          <w:szCs w:val="24"/>
        </w:rPr>
        <w:t>C E</w:t>
      </w:r>
      <w:r>
        <w:rPr>
          <w:rFonts w:ascii="Arial" w:hAnsi="Arial" w:cs="Arial"/>
          <w:sz w:val="24"/>
          <w:szCs w:val="24"/>
        </w:rPr>
        <w:t xml:space="preserve"> </w:t>
      </w:r>
      <w:r w:rsidR="000F7E5D">
        <w:rPr>
          <w:rFonts w:ascii="Arial" w:hAnsi="Arial" w:cs="Arial"/>
          <w:sz w:val="24"/>
          <w:szCs w:val="24"/>
        </w:rPr>
        <w:t>van der Westhuizen</w:t>
      </w:r>
    </w:p>
    <w:p w:rsidR="00220DB1" w:rsidRDefault="00220DB1" w:rsidP="00F05242">
      <w:pPr>
        <w:spacing w:after="0" w:line="360" w:lineRule="auto"/>
        <w:ind w:left="3600"/>
        <w:rPr>
          <w:rFonts w:ascii="Arial" w:hAnsi="Arial" w:cs="Arial"/>
          <w:sz w:val="24"/>
          <w:szCs w:val="24"/>
        </w:rPr>
      </w:pPr>
      <w:r>
        <w:rPr>
          <w:rFonts w:ascii="Arial" w:hAnsi="Arial" w:cs="Arial"/>
          <w:sz w:val="24"/>
          <w:szCs w:val="24"/>
        </w:rPr>
        <w:t xml:space="preserve">Instructed by </w:t>
      </w:r>
      <w:r w:rsidR="000F7E5D">
        <w:rPr>
          <w:rFonts w:ascii="Arial" w:hAnsi="Arial" w:cs="Arial"/>
          <w:sz w:val="24"/>
          <w:szCs w:val="24"/>
        </w:rPr>
        <w:t>Dr Weder, Kauta &amp; Hoveka Inc.</w:t>
      </w:r>
      <w:r w:rsidR="00F05242">
        <w:rPr>
          <w:rFonts w:ascii="Arial" w:hAnsi="Arial" w:cs="Arial"/>
          <w:sz w:val="24"/>
          <w:szCs w:val="24"/>
        </w:rPr>
        <w:t>, Windhoek</w:t>
      </w:r>
    </w:p>
    <w:p w:rsidR="00220DB1" w:rsidRPr="00EE7F72" w:rsidRDefault="00220DB1" w:rsidP="00220DB1">
      <w:pPr>
        <w:spacing w:after="0" w:line="360" w:lineRule="auto"/>
        <w:ind w:left="5040" w:hanging="1440"/>
        <w:rPr>
          <w:rFonts w:ascii="Arial" w:hAnsi="Arial" w:cs="Arial"/>
          <w:sz w:val="24"/>
          <w:szCs w:val="24"/>
        </w:rPr>
      </w:pPr>
    </w:p>
    <w:p w:rsidR="00EE7F72" w:rsidRPr="00EE7F72" w:rsidRDefault="00A67F54" w:rsidP="00EE7F72">
      <w:pPr>
        <w:spacing w:after="0" w:line="360" w:lineRule="auto"/>
        <w:rPr>
          <w:rFonts w:ascii="Arial" w:hAnsi="Arial" w:cs="Arial"/>
          <w:sz w:val="24"/>
          <w:szCs w:val="24"/>
        </w:rPr>
      </w:pPr>
      <w:r>
        <w:rPr>
          <w:rFonts w:ascii="Arial" w:hAnsi="Arial" w:cs="Arial"/>
          <w:sz w:val="24"/>
          <w:szCs w:val="24"/>
        </w:rPr>
        <w:t>2</w:t>
      </w:r>
      <w:r w:rsidRPr="00A67F54">
        <w:rPr>
          <w:rFonts w:ascii="Arial" w:hAnsi="Arial" w:cs="Arial"/>
          <w:sz w:val="24"/>
          <w:szCs w:val="24"/>
          <w:vertAlign w:val="superscript"/>
        </w:rPr>
        <w:t>nd</w:t>
      </w:r>
      <w:r>
        <w:rPr>
          <w:rFonts w:ascii="Arial" w:hAnsi="Arial" w:cs="Arial"/>
          <w:sz w:val="24"/>
          <w:szCs w:val="24"/>
        </w:rPr>
        <w:t xml:space="preserve"> </w:t>
      </w:r>
      <w:r w:rsidR="00220DB1">
        <w:rPr>
          <w:rFonts w:ascii="Arial" w:hAnsi="Arial" w:cs="Arial"/>
          <w:sz w:val="24"/>
          <w:szCs w:val="24"/>
        </w:rPr>
        <w:t>RESPONDENT</w:t>
      </w:r>
      <w:r w:rsidR="00EE7F72" w:rsidRPr="00EE7F72">
        <w:rPr>
          <w:rFonts w:ascii="Arial" w:hAnsi="Arial" w:cs="Arial"/>
          <w:sz w:val="24"/>
          <w:szCs w:val="24"/>
        </w:rPr>
        <w:t>:</w:t>
      </w:r>
      <w:r w:rsidR="00220DB1">
        <w:rPr>
          <w:rFonts w:ascii="Arial" w:hAnsi="Arial" w:cs="Arial"/>
          <w:sz w:val="24"/>
          <w:szCs w:val="24"/>
        </w:rPr>
        <w:tab/>
      </w:r>
      <w:r w:rsidR="00220DB1">
        <w:rPr>
          <w:rFonts w:ascii="Arial" w:hAnsi="Arial" w:cs="Arial"/>
          <w:sz w:val="24"/>
          <w:szCs w:val="24"/>
        </w:rPr>
        <w:tab/>
      </w:r>
      <w:r w:rsidR="000F7E5D">
        <w:rPr>
          <w:rFonts w:ascii="Arial" w:hAnsi="Arial" w:cs="Arial"/>
          <w:sz w:val="24"/>
          <w:szCs w:val="24"/>
        </w:rPr>
        <w:tab/>
        <w:t>T</w:t>
      </w:r>
      <w:r w:rsidR="00220DB1">
        <w:rPr>
          <w:rFonts w:ascii="Arial" w:hAnsi="Arial" w:cs="Arial"/>
          <w:sz w:val="24"/>
          <w:szCs w:val="24"/>
        </w:rPr>
        <w:t xml:space="preserve"> </w:t>
      </w:r>
      <w:r w:rsidR="000F7E5D">
        <w:rPr>
          <w:rFonts w:ascii="Arial" w:hAnsi="Arial" w:cs="Arial"/>
          <w:sz w:val="24"/>
          <w:szCs w:val="24"/>
        </w:rPr>
        <w:t>Chibwana</w:t>
      </w:r>
      <w:r w:rsidR="00EE7F72" w:rsidRPr="00EE7F72">
        <w:rPr>
          <w:rFonts w:ascii="Arial" w:hAnsi="Arial" w:cs="Arial"/>
          <w:sz w:val="24"/>
          <w:szCs w:val="24"/>
        </w:rPr>
        <w:tab/>
      </w:r>
    </w:p>
    <w:p w:rsidR="00A62094" w:rsidRPr="00EE7F72" w:rsidRDefault="000F7E5D" w:rsidP="0037782B">
      <w:pPr>
        <w:spacing w:after="0" w:line="360" w:lineRule="auto"/>
        <w:ind w:left="3600"/>
        <w:rPr>
          <w:sz w:val="24"/>
          <w:szCs w:val="24"/>
        </w:rPr>
      </w:pPr>
      <w:r>
        <w:rPr>
          <w:rFonts w:ascii="Arial" w:hAnsi="Arial" w:cs="Arial"/>
          <w:sz w:val="24"/>
          <w:szCs w:val="24"/>
        </w:rPr>
        <w:t>Instructed by AngulaCo. Inc.</w:t>
      </w:r>
      <w:r w:rsidR="00F05242">
        <w:rPr>
          <w:rFonts w:ascii="Arial" w:hAnsi="Arial" w:cs="Arial"/>
          <w:sz w:val="24"/>
          <w:szCs w:val="24"/>
        </w:rPr>
        <w:t>, Windhoek</w:t>
      </w:r>
    </w:p>
    <w:sectPr w:rsidR="00A62094" w:rsidRPr="00EE7F72" w:rsidSect="00A62094">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192" w:rsidRDefault="00822192" w:rsidP="00EE7F72">
      <w:pPr>
        <w:spacing w:after="0" w:line="240" w:lineRule="auto"/>
      </w:pPr>
      <w:r>
        <w:separator/>
      </w:r>
    </w:p>
  </w:endnote>
  <w:endnote w:type="continuationSeparator" w:id="0">
    <w:p w:rsidR="00822192" w:rsidRDefault="00822192" w:rsidP="00EE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192" w:rsidRDefault="00822192" w:rsidP="00EE7F72">
      <w:pPr>
        <w:spacing w:after="0" w:line="240" w:lineRule="auto"/>
      </w:pPr>
      <w:r>
        <w:separator/>
      </w:r>
    </w:p>
  </w:footnote>
  <w:footnote w:type="continuationSeparator" w:id="0">
    <w:p w:rsidR="00822192" w:rsidRDefault="00822192" w:rsidP="00EE7F72">
      <w:pPr>
        <w:spacing w:after="0" w:line="240" w:lineRule="auto"/>
      </w:pPr>
      <w:r>
        <w:continuationSeparator/>
      </w:r>
    </w:p>
  </w:footnote>
  <w:footnote w:id="1">
    <w:p w:rsidR="001870AA" w:rsidRPr="001870AA" w:rsidRDefault="001870AA" w:rsidP="001870AA">
      <w:pPr>
        <w:pStyle w:val="FootnoteText"/>
        <w:jc w:val="both"/>
        <w:rPr>
          <w:rFonts w:ascii="Arial" w:hAnsi="Arial" w:cs="Arial"/>
          <w:lang w:val="en-US"/>
        </w:rPr>
      </w:pPr>
      <w:r w:rsidRPr="001870AA">
        <w:rPr>
          <w:rStyle w:val="FootnoteReference"/>
          <w:rFonts w:ascii="Arial" w:hAnsi="Arial" w:cs="Arial"/>
        </w:rPr>
        <w:footnoteRef/>
      </w:r>
      <w:r w:rsidRPr="001870AA">
        <w:rPr>
          <w:rFonts w:ascii="Arial" w:hAnsi="Arial" w:cs="Arial"/>
        </w:rPr>
        <w:t xml:space="preserve"> </w:t>
      </w:r>
      <w:r w:rsidRPr="001870AA">
        <w:rPr>
          <w:rFonts w:ascii="Arial" w:hAnsi="Arial" w:cs="Arial"/>
          <w:i/>
        </w:rPr>
        <w:t>Messenger of the Magistrate’s Court, Durban v Pillay</w:t>
      </w:r>
      <w:r w:rsidRPr="001870AA">
        <w:rPr>
          <w:rFonts w:ascii="Arial" w:hAnsi="Arial" w:cs="Arial"/>
        </w:rPr>
        <w:t xml:space="preserve"> 1952(3) SA 678 to 683 (A).</w:t>
      </w:r>
    </w:p>
  </w:footnote>
  <w:footnote w:id="2">
    <w:p w:rsidR="001870AA" w:rsidRPr="001870AA" w:rsidRDefault="001870AA" w:rsidP="001870AA">
      <w:pPr>
        <w:pStyle w:val="FootnoteText"/>
        <w:jc w:val="both"/>
        <w:rPr>
          <w:rFonts w:ascii="Arial" w:hAnsi="Arial" w:cs="Arial"/>
          <w:lang w:val="en-US"/>
        </w:rPr>
      </w:pPr>
      <w:r w:rsidRPr="001870AA">
        <w:rPr>
          <w:rStyle w:val="FootnoteReference"/>
          <w:rFonts w:ascii="Arial" w:hAnsi="Arial" w:cs="Arial"/>
        </w:rPr>
        <w:footnoteRef/>
      </w:r>
      <w:r w:rsidRPr="001870AA">
        <w:rPr>
          <w:rFonts w:ascii="Arial" w:hAnsi="Arial" w:cs="Arial"/>
        </w:rPr>
        <w:t xml:space="preserve"> </w:t>
      </w:r>
      <w:r w:rsidR="00CF035F" w:rsidRPr="00CF035F">
        <w:rPr>
          <w:rFonts w:ascii="Arial" w:hAnsi="Arial" w:cs="Arial"/>
          <w:i/>
        </w:rPr>
        <w:t>Volsclenk v Volsclenk</w:t>
      </w:r>
      <w:r w:rsidR="00CF035F" w:rsidRPr="00CF035F">
        <w:rPr>
          <w:rFonts w:ascii="Arial" w:hAnsi="Arial" w:cs="Arial"/>
        </w:rPr>
        <w:t xml:space="preserve"> </w:t>
      </w:r>
      <w:r w:rsidRPr="001870AA">
        <w:rPr>
          <w:rFonts w:ascii="Arial" w:hAnsi="Arial" w:cs="Arial"/>
        </w:rPr>
        <w:t>1947 TPD 486.</w:t>
      </w:r>
    </w:p>
  </w:footnote>
  <w:footnote w:id="3">
    <w:p w:rsidR="001870AA" w:rsidRPr="005A3317" w:rsidRDefault="001870AA" w:rsidP="001870AA">
      <w:pPr>
        <w:spacing w:after="0" w:line="360" w:lineRule="auto"/>
        <w:jc w:val="both"/>
        <w:rPr>
          <w:rFonts w:ascii="Arial" w:hAnsi="Arial" w:cs="Arial"/>
        </w:rPr>
      </w:pPr>
      <w:r>
        <w:rPr>
          <w:rStyle w:val="FootnoteReference"/>
        </w:rPr>
        <w:footnoteRef/>
      </w:r>
      <w:r>
        <w:t xml:space="preserve"> </w:t>
      </w:r>
      <w:r>
        <w:rPr>
          <w:rFonts w:ascii="Arial" w:hAnsi="Arial" w:cs="Arial"/>
        </w:rPr>
        <w:t>(</w:t>
      </w:r>
      <w:r w:rsidRPr="005A3317">
        <w:rPr>
          <w:rFonts w:ascii="Arial" w:hAnsi="Arial" w:cs="Arial"/>
        </w:rPr>
        <w:t>See also: Rally for Democracy and Progress and Others 2010(2) NR 487 SC;</w:t>
      </w:r>
      <w:r>
        <w:rPr>
          <w:rFonts w:ascii="Arial" w:hAnsi="Arial" w:cs="Arial"/>
        </w:rPr>
        <w:t>)</w:t>
      </w:r>
    </w:p>
    <w:p w:rsidR="001870AA" w:rsidRPr="001870AA" w:rsidRDefault="001870A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257062"/>
      <w:docPartObj>
        <w:docPartGallery w:val="Page Numbers (Top of Page)"/>
        <w:docPartUnique/>
      </w:docPartObj>
    </w:sdtPr>
    <w:sdtEndPr>
      <w:rPr>
        <w:noProof/>
      </w:rPr>
    </w:sdtEndPr>
    <w:sdtContent>
      <w:p w:rsidR="00A62094" w:rsidRDefault="00A62094" w:rsidP="00A62094">
        <w:pPr>
          <w:pStyle w:val="Header"/>
          <w:jc w:val="right"/>
        </w:pPr>
        <w:r>
          <w:fldChar w:fldCharType="begin"/>
        </w:r>
        <w:r>
          <w:instrText xml:space="preserve"> PAGE   \* MERGEFORMAT </w:instrText>
        </w:r>
        <w:r>
          <w:fldChar w:fldCharType="separate"/>
        </w:r>
        <w:r w:rsidR="00196313">
          <w:rPr>
            <w:noProof/>
          </w:rPr>
          <w:t>10</w:t>
        </w:r>
        <w:r>
          <w:rPr>
            <w:noProof/>
          </w:rPr>
          <w:fldChar w:fldCharType="end"/>
        </w:r>
      </w:p>
    </w:sdtContent>
  </w:sdt>
  <w:p w:rsidR="00A62094" w:rsidRDefault="00A62094" w:rsidP="00A6209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21B"/>
    <w:multiLevelType w:val="hybridMultilevel"/>
    <w:tmpl w:val="0F3E01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225162"/>
    <w:multiLevelType w:val="hybridMultilevel"/>
    <w:tmpl w:val="46186AC2"/>
    <w:lvl w:ilvl="0" w:tplc="61789F9A">
      <w:start w:val="1"/>
      <w:numFmt w:val="lowerLetter"/>
      <w:lvlText w:val="%1)"/>
      <w:lvlJc w:val="left"/>
      <w:pPr>
        <w:ind w:left="360" w:hanging="360"/>
      </w:pPr>
      <w:rPr>
        <w:rFonts w:hint="default"/>
        <w:i w:val="0"/>
        <w:u w:val="none"/>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 w15:restartNumberingAfterBreak="0">
    <w:nsid w:val="11EB219E"/>
    <w:multiLevelType w:val="hybridMultilevel"/>
    <w:tmpl w:val="B3A8AA08"/>
    <w:lvl w:ilvl="0" w:tplc="6292DA80">
      <w:start w:val="1"/>
      <w:numFmt w:val="lowerLetter"/>
      <w:lvlText w:val="%1)"/>
      <w:lvlJc w:val="left"/>
      <w:pPr>
        <w:ind w:left="90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A7F5D"/>
    <w:multiLevelType w:val="hybridMultilevel"/>
    <w:tmpl w:val="1ACEA4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5A845F0"/>
    <w:multiLevelType w:val="hybridMultilevel"/>
    <w:tmpl w:val="B07AD3B2"/>
    <w:lvl w:ilvl="0" w:tplc="1C09000F">
      <w:start w:val="1"/>
      <w:numFmt w:val="decimal"/>
      <w:lvlText w:val="%1."/>
      <w:lvlJc w:val="left"/>
      <w:pPr>
        <w:ind w:left="720" w:hanging="360"/>
      </w:pPr>
      <w:rPr>
        <w:rFonts w:hint="default"/>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A7C2064"/>
    <w:multiLevelType w:val="hybridMultilevel"/>
    <w:tmpl w:val="7F263722"/>
    <w:lvl w:ilvl="0" w:tplc="1C09000F">
      <w:start w:val="1"/>
      <w:numFmt w:val="decimal"/>
      <w:lvlText w:val="%1."/>
      <w:lvlJc w:val="left"/>
      <w:pPr>
        <w:ind w:left="720" w:hanging="360"/>
      </w:pPr>
      <w:rPr>
        <w:rFonts w:hint="default"/>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10307E2"/>
    <w:multiLevelType w:val="hybridMultilevel"/>
    <w:tmpl w:val="89E21DB6"/>
    <w:lvl w:ilvl="0" w:tplc="1C09000F">
      <w:start w:val="1"/>
      <w:numFmt w:val="decimal"/>
      <w:lvlText w:val="%1."/>
      <w:lvlJc w:val="left"/>
      <w:pPr>
        <w:ind w:left="720" w:hanging="360"/>
      </w:pPr>
      <w:rPr>
        <w:rFonts w:hint="default"/>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A3273BB"/>
    <w:multiLevelType w:val="hybridMultilevel"/>
    <w:tmpl w:val="45D2F790"/>
    <w:lvl w:ilvl="0" w:tplc="0B3C5EB6">
      <w:start w:val="1"/>
      <w:numFmt w:val="lowerLetter"/>
      <w:lvlText w:val="(%1)"/>
      <w:lvlJc w:val="left"/>
      <w:pPr>
        <w:ind w:left="720" w:hanging="360"/>
      </w:pPr>
      <w:rPr>
        <w:rFonts w:ascii="Arial" w:eastAsiaTheme="minorHAnsi" w:hAnsi="Arial" w:cs="Arial"/>
        <w:i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8E04B5"/>
    <w:multiLevelType w:val="hybridMultilevel"/>
    <w:tmpl w:val="7CDA5F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72"/>
    <w:rsid w:val="00070389"/>
    <w:rsid w:val="00085016"/>
    <w:rsid w:val="00085E6E"/>
    <w:rsid w:val="000939BF"/>
    <w:rsid w:val="000A2B49"/>
    <w:rsid w:val="000F7E5D"/>
    <w:rsid w:val="001019B0"/>
    <w:rsid w:val="00120313"/>
    <w:rsid w:val="00164A77"/>
    <w:rsid w:val="001870AA"/>
    <w:rsid w:val="00196313"/>
    <w:rsid w:val="001F2099"/>
    <w:rsid w:val="00202799"/>
    <w:rsid w:val="00220DAE"/>
    <w:rsid w:val="00220DB1"/>
    <w:rsid w:val="00221EB9"/>
    <w:rsid w:val="002A1411"/>
    <w:rsid w:val="002B09D7"/>
    <w:rsid w:val="002E042C"/>
    <w:rsid w:val="00300D5C"/>
    <w:rsid w:val="00306D81"/>
    <w:rsid w:val="00342288"/>
    <w:rsid w:val="00353FDB"/>
    <w:rsid w:val="003636AE"/>
    <w:rsid w:val="00365A16"/>
    <w:rsid w:val="00371F51"/>
    <w:rsid w:val="003730EA"/>
    <w:rsid w:val="0037782B"/>
    <w:rsid w:val="003A4DDB"/>
    <w:rsid w:val="003D4E3C"/>
    <w:rsid w:val="00471E5D"/>
    <w:rsid w:val="00487A1A"/>
    <w:rsid w:val="00490603"/>
    <w:rsid w:val="00492F30"/>
    <w:rsid w:val="0049478E"/>
    <w:rsid w:val="004B3BBE"/>
    <w:rsid w:val="004E0580"/>
    <w:rsid w:val="004F0F04"/>
    <w:rsid w:val="00501C2B"/>
    <w:rsid w:val="00524DEC"/>
    <w:rsid w:val="005650B6"/>
    <w:rsid w:val="00593114"/>
    <w:rsid w:val="005A3317"/>
    <w:rsid w:val="005B51AC"/>
    <w:rsid w:val="005E69ED"/>
    <w:rsid w:val="006026EA"/>
    <w:rsid w:val="006247B1"/>
    <w:rsid w:val="00634F6A"/>
    <w:rsid w:val="00652DBC"/>
    <w:rsid w:val="0067696A"/>
    <w:rsid w:val="006E4495"/>
    <w:rsid w:val="006F4541"/>
    <w:rsid w:val="0070196C"/>
    <w:rsid w:val="0071128F"/>
    <w:rsid w:val="007437E1"/>
    <w:rsid w:val="007C0E3C"/>
    <w:rsid w:val="00822192"/>
    <w:rsid w:val="00822465"/>
    <w:rsid w:val="00852CB5"/>
    <w:rsid w:val="00895850"/>
    <w:rsid w:val="00932F36"/>
    <w:rsid w:val="0093592D"/>
    <w:rsid w:val="009728A5"/>
    <w:rsid w:val="0097346B"/>
    <w:rsid w:val="009A63F9"/>
    <w:rsid w:val="009B16E5"/>
    <w:rsid w:val="009B4D63"/>
    <w:rsid w:val="009F07D1"/>
    <w:rsid w:val="00A557B3"/>
    <w:rsid w:val="00A56551"/>
    <w:rsid w:val="00A62094"/>
    <w:rsid w:val="00A67F54"/>
    <w:rsid w:val="00AE79A4"/>
    <w:rsid w:val="00B21E34"/>
    <w:rsid w:val="00B317A9"/>
    <w:rsid w:val="00BC18D0"/>
    <w:rsid w:val="00BC3D71"/>
    <w:rsid w:val="00C60581"/>
    <w:rsid w:val="00C70D24"/>
    <w:rsid w:val="00CC59C6"/>
    <w:rsid w:val="00CF035F"/>
    <w:rsid w:val="00D20067"/>
    <w:rsid w:val="00D3067B"/>
    <w:rsid w:val="00D3440C"/>
    <w:rsid w:val="00D65616"/>
    <w:rsid w:val="00DC0ED4"/>
    <w:rsid w:val="00E050DB"/>
    <w:rsid w:val="00E10039"/>
    <w:rsid w:val="00E17CA1"/>
    <w:rsid w:val="00E27CBC"/>
    <w:rsid w:val="00E53BBD"/>
    <w:rsid w:val="00E62E68"/>
    <w:rsid w:val="00E85CBA"/>
    <w:rsid w:val="00E95CE9"/>
    <w:rsid w:val="00EA02D0"/>
    <w:rsid w:val="00EE7F72"/>
    <w:rsid w:val="00F05242"/>
    <w:rsid w:val="00F16837"/>
    <w:rsid w:val="00F24281"/>
    <w:rsid w:val="00F65E4A"/>
    <w:rsid w:val="00FD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12758-0403-422B-BC42-7A9ED9A4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72"/>
    <w:pPr>
      <w:spacing w:after="160" w:line="259" w:lineRule="auto"/>
    </w:pPr>
    <w:rPr>
      <w:lang w:val="en-ZA"/>
    </w:rPr>
  </w:style>
  <w:style w:type="paragraph" w:styleId="Heading3">
    <w:name w:val="heading 3"/>
    <w:basedOn w:val="Normal"/>
    <w:next w:val="Normal"/>
    <w:link w:val="Heading3Char"/>
    <w:uiPriority w:val="9"/>
    <w:unhideWhenUsed/>
    <w:qFormat/>
    <w:rsid w:val="00EE7F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7F72"/>
    <w:rPr>
      <w:rFonts w:asciiTheme="majorHAnsi" w:eastAsiaTheme="majorEastAsia" w:hAnsiTheme="majorHAnsi" w:cstheme="majorBidi"/>
      <w:color w:val="243F60" w:themeColor="accent1" w:themeShade="7F"/>
      <w:sz w:val="24"/>
      <w:szCs w:val="24"/>
      <w:lang w:val="en-ZA"/>
    </w:rPr>
  </w:style>
  <w:style w:type="paragraph" w:styleId="ListParagraph">
    <w:name w:val="List Paragraph"/>
    <w:basedOn w:val="Normal"/>
    <w:uiPriority w:val="34"/>
    <w:qFormat/>
    <w:rsid w:val="00EE7F72"/>
    <w:pPr>
      <w:spacing w:after="200" w:line="276" w:lineRule="auto"/>
      <w:ind w:left="720"/>
      <w:contextualSpacing/>
    </w:pPr>
    <w:rPr>
      <w:lang w:val="en-US"/>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EE7F72"/>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EE7F72"/>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nhideWhenUsed/>
    <w:qFormat/>
    <w:rsid w:val="00EE7F72"/>
    <w:rPr>
      <w:vertAlign w:val="superscript"/>
    </w:rPr>
  </w:style>
  <w:style w:type="character" w:styleId="Hyperlink">
    <w:name w:val="Hyperlink"/>
    <w:basedOn w:val="DefaultParagraphFont"/>
    <w:uiPriority w:val="99"/>
    <w:unhideWhenUsed/>
    <w:rsid w:val="00EE7F72"/>
    <w:rPr>
      <w:color w:val="0000FF"/>
      <w:u w:val="single"/>
    </w:rPr>
  </w:style>
  <w:style w:type="paragraph" w:styleId="Header">
    <w:name w:val="header"/>
    <w:basedOn w:val="Normal"/>
    <w:link w:val="HeaderChar"/>
    <w:uiPriority w:val="99"/>
    <w:unhideWhenUsed/>
    <w:rsid w:val="00EE7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F72"/>
    <w:rPr>
      <w:lang w:val="en-ZA"/>
    </w:rPr>
  </w:style>
  <w:style w:type="paragraph" w:styleId="BalloonText">
    <w:name w:val="Balloon Text"/>
    <w:basedOn w:val="Normal"/>
    <w:link w:val="BalloonTextChar"/>
    <w:uiPriority w:val="99"/>
    <w:semiHidden/>
    <w:unhideWhenUsed/>
    <w:rsid w:val="004E0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80"/>
    <w:rPr>
      <w:rFonts w:ascii="Segoe UI" w:hAnsi="Segoe UI" w:cs="Segoe UI"/>
      <w:sz w:val="18"/>
      <w:szCs w:val="18"/>
      <w:lang w:val="en-ZA"/>
    </w:rPr>
  </w:style>
  <w:style w:type="paragraph" w:styleId="Footer">
    <w:name w:val="footer"/>
    <w:basedOn w:val="Normal"/>
    <w:link w:val="FooterChar"/>
    <w:uiPriority w:val="99"/>
    <w:unhideWhenUsed/>
    <w:rsid w:val="0018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0A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2021-02-25T18:30:00+00:00</Judgment_x0020_Date>
    <Year xmlns="c1afb1bd-f2fb-40fd-9abb-aea55b4d7662">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9F5B1-DEE6-4213-81E9-A257A0F7D3FE}">
  <ds:schemaRefs>
    <ds:schemaRef ds:uri="http://schemas.microsoft.com/sharepoint/v3/contenttype/forms"/>
  </ds:schemaRefs>
</ds:datastoreItem>
</file>

<file path=customXml/itemProps2.xml><?xml version="1.0" encoding="utf-8"?>
<ds:datastoreItem xmlns:ds="http://schemas.openxmlformats.org/officeDocument/2006/customXml" ds:itemID="{E58A84D9-C022-44D0-ADA9-E51521265582}">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E5BBB26D-5370-4F2E-9F50-D2495EDA2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2F2ED-82DC-4993-A707-1A5F66AF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Old Mutual Life Assurance Company (Namibia) Ltd vs Deputy Sheriff of Windhoek (HC-MD-CIV-MOT-REV-2018-00454) [2021] NAHCMD 88 (26 February 2021)</vt:lpstr>
    </vt:vector>
  </TitlesOfParts>
  <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Mutual Life Assurance Company (Namibia) Ltd vs Deputy Sheriff of Windhoek (HC-MD-CIV-MOT-REV-2018-00454) [2021] NAHCMD 88 (26 February 2021)</dc:title>
  <dc:creator>Erich Dandu</dc:creator>
  <cp:lastModifiedBy>HOME</cp:lastModifiedBy>
  <cp:revision>2</cp:revision>
  <cp:lastPrinted>2021-02-24T14:18:00Z</cp:lastPrinted>
  <dcterms:created xsi:type="dcterms:W3CDTF">2021-07-10T08:51:00Z</dcterms:created>
  <dcterms:modified xsi:type="dcterms:W3CDTF">2021-07-10T08:51:00Z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