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69" w:rsidRDefault="00084369" w:rsidP="00D036B5">
      <w:pPr>
        <w:spacing w:after="0" w:line="240" w:lineRule="auto"/>
        <w:jc w:val="center"/>
        <w:rPr>
          <w:rFonts w:ascii="Arial" w:eastAsia="Times New Roman" w:hAnsi="Arial" w:cs="Arial"/>
          <w:b/>
          <w:sz w:val="24"/>
          <w:szCs w:val="24"/>
          <w:lang w:val="en-GB"/>
        </w:rPr>
      </w:pPr>
    </w:p>
    <w:p w:rsidR="00D036B5" w:rsidRPr="00D76605" w:rsidRDefault="00D036B5" w:rsidP="00D036B5">
      <w:pPr>
        <w:spacing w:after="0" w:line="24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REPUBLIC OF NAMIBIA</w:t>
      </w:r>
    </w:p>
    <w:p w:rsidR="00D036B5" w:rsidRPr="00D76605" w:rsidRDefault="00D036B5" w:rsidP="00D036B5">
      <w:pPr>
        <w:spacing w:after="0" w:line="240" w:lineRule="auto"/>
        <w:jc w:val="center"/>
        <w:rPr>
          <w:rFonts w:ascii="Arial" w:eastAsia="Times New Roman" w:hAnsi="Arial" w:cs="Arial"/>
          <w:sz w:val="24"/>
          <w:szCs w:val="24"/>
          <w:lang w:val="en-GB"/>
        </w:rPr>
      </w:pPr>
      <w:r w:rsidRPr="00D76605">
        <w:rPr>
          <w:rFonts w:ascii="Arial" w:eastAsia="Times New Roman" w:hAnsi="Arial" w:cs="Arial"/>
          <w:noProof/>
          <w:sz w:val="24"/>
          <w:szCs w:val="24"/>
        </w:rPr>
        <w:drawing>
          <wp:inline distT="0" distB="0" distL="0" distR="0" wp14:anchorId="5973DE95" wp14:editId="4D2EE9EC">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D036B5" w:rsidRPr="00D76605" w:rsidRDefault="00D036B5" w:rsidP="00D036B5">
      <w:pPr>
        <w:spacing w:after="0" w:line="240" w:lineRule="auto"/>
        <w:jc w:val="center"/>
        <w:rPr>
          <w:rFonts w:ascii="Arial" w:eastAsia="Times New Roman" w:hAnsi="Arial" w:cs="Arial"/>
          <w:sz w:val="24"/>
          <w:szCs w:val="24"/>
          <w:lang w:val="en-GB"/>
        </w:rPr>
      </w:pPr>
    </w:p>
    <w:p w:rsidR="00D036B5" w:rsidRPr="00D76605" w:rsidRDefault="00D036B5" w:rsidP="00D036B5">
      <w:pPr>
        <w:spacing w:after="0" w:line="360" w:lineRule="auto"/>
        <w:jc w:val="center"/>
        <w:rPr>
          <w:rFonts w:ascii="Arial" w:eastAsia="Times New Roman" w:hAnsi="Arial" w:cs="Arial"/>
          <w:b/>
          <w:sz w:val="24"/>
          <w:szCs w:val="24"/>
          <w:lang w:val="en-GB"/>
        </w:rPr>
      </w:pPr>
      <w:r w:rsidRPr="00D76605">
        <w:rPr>
          <w:rFonts w:ascii="Arial" w:eastAsia="Times New Roman" w:hAnsi="Arial" w:cs="Arial"/>
          <w:b/>
          <w:sz w:val="24"/>
          <w:szCs w:val="24"/>
          <w:lang w:val="en-GB"/>
        </w:rPr>
        <w:t>IN THE HIGH COURT OF NAMIBIA, MAIN DIVISION, WINDHOEK</w:t>
      </w:r>
    </w:p>
    <w:p w:rsidR="00D036B5" w:rsidRPr="00D76605" w:rsidRDefault="00D036B5" w:rsidP="00D036B5">
      <w:pPr>
        <w:spacing w:after="0" w:line="360" w:lineRule="auto"/>
        <w:jc w:val="center"/>
        <w:rPr>
          <w:rFonts w:ascii="Arial" w:eastAsia="Times New Roman" w:hAnsi="Arial" w:cs="Arial"/>
          <w:sz w:val="24"/>
          <w:szCs w:val="24"/>
          <w:lang w:val="en-GB"/>
        </w:rPr>
      </w:pPr>
      <w:r w:rsidRPr="00D76605">
        <w:rPr>
          <w:rFonts w:ascii="Arial" w:eastAsia="Times New Roman" w:hAnsi="Arial" w:cs="Arial"/>
          <w:b/>
          <w:sz w:val="24"/>
          <w:szCs w:val="24"/>
          <w:lang w:val="en-GB"/>
        </w:rPr>
        <w:t>REVIEW JUDGMENT</w:t>
      </w:r>
    </w:p>
    <w:p w:rsidR="00D036B5" w:rsidRPr="00D76605" w:rsidRDefault="00D036B5" w:rsidP="00D036B5">
      <w:pPr>
        <w:spacing w:line="256" w:lineRule="auto"/>
        <w:rPr>
          <w:rFonts w:ascii="Arial" w:hAnsi="Arial" w:cs="Arial"/>
          <w:sz w:val="24"/>
          <w:szCs w:val="24"/>
          <w:lang w:val="en-ZA"/>
        </w:rPr>
      </w:pPr>
    </w:p>
    <w:tbl>
      <w:tblPr>
        <w:tblStyle w:val="TableGrid"/>
        <w:tblW w:w="9720" w:type="dxa"/>
        <w:tblInd w:w="-275" w:type="dxa"/>
        <w:tblLook w:val="04A0" w:firstRow="1" w:lastRow="0" w:firstColumn="1" w:lastColumn="0" w:noHBand="0" w:noVBand="1"/>
      </w:tblPr>
      <w:tblGrid>
        <w:gridCol w:w="4770"/>
        <w:gridCol w:w="627"/>
        <w:gridCol w:w="4323"/>
      </w:tblGrid>
      <w:tr w:rsidR="00D036B5" w:rsidRPr="00FD7904" w:rsidTr="00214E84">
        <w:trPr>
          <w:trHeight w:val="744"/>
        </w:trPr>
        <w:tc>
          <w:tcPr>
            <w:tcW w:w="5397" w:type="dxa"/>
            <w:gridSpan w:val="2"/>
            <w:tcBorders>
              <w:top w:val="single" w:sz="4" w:space="0" w:color="auto"/>
              <w:left w:val="single" w:sz="4" w:space="0" w:color="auto"/>
              <w:bottom w:val="single" w:sz="4" w:space="0" w:color="auto"/>
              <w:right w:val="single" w:sz="4" w:space="0" w:color="auto"/>
            </w:tcBorders>
            <w:hideMark/>
          </w:tcPr>
          <w:p w:rsidR="00D036B5" w:rsidRPr="00FD7904" w:rsidRDefault="0087702D" w:rsidP="00214E84">
            <w:pPr>
              <w:spacing w:line="360" w:lineRule="auto"/>
              <w:jc w:val="both"/>
              <w:rPr>
                <w:rFonts w:ascii="Arial" w:hAnsi="Arial" w:cs="Arial"/>
                <w:color w:val="171717" w:themeColor="background2" w:themeShade="1A"/>
                <w:sz w:val="24"/>
                <w:szCs w:val="24"/>
              </w:rPr>
            </w:pPr>
            <w:r>
              <w:rPr>
                <w:rFonts w:ascii="Arial" w:hAnsi="Arial" w:cs="Arial"/>
                <w:b/>
                <w:color w:val="171717" w:themeColor="background2" w:themeShade="1A"/>
                <w:sz w:val="24"/>
                <w:szCs w:val="24"/>
              </w:rPr>
              <w:t>C</w:t>
            </w:r>
            <w:r w:rsidR="00D036B5" w:rsidRPr="00FD7904">
              <w:rPr>
                <w:rFonts w:ascii="Arial" w:hAnsi="Arial" w:cs="Arial"/>
                <w:b/>
                <w:color w:val="171717" w:themeColor="background2" w:themeShade="1A"/>
                <w:sz w:val="24"/>
                <w:szCs w:val="24"/>
              </w:rPr>
              <w:t>ase Title:</w:t>
            </w:r>
          </w:p>
          <w:p w:rsidR="00D036B5" w:rsidRPr="00FD7904" w:rsidRDefault="00D036B5" w:rsidP="00D036B5">
            <w:pPr>
              <w:spacing w:line="360" w:lineRule="auto"/>
              <w:jc w:val="both"/>
              <w:rPr>
                <w:rFonts w:ascii="Arial" w:hAnsi="Arial" w:cs="Arial"/>
                <w:i/>
                <w:color w:val="171717" w:themeColor="background2" w:themeShade="1A"/>
                <w:sz w:val="24"/>
                <w:szCs w:val="24"/>
              </w:rPr>
            </w:pPr>
            <w:r w:rsidRPr="00FD7904">
              <w:rPr>
                <w:rFonts w:ascii="Arial" w:hAnsi="Arial" w:cs="Arial"/>
                <w:i/>
                <w:color w:val="171717" w:themeColor="background2" w:themeShade="1A"/>
                <w:sz w:val="24"/>
                <w:szCs w:val="24"/>
              </w:rPr>
              <w:t xml:space="preserve">The State v </w:t>
            </w:r>
            <w:r>
              <w:rPr>
                <w:rFonts w:ascii="Arial" w:hAnsi="Arial" w:cs="Arial"/>
                <w:i/>
                <w:color w:val="171717" w:themeColor="background2" w:themeShade="1A"/>
                <w:sz w:val="24"/>
                <w:szCs w:val="24"/>
              </w:rPr>
              <w:t>Beukes Davinio</w:t>
            </w:r>
          </w:p>
        </w:tc>
        <w:tc>
          <w:tcPr>
            <w:tcW w:w="4323" w:type="dxa"/>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360" w:lineRule="auto"/>
              <w:jc w:val="both"/>
              <w:rPr>
                <w:rFonts w:ascii="Arial" w:hAnsi="Arial" w:cs="Arial"/>
                <w:b/>
                <w:color w:val="171717" w:themeColor="background2" w:themeShade="1A"/>
                <w:sz w:val="24"/>
                <w:szCs w:val="24"/>
              </w:rPr>
            </w:pPr>
            <w:r w:rsidRPr="00FD7904">
              <w:rPr>
                <w:rFonts w:ascii="Arial" w:hAnsi="Arial" w:cs="Arial"/>
                <w:b/>
                <w:color w:val="171717" w:themeColor="background2" w:themeShade="1A"/>
                <w:sz w:val="24"/>
                <w:szCs w:val="24"/>
              </w:rPr>
              <w:t>Case No:</w:t>
            </w:r>
          </w:p>
          <w:p w:rsidR="00D036B5" w:rsidRPr="00FD7904" w:rsidRDefault="00DC0423" w:rsidP="00214E84">
            <w:pPr>
              <w:spacing w:line="360" w:lineRule="auto"/>
              <w:jc w:val="both"/>
              <w:rPr>
                <w:rFonts w:ascii="Arial" w:hAnsi="Arial" w:cs="Arial"/>
                <w:color w:val="171717" w:themeColor="background2" w:themeShade="1A"/>
                <w:sz w:val="24"/>
                <w:szCs w:val="24"/>
              </w:rPr>
            </w:pPr>
            <w:r>
              <w:rPr>
                <w:rFonts w:ascii="Arial" w:hAnsi="Arial" w:cs="Arial"/>
                <w:color w:val="171717" w:themeColor="background2" w:themeShade="1A"/>
                <w:sz w:val="24"/>
                <w:szCs w:val="24"/>
              </w:rPr>
              <w:t>CR 17/2023</w:t>
            </w:r>
          </w:p>
        </w:tc>
        <w:bookmarkStart w:id="0" w:name="_GoBack"/>
        <w:bookmarkEnd w:id="0"/>
      </w:tr>
      <w:tr w:rsidR="00D036B5" w:rsidRPr="00FD7904" w:rsidTr="00214E84">
        <w:trPr>
          <w:trHeight w:val="844"/>
        </w:trPr>
        <w:tc>
          <w:tcPr>
            <w:tcW w:w="5397" w:type="dxa"/>
            <w:gridSpan w:val="2"/>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jc w:val="both"/>
              <w:rPr>
                <w:rFonts w:ascii="Arial" w:hAnsi="Arial" w:cs="Arial"/>
                <w:b/>
                <w:sz w:val="24"/>
                <w:szCs w:val="24"/>
              </w:rPr>
            </w:pPr>
            <w:r w:rsidRPr="00FD7904">
              <w:rPr>
                <w:rFonts w:ascii="Arial" w:hAnsi="Arial" w:cs="Arial"/>
                <w:b/>
                <w:sz w:val="24"/>
                <w:szCs w:val="24"/>
              </w:rPr>
              <w:t>High Court MD Review No:</w:t>
            </w:r>
          </w:p>
          <w:p w:rsidR="00D036B5" w:rsidRPr="00FD7904" w:rsidRDefault="00D036B5" w:rsidP="00214E84">
            <w:pPr>
              <w:spacing w:line="360" w:lineRule="auto"/>
              <w:jc w:val="both"/>
              <w:rPr>
                <w:rFonts w:ascii="Arial" w:hAnsi="Arial" w:cs="Arial"/>
                <w:sz w:val="24"/>
                <w:szCs w:val="24"/>
              </w:rPr>
            </w:pPr>
            <w:r>
              <w:rPr>
                <w:rFonts w:ascii="Arial" w:hAnsi="Arial" w:cs="Arial"/>
                <w:sz w:val="24"/>
                <w:szCs w:val="24"/>
              </w:rPr>
              <w:t>1620</w:t>
            </w:r>
            <w:r w:rsidRPr="00FD7904">
              <w:rPr>
                <w:rFonts w:ascii="Arial" w:hAnsi="Arial" w:cs="Arial"/>
                <w:sz w:val="24"/>
                <w:szCs w:val="24"/>
              </w:rPr>
              <w:t>/2022</w:t>
            </w:r>
          </w:p>
        </w:tc>
        <w:tc>
          <w:tcPr>
            <w:tcW w:w="4323" w:type="dxa"/>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360" w:lineRule="auto"/>
              <w:jc w:val="both"/>
              <w:rPr>
                <w:rFonts w:ascii="Arial" w:hAnsi="Arial" w:cs="Arial"/>
                <w:sz w:val="24"/>
                <w:szCs w:val="24"/>
              </w:rPr>
            </w:pPr>
            <w:r w:rsidRPr="00FD7904">
              <w:rPr>
                <w:rFonts w:ascii="Arial" w:hAnsi="Arial" w:cs="Arial"/>
                <w:b/>
                <w:sz w:val="24"/>
                <w:szCs w:val="24"/>
              </w:rPr>
              <w:t>Division of Court:</w:t>
            </w:r>
          </w:p>
          <w:p w:rsidR="00D036B5" w:rsidRPr="00FD7904" w:rsidRDefault="00D036B5" w:rsidP="00214E84">
            <w:pPr>
              <w:spacing w:line="360" w:lineRule="auto"/>
              <w:jc w:val="both"/>
              <w:rPr>
                <w:rFonts w:ascii="Arial" w:hAnsi="Arial" w:cs="Arial"/>
                <w:sz w:val="24"/>
                <w:szCs w:val="24"/>
              </w:rPr>
            </w:pPr>
            <w:r w:rsidRPr="00FD7904">
              <w:rPr>
                <w:rFonts w:ascii="Arial" w:hAnsi="Arial" w:cs="Arial"/>
                <w:sz w:val="24"/>
                <w:szCs w:val="24"/>
              </w:rPr>
              <w:t>Main Division</w:t>
            </w:r>
          </w:p>
        </w:tc>
      </w:tr>
      <w:tr w:rsidR="00D036B5" w:rsidRPr="00FD7904" w:rsidTr="00214E84">
        <w:trPr>
          <w:trHeight w:val="796"/>
        </w:trPr>
        <w:tc>
          <w:tcPr>
            <w:tcW w:w="5397" w:type="dxa"/>
            <w:gridSpan w:val="2"/>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276" w:lineRule="auto"/>
              <w:contextualSpacing/>
              <w:jc w:val="both"/>
              <w:rPr>
                <w:rFonts w:ascii="Arial" w:hAnsi="Arial" w:cs="Arial"/>
                <w:b/>
                <w:sz w:val="24"/>
                <w:szCs w:val="24"/>
              </w:rPr>
            </w:pPr>
            <w:r w:rsidRPr="00FD7904">
              <w:rPr>
                <w:rFonts w:ascii="Arial" w:hAnsi="Arial" w:cs="Arial"/>
                <w:b/>
                <w:sz w:val="24"/>
                <w:szCs w:val="24"/>
              </w:rPr>
              <w:t>Heard before:</w:t>
            </w:r>
          </w:p>
          <w:p w:rsidR="00D036B5" w:rsidRPr="00FD7904" w:rsidRDefault="00D1048E" w:rsidP="00D036B5">
            <w:pPr>
              <w:spacing w:line="276" w:lineRule="auto"/>
              <w:contextualSpacing/>
              <w:jc w:val="both"/>
              <w:rPr>
                <w:rFonts w:ascii="Arial" w:hAnsi="Arial" w:cs="Arial"/>
                <w:sz w:val="24"/>
                <w:szCs w:val="24"/>
              </w:rPr>
            </w:pPr>
            <w:r>
              <w:rPr>
                <w:rFonts w:ascii="Arial" w:hAnsi="Arial" w:cs="Arial"/>
                <w:sz w:val="24"/>
                <w:szCs w:val="24"/>
              </w:rPr>
              <w:t xml:space="preserve">Judge </w:t>
            </w:r>
            <w:r w:rsidR="00D036B5" w:rsidRPr="00FD7904">
              <w:rPr>
                <w:rFonts w:ascii="Arial" w:hAnsi="Arial" w:cs="Arial"/>
                <w:sz w:val="24"/>
                <w:szCs w:val="24"/>
              </w:rPr>
              <w:t xml:space="preserve"> January </w:t>
            </w:r>
            <w:r w:rsidR="00D036B5" w:rsidRPr="00FD7904">
              <w:rPr>
                <w:rFonts w:ascii="Arial" w:hAnsi="Arial" w:cs="Arial"/>
                <w:i/>
                <w:sz w:val="24"/>
                <w:szCs w:val="24"/>
              </w:rPr>
              <w:t xml:space="preserve">et </w:t>
            </w:r>
            <w:r w:rsidR="00D036B5" w:rsidRPr="00FD7904">
              <w:rPr>
                <w:rFonts w:ascii="Arial" w:hAnsi="Arial" w:cs="Arial"/>
                <w:sz w:val="24"/>
                <w:szCs w:val="24"/>
              </w:rPr>
              <w:t xml:space="preserve">Judge </w:t>
            </w:r>
            <w:r w:rsidR="002A3F42">
              <w:rPr>
                <w:rFonts w:ascii="Arial" w:hAnsi="Arial" w:cs="Arial"/>
                <w:sz w:val="24"/>
                <w:szCs w:val="24"/>
              </w:rPr>
              <w:t>Claasen</w:t>
            </w:r>
          </w:p>
        </w:tc>
        <w:tc>
          <w:tcPr>
            <w:tcW w:w="4323" w:type="dxa"/>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276" w:lineRule="auto"/>
              <w:contextualSpacing/>
              <w:jc w:val="both"/>
              <w:rPr>
                <w:rFonts w:ascii="Arial" w:hAnsi="Arial" w:cs="Arial"/>
                <w:b/>
                <w:sz w:val="24"/>
                <w:szCs w:val="24"/>
              </w:rPr>
            </w:pPr>
            <w:r w:rsidRPr="00FD7904">
              <w:rPr>
                <w:rFonts w:ascii="Arial" w:hAnsi="Arial" w:cs="Arial"/>
                <w:b/>
                <w:sz w:val="24"/>
                <w:szCs w:val="24"/>
              </w:rPr>
              <w:t>Delivered on:</w:t>
            </w:r>
          </w:p>
          <w:p w:rsidR="00D036B5" w:rsidRPr="00FD7904" w:rsidRDefault="0087702D" w:rsidP="00214E84">
            <w:pPr>
              <w:spacing w:line="276" w:lineRule="auto"/>
              <w:contextualSpacing/>
              <w:jc w:val="both"/>
              <w:rPr>
                <w:rFonts w:ascii="Arial" w:hAnsi="Arial" w:cs="Arial"/>
                <w:sz w:val="24"/>
                <w:szCs w:val="24"/>
              </w:rPr>
            </w:pPr>
            <w:r>
              <w:rPr>
                <w:rFonts w:ascii="Arial" w:hAnsi="Arial" w:cs="Arial"/>
                <w:sz w:val="24"/>
                <w:szCs w:val="24"/>
              </w:rPr>
              <w:t>04 April</w:t>
            </w:r>
            <w:r w:rsidR="00D036B5" w:rsidRPr="00FD7904">
              <w:rPr>
                <w:rFonts w:ascii="Arial" w:hAnsi="Arial" w:cs="Arial"/>
                <w:sz w:val="24"/>
                <w:szCs w:val="24"/>
              </w:rPr>
              <w:t xml:space="preserve"> 2023</w:t>
            </w:r>
          </w:p>
          <w:p w:rsidR="00D036B5" w:rsidRPr="00FD7904" w:rsidRDefault="00D036B5" w:rsidP="00214E84">
            <w:pPr>
              <w:spacing w:line="276" w:lineRule="auto"/>
              <w:contextualSpacing/>
              <w:jc w:val="both"/>
              <w:rPr>
                <w:rFonts w:ascii="Arial" w:hAnsi="Arial" w:cs="Arial"/>
                <w:sz w:val="24"/>
                <w:szCs w:val="24"/>
              </w:rPr>
            </w:pPr>
          </w:p>
        </w:tc>
      </w:tr>
      <w:tr w:rsidR="00D036B5" w:rsidRPr="00FD7904" w:rsidTr="00214E84">
        <w:tc>
          <w:tcPr>
            <w:tcW w:w="9720" w:type="dxa"/>
            <w:gridSpan w:val="3"/>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360" w:lineRule="auto"/>
              <w:jc w:val="both"/>
              <w:rPr>
                <w:rFonts w:ascii="Arial" w:hAnsi="Arial" w:cs="Arial"/>
                <w:color w:val="0D0D0D" w:themeColor="text1" w:themeTint="F2"/>
                <w:sz w:val="24"/>
                <w:szCs w:val="24"/>
              </w:rPr>
            </w:pPr>
            <w:r w:rsidRPr="00FD7904">
              <w:rPr>
                <w:rFonts w:ascii="Arial" w:hAnsi="Arial" w:cs="Arial"/>
                <w:b/>
                <w:color w:val="0D0D0D" w:themeColor="text1" w:themeTint="F2"/>
                <w:sz w:val="24"/>
                <w:szCs w:val="24"/>
              </w:rPr>
              <w:t xml:space="preserve">Neutral citation: </w:t>
            </w:r>
            <w:r w:rsidRPr="00FD7904">
              <w:rPr>
                <w:rFonts w:ascii="Arial" w:hAnsi="Arial" w:cs="Arial"/>
                <w:i/>
                <w:color w:val="0D0D0D" w:themeColor="text1" w:themeTint="F2"/>
                <w:sz w:val="24"/>
                <w:szCs w:val="24"/>
              </w:rPr>
              <w:t>S v</w:t>
            </w:r>
            <w:r w:rsidRPr="00FD7904">
              <w:rPr>
                <w:rFonts w:ascii="Arial" w:hAnsi="Arial" w:cs="Arial"/>
                <w:b/>
                <w:color w:val="0D0D0D" w:themeColor="text1" w:themeTint="F2"/>
                <w:sz w:val="24"/>
                <w:szCs w:val="24"/>
              </w:rPr>
              <w:t xml:space="preserve"> </w:t>
            </w:r>
            <w:r>
              <w:rPr>
                <w:rFonts w:ascii="Arial" w:hAnsi="Arial" w:cs="Arial"/>
                <w:i/>
                <w:color w:val="0D0D0D" w:themeColor="text1" w:themeTint="F2"/>
                <w:sz w:val="24"/>
                <w:szCs w:val="24"/>
              </w:rPr>
              <w:t>Davinio</w:t>
            </w:r>
            <w:r w:rsidRPr="00FD7904">
              <w:rPr>
                <w:rFonts w:ascii="Arial" w:hAnsi="Arial" w:cs="Arial"/>
                <w:i/>
                <w:color w:val="0D0D0D" w:themeColor="text1" w:themeTint="F2"/>
                <w:sz w:val="24"/>
                <w:szCs w:val="24"/>
              </w:rPr>
              <w:t xml:space="preserve"> </w:t>
            </w:r>
            <w:r w:rsidR="00DD0C5A">
              <w:rPr>
                <w:rFonts w:ascii="Arial" w:hAnsi="Arial" w:cs="Arial"/>
                <w:color w:val="0D0D0D" w:themeColor="text1" w:themeTint="F2"/>
                <w:sz w:val="24"/>
                <w:szCs w:val="24"/>
              </w:rPr>
              <w:t>(CR 17/2023) [2023] NAHCMD 113</w:t>
            </w:r>
            <w:r w:rsidR="00187DF1">
              <w:rPr>
                <w:rFonts w:ascii="Arial" w:hAnsi="Arial" w:cs="Arial"/>
                <w:color w:val="0D0D0D" w:themeColor="text1" w:themeTint="F2"/>
                <w:sz w:val="24"/>
                <w:szCs w:val="24"/>
              </w:rPr>
              <w:t xml:space="preserve"> (04</w:t>
            </w:r>
            <w:r w:rsidR="00DC0423">
              <w:rPr>
                <w:rFonts w:ascii="Arial" w:hAnsi="Arial" w:cs="Arial"/>
                <w:color w:val="0D0D0D" w:themeColor="text1" w:themeTint="F2"/>
                <w:sz w:val="24"/>
                <w:szCs w:val="24"/>
              </w:rPr>
              <w:t xml:space="preserve"> </w:t>
            </w:r>
            <w:r w:rsidR="00187DF1">
              <w:rPr>
                <w:rFonts w:ascii="Arial" w:hAnsi="Arial" w:cs="Arial"/>
                <w:color w:val="0D0D0D" w:themeColor="text1" w:themeTint="F2"/>
                <w:sz w:val="24"/>
                <w:szCs w:val="24"/>
              </w:rPr>
              <w:t>April</w:t>
            </w:r>
            <w:r w:rsidRPr="00FD7904">
              <w:rPr>
                <w:rFonts w:ascii="Arial" w:hAnsi="Arial" w:cs="Arial"/>
                <w:color w:val="0D0D0D" w:themeColor="text1" w:themeTint="F2"/>
                <w:sz w:val="24"/>
                <w:szCs w:val="24"/>
              </w:rPr>
              <w:t xml:space="preserve"> 2023)</w:t>
            </w:r>
          </w:p>
          <w:p w:rsidR="00D036B5" w:rsidRPr="00FD7904" w:rsidRDefault="00D036B5" w:rsidP="00214E84">
            <w:pPr>
              <w:spacing w:line="360" w:lineRule="auto"/>
              <w:jc w:val="both"/>
              <w:rPr>
                <w:rFonts w:ascii="Arial" w:hAnsi="Arial" w:cs="Arial"/>
                <w:color w:val="0D0D0D" w:themeColor="text1" w:themeTint="F2"/>
                <w:sz w:val="24"/>
                <w:szCs w:val="24"/>
              </w:rPr>
            </w:pPr>
          </w:p>
        </w:tc>
      </w:tr>
      <w:tr w:rsidR="00D036B5" w:rsidRPr="00FD7904" w:rsidTr="00214E84">
        <w:tc>
          <w:tcPr>
            <w:tcW w:w="9720" w:type="dxa"/>
            <w:gridSpan w:val="3"/>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jc w:val="both"/>
              <w:rPr>
                <w:rFonts w:ascii="Arial" w:hAnsi="Arial" w:cs="Arial"/>
                <w:b/>
                <w:sz w:val="24"/>
                <w:szCs w:val="24"/>
              </w:rPr>
            </w:pPr>
          </w:p>
          <w:p w:rsidR="00F559F2" w:rsidRPr="00D1048E" w:rsidRDefault="00D036B5" w:rsidP="00D1048E">
            <w:pPr>
              <w:spacing w:line="360" w:lineRule="auto"/>
              <w:jc w:val="both"/>
              <w:rPr>
                <w:rFonts w:ascii="Arial" w:hAnsi="Arial" w:cs="Arial"/>
                <w:b/>
                <w:sz w:val="24"/>
                <w:szCs w:val="24"/>
              </w:rPr>
            </w:pPr>
            <w:r w:rsidRPr="00FD7904">
              <w:rPr>
                <w:rFonts w:ascii="Arial" w:hAnsi="Arial" w:cs="Arial"/>
                <w:b/>
                <w:sz w:val="24"/>
                <w:szCs w:val="24"/>
              </w:rPr>
              <w:t>The order:</w:t>
            </w:r>
          </w:p>
          <w:p w:rsidR="00F559F2" w:rsidRDefault="00F559F2" w:rsidP="00F559F2">
            <w:pPr>
              <w:numPr>
                <w:ilvl w:val="0"/>
                <w:numId w:val="2"/>
              </w:numPr>
              <w:spacing w:line="360" w:lineRule="auto"/>
              <w:ind w:right="601"/>
              <w:jc w:val="both"/>
              <w:rPr>
                <w:rFonts w:ascii="Arial" w:hAnsi="Arial" w:cs="Arial"/>
                <w:sz w:val="24"/>
                <w:szCs w:val="24"/>
              </w:rPr>
            </w:pPr>
            <w:r>
              <w:rPr>
                <w:rFonts w:ascii="Arial" w:hAnsi="Arial" w:cs="Arial"/>
                <w:sz w:val="24"/>
                <w:szCs w:val="24"/>
              </w:rPr>
              <w:t xml:space="preserve">The conviction and sentence are set aside. </w:t>
            </w:r>
          </w:p>
          <w:p w:rsidR="00F559F2" w:rsidRDefault="00F559F2" w:rsidP="00F559F2">
            <w:pPr>
              <w:numPr>
                <w:ilvl w:val="0"/>
                <w:numId w:val="2"/>
              </w:numPr>
              <w:spacing w:line="360" w:lineRule="auto"/>
              <w:ind w:right="601"/>
              <w:jc w:val="both"/>
              <w:rPr>
                <w:rFonts w:ascii="Arial" w:hAnsi="Arial" w:cs="Arial"/>
                <w:sz w:val="24"/>
                <w:szCs w:val="24"/>
              </w:rPr>
            </w:pPr>
            <w:r>
              <w:rPr>
                <w:rFonts w:ascii="Arial" w:hAnsi="Arial" w:cs="Arial"/>
                <w:sz w:val="24"/>
                <w:szCs w:val="24"/>
              </w:rPr>
              <w:t xml:space="preserve">In terms of s 312 of the CPA, the accused should henceforth be brought </w:t>
            </w:r>
            <w:r w:rsidR="00D1048E">
              <w:rPr>
                <w:rFonts w:ascii="Arial" w:hAnsi="Arial" w:cs="Arial"/>
                <w:sz w:val="24"/>
                <w:szCs w:val="24"/>
              </w:rPr>
              <w:t>before the trial court and the M</w:t>
            </w:r>
            <w:r>
              <w:rPr>
                <w:rFonts w:ascii="Arial" w:hAnsi="Arial" w:cs="Arial"/>
                <w:sz w:val="24"/>
                <w:szCs w:val="24"/>
              </w:rPr>
              <w:t>agistrate is directed to comply with the provisions of s 112 (1</w:t>
            </w:r>
            <w:proofErr w:type="gramStart"/>
            <w:r>
              <w:rPr>
                <w:rFonts w:ascii="Arial" w:hAnsi="Arial" w:cs="Arial"/>
                <w:sz w:val="24"/>
                <w:szCs w:val="24"/>
              </w:rPr>
              <w:t>)(</w:t>
            </w:r>
            <w:proofErr w:type="gramEnd"/>
            <w:r>
              <w:rPr>
                <w:rFonts w:ascii="Arial" w:hAnsi="Arial" w:cs="Arial"/>
                <w:i/>
                <w:sz w:val="24"/>
                <w:szCs w:val="24"/>
              </w:rPr>
              <w:t>b)</w:t>
            </w:r>
            <w:r>
              <w:rPr>
                <w:rFonts w:ascii="Arial" w:hAnsi="Arial" w:cs="Arial"/>
                <w:sz w:val="24"/>
                <w:szCs w:val="24"/>
              </w:rPr>
              <w:t xml:space="preserve"> of the CPA and bring the matter to its natural conclusion.</w:t>
            </w:r>
          </w:p>
          <w:p w:rsidR="00F559F2" w:rsidRDefault="00F559F2" w:rsidP="00F559F2">
            <w:pPr>
              <w:numPr>
                <w:ilvl w:val="0"/>
                <w:numId w:val="2"/>
              </w:numPr>
              <w:spacing w:line="360" w:lineRule="auto"/>
              <w:ind w:right="601"/>
              <w:jc w:val="both"/>
              <w:rPr>
                <w:rFonts w:ascii="Arial" w:hAnsi="Arial" w:cs="Arial"/>
                <w:sz w:val="24"/>
                <w:szCs w:val="24"/>
              </w:rPr>
            </w:pPr>
            <w:r>
              <w:rPr>
                <w:rFonts w:ascii="Arial" w:hAnsi="Arial" w:cs="Arial"/>
                <w:sz w:val="24"/>
                <w:szCs w:val="24"/>
              </w:rPr>
              <w:t>In the ev</w:t>
            </w:r>
            <w:r w:rsidR="00D1048E">
              <w:rPr>
                <w:rFonts w:ascii="Arial" w:hAnsi="Arial" w:cs="Arial"/>
                <w:sz w:val="24"/>
                <w:szCs w:val="24"/>
              </w:rPr>
              <w:t>ent of a conviction, the trial M</w:t>
            </w:r>
            <w:r>
              <w:rPr>
                <w:rFonts w:ascii="Arial" w:hAnsi="Arial" w:cs="Arial"/>
                <w:sz w:val="24"/>
                <w:szCs w:val="24"/>
              </w:rPr>
              <w:t>agistrate, in considering an appropriate sentence, must take into account the period of imprisonment that the accused has already served in this matter.</w:t>
            </w:r>
          </w:p>
          <w:p w:rsidR="00D036B5" w:rsidRPr="00FD7904" w:rsidRDefault="00D036B5" w:rsidP="00214E84">
            <w:pPr>
              <w:widowControl w:val="0"/>
              <w:spacing w:line="360" w:lineRule="auto"/>
              <w:ind w:left="720"/>
              <w:contextualSpacing/>
              <w:jc w:val="both"/>
              <w:rPr>
                <w:rFonts w:ascii="Arial" w:eastAsia="Times New Roman" w:hAnsi="Arial" w:cs="Arial"/>
                <w:spacing w:val="-3"/>
                <w:sz w:val="24"/>
                <w:szCs w:val="24"/>
              </w:rPr>
            </w:pPr>
          </w:p>
        </w:tc>
      </w:tr>
      <w:tr w:rsidR="00D036B5" w:rsidRPr="00FD7904" w:rsidTr="00214E84">
        <w:tc>
          <w:tcPr>
            <w:tcW w:w="9720" w:type="dxa"/>
            <w:gridSpan w:val="3"/>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jc w:val="both"/>
              <w:rPr>
                <w:rFonts w:ascii="Arial" w:hAnsi="Arial" w:cs="Arial"/>
                <w:b/>
                <w:sz w:val="24"/>
                <w:szCs w:val="24"/>
              </w:rPr>
            </w:pPr>
          </w:p>
          <w:p w:rsidR="00D036B5" w:rsidRPr="00FD7904" w:rsidRDefault="00D036B5" w:rsidP="00214E84">
            <w:pPr>
              <w:spacing w:line="360" w:lineRule="auto"/>
              <w:jc w:val="both"/>
              <w:rPr>
                <w:rFonts w:ascii="Arial" w:hAnsi="Arial" w:cs="Arial"/>
                <w:b/>
                <w:sz w:val="24"/>
                <w:szCs w:val="24"/>
              </w:rPr>
            </w:pPr>
            <w:r w:rsidRPr="00FD7904">
              <w:rPr>
                <w:rFonts w:ascii="Arial" w:hAnsi="Arial" w:cs="Arial"/>
                <w:b/>
                <w:sz w:val="24"/>
                <w:szCs w:val="24"/>
              </w:rPr>
              <w:t>Reasons for order:</w:t>
            </w:r>
          </w:p>
        </w:tc>
      </w:tr>
      <w:tr w:rsidR="00D036B5" w:rsidRPr="00FD7904" w:rsidTr="00214E84">
        <w:tc>
          <w:tcPr>
            <w:tcW w:w="9720" w:type="dxa"/>
            <w:gridSpan w:val="3"/>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jc w:val="both"/>
              <w:rPr>
                <w:rFonts w:ascii="Arial" w:hAnsi="Arial" w:cs="Arial"/>
                <w:sz w:val="24"/>
                <w:szCs w:val="24"/>
              </w:rPr>
            </w:pPr>
          </w:p>
          <w:p w:rsidR="00531AE3" w:rsidRDefault="00531AE3" w:rsidP="00531AE3">
            <w:pPr>
              <w:spacing w:line="360" w:lineRule="auto"/>
              <w:jc w:val="both"/>
              <w:rPr>
                <w:rFonts w:ascii="Arial" w:hAnsi="Arial" w:cs="Arial"/>
                <w:sz w:val="24"/>
                <w:szCs w:val="24"/>
              </w:rPr>
            </w:pPr>
            <w:r w:rsidRPr="00FD7904">
              <w:rPr>
                <w:rFonts w:ascii="Arial" w:hAnsi="Arial" w:cs="Arial"/>
                <w:sz w:val="24"/>
                <w:szCs w:val="24"/>
              </w:rPr>
              <w:lastRenderedPageBreak/>
              <w:t>January J (concurring Claasen J)</w:t>
            </w:r>
            <w:r>
              <w:rPr>
                <w:rFonts w:ascii="Arial" w:hAnsi="Arial" w:cs="Arial"/>
                <w:sz w:val="24"/>
                <w:szCs w:val="24"/>
              </w:rPr>
              <w:t>:</w:t>
            </w:r>
          </w:p>
          <w:p w:rsidR="00531AE3" w:rsidRPr="00FD7904" w:rsidRDefault="00531AE3" w:rsidP="00531AE3">
            <w:pPr>
              <w:spacing w:line="360" w:lineRule="auto"/>
              <w:jc w:val="both"/>
              <w:rPr>
                <w:rFonts w:ascii="Arial" w:hAnsi="Arial" w:cs="Arial"/>
                <w:sz w:val="24"/>
                <w:szCs w:val="24"/>
              </w:rPr>
            </w:pPr>
          </w:p>
          <w:p w:rsidR="00531AE3" w:rsidRDefault="00531AE3" w:rsidP="00531AE3">
            <w:pPr>
              <w:spacing w:line="360" w:lineRule="auto"/>
              <w:jc w:val="both"/>
              <w:rPr>
                <w:rFonts w:ascii="Arial" w:hAnsi="Arial" w:cs="Arial"/>
                <w:sz w:val="24"/>
                <w:szCs w:val="24"/>
              </w:rPr>
            </w:pPr>
            <w:r w:rsidRPr="00FD7904">
              <w:rPr>
                <w:rFonts w:ascii="Arial" w:hAnsi="Arial" w:cs="Arial"/>
                <w:sz w:val="24"/>
                <w:szCs w:val="24"/>
              </w:rPr>
              <w:t xml:space="preserve">[1]      The case was submitted from the </w:t>
            </w:r>
            <w:r>
              <w:rPr>
                <w:rFonts w:ascii="Arial" w:hAnsi="Arial" w:cs="Arial"/>
                <w:sz w:val="24"/>
                <w:szCs w:val="24"/>
              </w:rPr>
              <w:t>Katutura</w:t>
            </w:r>
            <w:r w:rsidRPr="00FD7904">
              <w:rPr>
                <w:rFonts w:ascii="Arial" w:hAnsi="Arial" w:cs="Arial"/>
                <w:sz w:val="24"/>
                <w:szCs w:val="24"/>
              </w:rPr>
              <w:t xml:space="preserve"> Magistrate’s Court for automatic review pursuant to s 302(1) of the Criminal Procedure Act </w:t>
            </w:r>
            <w:r>
              <w:rPr>
                <w:rFonts w:ascii="Arial" w:hAnsi="Arial" w:cs="Arial"/>
                <w:sz w:val="24"/>
                <w:szCs w:val="24"/>
              </w:rPr>
              <w:t xml:space="preserve">No. </w:t>
            </w:r>
            <w:r w:rsidRPr="00FD7904">
              <w:rPr>
                <w:rFonts w:ascii="Arial" w:hAnsi="Arial" w:cs="Arial"/>
                <w:sz w:val="24"/>
                <w:szCs w:val="24"/>
              </w:rPr>
              <w:t xml:space="preserve">51 of 1977 (the CPA). </w:t>
            </w:r>
          </w:p>
          <w:p w:rsidR="00531AE3" w:rsidRPr="00FD7904" w:rsidRDefault="00531AE3" w:rsidP="00531AE3">
            <w:pPr>
              <w:spacing w:line="360" w:lineRule="auto"/>
              <w:jc w:val="both"/>
              <w:rPr>
                <w:rFonts w:ascii="Arial" w:hAnsi="Arial" w:cs="Arial"/>
                <w:b/>
                <w:sz w:val="24"/>
                <w:szCs w:val="24"/>
              </w:rPr>
            </w:pPr>
          </w:p>
          <w:p w:rsidR="00531AE3" w:rsidRDefault="00531AE3" w:rsidP="00531AE3">
            <w:pPr>
              <w:tabs>
                <w:tab w:val="left" w:pos="851"/>
              </w:tabs>
              <w:spacing w:before="240" w:line="360" w:lineRule="auto"/>
              <w:jc w:val="both"/>
              <w:rPr>
                <w:rFonts w:ascii="Arial" w:hAnsi="Arial" w:cs="Arial"/>
                <w:sz w:val="24"/>
                <w:szCs w:val="24"/>
              </w:rPr>
            </w:pPr>
            <w:r w:rsidRPr="00FD7904">
              <w:rPr>
                <w:rFonts w:ascii="Arial" w:hAnsi="Arial" w:cs="Arial"/>
                <w:sz w:val="24"/>
                <w:szCs w:val="24"/>
              </w:rPr>
              <w:t xml:space="preserve">[2]    </w:t>
            </w:r>
            <w:r>
              <w:rPr>
                <w:rFonts w:ascii="Arial" w:hAnsi="Arial" w:cs="Arial"/>
                <w:sz w:val="24"/>
                <w:szCs w:val="24"/>
              </w:rPr>
              <w:t>The accused was charged with possession of a dependence producing substance in contravention of s 2(</w:t>
            </w:r>
            <w:r w:rsidRPr="00D1048E">
              <w:rPr>
                <w:rFonts w:ascii="Arial" w:hAnsi="Arial" w:cs="Arial"/>
                <w:i/>
                <w:sz w:val="24"/>
                <w:szCs w:val="24"/>
              </w:rPr>
              <w:t>b</w:t>
            </w:r>
            <w:r>
              <w:rPr>
                <w:rFonts w:ascii="Arial" w:hAnsi="Arial" w:cs="Arial"/>
                <w:sz w:val="24"/>
                <w:szCs w:val="24"/>
              </w:rPr>
              <w:t xml:space="preserve">) read with </w:t>
            </w:r>
            <w:proofErr w:type="spellStart"/>
            <w:r>
              <w:rPr>
                <w:rFonts w:ascii="Arial" w:hAnsi="Arial" w:cs="Arial"/>
                <w:sz w:val="24"/>
                <w:szCs w:val="24"/>
              </w:rPr>
              <w:t>ss</w:t>
            </w:r>
            <w:proofErr w:type="spellEnd"/>
            <w:r>
              <w:rPr>
                <w:rFonts w:ascii="Arial" w:hAnsi="Arial" w:cs="Arial"/>
                <w:sz w:val="24"/>
                <w:szCs w:val="24"/>
              </w:rPr>
              <w:t xml:space="preserve"> 1, 2(</w:t>
            </w:r>
            <w:proofErr w:type="spellStart"/>
            <w:r>
              <w:rPr>
                <w:rFonts w:ascii="Arial" w:hAnsi="Arial" w:cs="Arial"/>
                <w:sz w:val="24"/>
                <w:szCs w:val="24"/>
              </w:rPr>
              <w:t>i</w:t>
            </w:r>
            <w:proofErr w:type="spellEnd"/>
            <w:r>
              <w:rPr>
                <w:rFonts w:ascii="Arial" w:hAnsi="Arial" w:cs="Arial"/>
                <w:sz w:val="24"/>
                <w:szCs w:val="24"/>
              </w:rPr>
              <w:t>) and 2(</w:t>
            </w:r>
            <w:r w:rsidRPr="00D1048E">
              <w:rPr>
                <w:rFonts w:ascii="Arial" w:hAnsi="Arial" w:cs="Arial"/>
                <w:i/>
                <w:sz w:val="24"/>
                <w:szCs w:val="24"/>
              </w:rPr>
              <w:t>iv</w:t>
            </w:r>
            <w:r>
              <w:rPr>
                <w:rFonts w:ascii="Arial" w:hAnsi="Arial" w:cs="Arial"/>
                <w:sz w:val="24"/>
                <w:szCs w:val="24"/>
              </w:rPr>
              <w:t xml:space="preserve">), 7, 8, 10, 14 and Part I of the schedule of the </w:t>
            </w:r>
            <w:r w:rsidRPr="00D036B5">
              <w:rPr>
                <w:rFonts w:ascii="Arial" w:hAnsi="Arial" w:cs="Arial"/>
                <w:sz w:val="24"/>
                <w:szCs w:val="24"/>
              </w:rPr>
              <w:t xml:space="preserve">Abuse </w:t>
            </w:r>
            <w:r>
              <w:rPr>
                <w:rFonts w:ascii="Arial" w:hAnsi="Arial" w:cs="Arial"/>
                <w:sz w:val="24"/>
                <w:szCs w:val="24"/>
              </w:rPr>
              <w:t>of Dependence-producing Substances and Rehabilitation C</w:t>
            </w:r>
            <w:r w:rsidRPr="00D036B5">
              <w:rPr>
                <w:rFonts w:ascii="Arial" w:hAnsi="Arial" w:cs="Arial"/>
                <w:sz w:val="24"/>
                <w:szCs w:val="24"/>
              </w:rPr>
              <w:t>entres Act</w:t>
            </w:r>
            <w:r>
              <w:rPr>
                <w:rFonts w:ascii="Arial" w:hAnsi="Arial" w:cs="Arial"/>
                <w:sz w:val="24"/>
                <w:szCs w:val="24"/>
              </w:rPr>
              <w:t xml:space="preserve"> No. </w:t>
            </w:r>
            <w:r w:rsidRPr="00D036B5">
              <w:rPr>
                <w:rFonts w:ascii="Arial" w:hAnsi="Arial" w:cs="Arial"/>
                <w:sz w:val="24"/>
                <w:szCs w:val="24"/>
              </w:rPr>
              <w:t xml:space="preserve"> </w:t>
            </w:r>
            <w:r>
              <w:rPr>
                <w:rFonts w:ascii="Arial" w:hAnsi="Arial" w:cs="Arial"/>
                <w:sz w:val="24"/>
                <w:szCs w:val="24"/>
              </w:rPr>
              <w:t>41 of</w:t>
            </w:r>
            <w:r w:rsidRPr="00D036B5">
              <w:rPr>
                <w:rFonts w:ascii="Arial" w:hAnsi="Arial" w:cs="Arial"/>
                <w:sz w:val="24"/>
                <w:szCs w:val="24"/>
              </w:rPr>
              <w:t xml:space="preserve"> 1971</w:t>
            </w:r>
            <w:r>
              <w:rPr>
                <w:rFonts w:ascii="Arial" w:hAnsi="Arial" w:cs="Arial"/>
                <w:sz w:val="24"/>
                <w:szCs w:val="24"/>
              </w:rPr>
              <w:t xml:space="preserve"> (the Act) to wit: 10 grams of cannabis </w:t>
            </w:r>
            <w:proofErr w:type="gramStart"/>
            <w:r>
              <w:rPr>
                <w:rFonts w:ascii="Arial" w:hAnsi="Arial" w:cs="Arial"/>
                <w:sz w:val="24"/>
                <w:szCs w:val="24"/>
              </w:rPr>
              <w:t>valued  at</w:t>
            </w:r>
            <w:proofErr w:type="gramEnd"/>
            <w:r>
              <w:rPr>
                <w:rFonts w:ascii="Arial" w:hAnsi="Arial" w:cs="Arial"/>
                <w:sz w:val="24"/>
                <w:szCs w:val="24"/>
              </w:rPr>
              <w:t xml:space="preserve"> N$500.</w:t>
            </w:r>
          </w:p>
          <w:p w:rsidR="00531AE3" w:rsidRDefault="00531AE3" w:rsidP="00531AE3">
            <w:pPr>
              <w:tabs>
                <w:tab w:val="left" w:pos="851"/>
              </w:tabs>
              <w:spacing w:before="240" w:line="360" w:lineRule="auto"/>
              <w:jc w:val="both"/>
              <w:rPr>
                <w:rFonts w:ascii="Arial" w:hAnsi="Arial" w:cs="Arial"/>
                <w:sz w:val="24"/>
                <w:szCs w:val="24"/>
              </w:rPr>
            </w:pPr>
          </w:p>
          <w:p w:rsidR="00531AE3" w:rsidRDefault="00531AE3" w:rsidP="00531AE3">
            <w:pPr>
              <w:tabs>
                <w:tab w:val="left" w:pos="851"/>
              </w:tabs>
              <w:spacing w:before="240" w:line="360" w:lineRule="auto"/>
              <w:jc w:val="both"/>
              <w:rPr>
                <w:rFonts w:ascii="Arial" w:hAnsi="Arial" w:cs="Arial"/>
                <w:sz w:val="24"/>
                <w:szCs w:val="24"/>
              </w:rPr>
            </w:pPr>
            <w:r>
              <w:rPr>
                <w:rFonts w:ascii="Arial" w:hAnsi="Arial" w:cs="Arial"/>
                <w:sz w:val="24"/>
                <w:szCs w:val="24"/>
              </w:rPr>
              <w:t>[3]      The accused pleaded guilty, was questioned in terms of s 112(1</w:t>
            </w:r>
            <w:proofErr w:type="gramStart"/>
            <w:r>
              <w:rPr>
                <w:rFonts w:ascii="Arial" w:hAnsi="Arial" w:cs="Arial"/>
                <w:sz w:val="24"/>
                <w:szCs w:val="24"/>
              </w:rPr>
              <w:t>)</w:t>
            </w:r>
            <w:r w:rsidRPr="007A0001">
              <w:rPr>
                <w:rFonts w:ascii="Arial" w:hAnsi="Arial" w:cs="Arial"/>
                <w:i/>
                <w:sz w:val="24"/>
                <w:szCs w:val="24"/>
              </w:rPr>
              <w:t>(</w:t>
            </w:r>
            <w:proofErr w:type="gramEnd"/>
            <w:r w:rsidRPr="007A0001">
              <w:rPr>
                <w:rFonts w:ascii="Arial" w:hAnsi="Arial" w:cs="Arial"/>
                <w:i/>
                <w:sz w:val="24"/>
                <w:szCs w:val="24"/>
              </w:rPr>
              <w:t>b)</w:t>
            </w:r>
            <w:r>
              <w:rPr>
                <w:rFonts w:ascii="Arial" w:hAnsi="Arial" w:cs="Arial"/>
                <w:sz w:val="24"/>
                <w:szCs w:val="24"/>
              </w:rPr>
              <w:t xml:space="preserve"> of the CPA, convicted and sentenced to N$4000 or 36 months’ imprisonment of which N$2000 or 18 months are suspended for three years on condition that the accused is not convicted of possession of dependence-producing substances committed during the period of suspension.</w:t>
            </w:r>
            <w:r w:rsidRPr="007A0001">
              <w:rPr>
                <w:rFonts w:ascii="Arial" w:hAnsi="Arial" w:cs="Arial"/>
                <w:sz w:val="24"/>
                <w:szCs w:val="24"/>
              </w:rPr>
              <w:t xml:space="preserve"> </w:t>
            </w:r>
          </w:p>
          <w:p w:rsidR="00531AE3" w:rsidRDefault="00531AE3" w:rsidP="00531AE3">
            <w:pPr>
              <w:tabs>
                <w:tab w:val="left" w:pos="851"/>
              </w:tabs>
              <w:spacing w:before="240" w:line="360" w:lineRule="auto"/>
              <w:jc w:val="both"/>
              <w:rPr>
                <w:rFonts w:ascii="Arial" w:hAnsi="Arial" w:cs="Arial"/>
                <w:sz w:val="24"/>
                <w:szCs w:val="24"/>
              </w:rPr>
            </w:pPr>
          </w:p>
          <w:p w:rsidR="00531AE3" w:rsidRDefault="00531AE3" w:rsidP="00531AE3">
            <w:pPr>
              <w:tabs>
                <w:tab w:val="left" w:pos="851"/>
              </w:tabs>
              <w:spacing w:before="240" w:line="360" w:lineRule="auto"/>
              <w:jc w:val="both"/>
              <w:rPr>
                <w:rFonts w:ascii="Arial" w:hAnsi="Arial" w:cs="Arial"/>
                <w:sz w:val="24"/>
                <w:szCs w:val="24"/>
              </w:rPr>
            </w:pPr>
            <w:r>
              <w:rPr>
                <w:rFonts w:ascii="Arial" w:hAnsi="Arial" w:cs="Arial"/>
                <w:sz w:val="24"/>
                <w:szCs w:val="24"/>
              </w:rPr>
              <w:t>[4]     We find it necessary to quote the proceedings to emphasise the issue in the proceedings. The record of proceedings reflects as follows:</w:t>
            </w:r>
          </w:p>
          <w:p w:rsidR="00531AE3" w:rsidRPr="00C1367D" w:rsidRDefault="00531AE3" w:rsidP="00531AE3">
            <w:pPr>
              <w:tabs>
                <w:tab w:val="left" w:pos="851"/>
              </w:tabs>
              <w:spacing w:before="240" w:line="360" w:lineRule="auto"/>
              <w:jc w:val="both"/>
              <w:rPr>
                <w:rFonts w:ascii="Arial" w:hAnsi="Arial" w:cs="Arial"/>
              </w:rPr>
            </w:pPr>
            <w:r>
              <w:rPr>
                <w:rFonts w:ascii="Arial" w:hAnsi="Arial" w:cs="Arial"/>
              </w:rPr>
              <w:tab/>
            </w:r>
            <w:r w:rsidRPr="00C1367D">
              <w:rPr>
                <w:rFonts w:ascii="Arial" w:hAnsi="Arial" w:cs="Arial"/>
              </w:rPr>
              <w:t>‘Court: Were you forced or influenced by anybody to plead guilty?</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Accused: No one forced me to plead guilty</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Court: Why do you plead guilty? What did you do wrong?</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Accused:  I had the drugs in my possession cannabis, it was found in my pocket, my rights (sic) trouser in front</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Court: On which day did this incident take place?</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Accused: Yesterday the 2 Sept 2020.</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lastRenderedPageBreak/>
              <w:t xml:space="preserve">Court: </w:t>
            </w:r>
            <w:r>
              <w:rPr>
                <w:rFonts w:ascii="Arial" w:hAnsi="Arial" w:cs="Arial"/>
              </w:rPr>
              <w:t>w</w:t>
            </w:r>
            <w:r w:rsidRPr="00C1367D">
              <w:rPr>
                <w:rFonts w:ascii="Arial" w:hAnsi="Arial" w:cs="Arial"/>
              </w:rPr>
              <w:t>here did this incident take place?</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Accused: At W</w:t>
            </w:r>
            <w:r>
              <w:rPr>
                <w:rFonts w:ascii="Arial" w:hAnsi="Arial" w:cs="Arial"/>
              </w:rPr>
              <w:t>i</w:t>
            </w:r>
            <w:r w:rsidRPr="00C1367D">
              <w:rPr>
                <w:rFonts w:ascii="Arial" w:hAnsi="Arial" w:cs="Arial"/>
              </w:rPr>
              <w:t>ndhoek Correctional Facility in the district of Windhoek.</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Court: The State alleges that you wrongfully, unlawfully have in your possession or use a prohibited dependence-producing drug or plant from which such a drug can be manufactured, to wit 10g Dagga weighing at N$500.</w:t>
            </w:r>
            <w:r>
              <w:rPr>
                <w:rFonts w:ascii="Arial" w:hAnsi="Arial" w:cs="Arial"/>
              </w:rPr>
              <w:t xml:space="preserve"> </w:t>
            </w:r>
            <w:r w:rsidRPr="00C1367D">
              <w:rPr>
                <w:rFonts w:ascii="Arial" w:hAnsi="Arial" w:cs="Arial"/>
              </w:rPr>
              <w:t>Do you admit or deny this?</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Accused: I admit this</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 xml:space="preserve">Court: Why were you in possession of </w:t>
            </w:r>
            <w:proofErr w:type="gramStart"/>
            <w:r w:rsidRPr="00C1367D">
              <w:rPr>
                <w:rFonts w:ascii="Arial" w:hAnsi="Arial" w:cs="Arial"/>
              </w:rPr>
              <w:t>these</w:t>
            </w:r>
            <w:proofErr w:type="gramEnd"/>
            <w:r w:rsidRPr="00C1367D">
              <w:rPr>
                <w:rFonts w:ascii="Arial" w:hAnsi="Arial" w:cs="Arial"/>
              </w:rPr>
              <w:t xml:space="preserve"> dependence producing substances?</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Accused: I just had them on me to smoke</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Court: Are you aware that should you be convicted, your actions are punishable by a competent court of law?</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Accused: Yes</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 xml:space="preserve">Court: Why were you in possession of </w:t>
            </w:r>
            <w:proofErr w:type="gramStart"/>
            <w:r w:rsidRPr="00C1367D">
              <w:rPr>
                <w:rFonts w:ascii="Arial" w:hAnsi="Arial" w:cs="Arial"/>
              </w:rPr>
              <w:t>these</w:t>
            </w:r>
            <w:proofErr w:type="gramEnd"/>
            <w:r w:rsidRPr="00C1367D">
              <w:rPr>
                <w:rFonts w:ascii="Arial" w:hAnsi="Arial" w:cs="Arial"/>
              </w:rPr>
              <w:t xml:space="preserve"> dependence producing substances?</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Accused: I just had them on me to smoke</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PP: State accepts the plea</w:t>
            </w:r>
          </w:p>
          <w:p w:rsidR="00531AE3" w:rsidRPr="00C1367D" w:rsidRDefault="00531AE3" w:rsidP="00531AE3">
            <w:pPr>
              <w:tabs>
                <w:tab w:val="left" w:pos="851"/>
              </w:tabs>
              <w:spacing w:before="240" w:line="360" w:lineRule="auto"/>
              <w:jc w:val="both"/>
              <w:rPr>
                <w:rFonts w:ascii="Arial" w:hAnsi="Arial" w:cs="Arial"/>
              </w:rPr>
            </w:pPr>
            <w:r w:rsidRPr="00C1367D">
              <w:rPr>
                <w:rFonts w:ascii="Arial" w:hAnsi="Arial" w:cs="Arial"/>
              </w:rPr>
              <w:t>Court: is satisfied that the accused has admitted all the allegations in the charge and is therefore guilty as charged</w:t>
            </w:r>
          </w:p>
          <w:p w:rsidR="00531AE3" w:rsidRDefault="00531AE3" w:rsidP="00531AE3">
            <w:pPr>
              <w:tabs>
                <w:tab w:val="left" w:pos="851"/>
              </w:tabs>
              <w:spacing w:before="240" w:line="360" w:lineRule="auto"/>
              <w:jc w:val="both"/>
              <w:rPr>
                <w:rFonts w:ascii="Arial" w:hAnsi="Arial" w:cs="Arial"/>
              </w:rPr>
            </w:pPr>
            <w:r w:rsidRPr="00C1367D">
              <w:rPr>
                <w:rFonts w:ascii="Arial" w:hAnsi="Arial" w:cs="Arial"/>
              </w:rPr>
              <w:t>……………’</w:t>
            </w:r>
          </w:p>
          <w:p w:rsidR="00531AE3" w:rsidRPr="00C1367D" w:rsidRDefault="00531AE3" w:rsidP="00531AE3">
            <w:pPr>
              <w:tabs>
                <w:tab w:val="left" w:pos="851"/>
              </w:tabs>
              <w:spacing w:before="240" w:line="360" w:lineRule="auto"/>
              <w:jc w:val="both"/>
              <w:rPr>
                <w:rFonts w:ascii="Arial" w:hAnsi="Arial" w:cs="Arial"/>
              </w:rPr>
            </w:pPr>
          </w:p>
          <w:p w:rsidR="00531AE3" w:rsidRDefault="00531AE3" w:rsidP="00531AE3">
            <w:pPr>
              <w:tabs>
                <w:tab w:val="left" w:pos="851"/>
              </w:tabs>
              <w:spacing w:before="240" w:line="360" w:lineRule="auto"/>
              <w:jc w:val="both"/>
              <w:rPr>
                <w:rFonts w:ascii="Arial" w:hAnsi="Arial" w:cs="Arial"/>
                <w:sz w:val="24"/>
                <w:szCs w:val="24"/>
              </w:rPr>
            </w:pPr>
            <w:r>
              <w:rPr>
                <w:rFonts w:ascii="Arial" w:hAnsi="Arial" w:cs="Arial"/>
                <w:sz w:val="24"/>
                <w:szCs w:val="24"/>
              </w:rPr>
              <w:t>[5]     It is evident from the proceedings that no question was directed by the Magistrate that the substance was indeed cannabis, in other words how the accused knew that it was indeed cannabis. In the circumstances, the Magistrate could not have been satisfied that the substance is indeed cannabis, a dependence producing substance.</w:t>
            </w:r>
          </w:p>
          <w:p w:rsidR="00531AE3" w:rsidRDefault="00531AE3" w:rsidP="00531AE3">
            <w:pPr>
              <w:tabs>
                <w:tab w:val="left" w:pos="851"/>
              </w:tabs>
              <w:spacing w:before="240" w:line="360" w:lineRule="auto"/>
              <w:jc w:val="both"/>
              <w:rPr>
                <w:rFonts w:ascii="Arial" w:hAnsi="Arial" w:cs="Arial"/>
                <w:sz w:val="24"/>
                <w:szCs w:val="24"/>
              </w:rPr>
            </w:pPr>
          </w:p>
          <w:p w:rsidR="00531AE3" w:rsidRDefault="00531AE3" w:rsidP="00531AE3">
            <w:pPr>
              <w:spacing w:line="360" w:lineRule="auto"/>
              <w:jc w:val="both"/>
              <w:rPr>
                <w:rFonts w:ascii="Arial" w:hAnsi="Arial" w:cs="Arial"/>
                <w:sz w:val="24"/>
                <w:szCs w:val="24"/>
              </w:rPr>
            </w:pPr>
            <w:r>
              <w:rPr>
                <w:rFonts w:ascii="Arial" w:hAnsi="Arial" w:cs="Arial"/>
                <w:sz w:val="24"/>
                <w:szCs w:val="24"/>
              </w:rPr>
              <w:lastRenderedPageBreak/>
              <w:t xml:space="preserve">[6]     Consequently, I directed a query to the Magistrate to explain how he was satisfied. </w:t>
            </w:r>
            <w:proofErr w:type="gramStart"/>
            <w:r>
              <w:rPr>
                <w:rFonts w:ascii="Arial" w:hAnsi="Arial" w:cs="Arial"/>
                <w:sz w:val="24"/>
                <w:szCs w:val="24"/>
              </w:rPr>
              <w:t>that</w:t>
            </w:r>
            <w:proofErr w:type="gramEnd"/>
            <w:r>
              <w:rPr>
                <w:rFonts w:ascii="Arial" w:hAnsi="Arial" w:cs="Arial"/>
                <w:sz w:val="24"/>
                <w:szCs w:val="24"/>
              </w:rPr>
              <w:t xml:space="preserve"> the substance was indeed a dependence producing substance without a certificate to that effect or having an answer from accused to the effect. The Magistrate replied that he was satisfied because the accused admitted these facts. It is incumbent on the Magistrate when questioning i</w:t>
            </w:r>
            <w:r>
              <w:rPr>
                <w:rFonts w:ascii="Arial" w:hAnsi="Arial" w:cs="Arial"/>
              </w:rPr>
              <w:t>n terms of s 112(1</w:t>
            </w:r>
            <w:proofErr w:type="gramStart"/>
            <w:r>
              <w:rPr>
                <w:rFonts w:ascii="Arial" w:hAnsi="Arial" w:cs="Arial"/>
              </w:rPr>
              <w:t>)</w:t>
            </w:r>
            <w:r w:rsidRPr="007E578E">
              <w:rPr>
                <w:rFonts w:ascii="Arial" w:hAnsi="Arial" w:cs="Arial"/>
                <w:i/>
              </w:rPr>
              <w:t>(</w:t>
            </w:r>
            <w:proofErr w:type="gramEnd"/>
            <w:r w:rsidRPr="007E578E">
              <w:rPr>
                <w:rFonts w:ascii="Arial" w:hAnsi="Arial" w:cs="Arial"/>
                <w:i/>
              </w:rPr>
              <w:t>b)</w:t>
            </w:r>
            <w:r>
              <w:rPr>
                <w:rFonts w:ascii="Arial" w:hAnsi="Arial" w:cs="Arial"/>
              </w:rPr>
              <w:t xml:space="preserve"> of the CPA, </w:t>
            </w:r>
            <w:r w:rsidRPr="007E578E">
              <w:rPr>
                <w:rFonts w:ascii="Arial" w:hAnsi="Arial" w:cs="Arial"/>
                <w:sz w:val="24"/>
                <w:szCs w:val="24"/>
              </w:rPr>
              <w:t>that the court must be satisfied about the guilt of the accused befo</w:t>
            </w:r>
            <w:r>
              <w:rPr>
                <w:rFonts w:ascii="Arial" w:hAnsi="Arial" w:cs="Arial"/>
                <w:sz w:val="24"/>
                <w:szCs w:val="24"/>
              </w:rPr>
              <w:t>re convicting him or her. In</w:t>
            </w:r>
            <w:r w:rsidRPr="007E578E">
              <w:rPr>
                <w:rFonts w:ascii="Arial" w:hAnsi="Arial" w:cs="Arial"/>
                <w:sz w:val="24"/>
                <w:szCs w:val="24"/>
              </w:rPr>
              <w:t xml:space="preserve"> </w:t>
            </w:r>
            <w:r w:rsidRPr="007E578E">
              <w:rPr>
                <w:rFonts w:ascii="Arial" w:hAnsi="Arial" w:cs="Arial"/>
                <w:i/>
                <w:sz w:val="24"/>
                <w:szCs w:val="24"/>
              </w:rPr>
              <w:t xml:space="preserve">State v Benjamin </w:t>
            </w:r>
            <w:proofErr w:type="spellStart"/>
            <w:r w:rsidRPr="007E578E">
              <w:rPr>
                <w:rFonts w:ascii="Arial" w:hAnsi="Arial" w:cs="Arial"/>
                <w:i/>
                <w:sz w:val="24"/>
                <w:szCs w:val="24"/>
              </w:rPr>
              <w:t>Maniping</w:t>
            </w:r>
            <w:proofErr w:type="spellEnd"/>
            <w:r w:rsidRPr="007E578E">
              <w:rPr>
                <w:rStyle w:val="FootnoteReference"/>
                <w:rFonts w:ascii="Arial" w:hAnsi="Arial" w:cs="Arial"/>
                <w:i/>
                <w:sz w:val="24"/>
                <w:szCs w:val="24"/>
              </w:rPr>
              <w:footnoteReference w:id="1"/>
            </w:r>
            <w:r w:rsidRPr="007E578E">
              <w:rPr>
                <w:rFonts w:ascii="Arial" w:hAnsi="Arial" w:cs="Arial"/>
                <w:sz w:val="24"/>
                <w:szCs w:val="24"/>
              </w:rPr>
              <w:t xml:space="preserve"> and the </w:t>
            </w:r>
            <w:r w:rsidRPr="007E578E">
              <w:rPr>
                <w:rFonts w:ascii="Arial" w:hAnsi="Arial" w:cs="Arial"/>
                <w:i/>
                <w:sz w:val="24"/>
                <w:szCs w:val="24"/>
              </w:rPr>
              <w:t xml:space="preserve">State v </w:t>
            </w:r>
            <w:proofErr w:type="spellStart"/>
            <w:r w:rsidRPr="007E578E">
              <w:rPr>
                <w:rFonts w:ascii="Arial" w:hAnsi="Arial" w:cs="Arial"/>
                <w:i/>
                <w:sz w:val="24"/>
                <w:szCs w:val="24"/>
              </w:rPr>
              <w:t>Khanyse</w:t>
            </w:r>
            <w:proofErr w:type="spellEnd"/>
            <w:r w:rsidRPr="007E578E">
              <w:rPr>
                <w:rFonts w:ascii="Arial" w:hAnsi="Arial" w:cs="Arial"/>
                <w:i/>
                <w:sz w:val="24"/>
                <w:szCs w:val="24"/>
              </w:rPr>
              <w:t xml:space="preserve"> </w:t>
            </w:r>
            <w:proofErr w:type="spellStart"/>
            <w:r w:rsidRPr="007E578E">
              <w:rPr>
                <w:rFonts w:ascii="Arial" w:hAnsi="Arial" w:cs="Arial"/>
                <w:i/>
                <w:sz w:val="24"/>
                <w:szCs w:val="24"/>
              </w:rPr>
              <w:t>Thwala</w:t>
            </w:r>
            <w:proofErr w:type="spellEnd"/>
            <w:r w:rsidRPr="007E578E">
              <w:rPr>
                <w:rStyle w:val="FootnoteReference"/>
                <w:rFonts w:ascii="Arial" w:hAnsi="Arial" w:cs="Arial"/>
                <w:i/>
                <w:sz w:val="24"/>
                <w:szCs w:val="24"/>
              </w:rPr>
              <w:footnoteReference w:id="2"/>
            </w:r>
            <w:r w:rsidRPr="007E578E">
              <w:rPr>
                <w:rFonts w:ascii="Arial" w:hAnsi="Arial" w:cs="Arial"/>
                <w:sz w:val="24"/>
                <w:szCs w:val="24"/>
              </w:rPr>
              <w:t xml:space="preserve"> the court held that:</w:t>
            </w:r>
          </w:p>
          <w:p w:rsidR="00531AE3" w:rsidRPr="007E578E" w:rsidRDefault="00531AE3" w:rsidP="00531AE3">
            <w:pPr>
              <w:spacing w:line="360" w:lineRule="auto"/>
              <w:jc w:val="both"/>
              <w:rPr>
                <w:rFonts w:ascii="Arial" w:hAnsi="Arial" w:cs="Arial"/>
                <w:sz w:val="24"/>
                <w:szCs w:val="24"/>
              </w:rPr>
            </w:pPr>
          </w:p>
          <w:p w:rsidR="00531AE3" w:rsidRDefault="00531AE3" w:rsidP="00531AE3">
            <w:pPr>
              <w:spacing w:line="360" w:lineRule="auto"/>
              <w:ind w:firstLine="720"/>
              <w:jc w:val="both"/>
              <w:rPr>
                <w:rFonts w:ascii="Arial" w:hAnsi="Arial" w:cs="Arial"/>
              </w:rPr>
            </w:pPr>
            <w:r>
              <w:rPr>
                <w:rFonts w:ascii="Arial" w:hAnsi="Arial" w:cs="Arial"/>
              </w:rPr>
              <w:t>‘The court is enjoined by section 112(1)(b) to satisfy itself of the guilty of the accused before convicting and I fail to see how any court can properly be so satisfied on the basis of a bare admission of a fact which the court know must be outside the personal knowledge of the accused. It must, in my view, have material before it from which it can properly determine the dependability of the admission.’</w:t>
            </w:r>
          </w:p>
          <w:p w:rsidR="00531AE3" w:rsidRDefault="00531AE3" w:rsidP="00531AE3">
            <w:pPr>
              <w:spacing w:line="360" w:lineRule="auto"/>
              <w:jc w:val="both"/>
              <w:rPr>
                <w:rFonts w:ascii="Arial" w:hAnsi="Arial" w:cs="Arial"/>
              </w:rPr>
            </w:pPr>
            <w:r w:rsidRPr="007E578E">
              <w:rPr>
                <w:rFonts w:ascii="Arial" w:hAnsi="Arial" w:cs="Arial"/>
                <w:sz w:val="24"/>
                <w:szCs w:val="24"/>
              </w:rPr>
              <w:t>The court further stated:</w:t>
            </w:r>
            <w:r>
              <w:rPr>
                <w:rFonts w:ascii="Arial" w:hAnsi="Arial" w:cs="Arial"/>
              </w:rPr>
              <w:t xml:space="preserve"> ‘And it follows from this that in such cases </w:t>
            </w:r>
            <w:r>
              <w:rPr>
                <w:rFonts w:ascii="Arial" w:hAnsi="Arial" w:cs="Arial"/>
                <w:u w:val="single"/>
              </w:rPr>
              <w:t>the state should be in a position to produce an analyst’s certificate or adduce other acceptable evidence of the nature of the substance. For example, where possession of dagga is alleged the state should be in a position to call a police officer to testify that he is familiar with dagga and that the substance found in possession of that accused is indeed dagga</w:t>
            </w:r>
            <w:r>
              <w:rPr>
                <w:rFonts w:ascii="Arial" w:hAnsi="Arial" w:cs="Arial"/>
              </w:rPr>
              <w:t>.’ (my underlining)</w:t>
            </w:r>
          </w:p>
          <w:p w:rsidR="00531AE3" w:rsidRDefault="00531AE3" w:rsidP="00531AE3">
            <w:pPr>
              <w:spacing w:line="360" w:lineRule="auto"/>
              <w:jc w:val="both"/>
              <w:rPr>
                <w:rFonts w:ascii="Arial" w:hAnsi="Arial" w:cs="Arial"/>
              </w:rPr>
            </w:pPr>
            <w:r>
              <w:rPr>
                <w:rFonts w:ascii="Arial" w:hAnsi="Arial" w:cs="Arial"/>
              </w:rPr>
              <w:t xml:space="preserve">“To summarise, where an accused who pleads guilty makes an admission when questioned pursuant to section 112(1)(b) of a fact which is palpably outside his personal knowledge – </w:t>
            </w:r>
          </w:p>
          <w:p w:rsidR="00531AE3" w:rsidRPr="00F559F2" w:rsidRDefault="00531AE3" w:rsidP="00531AE3">
            <w:pPr>
              <w:pStyle w:val="ListParagraph"/>
              <w:numPr>
                <w:ilvl w:val="0"/>
                <w:numId w:val="1"/>
              </w:numPr>
              <w:spacing w:line="360" w:lineRule="auto"/>
              <w:jc w:val="both"/>
              <w:rPr>
                <w:rFonts w:ascii="Arial" w:hAnsi="Arial" w:cs="Arial"/>
                <w:sz w:val="22"/>
                <w:szCs w:val="22"/>
                <w:lang w:val="en-ZA"/>
              </w:rPr>
            </w:pPr>
            <w:r w:rsidRPr="00F559F2">
              <w:rPr>
                <w:rFonts w:ascii="Arial" w:hAnsi="Arial" w:cs="Arial"/>
                <w:sz w:val="22"/>
                <w:szCs w:val="22"/>
                <w:lang w:val="en-ZA"/>
              </w:rPr>
              <w:t>the court has a duty to satisfy itself of the reliability of that admission where the accused is not legally represented;</w:t>
            </w:r>
          </w:p>
          <w:p w:rsidR="00531AE3" w:rsidRPr="00F559F2" w:rsidRDefault="00531AE3" w:rsidP="00531AE3">
            <w:pPr>
              <w:pStyle w:val="ListParagraph"/>
              <w:numPr>
                <w:ilvl w:val="0"/>
                <w:numId w:val="1"/>
              </w:numPr>
              <w:spacing w:line="360" w:lineRule="auto"/>
              <w:jc w:val="both"/>
              <w:rPr>
                <w:rFonts w:ascii="Arial" w:hAnsi="Arial" w:cs="Arial"/>
                <w:sz w:val="22"/>
                <w:szCs w:val="22"/>
                <w:lang w:val="en-ZA"/>
              </w:rPr>
            </w:pPr>
            <w:r w:rsidRPr="00F559F2">
              <w:rPr>
                <w:rFonts w:ascii="Arial" w:hAnsi="Arial" w:cs="Arial"/>
                <w:sz w:val="22"/>
                <w:szCs w:val="22"/>
                <w:lang w:val="en-ZA"/>
              </w:rPr>
              <w:t>if there appears to be any real risk that the exercise of testing the reliability of such an admission will result in the accused having to admit to previous criminal conduct the court should refrain from asking further questions;</w:t>
            </w:r>
          </w:p>
          <w:p w:rsidR="00531AE3" w:rsidRPr="00F559F2" w:rsidRDefault="00531AE3" w:rsidP="00531AE3">
            <w:pPr>
              <w:pStyle w:val="ListParagraph"/>
              <w:numPr>
                <w:ilvl w:val="0"/>
                <w:numId w:val="1"/>
              </w:numPr>
              <w:spacing w:line="360" w:lineRule="auto"/>
              <w:jc w:val="both"/>
              <w:rPr>
                <w:rFonts w:ascii="Arial" w:hAnsi="Arial" w:cs="Arial"/>
                <w:sz w:val="22"/>
                <w:szCs w:val="22"/>
                <w:lang w:val="en-ZA"/>
              </w:rPr>
            </w:pPr>
            <w:r w:rsidRPr="00F559F2">
              <w:rPr>
                <w:rFonts w:ascii="Arial" w:hAnsi="Arial" w:cs="Arial"/>
                <w:sz w:val="22"/>
                <w:szCs w:val="22"/>
                <w:lang w:val="en-ZA"/>
              </w:rPr>
              <w:t>instead, the court should simply record the admission and invite the prosecutor to present evidence on that aspect of the charge and, if the prosecutor declines to do so, the court should record a plea of not guilty and leave it to the prosecutor to prove that particular element;</w:t>
            </w:r>
          </w:p>
          <w:p w:rsidR="00531AE3" w:rsidRPr="00F559F2" w:rsidRDefault="00531AE3" w:rsidP="00531AE3">
            <w:pPr>
              <w:pStyle w:val="ListParagraph"/>
              <w:numPr>
                <w:ilvl w:val="0"/>
                <w:numId w:val="1"/>
              </w:numPr>
              <w:spacing w:line="360" w:lineRule="auto"/>
              <w:jc w:val="both"/>
              <w:rPr>
                <w:rFonts w:ascii="Arial" w:hAnsi="Arial" w:cs="Arial"/>
                <w:sz w:val="22"/>
                <w:szCs w:val="22"/>
                <w:lang w:val="en-ZA"/>
              </w:rPr>
            </w:pPr>
            <w:r w:rsidRPr="00F559F2">
              <w:rPr>
                <w:rFonts w:ascii="Arial" w:hAnsi="Arial" w:cs="Arial"/>
                <w:sz w:val="22"/>
                <w:szCs w:val="22"/>
                <w:lang w:val="en-ZA"/>
              </w:rPr>
              <w:t xml:space="preserve">where the charge is one of dealing in or possessing a prohibited drug the state should be in a position to produce an analyst’s certificate and the accused should be given the </w:t>
            </w:r>
            <w:r w:rsidRPr="00F559F2">
              <w:rPr>
                <w:rFonts w:ascii="Arial" w:hAnsi="Arial" w:cs="Arial"/>
                <w:sz w:val="22"/>
                <w:szCs w:val="22"/>
                <w:lang w:val="en-ZA"/>
              </w:rPr>
              <w:lastRenderedPageBreak/>
              <w:t>opportunity of examining such certificate;</w:t>
            </w:r>
          </w:p>
          <w:p w:rsidR="00531AE3" w:rsidRPr="00F559F2" w:rsidRDefault="00531AE3" w:rsidP="00531AE3">
            <w:pPr>
              <w:pStyle w:val="ListParagraph"/>
              <w:numPr>
                <w:ilvl w:val="0"/>
                <w:numId w:val="1"/>
              </w:numPr>
              <w:spacing w:line="360" w:lineRule="auto"/>
              <w:jc w:val="both"/>
              <w:rPr>
                <w:rFonts w:ascii="Arial" w:hAnsi="Arial" w:cs="Arial"/>
                <w:sz w:val="22"/>
                <w:szCs w:val="22"/>
                <w:lang w:val="en-ZA"/>
              </w:rPr>
            </w:pPr>
            <w:r w:rsidRPr="00F559F2">
              <w:rPr>
                <w:rFonts w:ascii="Arial" w:hAnsi="Arial" w:cs="Arial"/>
                <w:sz w:val="22"/>
                <w:szCs w:val="22"/>
                <w:lang w:val="en-ZA"/>
              </w:rPr>
              <w:t>where the charge is one of dealing in or possession of dagga the state should be in a position to prove by any acceptable means that the substances in question is dagga; and</w:t>
            </w:r>
          </w:p>
          <w:p w:rsidR="00531AE3" w:rsidRDefault="00531AE3" w:rsidP="00531AE3">
            <w:pPr>
              <w:pStyle w:val="ListParagraph"/>
              <w:numPr>
                <w:ilvl w:val="0"/>
                <w:numId w:val="1"/>
              </w:numPr>
              <w:spacing w:line="360" w:lineRule="auto"/>
              <w:jc w:val="both"/>
              <w:rPr>
                <w:rFonts w:ascii="Arial" w:hAnsi="Arial" w:cs="Arial"/>
                <w:lang w:val="en-ZA"/>
              </w:rPr>
            </w:pPr>
            <w:proofErr w:type="gramStart"/>
            <w:r w:rsidRPr="00F559F2">
              <w:rPr>
                <w:rFonts w:ascii="Arial" w:hAnsi="Arial" w:cs="Arial"/>
                <w:sz w:val="22"/>
                <w:szCs w:val="22"/>
                <w:lang w:val="en-ZA"/>
              </w:rPr>
              <w:t>where</w:t>
            </w:r>
            <w:proofErr w:type="gramEnd"/>
            <w:r w:rsidRPr="00F559F2">
              <w:rPr>
                <w:rFonts w:ascii="Arial" w:hAnsi="Arial" w:cs="Arial"/>
                <w:sz w:val="22"/>
                <w:szCs w:val="22"/>
                <w:lang w:val="en-ZA"/>
              </w:rPr>
              <w:t xml:space="preserve"> the admission is made by the accused’s legal representative more weight can usually be attached to such an admission and normally the court would be justified in accepting that the legal representative has satisfied himself that the </w:t>
            </w:r>
            <w:r>
              <w:rPr>
                <w:rFonts w:ascii="Arial" w:hAnsi="Arial" w:cs="Arial"/>
                <w:sz w:val="22"/>
                <w:szCs w:val="22"/>
                <w:lang w:val="en-ZA"/>
              </w:rPr>
              <w:t>admission can properly be made.”</w:t>
            </w:r>
            <w:r>
              <w:rPr>
                <w:rStyle w:val="FootnoteReference"/>
                <w:rFonts w:ascii="Arial" w:hAnsi="Arial" w:cs="Arial"/>
                <w:lang w:val="en-ZA"/>
              </w:rPr>
              <w:footnoteReference w:id="3"/>
            </w:r>
          </w:p>
          <w:p w:rsidR="00531AE3" w:rsidRDefault="00531AE3" w:rsidP="00531AE3">
            <w:pPr>
              <w:spacing w:line="360" w:lineRule="auto"/>
              <w:jc w:val="both"/>
              <w:rPr>
                <w:rFonts w:ascii="Arial" w:hAnsi="Arial" w:cs="Arial"/>
              </w:rPr>
            </w:pPr>
          </w:p>
          <w:p w:rsidR="00531AE3" w:rsidRDefault="00531AE3" w:rsidP="00531AE3">
            <w:pPr>
              <w:spacing w:line="360" w:lineRule="auto"/>
              <w:ind w:right="601"/>
              <w:jc w:val="both"/>
              <w:rPr>
                <w:rFonts w:ascii="Arial" w:hAnsi="Arial" w:cs="Arial"/>
                <w:sz w:val="24"/>
                <w:szCs w:val="24"/>
              </w:rPr>
            </w:pPr>
            <w:r>
              <w:rPr>
                <w:rFonts w:ascii="Arial" w:hAnsi="Arial" w:cs="Arial"/>
                <w:sz w:val="24"/>
                <w:szCs w:val="24"/>
                <w:lang w:val="en-GB"/>
              </w:rPr>
              <w:t xml:space="preserve">[7]      </w:t>
            </w:r>
            <w:r>
              <w:rPr>
                <w:rFonts w:ascii="Arial" w:hAnsi="Arial" w:cs="Arial"/>
                <w:sz w:val="24"/>
                <w:szCs w:val="24"/>
              </w:rPr>
              <w:t>In the result, the following order is made:</w:t>
            </w:r>
          </w:p>
          <w:p w:rsidR="00531AE3" w:rsidRDefault="00531AE3" w:rsidP="00531AE3">
            <w:pPr>
              <w:pStyle w:val="ListParagraph"/>
              <w:numPr>
                <w:ilvl w:val="0"/>
                <w:numId w:val="4"/>
              </w:numPr>
              <w:spacing w:line="360" w:lineRule="auto"/>
              <w:ind w:right="601"/>
              <w:jc w:val="both"/>
              <w:rPr>
                <w:rFonts w:ascii="Arial" w:hAnsi="Arial" w:cs="Arial"/>
                <w:lang w:val="en-ZA"/>
              </w:rPr>
            </w:pPr>
            <w:r w:rsidRPr="00663656">
              <w:rPr>
                <w:rFonts w:ascii="Arial" w:hAnsi="Arial" w:cs="Arial"/>
                <w:lang w:val="en-ZA"/>
              </w:rPr>
              <w:t>The</w:t>
            </w:r>
            <w:r>
              <w:rPr>
                <w:rFonts w:ascii="Arial" w:hAnsi="Arial" w:cs="Arial"/>
                <w:lang w:val="en-ZA"/>
              </w:rPr>
              <w:t xml:space="preserve"> conviction and sentence are</w:t>
            </w:r>
            <w:r w:rsidRPr="00663656">
              <w:rPr>
                <w:rFonts w:ascii="Arial" w:hAnsi="Arial" w:cs="Arial"/>
                <w:lang w:val="en-ZA"/>
              </w:rPr>
              <w:t xml:space="preserve"> set aside.</w:t>
            </w:r>
          </w:p>
          <w:p w:rsidR="00531AE3" w:rsidRDefault="00531AE3" w:rsidP="00531AE3">
            <w:pPr>
              <w:pStyle w:val="ListParagraph"/>
              <w:numPr>
                <w:ilvl w:val="0"/>
                <w:numId w:val="4"/>
              </w:numPr>
              <w:spacing w:line="360" w:lineRule="auto"/>
              <w:ind w:right="601"/>
              <w:jc w:val="both"/>
              <w:rPr>
                <w:rFonts w:ascii="Arial" w:hAnsi="Arial" w:cs="Arial"/>
                <w:lang w:val="en-ZA"/>
              </w:rPr>
            </w:pPr>
            <w:r w:rsidRPr="00663656">
              <w:rPr>
                <w:rFonts w:ascii="Arial" w:hAnsi="Arial" w:cs="Arial"/>
                <w:lang w:val="en-ZA"/>
              </w:rPr>
              <w:t xml:space="preserve"> In terms of s 312 of the CPA, the accused should henceforth be brought </w:t>
            </w:r>
            <w:r>
              <w:rPr>
                <w:rFonts w:ascii="Arial" w:hAnsi="Arial" w:cs="Arial"/>
                <w:lang w:val="en-ZA"/>
              </w:rPr>
              <w:t>before the trial court and the M</w:t>
            </w:r>
            <w:r w:rsidRPr="00663656">
              <w:rPr>
                <w:rFonts w:ascii="Arial" w:hAnsi="Arial" w:cs="Arial"/>
                <w:lang w:val="en-ZA"/>
              </w:rPr>
              <w:t>agistrate is directed to comply with the provisions of s 112 (1</w:t>
            </w:r>
            <w:proofErr w:type="gramStart"/>
            <w:r w:rsidRPr="00663656">
              <w:rPr>
                <w:rFonts w:ascii="Arial" w:hAnsi="Arial" w:cs="Arial"/>
                <w:lang w:val="en-ZA"/>
              </w:rPr>
              <w:t>)(</w:t>
            </w:r>
            <w:proofErr w:type="gramEnd"/>
            <w:r w:rsidRPr="00663656">
              <w:rPr>
                <w:rFonts w:ascii="Arial" w:hAnsi="Arial" w:cs="Arial"/>
                <w:i/>
                <w:lang w:val="en-ZA"/>
              </w:rPr>
              <w:t>b)</w:t>
            </w:r>
            <w:r w:rsidRPr="00663656">
              <w:rPr>
                <w:rFonts w:ascii="Arial" w:hAnsi="Arial" w:cs="Arial"/>
                <w:lang w:val="en-ZA"/>
              </w:rPr>
              <w:t xml:space="preserve"> of the CPA and bring the matter to its natural conclusion.</w:t>
            </w:r>
          </w:p>
          <w:p w:rsidR="00531AE3" w:rsidRPr="00663656" w:rsidRDefault="00531AE3" w:rsidP="00531AE3">
            <w:pPr>
              <w:pStyle w:val="ListParagraph"/>
              <w:numPr>
                <w:ilvl w:val="0"/>
                <w:numId w:val="4"/>
              </w:numPr>
              <w:tabs>
                <w:tab w:val="left" w:pos="851"/>
              </w:tabs>
              <w:spacing w:before="240" w:line="360" w:lineRule="auto"/>
              <w:ind w:right="601"/>
              <w:jc w:val="both"/>
              <w:rPr>
                <w:rFonts w:ascii="Arial" w:hAnsi="Arial" w:cs="Arial"/>
              </w:rPr>
            </w:pPr>
            <w:r w:rsidRPr="00663656">
              <w:rPr>
                <w:rFonts w:ascii="Arial" w:hAnsi="Arial" w:cs="Arial"/>
                <w:lang w:val="en-ZA"/>
              </w:rPr>
              <w:t>In the ev</w:t>
            </w:r>
            <w:r>
              <w:rPr>
                <w:rFonts w:ascii="Arial" w:hAnsi="Arial" w:cs="Arial"/>
                <w:lang w:val="en-ZA"/>
              </w:rPr>
              <w:t>ent of a conviction, the trial M</w:t>
            </w:r>
            <w:r w:rsidRPr="00663656">
              <w:rPr>
                <w:rFonts w:ascii="Arial" w:hAnsi="Arial" w:cs="Arial"/>
                <w:lang w:val="en-ZA"/>
              </w:rPr>
              <w:t>agistrate, in considering an appropriate sentence, must take into account the period of imprisonment that the accused has already served in this matter.</w:t>
            </w:r>
          </w:p>
          <w:p w:rsidR="00D036B5" w:rsidRPr="00FD7904" w:rsidRDefault="00D036B5" w:rsidP="00531AE3">
            <w:pPr>
              <w:pStyle w:val="ListParagraph"/>
              <w:tabs>
                <w:tab w:val="left" w:pos="851"/>
              </w:tabs>
              <w:spacing w:before="240" w:line="360" w:lineRule="auto"/>
              <w:ind w:left="1080" w:right="601"/>
              <w:jc w:val="both"/>
              <w:rPr>
                <w:rFonts w:ascii="Arial" w:hAnsi="Arial" w:cs="Arial"/>
                <w:spacing w:val="-3"/>
              </w:rPr>
            </w:pPr>
          </w:p>
        </w:tc>
      </w:tr>
      <w:tr w:rsidR="00D036B5" w:rsidRPr="00FD7904" w:rsidTr="00214E84">
        <w:tc>
          <w:tcPr>
            <w:tcW w:w="4770" w:type="dxa"/>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ind w:left="-18" w:firstLine="18"/>
              <w:rPr>
                <w:rFonts w:ascii="Arial Narrow" w:hAnsi="Arial Narrow" w:cs="Arial"/>
                <w:b/>
                <w:sz w:val="24"/>
                <w:szCs w:val="24"/>
              </w:rPr>
            </w:pPr>
            <w:r w:rsidRPr="00FD7904">
              <w:rPr>
                <w:rFonts w:ascii="Arial Narrow" w:hAnsi="Arial Narrow" w:cs="Arial"/>
                <w:b/>
                <w:sz w:val="24"/>
                <w:szCs w:val="24"/>
              </w:rPr>
              <w:lastRenderedPageBreak/>
              <w:t xml:space="preserve">    </w:t>
            </w:r>
          </w:p>
          <w:p w:rsidR="00D036B5" w:rsidRPr="00FD7904" w:rsidRDefault="00D036B5" w:rsidP="00214E84">
            <w:pPr>
              <w:spacing w:line="360" w:lineRule="auto"/>
              <w:rPr>
                <w:rFonts w:ascii="Arial Narrow" w:hAnsi="Arial Narrow"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rsidR="00D036B5" w:rsidRPr="00FD7904" w:rsidRDefault="00D036B5" w:rsidP="00214E84">
            <w:pPr>
              <w:spacing w:line="360" w:lineRule="auto"/>
              <w:rPr>
                <w:rFonts w:ascii="Arial Narrow" w:hAnsi="Arial Narrow" w:cs="Arial"/>
                <w:b/>
                <w:sz w:val="24"/>
                <w:szCs w:val="24"/>
              </w:rPr>
            </w:pPr>
          </w:p>
          <w:p w:rsidR="00D036B5" w:rsidRPr="00FD7904" w:rsidRDefault="00D036B5" w:rsidP="00214E84">
            <w:pPr>
              <w:spacing w:line="360" w:lineRule="auto"/>
              <w:rPr>
                <w:rFonts w:ascii="Arial Narrow" w:hAnsi="Arial Narrow" w:cs="Arial"/>
                <w:b/>
                <w:sz w:val="24"/>
                <w:szCs w:val="24"/>
              </w:rPr>
            </w:pPr>
          </w:p>
        </w:tc>
      </w:tr>
      <w:tr w:rsidR="00D036B5" w:rsidRPr="00FD7904" w:rsidTr="00214E84">
        <w:trPr>
          <w:trHeight w:val="827"/>
        </w:trPr>
        <w:tc>
          <w:tcPr>
            <w:tcW w:w="4770" w:type="dxa"/>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360" w:lineRule="auto"/>
              <w:jc w:val="center"/>
              <w:rPr>
                <w:rFonts w:ascii="Arial Narrow" w:hAnsi="Arial Narrow" w:cs="Arial"/>
                <w:b/>
                <w:sz w:val="24"/>
                <w:szCs w:val="24"/>
              </w:rPr>
            </w:pPr>
            <w:r w:rsidRPr="00FD7904">
              <w:rPr>
                <w:rFonts w:ascii="Arial Narrow" w:hAnsi="Arial Narrow" w:cs="Arial"/>
                <w:b/>
                <w:sz w:val="24"/>
                <w:szCs w:val="24"/>
              </w:rPr>
              <w:t>H C JANUARY</w:t>
            </w:r>
          </w:p>
          <w:p w:rsidR="00D036B5" w:rsidRPr="00FD7904" w:rsidRDefault="00D036B5" w:rsidP="00214E84">
            <w:pPr>
              <w:spacing w:line="360" w:lineRule="auto"/>
              <w:jc w:val="center"/>
              <w:rPr>
                <w:rFonts w:ascii="Arial Narrow" w:hAnsi="Arial Narrow" w:cs="Arial"/>
                <w:b/>
                <w:sz w:val="24"/>
                <w:szCs w:val="24"/>
              </w:rPr>
            </w:pPr>
            <w:r w:rsidRPr="00FD7904">
              <w:rPr>
                <w:rFonts w:ascii="Arial Narrow" w:hAnsi="Arial Narrow" w:cs="Arial"/>
                <w:b/>
                <w:sz w:val="24"/>
                <w:szCs w:val="24"/>
              </w:rPr>
              <w:t>JUDGE</w:t>
            </w:r>
          </w:p>
        </w:tc>
        <w:tc>
          <w:tcPr>
            <w:tcW w:w="4950" w:type="dxa"/>
            <w:gridSpan w:val="2"/>
            <w:tcBorders>
              <w:top w:val="single" w:sz="4" w:space="0" w:color="auto"/>
              <w:left w:val="single" w:sz="4" w:space="0" w:color="auto"/>
              <w:bottom w:val="single" w:sz="4" w:space="0" w:color="auto"/>
              <w:right w:val="single" w:sz="4" w:space="0" w:color="auto"/>
            </w:tcBorders>
            <w:hideMark/>
          </w:tcPr>
          <w:p w:rsidR="00D036B5" w:rsidRPr="00FD7904" w:rsidRDefault="00D036B5" w:rsidP="00214E84">
            <w:pPr>
              <w:spacing w:line="360" w:lineRule="auto"/>
              <w:jc w:val="center"/>
              <w:rPr>
                <w:rFonts w:ascii="Arial Narrow" w:hAnsi="Arial Narrow" w:cs="Arial"/>
                <w:b/>
                <w:sz w:val="24"/>
                <w:szCs w:val="24"/>
              </w:rPr>
            </w:pPr>
            <w:r w:rsidRPr="00FD7904">
              <w:rPr>
                <w:rFonts w:ascii="Arial Narrow" w:hAnsi="Arial Narrow" w:cs="Arial"/>
                <w:b/>
                <w:sz w:val="24"/>
                <w:szCs w:val="24"/>
              </w:rPr>
              <w:t>C M CLAASEN</w:t>
            </w:r>
          </w:p>
          <w:p w:rsidR="00D036B5" w:rsidRPr="00FD7904" w:rsidRDefault="00D036B5" w:rsidP="00214E84">
            <w:pPr>
              <w:spacing w:line="360" w:lineRule="auto"/>
              <w:jc w:val="center"/>
              <w:rPr>
                <w:rFonts w:ascii="Arial Narrow" w:hAnsi="Arial Narrow" w:cs="Arial"/>
                <w:sz w:val="24"/>
                <w:szCs w:val="24"/>
              </w:rPr>
            </w:pPr>
            <w:r w:rsidRPr="00FD7904">
              <w:rPr>
                <w:rFonts w:ascii="Arial Narrow" w:hAnsi="Arial Narrow" w:cs="Arial"/>
                <w:b/>
                <w:sz w:val="24"/>
                <w:szCs w:val="24"/>
              </w:rPr>
              <w:t>JUDGE</w:t>
            </w:r>
          </w:p>
        </w:tc>
      </w:tr>
    </w:tbl>
    <w:p w:rsidR="00CF2A2A" w:rsidRDefault="00CF2A2A"/>
    <w:p w:rsidR="00D1048E" w:rsidRDefault="00D1048E"/>
    <w:p w:rsidR="00D1048E" w:rsidRDefault="00D1048E"/>
    <w:sectPr w:rsidR="00D1048E" w:rsidSect="0062022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45" w:rsidRDefault="00E02F45" w:rsidP="007E578E">
      <w:pPr>
        <w:spacing w:after="0" w:line="240" w:lineRule="auto"/>
      </w:pPr>
      <w:r>
        <w:separator/>
      </w:r>
    </w:p>
  </w:endnote>
  <w:endnote w:type="continuationSeparator" w:id="0">
    <w:p w:rsidR="00E02F45" w:rsidRDefault="00E02F45" w:rsidP="007E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45" w:rsidRDefault="00E02F45" w:rsidP="007E578E">
      <w:pPr>
        <w:spacing w:after="0" w:line="240" w:lineRule="auto"/>
      </w:pPr>
      <w:r>
        <w:separator/>
      </w:r>
    </w:p>
  </w:footnote>
  <w:footnote w:type="continuationSeparator" w:id="0">
    <w:p w:rsidR="00E02F45" w:rsidRDefault="00E02F45" w:rsidP="007E578E">
      <w:pPr>
        <w:spacing w:after="0" w:line="240" w:lineRule="auto"/>
      </w:pPr>
      <w:r>
        <w:continuationSeparator/>
      </w:r>
    </w:p>
  </w:footnote>
  <w:footnote w:id="1">
    <w:p w:rsidR="00531AE3" w:rsidRDefault="00531AE3" w:rsidP="00531AE3">
      <w:pPr>
        <w:pStyle w:val="FootnoteText"/>
        <w:rPr>
          <w:lang w:val="en-ZA"/>
        </w:rPr>
      </w:pPr>
      <w:r>
        <w:rPr>
          <w:rStyle w:val="FootnoteReference"/>
        </w:rPr>
        <w:footnoteRef/>
      </w:r>
      <w:r>
        <w:t xml:space="preserve"> </w:t>
      </w:r>
      <w:r>
        <w:rPr>
          <w:rFonts w:ascii="Arial" w:hAnsi="Arial" w:cs="Arial"/>
          <w:i/>
          <w:lang w:val="en-ZA"/>
        </w:rPr>
        <w:t xml:space="preserve">State v Benjamin </w:t>
      </w:r>
      <w:proofErr w:type="spellStart"/>
      <w:r>
        <w:rPr>
          <w:rFonts w:ascii="Arial" w:hAnsi="Arial" w:cs="Arial"/>
          <w:i/>
          <w:lang w:val="en-ZA"/>
        </w:rPr>
        <w:t>Maniping</w:t>
      </w:r>
      <w:proofErr w:type="spellEnd"/>
      <w:r>
        <w:rPr>
          <w:rFonts w:ascii="Arial" w:hAnsi="Arial" w:cs="Arial"/>
          <w:lang w:val="en-ZA"/>
        </w:rPr>
        <w:t xml:space="preserve"> (review case 282/94).</w:t>
      </w:r>
    </w:p>
  </w:footnote>
  <w:footnote w:id="2">
    <w:p w:rsidR="00531AE3" w:rsidRDefault="00531AE3" w:rsidP="00531AE3">
      <w:pPr>
        <w:pStyle w:val="FootnoteText"/>
        <w:rPr>
          <w:lang w:val="en-ZA"/>
        </w:rPr>
      </w:pPr>
      <w:r>
        <w:rPr>
          <w:rStyle w:val="FootnoteReference"/>
        </w:rPr>
        <w:footnoteRef/>
      </w:r>
      <w:r>
        <w:t xml:space="preserve"> </w:t>
      </w:r>
      <w:r>
        <w:rPr>
          <w:rFonts w:ascii="Arial" w:hAnsi="Arial" w:cs="Arial"/>
          <w:i/>
          <w:lang w:val="en-ZA"/>
        </w:rPr>
        <w:t xml:space="preserve">State v </w:t>
      </w:r>
      <w:proofErr w:type="spellStart"/>
      <w:r>
        <w:rPr>
          <w:rFonts w:ascii="Arial" w:hAnsi="Arial" w:cs="Arial"/>
          <w:i/>
          <w:lang w:val="en-ZA"/>
        </w:rPr>
        <w:t>Khanyse</w:t>
      </w:r>
      <w:proofErr w:type="spellEnd"/>
      <w:r>
        <w:rPr>
          <w:rFonts w:ascii="Arial" w:hAnsi="Arial" w:cs="Arial"/>
          <w:i/>
          <w:lang w:val="en-ZA"/>
        </w:rPr>
        <w:t xml:space="preserve"> </w:t>
      </w:r>
      <w:proofErr w:type="spellStart"/>
      <w:r>
        <w:rPr>
          <w:rFonts w:ascii="Arial" w:hAnsi="Arial" w:cs="Arial"/>
          <w:i/>
          <w:lang w:val="en-ZA"/>
        </w:rPr>
        <w:t>Thwala</w:t>
      </w:r>
      <w:proofErr w:type="spellEnd"/>
      <w:r>
        <w:rPr>
          <w:rFonts w:ascii="Arial" w:hAnsi="Arial" w:cs="Arial"/>
          <w:lang w:val="en-ZA"/>
        </w:rPr>
        <w:t xml:space="preserve"> (Review case 333/94).</w:t>
      </w:r>
    </w:p>
  </w:footnote>
  <w:footnote w:id="3">
    <w:p w:rsidR="00531AE3" w:rsidRPr="00F559F2" w:rsidRDefault="00531AE3" w:rsidP="00531AE3">
      <w:pPr>
        <w:pStyle w:val="FootnoteText"/>
        <w:rPr>
          <w:rFonts w:ascii="Arial" w:hAnsi="Arial" w:cs="Arial"/>
          <w:lang w:val="en-US"/>
        </w:rPr>
      </w:pPr>
      <w:r w:rsidRPr="00F559F2">
        <w:rPr>
          <w:rStyle w:val="FootnoteReference"/>
          <w:rFonts w:ascii="Arial" w:hAnsi="Arial" w:cs="Arial"/>
        </w:rPr>
        <w:footnoteRef/>
      </w:r>
      <w:r w:rsidRPr="00F559F2">
        <w:rPr>
          <w:rFonts w:ascii="Arial" w:hAnsi="Arial" w:cs="Arial"/>
        </w:rPr>
        <w:t xml:space="preserve"> </w:t>
      </w:r>
      <w:proofErr w:type="gramStart"/>
      <w:r w:rsidRPr="00F559F2">
        <w:rPr>
          <w:rFonts w:ascii="Arial" w:hAnsi="Arial" w:cs="Arial"/>
          <w:i/>
          <w:lang w:val="en-ZA"/>
        </w:rPr>
        <w:t xml:space="preserve">Coetzee v State </w:t>
      </w:r>
      <w:r w:rsidRPr="00F559F2">
        <w:rPr>
          <w:rFonts w:ascii="Arial" w:hAnsi="Arial" w:cs="Arial"/>
          <w:lang w:val="en-ZA"/>
        </w:rPr>
        <w:t>(CC 2019/00016) [2019] NAHCMD 275 (2 August 2019)</w:t>
      </w:r>
      <w:r>
        <w:rPr>
          <w:rFonts w:ascii="Arial" w:hAnsi="Arial" w:cs="Arial"/>
          <w:lang w:val="en-ZA"/>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31068"/>
      <w:docPartObj>
        <w:docPartGallery w:val="Page Numbers (Top of Page)"/>
        <w:docPartUnique/>
      </w:docPartObj>
    </w:sdtPr>
    <w:sdtEndPr>
      <w:rPr>
        <w:noProof/>
      </w:rPr>
    </w:sdtEndPr>
    <w:sdtContent>
      <w:p w:rsidR="0062022D" w:rsidRDefault="0062022D">
        <w:pPr>
          <w:pStyle w:val="Header"/>
          <w:jc w:val="right"/>
        </w:pPr>
        <w:r>
          <w:fldChar w:fldCharType="begin"/>
        </w:r>
        <w:r>
          <w:instrText xml:space="preserve"> PAGE   \* MERGEFORMAT </w:instrText>
        </w:r>
        <w:r>
          <w:fldChar w:fldCharType="separate"/>
        </w:r>
        <w:r w:rsidR="00187DF1">
          <w:rPr>
            <w:noProof/>
          </w:rPr>
          <w:t>5</w:t>
        </w:r>
        <w:r>
          <w:rPr>
            <w:noProof/>
          </w:rPr>
          <w:fldChar w:fldCharType="end"/>
        </w:r>
      </w:p>
    </w:sdtContent>
  </w:sdt>
  <w:p w:rsidR="0062022D" w:rsidRDefault="00620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57E"/>
    <w:multiLevelType w:val="hybridMultilevel"/>
    <w:tmpl w:val="15386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628EE"/>
    <w:multiLevelType w:val="hybridMultilevel"/>
    <w:tmpl w:val="87B0F6A6"/>
    <w:lvl w:ilvl="0" w:tplc="0E06793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40EF5600"/>
    <w:multiLevelType w:val="hybridMultilevel"/>
    <w:tmpl w:val="76EC9B76"/>
    <w:lvl w:ilvl="0" w:tplc="C512E130">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B5"/>
    <w:rsid w:val="00084369"/>
    <w:rsid w:val="00187DF1"/>
    <w:rsid w:val="002A3F42"/>
    <w:rsid w:val="002B271F"/>
    <w:rsid w:val="00361C32"/>
    <w:rsid w:val="0036779E"/>
    <w:rsid w:val="00394535"/>
    <w:rsid w:val="003A123B"/>
    <w:rsid w:val="00531AE3"/>
    <w:rsid w:val="005C72B9"/>
    <w:rsid w:val="006044BC"/>
    <w:rsid w:val="0062022D"/>
    <w:rsid w:val="00663656"/>
    <w:rsid w:val="007A0001"/>
    <w:rsid w:val="007E578E"/>
    <w:rsid w:val="008653AA"/>
    <w:rsid w:val="0087702D"/>
    <w:rsid w:val="008D75CE"/>
    <w:rsid w:val="008E3908"/>
    <w:rsid w:val="0092088B"/>
    <w:rsid w:val="009A2BEF"/>
    <w:rsid w:val="00B577B5"/>
    <w:rsid w:val="00B71F2A"/>
    <w:rsid w:val="00BD4FA8"/>
    <w:rsid w:val="00BF294F"/>
    <w:rsid w:val="00C1367D"/>
    <w:rsid w:val="00CF2A2A"/>
    <w:rsid w:val="00D036B5"/>
    <w:rsid w:val="00D1048E"/>
    <w:rsid w:val="00D85290"/>
    <w:rsid w:val="00DC0423"/>
    <w:rsid w:val="00DD0C5A"/>
    <w:rsid w:val="00E02F45"/>
    <w:rsid w:val="00E45F17"/>
    <w:rsid w:val="00F559F2"/>
    <w:rsid w:val="00FD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6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578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7E578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E578E"/>
    <w:rPr>
      <w:vertAlign w:val="superscript"/>
    </w:rPr>
  </w:style>
  <w:style w:type="paragraph" w:styleId="ListParagraph">
    <w:name w:val="List Paragraph"/>
    <w:basedOn w:val="Normal"/>
    <w:uiPriority w:val="34"/>
    <w:qFormat/>
    <w:rsid w:val="00F559F2"/>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63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656"/>
    <w:rPr>
      <w:rFonts w:ascii="Segoe UI" w:hAnsi="Segoe UI" w:cs="Segoe UI"/>
      <w:sz w:val="18"/>
      <w:szCs w:val="18"/>
    </w:rPr>
  </w:style>
  <w:style w:type="paragraph" w:styleId="Header">
    <w:name w:val="header"/>
    <w:basedOn w:val="Normal"/>
    <w:link w:val="HeaderChar"/>
    <w:uiPriority w:val="99"/>
    <w:unhideWhenUsed/>
    <w:rsid w:val="00620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2D"/>
  </w:style>
  <w:style w:type="paragraph" w:styleId="Footer">
    <w:name w:val="footer"/>
    <w:basedOn w:val="Normal"/>
    <w:link w:val="FooterChar"/>
    <w:uiPriority w:val="99"/>
    <w:unhideWhenUsed/>
    <w:rsid w:val="00620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6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578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7E578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E578E"/>
    <w:rPr>
      <w:vertAlign w:val="superscript"/>
    </w:rPr>
  </w:style>
  <w:style w:type="paragraph" w:styleId="ListParagraph">
    <w:name w:val="List Paragraph"/>
    <w:basedOn w:val="Normal"/>
    <w:uiPriority w:val="34"/>
    <w:qFormat/>
    <w:rsid w:val="00F559F2"/>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63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656"/>
    <w:rPr>
      <w:rFonts w:ascii="Segoe UI" w:hAnsi="Segoe UI" w:cs="Segoe UI"/>
      <w:sz w:val="18"/>
      <w:szCs w:val="18"/>
    </w:rPr>
  </w:style>
  <w:style w:type="paragraph" w:styleId="Header">
    <w:name w:val="header"/>
    <w:basedOn w:val="Normal"/>
    <w:link w:val="HeaderChar"/>
    <w:uiPriority w:val="99"/>
    <w:unhideWhenUsed/>
    <w:rsid w:val="00620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2D"/>
  </w:style>
  <w:style w:type="paragraph" w:styleId="Footer">
    <w:name w:val="footer"/>
    <w:basedOn w:val="Normal"/>
    <w:link w:val="FooterChar"/>
    <w:uiPriority w:val="99"/>
    <w:unhideWhenUsed/>
    <w:rsid w:val="00620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039">
      <w:bodyDiv w:val="1"/>
      <w:marLeft w:val="0"/>
      <w:marRight w:val="0"/>
      <w:marTop w:val="0"/>
      <w:marBottom w:val="0"/>
      <w:divBdr>
        <w:top w:val="none" w:sz="0" w:space="0" w:color="auto"/>
        <w:left w:val="none" w:sz="0" w:space="0" w:color="auto"/>
        <w:bottom w:val="none" w:sz="0" w:space="0" w:color="auto"/>
        <w:right w:val="none" w:sz="0" w:space="0" w:color="auto"/>
      </w:divBdr>
    </w:div>
    <w:div w:id="1102527652">
      <w:bodyDiv w:val="1"/>
      <w:marLeft w:val="0"/>
      <w:marRight w:val="0"/>
      <w:marTop w:val="0"/>
      <w:marBottom w:val="0"/>
      <w:divBdr>
        <w:top w:val="none" w:sz="0" w:space="0" w:color="auto"/>
        <w:left w:val="none" w:sz="0" w:space="0" w:color="auto"/>
        <w:bottom w:val="none" w:sz="0" w:space="0" w:color="auto"/>
        <w:right w:val="none" w:sz="0" w:space="0" w:color="auto"/>
      </w:divBdr>
    </w:div>
    <w:div w:id="1555628480">
      <w:bodyDiv w:val="1"/>
      <w:marLeft w:val="0"/>
      <w:marRight w:val="0"/>
      <w:marTop w:val="0"/>
      <w:marBottom w:val="0"/>
      <w:divBdr>
        <w:top w:val="none" w:sz="0" w:space="0" w:color="auto"/>
        <w:left w:val="none" w:sz="0" w:space="0" w:color="auto"/>
        <w:bottom w:val="none" w:sz="0" w:space="0" w:color="auto"/>
        <w:right w:val="none" w:sz="0" w:space="0" w:color="auto"/>
      </w:divBdr>
    </w:div>
    <w:div w:id="20905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2023-04-03T18:30:00+00:00</Judgment_x0020_Date>
  </documentManagement>
</p:properties>
</file>

<file path=customXml/itemProps1.xml><?xml version="1.0" encoding="utf-8"?>
<ds:datastoreItem xmlns:ds="http://schemas.openxmlformats.org/officeDocument/2006/customXml" ds:itemID="{C853D934-7160-45D7-9096-A30C7E2FEF30}"/>
</file>

<file path=customXml/itemProps2.xml><?xml version="1.0" encoding="utf-8"?>
<ds:datastoreItem xmlns:ds="http://schemas.openxmlformats.org/officeDocument/2006/customXml" ds:itemID="{BA930B71-0A39-4CD0-BF1C-1F81B2A4EE52}"/>
</file>

<file path=customXml/itemProps3.xml><?xml version="1.0" encoding="utf-8"?>
<ds:datastoreItem xmlns:ds="http://schemas.openxmlformats.org/officeDocument/2006/customXml" ds:itemID="{1CA979A3-8D5D-46EF-86C4-DC95A9BF721E}"/>
</file>

<file path=customXml/itemProps4.xml><?xml version="1.0" encoding="utf-8"?>
<ds:datastoreItem xmlns:ds="http://schemas.openxmlformats.org/officeDocument/2006/customXml" ds:itemID="{B5D2BEC7-4899-4094-B6AB-76B0FFD5F59C}"/>
</file>

<file path=docProps/app.xml><?xml version="1.0" encoding="utf-8"?>
<Properties xmlns="http://schemas.openxmlformats.org/officeDocument/2006/extended-properties" xmlns:vt="http://schemas.openxmlformats.org/officeDocument/2006/docPropsVTypes">
  <Template>Normal</Template>
  <TotalTime>2</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Davinio (CR 17-2023) [2023] NAHCMD 113 (04 April 2023)</dc:title>
  <dc:creator>Herman C. January</dc:creator>
  <cp:lastModifiedBy>Michelle N. Ullrich</cp:lastModifiedBy>
  <cp:revision>3</cp:revision>
  <cp:lastPrinted>2023-04-04T10:26:00Z</cp:lastPrinted>
  <dcterms:created xsi:type="dcterms:W3CDTF">2023-04-04T10:25:00Z</dcterms:created>
  <dcterms:modified xsi:type="dcterms:W3CDTF">2023-04-04T10:27:00Z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