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1B7E1F" w:rsidRDefault="002C7628" w:rsidP="001B7E1F">
      <w:pPr>
        <w:spacing w:after="0" w:line="360" w:lineRule="auto"/>
        <w:jc w:val="center"/>
        <w:rPr>
          <w:b/>
          <w:sz w:val="32"/>
          <w:szCs w:val="32"/>
        </w:rPr>
      </w:pPr>
      <w:r w:rsidRPr="00C72099">
        <w:rPr>
          <w:b/>
          <w:noProof/>
          <w:sz w:val="32"/>
          <w:szCs w:val="32"/>
        </w:rPr>
        <w:drawing>
          <wp:inline distT="0" distB="0" distL="0" distR="0">
            <wp:extent cx="1257300" cy="1310640"/>
            <wp:effectExtent l="0" t="0" r="0" b="381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10640"/>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F97EE2" w:rsidRDefault="001B7E1F" w:rsidP="00F97EE2">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F97EE2" w:rsidRDefault="00F97EE2" w:rsidP="001B7E1F">
      <w:pPr>
        <w:spacing w:after="0" w:line="360" w:lineRule="auto"/>
        <w:jc w:val="center"/>
        <w:rPr>
          <w:rFonts w:ascii="Arial" w:hAnsi="Arial" w:cs="Arial"/>
          <w:b/>
          <w:sz w:val="24"/>
          <w:szCs w:val="24"/>
        </w:rPr>
      </w:pP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4F78F8">
        <w:rPr>
          <w:rFonts w:ascii="Arial" w:hAnsi="Arial" w:cs="Arial"/>
          <w:sz w:val="24"/>
          <w:szCs w:val="24"/>
        </w:rPr>
        <w:t>HC-MD-CIV-ACT-OTH- 2021/03237</w:t>
      </w:r>
    </w:p>
    <w:p w:rsidR="001B7E1F" w:rsidRPr="006E026B" w:rsidRDefault="001B7E1F" w:rsidP="001B7E1F">
      <w:pPr>
        <w:spacing w:after="0" w:line="360" w:lineRule="auto"/>
        <w:rPr>
          <w:rFonts w:ascii="Arial" w:hAnsi="Arial" w:cs="Arial"/>
          <w:sz w:val="24"/>
          <w:szCs w:val="24"/>
        </w:rPr>
      </w:pPr>
    </w:p>
    <w:p w:rsidR="001B7E1F" w:rsidRPr="006E026B" w:rsidRDefault="001B7E1F" w:rsidP="001B7E1F">
      <w:pPr>
        <w:spacing w:after="0" w:line="360" w:lineRule="auto"/>
        <w:rPr>
          <w:rFonts w:ascii="Arial" w:hAnsi="Arial" w:cs="Arial"/>
          <w:sz w:val="24"/>
          <w:szCs w:val="24"/>
        </w:rPr>
      </w:pPr>
      <w:r w:rsidRPr="006E026B">
        <w:rPr>
          <w:rFonts w:ascii="Arial" w:hAnsi="Arial" w:cs="Arial"/>
          <w:sz w:val="24"/>
          <w:szCs w:val="24"/>
        </w:rPr>
        <w:t>In the matter between:</w:t>
      </w:r>
      <w:r w:rsidR="00074F70">
        <w:rPr>
          <w:rFonts w:ascii="Arial" w:hAnsi="Arial" w:cs="Arial"/>
          <w:sz w:val="24"/>
          <w:szCs w:val="24"/>
        </w:rPr>
        <w:t xml:space="preserve"> fifth </w:t>
      </w:r>
    </w:p>
    <w:p w:rsidR="001B7E1F" w:rsidRPr="006E026B" w:rsidRDefault="001B7E1F" w:rsidP="001B7E1F">
      <w:pPr>
        <w:spacing w:after="0" w:line="360" w:lineRule="auto"/>
        <w:rPr>
          <w:rFonts w:ascii="Arial" w:hAnsi="Arial" w:cs="Arial"/>
          <w:sz w:val="24"/>
          <w:szCs w:val="24"/>
        </w:rPr>
      </w:pPr>
    </w:p>
    <w:p w:rsidR="0056429B" w:rsidRPr="0056429B" w:rsidRDefault="004F78F8" w:rsidP="003337F1">
      <w:pPr>
        <w:tabs>
          <w:tab w:val="right" w:pos="9000"/>
        </w:tabs>
        <w:rPr>
          <w:rFonts w:ascii="Arial" w:hAnsi="Arial" w:cs="Arial"/>
          <w:b/>
          <w:sz w:val="24"/>
          <w:szCs w:val="24"/>
          <w:lang w:val="en-GB"/>
        </w:rPr>
      </w:pPr>
      <w:r>
        <w:rPr>
          <w:rFonts w:ascii="Arial" w:hAnsi="Arial" w:cs="Arial"/>
          <w:b/>
          <w:sz w:val="24"/>
          <w:szCs w:val="24"/>
          <w:lang w:val="en-GB"/>
        </w:rPr>
        <w:t>CLERA IZEDIUNOR ADLER</w:t>
      </w:r>
      <w:r w:rsidR="003337F1">
        <w:rPr>
          <w:rFonts w:ascii="Arial" w:hAnsi="Arial" w:cs="Arial"/>
          <w:b/>
          <w:sz w:val="24"/>
          <w:szCs w:val="24"/>
          <w:lang w:val="en-GB"/>
        </w:rPr>
        <w:tab/>
      </w:r>
      <w:r>
        <w:rPr>
          <w:rFonts w:ascii="Arial" w:hAnsi="Arial" w:cs="Arial"/>
          <w:b/>
          <w:sz w:val="24"/>
          <w:szCs w:val="24"/>
          <w:lang w:val="en-GB"/>
        </w:rPr>
        <w:t>PLAINTIFF</w:t>
      </w:r>
    </w:p>
    <w:p w:rsidR="001B7E1F" w:rsidRDefault="003337F1" w:rsidP="003337F1">
      <w:pPr>
        <w:spacing w:after="0" w:line="360" w:lineRule="auto"/>
        <w:jc w:val="both"/>
        <w:rPr>
          <w:rFonts w:ascii="Arial" w:hAnsi="Arial" w:cs="Arial"/>
          <w:sz w:val="24"/>
          <w:szCs w:val="24"/>
        </w:rPr>
      </w:pPr>
      <w:r>
        <w:rPr>
          <w:rFonts w:ascii="Arial" w:hAnsi="Arial" w:cs="Arial"/>
          <w:sz w:val="24"/>
          <w:szCs w:val="24"/>
        </w:rPr>
        <w:t>a</w:t>
      </w:r>
      <w:r w:rsidR="001B7E1F" w:rsidRPr="006E026B">
        <w:rPr>
          <w:rFonts w:ascii="Arial" w:hAnsi="Arial" w:cs="Arial"/>
          <w:sz w:val="24"/>
          <w:szCs w:val="24"/>
        </w:rPr>
        <w:t>nd</w:t>
      </w:r>
    </w:p>
    <w:p w:rsidR="003337F1" w:rsidRPr="003337F1" w:rsidRDefault="003337F1" w:rsidP="003337F1">
      <w:pPr>
        <w:spacing w:after="0" w:line="360" w:lineRule="auto"/>
        <w:jc w:val="both"/>
        <w:rPr>
          <w:rFonts w:ascii="Arial" w:hAnsi="Arial" w:cs="Arial"/>
          <w:sz w:val="16"/>
          <w:szCs w:val="16"/>
        </w:rPr>
      </w:pPr>
    </w:p>
    <w:p w:rsidR="0053428B" w:rsidRDefault="004F78F8" w:rsidP="001B7E1F">
      <w:pPr>
        <w:tabs>
          <w:tab w:val="right" w:pos="9000"/>
        </w:tabs>
        <w:spacing w:after="0" w:line="360" w:lineRule="auto"/>
        <w:jc w:val="both"/>
        <w:rPr>
          <w:rFonts w:ascii="Arial" w:hAnsi="Arial" w:cs="Arial"/>
          <w:b/>
          <w:sz w:val="24"/>
          <w:szCs w:val="24"/>
        </w:rPr>
      </w:pPr>
      <w:r>
        <w:rPr>
          <w:rFonts w:ascii="Arial" w:hAnsi="Arial" w:cs="Arial"/>
          <w:b/>
          <w:sz w:val="24"/>
          <w:szCs w:val="24"/>
        </w:rPr>
        <w:t>MASTER OF THE HIGH COURT OF NAMIBIA</w:t>
      </w:r>
      <w:r w:rsidR="003337F1">
        <w:rPr>
          <w:rFonts w:ascii="Arial" w:hAnsi="Arial" w:cs="Arial"/>
          <w:b/>
          <w:sz w:val="24"/>
          <w:szCs w:val="24"/>
        </w:rPr>
        <w:tab/>
        <w:t>1</w:t>
      </w:r>
      <w:r w:rsidR="003337F1" w:rsidRPr="003337F1">
        <w:rPr>
          <w:rFonts w:ascii="Arial" w:hAnsi="Arial" w:cs="Arial"/>
          <w:b/>
          <w:sz w:val="24"/>
          <w:szCs w:val="24"/>
          <w:vertAlign w:val="superscript"/>
        </w:rPr>
        <w:t>ST</w:t>
      </w:r>
      <w:r w:rsidR="003337F1">
        <w:rPr>
          <w:rFonts w:ascii="Arial" w:hAnsi="Arial" w:cs="Arial"/>
          <w:b/>
          <w:sz w:val="24"/>
          <w:szCs w:val="24"/>
        </w:rPr>
        <w:t xml:space="preserve"> </w:t>
      </w:r>
      <w:r>
        <w:rPr>
          <w:rFonts w:ascii="Arial" w:hAnsi="Arial" w:cs="Arial"/>
          <w:b/>
          <w:sz w:val="24"/>
          <w:szCs w:val="24"/>
        </w:rPr>
        <w:t>DEFENDANT</w:t>
      </w:r>
    </w:p>
    <w:p w:rsidR="003337F1" w:rsidRPr="006E026B" w:rsidRDefault="004F78F8" w:rsidP="001B7E1F">
      <w:pPr>
        <w:tabs>
          <w:tab w:val="right" w:pos="9000"/>
        </w:tabs>
        <w:spacing w:after="0" w:line="360" w:lineRule="auto"/>
        <w:jc w:val="both"/>
        <w:rPr>
          <w:rFonts w:ascii="Arial" w:hAnsi="Arial" w:cs="Arial"/>
          <w:b/>
          <w:sz w:val="24"/>
          <w:szCs w:val="24"/>
        </w:rPr>
      </w:pPr>
      <w:r>
        <w:rPr>
          <w:rFonts w:ascii="Arial" w:hAnsi="Arial" w:cs="Arial"/>
          <w:b/>
          <w:sz w:val="24"/>
          <w:szCs w:val="24"/>
        </w:rPr>
        <w:t>EXECUTOR OF ESTATE LATE J.G. ADLER</w:t>
      </w:r>
      <w:r w:rsidR="003337F1">
        <w:rPr>
          <w:rFonts w:ascii="Arial" w:hAnsi="Arial" w:cs="Arial"/>
          <w:b/>
          <w:sz w:val="24"/>
          <w:szCs w:val="24"/>
        </w:rPr>
        <w:tab/>
        <w:t>2</w:t>
      </w:r>
      <w:r w:rsidR="003337F1" w:rsidRPr="003337F1">
        <w:rPr>
          <w:rFonts w:ascii="Arial" w:hAnsi="Arial" w:cs="Arial"/>
          <w:b/>
          <w:sz w:val="24"/>
          <w:szCs w:val="24"/>
          <w:vertAlign w:val="superscript"/>
        </w:rPr>
        <w:t>ND</w:t>
      </w:r>
      <w:r w:rsidR="003337F1">
        <w:rPr>
          <w:rFonts w:ascii="Arial" w:hAnsi="Arial" w:cs="Arial"/>
          <w:b/>
          <w:sz w:val="24"/>
          <w:szCs w:val="24"/>
        </w:rPr>
        <w:t xml:space="preserve"> </w:t>
      </w:r>
      <w:r>
        <w:rPr>
          <w:rFonts w:ascii="Arial" w:hAnsi="Arial" w:cs="Arial"/>
          <w:b/>
          <w:sz w:val="24"/>
          <w:szCs w:val="24"/>
        </w:rPr>
        <w:t xml:space="preserve">DEFENDANT </w:t>
      </w:r>
    </w:p>
    <w:p w:rsidR="001B7E1F" w:rsidRPr="006E026B" w:rsidRDefault="001B7E1F" w:rsidP="001B7E1F">
      <w:pPr>
        <w:spacing w:after="0" w:line="360" w:lineRule="auto"/>
        <w:rPr>
          <w:rFonts w:ascii="Arial" w:hAnsi="Arial" w:cs="Arial"/>
          <w:b/>
          <w:sz w:val="24"/>
          <w:szCs w:val="24"/>
          <w:u w:val="single"/>
        </w:rPr>
      </w:pPr>
    </w:p>
    <w:p w:rsidR="001B7E1F" w:rsidRDefault="001B7E1F" w:rsidP="001B7E1F">
      <w:pPr>
        <w:spacing w:after="0" w:line="360" w:lineRule="auto"/>
        <w:ind w:left="2160" w:hanging="2160"/>
        <w:jc w:val="both"/>
        <w:rPr>
          <w:rFonts w:ascii="Arial" w:hAnsi="Arial" w:cs="Arial"/>
          <w:sz w:val="24"/>
          <w:szCs w:val="24"/>
        </w:rPr>
      </w:pPr>
    </w:p>
    <w:p w:rsidR="0014605E" w:rsidRDefault="001B7E1F" w:rsidP="00C80E65">
      <w:pPr>
        <w:spacing w:after="0" w:line="360" w:lineRule="auto"/>
        <w:jc w:val="both"/>
        <w:rPr>
          <w:rFonts w:ascii="Arial" w:hAnsi="Arial" w:cs="Arial"/>
          <w:sz w:val="24"/>
          <w:szCs w:val="24"/>
        </w:rPr>
      </w:pPr>
      <w:r>
        <w:rPr>
          <w:rFonts w:ascii="Arial" w:hAnsi="Arial" w:cs="Arial"/>
          <w:b/>
          <w:sz w:val="24"/>
          <w:szCs w:val="24"/>
        </w:rPr>
        <w:t xml:space="preserve">Neutral citation: </w:t>
      </w:r>
      <w:bookmarkStart w:id="0" w:name="_GoBack"/>
      <w:r w:rsidR="004F78F8">
        <w:rPr>
          <w:rFonts w:ascii="Arial" w:hAnsi="Arial" w:cs="Arial"/>
          <w:i/>
          <w:sz w:val="24"/>
          <w:szCs w:val="24"/>
        </w:rPr>
        <w:t>Adler</w:t>
      </w:r>
      <w:r>
        <w:rPr>
          <w:rFonts w:ascii="Arial" w:hAnsi="Arial" w:cs="Arial"/>
          <w:i/>
          <w:sz w:val="24"/>
          <w:szCs w:val="24"/>
        </w:rPr>
        <w:t xml:space="preserve"> v </w:t>
      </w:r>
      <w:r w:rsidR="00D82866">
        <w:rPr>
          <w:rFonts w:ascii="Arial" w:hAnsi="Arial" w:cs="Arial"/>
          <w:i/>
          <w:sz w:val="24"/>
          <w:szCs w:val="24"/>
        </w:rPr>
        <w:t xml:space="preserve">The </w:t>
      </w:r>
      <w:r w:rsidR="004F78F8">
        <w:rPr>
          <w:rFonts w:ascii="Arial" w:hAnsi="Arial" w:cs="Arial"/>
          <w:i/>
          <w:sz w:val="24"/>
          <w:szCs w:val="24"/>
        </w:rPr>
        <w:t>Mast</w:t>
      </w:r>
      <w:r w:rsidR="0014605E">
        <w:rPr>
          <w:rFonts w:ascii="Arial" w:hAnsi="Arial" w:cs="Arial"/>
          <w:i/>
          <w:sz w:val="24"/>
          <w:szCs w:val="24"/>
        </w:rPr>
        <w:t>er of the High Court</w:t>
      </w:r>
      <w:r w:rsidR="004F78F8" w:rsidRPr="00F97EE2">
        <w:rPr>
          <w:rFonts w:ascii="Arial" w:hAnsi="Arial" w:cs="Arial"/>
          <w:sz w:val="24"/>
          <w:szCs w:val="24"/>
        </w:rPr>
        <w:t xml:space="preserve"> (</w:t>
      </w:r>
      <w:r w:rsidR="00F97EE2">
        <w:rPr>
          <w:rFonts w:ascii="Arial" w:hAnsi="Arial" w:cs="Arial"/>
          <w:sz w:val="24"/>
          <w:szCs w:val="24"/>
        </w:rPr>
        <w:t>HC-MD-CIV-ACT- OTH</w:t>
      </w:r>
      <w:r w:rsidR="004F78F8">
        <w:rPr>
          <w:rFonts w:ascii="Arial" w:hAnsi="Arial" w:cs="Arial"/>
          <w:sz w:val="24"/>
          <w:szCs w:val="24"/>
        </w:rPr>
        <w:t>-</w:t>
      </w:r>
      <w:r w:rsidR="0014605E">
        <w:rPr>
          <w:rFonts w:ascii="Arial" w:hAnsi="Arial" w:cs="Arial"/>
          <w:sz w:val="24"/>
          <w:szCs w:val="24"/>
        </w:rPr>
        <w:t xml:space="preserve"> </w:t>
      </w:r>
    </w:p>
    <w:p w:rsidR="001B7E1F" w:rsidRPr="006E026B" w:rsidRDefault="0014605E" w:rsidP="00F97EE2">
      <w:pPr>
        <w:spacing w:after="0" w:line="360" w:lineRule="auto"/>
        <w:jc w:val="both"/>
        <w:rPr>
          <w:rFonts w:ascii="Arial" w:hAnsi="Arial" w:cs="Arial"/>
          <w:sz w:val="24"/>
          <w:szCs w:val="24"/>
        </w:rPr>
      </w:pPr>
      <w:r>
        <w:rPr>
          <w:rFonts w:ascii="Arial" w:hAnsi="Arial" w:cs="Arial"/>
          <w:sz w:val="24"/>
          <w:szCs w:val="24"/>
        </w:rPr>
        <w:t xml:space="preserve">                             </w:t>
      </w:r>
      <w:r w:rsidR="004F78F8">
        <w:rPr>
          <w:rFonts w:ascii="Arial" w:hAnsi="Arial" w:cs="Arial"/>
          <w:sz w:val="24"/>
          <w:szCs w:val="24"/>
        </w:rPr>
        <w:t>2021/03237</w:t>
      </w:r>
      <w:r w:rsidR="001B7E1F" w:rsidRPr="005D6C92">
        <w:rPr>
          <w:rFonts w:ascii="Arial" w:hAnsi="Arial" w:cs="Arial"/>
          <w:sz w:val="24"/>
          <w:szCs w:val="24"/>
        </w:rPr>
        <w:t>) [20</w:t>
      </w:r>
      <w:r w:rsidR="004F78F8">
        <w:rPr>
          <w:rFonts w:ascii="Arial" w:hAnsi="Arial" w:cs="Arial"/>
          <w:sz w:val="24"/>
          <w:szCs w:val="24"/>
        </w:rPr>
        <w:t>23</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6348D7">
        <w:rPr>
          <w:rFonts w:ascii="Arial" w:hAnsi="Arial" w:cs="Arial"/>
          <w:sz w:val="24"/>
          <w:szCs w:val="24"/>
        </w:rPr>
        <w:t>128</w:t>
      </w:r>
      <w:r w:rsidR="001B7E1F" w:rsidRPr="005D6C92">
        <w:rPr>
          <w:rFonts w:ascii="Arial" w:hAnsi="Arial" w:cs="Arial"/>
          <w:sz w:val="24"/>
          <w:szCs w:val="24"/>
        </w:rPr>
        <w:t xml:space="preserve"> (</w:t>
      </w:r>
      <w:r w:rsidR="00CB3DC4">
        <w:rPr>
          <w:rFonts w:ascii="Arial" w:hAnsi="Arial" w:cs="Arial"/>
          <w:sz w:val="24"/>
          <w:szCs w:val="24"/>
        </w:rPr>
        <w:t>17</w:t>
      </w:r>
      <w:r w:rsidR="004F78F8">
        <w:rPr>
          <w:rFonts w:ascii="Arial" w:hAnsi="Arial" w:cs="Arial"/>
          <w:sz w:val="24"/>
          <w:szCs w:val="24"/>
        </w:rPr>
        <w:t xml:space="preserve"> March 2022</w:t>
      </w:r>
      <w:r w:rsidR="001B7E1F" w:rsidRPr="005D6C92">
        <w:rPr>
          <w:rFonts w:ascii="Arial" w:hAnsi="Arial" w:cs="Arial"/>
          <w:sz w:val="24"/>
          <w:szCs w:val="24"/>
        </w:rPr>
        <w:t>)</w:t>
      </w:r>
    </w:p>
    <w:bookmarkEnd w:id="0"/>
    <w:p w:rsidR="00D254AF" w:rsidRDefault="00D254AF" w:rsidP="001B7E1F">
      <w:pPr>
        <w:spacing w:after="0" w:line="360" w:lineRule="auto"/>
        <w:ind w:left="1440" w:hanging="1440"/>
        <w:jc w:val="both"/>
        <w:rPr>
          <w:rFonts w:ascii="Arial" w:hAnsi="Arial" w:cs="Arial"/>
          <w:b/>
          <w:sz w:val="24"/>
          <w:szCs w:val="24"/>
        </w:rPr>
      </w:pPr>
    </w:p>
    <w:p w:rsidR="001B7E1F" w:rsidRPr="006E026B" w:rsidRDefault="001B7E1F" w:rsidP="001B7E1F">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4F78F8">
        <w:rPr>
          <w:rFonts w:ascii="Arial" w:hAnsi="Arial" w:cs="Arial"/>
          <w:sz w:val="24"/>
          <w:szCs w:val="24"/>
        </w:rPr>
        <w:t>CHRISTIAAN AJ</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0B6624">
        <w:rPr>
          <w:rFonts w:ascii="Arial" w:hAnsi="Arial" w:cs="Arial"/>
          <w:b/>
          <w:sz w:val="24"/>
          <w:szCs w:val="24"/>
        </w:rPr>
        <w:t>31 October 2022 and 03 November 2022</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C65BB7">
        <w:rPr>
          <w:rFonts w:ascii="Arial" w:hAnsi="Arial" w:cs="Arial"/>
          <w:b/>
          <w:sz w:val="24"/>
          <w:szCs w:val="24"/>
        </w:rPr>
        <w:t>17</w:t>
      </w:r>
      <w:r w:rsidR="004F78F8">
        <w:rPr>
          <w:rFonts w:ascii="Arial" w:hAnsi="Arial" w:cs="Arial"/>
          <w:b/>
          <w:sz w:val="24"/>
          <w:szCs w:val="24"/>
        </w:rPr>
        <w:t xml:space="preserve"> March 2023</w:t>
      </w:r>
    </w:p>
    <w:p w:rsidR="00D254AF" w:rsidRPr="006E026B" w:rsidRDefault="00D254AF" w:rsidP="001B7E1F">
      <w:pPr>
        <w:spacing w:after="0" w:line="360" w:lineRule="auto"/>
        <w:jc w:val="both"/>
        <w:rPr>
          <w:rFonts w:ascii="Arial" w:hAnsi="Arial" w:cs="Arial"/>
          <w:b/>
          <w:sz w:val="24"/>
          <w:szCs w:val="24"/>
        </w:rPr>
      </w:pPr>
    </w:p>
    <w:p w:rsidR="006C16CE" w:rsidRDefault="00F97EE2" w:rsidP="006C16CE">
      <w:pPr>
        <w:widowControl w:val="0"/>
        <w:autoSpaceDE w:val="0"/>
        <w:autoSpaceDN w:val="0"/>
        <w:adjustRightInd w:val="0"/>
        <w:spacing w:after="0" w:line="360" w:lineRule="auto"/>
        <w:ind w:right="119"/>
        <w:jc w:val="both"/>
        <w:rPr>
          <w:rFonts w:ascii="Arial" w:hAnsi="Arial" w:cs="Arial"/>
          <w:sz w:val="24"/>
          <w:szCs w:val="24"/>
        </w:rPr>
      </w:pPr>
      <w:r>
        <w:rPr>
          <w:rFonts w:ascii="Arial" w:hAnsi="Arial" w:cs="Arial"/>
          <w:b/>
          <w:sz w:val="24"/>
          <w:szCs w:val="24"/>
        </w:rPr>
        <w:t>Fly</w:t>
      </w:r>
      <w:r w:rsidR="004F78F8" w:rsidRPr="004A2319">
        <w:rPr>
          <w:rFonts w:ascii="Arial" w:hAnsi="Arial" w:cs="Arial"/>
          <w:b/>
          <w:sz w:val="24"/>
          <w:szCs w:val="24"/>
        </w:rPr>
        <w:t>note</w:t>
      </w:r>
      <w:r w:rsidR="001B7E1F" w:rsidRPr="008F578C">
        <w:rPr>
          <w:rFonts w:ascii="Arial" w:hAnsi="Arial" w:cs="Arial"/>
          <w:sz w:val="24"/>
          <w:szCs w:val="24"/>
        </w:rPr>
        <w:t>:</w:t>
      </w:r>
      <w:r w:rsidR="001B7E1F" w:rsidRPr="008F578C">
        <w:rPr>
          <w:rFonts w:ascii="Arial" w:hAnsi="Arial" w:cs="Arial"/>
          <w:sz w:val="24"/>
          <w:szCs w:val="24"/>
        </w:rPr>
        <w:tab/>
      </w:r>
      <w:r w:rsidR="00180199" w:rsidRPr="00180199">
        <w:rPr>
          <w:rFonts w:ascii="Arial" w:hAnsi="Arial" w:cs="Arial"/>
          <w:sz w:val="24"/>
          <w:szCs w:val="24"/>
        </w:rPr>
        <w:t xml:space="preserve">Administrative law - Administrative act - Invalidity of - Consequences of </w:t>
      </w:r>
      <w:r w:rsidR="00097C4A">
        <w:rPr>
          <w:rFonts w:ascii="Arial" w:hAnsi="Arial" w:cs="Arial"/>
          <w:sz w:val="24"/>
          <w:szCs w:val="24"/>
        </w:rPr>
        <w:t>erroneous administrative decision</w:t>
      </w:r>
      <w:r w:rsidR="00180199" w:rsidRPr="00180199">
        <w:rPr>
          <w:rFonts w:ascii="Arial" w:hAnsi="Arial" w:cs="Arial"/>
          <w:sz w:val="24"/>
          <w:szCs w:val="24"/>
        </w:rPr>
        <w:t xml:space="preserve"> - Until </w:t>
      </w:r>
      <w:r w:rsidR="00097C4A">
        <w:rPr>
          <w:rFonts w:ascii="Arial" w:hAnsi="Arial" w:cs="Arial"/>
          <w:sz w:val="24"/>
          <w:szCs w:val="24"/>
        </w:rPr>
        <w:t>erroneous</w:t>
      </w:r>
      <w:r w:rsidR="00180199" w:rsidRPr="00180199">
        <w:rPr>
          <w:rFonts w:ascii="Arial" w:hAnsi="Arial" w:cs="Arial"/>
          <w:sz w:val="24"/>
          <w:szCs w:val="24"/>
        </w:rPr>
        <w:t xml:space="preserve"> administrative action set aside by court in proceedings for judicial review, it exists in fact and it has legal consequences that cannot simply be overlook</w:t>
      </w:r>
      <w:r w:rsidR="00180199">
        <w:rPr>
          <w:rFonts w:ascii="Arial" w:hAnsi="Arial" w:cs="Arial"/>
          <w:sz w:val="24"/>
          <w:szCs w:val="24"/>
        </w:rPr>
        <w:t xml:space="preserve">ed.   </w:t>
      </w:r>
    </w:p>
    <w:p w:rsidR="0035613D" w:rsidRDefault="0035613D" w:rsidP="006C16CE">
      <w:pPr>
        <w:widowControl w:val="0"/>
        <w:autoSpaceDE w:val="0"/>
        <w:autoSpaceDN w:val="0"/>
        <w:adjustRightInd w:val="0"/>
        <w:spacing w:after="0" w:line="360" w:lineRule="auto"/>
        <w:ind w:right="119"/>
        <w:jc w:val="both"/>
        <w:rPr>
          <w:rFonts w:ascii="Arial" w:hAnsi="Arial" w:cs="Arial"/>
          <w:sz w:val="24"/>
          <w:szCs w:val="24"/>
        </w:rPr>
      </w:pPr>
    </w:p>
    <w:p w:rsidR="00667CB5" w:rsidRPr="0035613D" w:rsidRDefault="0035613D" w:rsidP="006951FF">
      <w:pPr>
        <w:widowControl w:val="0"/>
        <w:autoSpaceDE w:val="0"/>
        <w:autoSpaceDN w:val="0"/>
        <w:adjustRightInd w:val="0"/>
        <w:spacing w:after="0" w:line="360" w:lineRule="auto"/>
        <w:ind w:right="119"/>
        <w:jc w:val="both"/>
        <w:rPr>
          <w:rFonts w:ascii="Arial" w:hAnsi="Arial" w:cs="Arial"/>
          <w:sz w:val="24"/>
          <w:szCs w:val="24"/>
          <w:lang w:val="en-GB"/>
        </w:rPr>
      </w:pPr>
      <w:r w:rsidRPr="00180199">
        <w:rPr>
          <w:rFonts w:ascii="Arial" w:hAnsi="Arial" w:cs="Arial"/>
          <w:sz w:val="24"/>
          <w:szCs w:val="24"/>
        </w:rPr>
        <w:t>Administrative law - Administrative act - Invalidity</w:t>
      </w:r>
      <w:r w:rsidR="000B5986">
        <w:rPr>
          <w:rFonts w:ascii="Arial" w:hAnsi="Arial" w:cs="Arial"/>
          <w:sz w:val="24"/>
          <w:szCs w:val="24"/>
        </w:rPr>
        <w:t xml:space="preserve"> of - Consequences of </w:t>
      </w:r>
      <w:r w:rsidR="00097C4A">
        <w:rPr>
          <w:rFonts w:ascii="Arial" w:hAnsi="Arial" w:cs="Arial"/>
          <w:sz w:val="24"/>
          <w:szCs w:val="24"/>
        </w:rPr>
        <w:t>erroneous</w:t>
      </w:r>
      <w:r w:rsidR="00220241">
        <w:rPr>
          <w:rFonts w:ascii="Arial" w:hAnsi="Arial" w:cs="Arial"/>
          <w:sz w:val="24"/>
          <w:szCs w:val="24"/>
        </w:rPr>
        <w:t xml:space="preserve"> </w:t>
      </w:r>
      <w:r w:rsidR="000B5986">
        <w:rPr>
          <w:rFonts w:ascii="Arial" w:hAnsi="Arial" w:cs="Arial"/>
          <w:sz w:val="24"/>
          <w:szCs w:val="24"/>
        </w:rPr>
        <w:t>decision taken</w:t>
      </w:r>
      <w:r>
        <w:rPr>
          <w:rFonts w:ascii="Arial" w:hAnsi="Arial" w:cs="Arial"/>
          <w:sz w:val="24"/>
          <w:szCs w:val="24"/>
        </w:rPr>
        <w:t xml:space="preserve"> by </w:t>
      </w:r>
      <w:r w:rsidR="004F78F8">
        <w:rPr>
          <w:rFonts w:ascii="Arial" w:hAnsi="Arial" w:cs="Arial"/>
          <w:sz w:val="24"/>
          <w:szCs w:val="24"/>
        </w:rPr>
        <w:t>the Master of the High Court</w:t>
      </w:r>
      <w:r>
        <w:rPr>
          <w:rFonts w:ascii="Arial" w:hAnsi="Arial" w:cs="Arial"/>
          <w:sz w:val="24"/>
          <w:szCs w:val="24"/>
        </w:rPr>
        <w:t xml:space="preserve"> – would </w:t>
      </w:r>
      <w:r w:rsidR="004F78F8">
        <w:rPr>
          <w:rFonts w:ascii="Arial" w:hAnsi="Arial" w:cs="Arial"/>
          <w:sz w:val="24"/>
          <w:szCs w:val="24"/>
        </w:rPr>
        <w:t xml:space="preserve">Executor </w:t>
      </w:r>
      <w:r>
        <w:rPr>
          <w:rFonts w:ascii="Arial" w:hAnsi="Arial" w:cs="Arial"/>
          <w:sz w:val="24"/>
          <w:szCs w:val="24"/>
        </w:rPr>
        <w:t>be</w:t>
      </w:r>
      <w:r>
        <w:rPr>
          <w:rFonts w:ascii="Arial" w:hAnsi="Arial" w:cs="Arial"/>
          <w:lang w:val="en-GB"/>
        </w:rPr>
        <w:t xml:space="preserve"> </w:t>
      </w:r>
      <w:r w:rsidRPr="0035613D">
        <w:rPr>
          <w:rFonts w:ascii="Arial" w:hAnsi="Arial" w:cs="Arial"/>
          <w:sz w:val="24"/>
          <w:szCs w:val="24"/>
          <w:lang w:val="en-GB"/>
        </w:rPr>
        <w:t xml:space="preserve">entitled to disregard the </w:t>
      </w:r>
      <w:r w:rsidR="004F78F8">
        <w:rPr>
          <w:rFonts w:ascii="Arial" w:hAnsi="Arial" w:cs="Arial"/>
          <w:sz w:val="24"/>
          <w:szCs w:val="24"/>
          <w:lang w:val="en-GB"/>
        </w:rPr>
        <w:t>Master</w:t>
      </w:r>
      <w:r w:rsidR="0014605E">
        <w:rPr>
          <w:rFonts w:ascii="Arial" w:hAnsi="Arial" w:cs="Arial"/>
          <w:sz w:val="24"/>
          <w:szCs w:val="24"/>
          <w:lang w:val="en-GB"/>
        </w:rPr>
        <w:t>’</w:t>
      </w:r>
      <w:r w:rsidR="004F78F8">
        <w:rPr>
          <w:rFonts w:ascii="Arial" w:hAnsi="Arial" w:cs="Arial"/>
          <w:sz w:val="24"/>
          <w:szCs w:val="24"/>
          <w:lang w:val="en-GB"/>
        </w:rPr>
        <w:t>s</w:t>
      </w:r>
      <w:r w:rsidRPr="0035613D">
        <w:rPr>
          <w:rFonts w:ascii="Arial" w:hAnsi="Arial" w:cs="Arial"/>
          <w:sz w:val="24"/>
          <w:szCs w:val="24"/>
          <w:lang w:val="en-GB"/>
        </w:rPr>
        <w:t xml:space="preserve"> decision and replace same with his own as a result of being </w:t>
      </w:r>
      <w:r w:rsidRPr="0035613D">
        <w:rPr>
          <w:rFonts w:ascii="Arial" w:hAnsi="Arial" w:cs="Arial"/>
          <w:sz w:val="24"/>
          <w:szCs w:val="24"/>
          <w:lang w:val="en-GB"/>
        </w:rPr>
        <w:lastRenderedPageBreak/>
        <w:t xml:space="preserve">the </w:t>
      </w:r>
      <w:r w:rsidR="004F78F8">
        <w:rPr>
          <w:rFonts w:ascii="Arial" w:hAnsi="Arial" w:cs="Arial"/>
          <w:sz w:val="24"/>
          <w:szCs w:val="24"/>
          <w:lang w:val="en-GB"/>
        </w:rPr>
        <w:t>Executor</w:t>
      </w:r>
      <w:r w:rsidRPr="0035613D">
        <w:rPr>
          <w:rFonts w:ascii="Arial" w:hAnsi="Arial" w:cs="Arial"/>
          <w:sz w:val="24"/>
          <w:szCs w:val="24"/>
          <w:lang w:val="en-GB"/>
        </w:rPr>
        <w:t xml:space="preserve"> –</w:t>
      </w:r>
      <w:r w:rsidR="0014605E">
        <w:rPr>
          <w:rFonts w:ascii="Arial" w:hAnsi="Arial" w:cs="Arial"/>
          <w:sz w:val="24"/>
          <w:szCs w:val="24"/>
          <w:lang w:val="en-GB"/>
        </w:rPr>
        <w:t xml:space="preserve"> Court held</w:t>
      </w:r>
      <w:r w:rsidRPr="0035613D">
        <w:rPr>
          <w:rFonts w:ascii="Arial" w:hAnsi="Arial" w:cs="Arial"/>
          <w:sz w:val="24"/>
          <w:szCs w:val="24"/>
          <w:lang w:val="en-GB"/>
        </w:rPr>
        <w:t xml:space="preserve"> </w:t>
      </w:r>
      <w:r w:rsidR="00097C4A" w:rsidRPr="0035613D">
        <w:rPr>
          <w:rFonts w:ascii="Arial" w:hAnsi="Arial" w:cs="Arial"/>
          <w:sz w:val="24"/>
          <w:szCs w:val="24"/>
          <w:lang w:val="en-GB"/>
        </w:rPr>
        <w:t>that the</w:t>
      </w:r>
      <w:r w:rsidRPr="0035613D">
        <w:rPr>
          <w:rFonts w:ascii="Arial" w:hAnsi="Arial" w:cs="Arial"/>
          <w:sz w:val="24"/>
          <w:szCs w:val="24"/>
          <w:lang w:val="en-GB"/>
        </w:rPr>
        <w:t xml:space="preserve"> decision</w:t>
      </w:r>
      <w:r w:rsidR="00FE7EFA">
        <w:rPr>
          <w:rFonts w:ascii="Arial" w:hAnsi="Arial" w:cs="Arial"/>
          <w:sz w:val="24"/>
          <w:szCs w:val="24"/>
          <w:lang w:val="en-GB"/>
        </w:rPr>
        <w:t xml:space="preserve"> of the </w:t>
      </w:r>
      <w:r w:rsidR="004F78F8">
        <w:rPr>
          <w:rFonts w:ascii="Arial" w:hAnsi="Arial" w:cs="Arial"/>
          <w:sz w:val="24"/>
          <w:szCs w:val="24"/>
          <w:lang w:val="en-GB"/>
        </w:rPr>
        <w:t>Master</w:t>
      </w:r>
      <w:r w:rsidR="00FE7EFA">
        <w:rPr>
          <w:rFonts w:ascii="Arial" w:hAnsi="Arial" w:cs="Arial"/>
          <w:sz w:val="24"/>
          <w:szCs w:val="24"/>
          <w:lang w:val="en-GB"/>
        </w:rPr>
        <w:t xml:space="preserve"> – even if irregular -</w:t>
      </w:r>
      <w:r w:rsidRPr="0035613D">
        <w:rPr>
          <w:rFonts w:ascii="Arial" w:hAnsi="Arial" w:cs="Arial"/>
          <w:sz w:val="24"/>
          <w:szCs w:val="24"/>
          <w:lang w:val="en-GB"/>
        </w:rPr>
        <w:t xml:space="preserve"> would have to stand until set aside in proceedings for judicial review – until such time it continued to exist in fact and would have legal consequences</w:t>
      </w:r>
      <w:r w:rsidR="004F78F8">
        <w:rPr>
          <w:rFonts w:ascii="Arial" w:hAnsi="Arial" w:cs="Arial"/>
          <w:sz w:val="24"/>
          <w:szCs w:val="24"/>
          <w:lang w:val="en-GB"/>
        </w:rPr>
        <w:t>.</w:t>
      </w:r>
      <w:r w:rsidR="00FE7EFA">
        <w:rPr>
          <w:rFonts w:ascii="Arial" w:hAnsi="Arial" w:cs="Arial"/>
          <w:sz w:val="24"/>
          <w:szCs w:val="24"/>
          <w:lang w:val="en-GB"/>
        </w:rPr>
        <w:t xml:space="preserve"> </w:t>
      </w:r>
      <w:r w:rsidR="006951FF" w:rsidRPr="006951FF">
        <w:rPr>
          <w:rFonts w:ascii="Arial" w:hAnsi="Arial" w:cs="Arial"/>
          <w:sz w:val="24"/>
          <w:szCs w:val="24"/>
          <w:lang w:val="en-GB"/>
        </w:rPr>
        <w:t>Administrative action – status of administrative de</w:t>
      </w:r>
      <w:r w:rsidR="00097C4A">
        <w:rPr>
          <w:rFonts w:ascii="Arial" w:hAnsi="Arial" w:cs="Arial"/>
          <w:sz w:val="24"/>
          <w:szCs w:val="24"/>
          <w:lang w:val="en-GB"/>
        </w:rPr>
        <w:t xml:space="preserve">cision </w:t>
      </w:r>
      <w:r w:rsidR="006951FF" w:rsidRPr="006951FF">
        <w:rPr>
          <w:rFonts w:ascii="Arial" w:hAnsi="Arial" w:cs="Arial"/>
          <w:sz w:val="24"/>
          <w:szCs w:val="24"/>
          <w:lang w:val="en-GB"/>
        </w:rPr>
        <w:t>improperly taken – decision remai</w:t>
      </w:r>
      <w:r w:rsidR="00097C4A">
        <w:rPr>
          <w:rFonts w:ascii="Arial" w:hAnsi="Arial" w:cs="Arial"/>
          <w:sz w:val="24"/>
          <w:szCs w:val="24"/>
          <w:lang w:val="en-GB"/>
        </w:rPr>
        <w:t xml:space="preserve">ns effectual until properly set </w:t>
      </w:r>
      <w:r w:rsidR="006951FF" w:rsidRPr="006951FF">
        <w:rPr>
          <w:rFonts w:ascii="Arial" w:hAnsi="Arial" w:cs="Arial"/>
          <w:sz w:val="24"/>
          <w:szCs w:val="24"/>
          <w:lang w:val="en-GB"/>
        </w:rPr>
        <w:t xml:space="preserve">aside and cannot be ignored – application of </w:t>
      </w:r>
      <w:r w:rsidR="006951FF" w:rsidRPr="00097C4A">
        <w:rPr>
          <w:rFonts w:ascii="Arial" w:hAnsi="Arial" w:cs="Arial"/>
          <w:i/>
          <w:sz w:val="24"/>
          <w:szCs w:val="24"/>
          <w:lang w:val="en-GB"/>
        </w:rPr>
        <w:t xml:space="preserve">Oudekraal </w:t>
      </w:r>
      <w:r w:rsidR="006951FF" w:rsidRPr="006951FF">
        <w:rPr>
          <w:rFonts w:ascii="Arial" w:hAnsi="Arial" w:cs="Arial"/>
          <w:sz w:val="24"/>
          <w:szCs w:val="24"/>
          <w:lang w:val="en-GB"/>
        </w:rPr>
        <w:t>judgment</w:t>
      </w:r>
      <w:r w:rsidR="0014605E">
        <w:rPr>
          <w:rFonts w:ascii="Arial" w:hAnsi="Arial" w:cs="Arial"/>
          <w:sz w:val="24"/>
          <w:szCs w:val="24"/>
          <w:lang w:val="en-GB"/>
        </w:rPr>
        <w:t>.</w:t>
      </w:r>
    </w:p>
    <w:p w:rsidR="0035613D" w:rsidRPr="008F578C" w:rsidRDefault="0035613D" w:rsidP="0035613D">
      <w:pPr>
        <w:widowControl w:val="0"/>
        <w:autoSpaceDE w:val="0"/>
        <w:autoSpaceDN w:val="0"/>
        <w:adjustRightInd w:val="0"/>
        <w:spacing w:after="0" w:line="360" w:lineRule="auto"/>
        <w:ind w:right="119"/>
        <w:jc w:val="both"/>
        <w:rPr>
          <w:rFonts w:ascii="Arial" w:hAnsi="Arial" w:cs="Arial"/>
          <w:i/>
          <w:sz w:val="24"/>
          <w:szCs w:val="24"/>
        </w:rPr>
      </w:pPr>
    </w:p>
    <w:p w:rsidR="00FE7EFA" w:rsidRDefault="00B66966" w:rsidP="00D82866">
      <w:pPr>
        <w:spacing w:after="0" w:line="360" w:lineRule="auto"/>
        <w:jc w:val="both"/>
        <w:rPr>
          <w:rFonts w:ascii="Arial" w:hAnsi="Arial" w:cs="Arial"/>
          <w:sz w:val="24"/>
          <w:szCs w:val="24"/>
          <w:lang w:val="en-GB"/>
        </w:rPr>
      </w:pPr>
      <w:r w:rsidRPr="004A2319">
        <w:rPr>
          <w:rFonts w:ascii="Arial" w:hAnsi="Arial" w:cs="Arial"/>
          <w:b/>
          <w:sz w:val="24"/>
          <w:szCs w:val="24"/>
        </w:rPr>
        <w:t>Summary</w:t>
      </w:r>
      <w:r w:rsidRPr="008F578C">
        <w:rPr>
          <w:rFonts w:ascii="Arial" w:hAnsi="Arial" w:cs="Arial"/>
          <w:sz w:val="24"/>
          <w:szCs w:val="24"/>
        </w:rPr>
        <w:t xml:space="preserve">: </w:t>
      </w:r>
      <w:r w:rsidR="0014605E">
        <w:rPr>
          <w:rFonts w:ascii="Arial" w:hAnsi="Arial" w:cs="Arial"/>
          <w:sz w:val="24"/>
          <w:szCs w:val="24"/>
        </w:rPr>
        <w:t xml:space="preserve">I was the plaintiff’s case </w:t>
      </w:r>
      <w:r w:rsidR="00546CAE" w:rsidRPr="00546CAE">
        <w:rPr>
          <w:rFonts w:ascii="Arial" w:hAnsi="Arial" w:cs="Arial"/>
          <w:sz w:val="24"/>
          <w:szCs w:val="24"/>
        </w:rPr>
        <w:t>that she won a motor vehicle from the Jewel Casi</w:t>
      </w:r>
      <w:r w:rsidR="0014605E">
        <w:rPr>
          <w:rFonts w:ascii="Arial" w:hAnsi="Arial" w:cs="Arial"/>
          <w:sz w:val="24"/>
          <w:szCs w:val="24"/>
        </w:rPr>
        <w:t xml:space="preserve">no in Windhoek during a visit to </w:t>
      </w:r>
      <w:r w:rsidR="00546CAE" w:rsidRPr="00546CAE">
        <w:rPr>
          <w:rFonts w:ascii="Arial" w:hAnsi="Arial" w:cs="Arial"/>
          <w:sz w:val="24"/>
          <w:szCs w:val="24"/>
        </w:rPr>
        <w:t xml:space="preserve"> Namibia, and that this vehicle was registered in the name of her late husband who was paying insurance on the vehicle. The </w:t>
      </w:r>
      <w:r w:rsidR="0014605E">
        <w:rPr>
          <w:rFonts w:ascii="Arial" w:hAnsi="Arial" w:cs="Arial"/>
          <w:sz w:val="24"/>
          <w:szCs w:val="24"/>
        </w:rPr>
        <w:t>s</w:t>
      </w:r>
      <w:r w:rsidR="00546CAE" w:rsidRPr="00546CAE">
        <w:rPr>
          <w:rFonts w:ascii="Arial" w:hAnsi="Arial" w:cs="Arial"/>
          <w:sz w:val="24"/>
          <w:szCs w:val="24"/>
        </w:rPr>
        <w:t>econd defendant, who was the executor in the estate of her late husband, took possession of the vehicle, without her permission</w:t>
      </w:r>
      <w:r w:rsidR="0014605E">
        <w:rPr>
          <w:rFonts w:ascii="Arial" w:hAnsi="Arial" w:cs="Arial"/>
          <w:sz w:val="24"/>
          <w:szCs w:val="24"/>
        </w:rPr>
        <w:t>.</w:t>
      </w:r>
      <w:r w:rsidR="00546CAE" w:rsidRPr="00546CAE">
        <w:rPr>
          <w:rFonts w:ascii="Arial" w:hAnsi="Arial" w:cs="Arial"/>
          <w:sz w:val="24"/>
          <w:szCs w:val="24"/>
        </w:rPr>
        <w:t xml:space="preserve"> </w:t>
      </w:r>
      <w:r w:rsidR="0014605E">
        <w:rPr>
          <w:rFonts w:ascii="Arial" w:hAnsi="Arial" w:cs="Arial"/>
          <w:sz w:val="24"/>
          <w:szCs w:val="24"/>
        </w:rPr>
        <w:t xml:space="preserve">Plaintiff </w:t>
      </w:r>
      <w:r w:rsidR="00546CAE" w:rsidRPr="00546CAE">
        <w:rPr>
          <w:rFonts w:ascii="Arial" w:hAnsi="Arial" w:cs="Arial"/>
          <w:sz w:val="24"/>
          <w:szCs w:val="24"/>
        </w:rPr>
        <w:t>lodged an objection, w</w:t>
      </w:r>
      <w:r w:rsidR="0014605E">
        <w:rPr>
          <w:rFonts w:ascii="Arial" w:hAnsi="Arial" w:cs="Arial"/>
          <w:sz w:val="24"/>
          <w:szCs w:val="24"/>
        </w:rPr>
        <w:t>hich was not considered by the f</w:t>
      </w:r>
      <w:r w:rsidR="00546CAE" w:rsidRPr="00546CAE">
        <w:rPr>
          <w:rFonts w:ascii="Arial" w:hAnsi="Arial" w:cs="Arial"/>
          <w:sz w:val="24"/>
          <w:szCs w:val="24"/>
        </w:rPr>
        <w:t xml:space="preserve">irst defendant.  The first defendant issued a letter of non-objection and </w:t>
      </w:r>
      <w:r w:rsidR="0014605E">
        <w:rPr>
          <w:rFonts w:ascii="Arial" w:hAnsi="Arial" w:cs="Arial"/>
          <w:sz w:val="24"/>
          <w:szCs w:val="24"/>
        </w:rPr>
        <w:t xml:space="preserve">it was </w:t>
      </w:r>
      <w:r w:rsidR="00546CAE" w:rsidRPr="00546CAE">
        <w:rPr>
          <w:rFonts w:ascii="Arial" w:hAnsi="Arial" w:cs="Arial"/>
          <w:sz w:val="24"/>
          <w:szCs w:val="24"/>
        </w:rPr>
        <w:t xml:space="preserve">on that basis, </w:t>
      </w:r>
      <w:r w:rsidR="0014605E">
        <w:rPr>
          <w:rFonts w:ascii="Arial" w:hAnsi="Arial" w:cs="Arial"/>
          <w:sz w:val="24"/>
          <w:szCs w:val="24"/>
        </w:rPr>
        <w:t>that</w:t>
      </w:r>
      <w:r w:rsidR="00546CAE" w:rsidRPr="00546CAE">
        <w:rPr>
          <w:rFonts w:ascii="Arial" w:hAnsi="Arial" w:cs="Arial"/>
          <w:sz w:val="24"/>
          <w:szCs w:val="24"/>
        </w:rPr>
        <w:t xml:space="preserve"> the second defendant dispose</w:t>
      </w:r>
      <w:r w:rsidR="0014605E">
        <w:rPr>
          <w:rFonts w:ascii="Arial" w:hAnsi="Arial" w:cs="Arial"/>
          <w:sz w:val="24"/>
          <w:szCs w:val="24"/>
        </w:rPr>
        <w:t>d</w:t>
      </w:r>
      <w:r w:rsidR="00546CAE" w:rsidRPr="00546CAE">
        <w:rPr>
          <w:rFonts w:ascii="Arial" w:hAnsi="Arial" w:cs="Arial"/>
          <w:sz w:val="24"/>
          <w:szCs w:val="24"/>
        </w:rPr>
        <w:t xml:space="preserve"> of the estate and sold the vehicle.</w:t>
      </w:r>
      <w:r w:rsidR="00546CAE">
        <w:rPr>
          <w:rFonts w:ascii="Arial" w:hAnsi="Arial" w:cs="Arial"/>
          <w:sz w:val="24"/>
          <w:szCs w:val="24"/>
        </w:rPr>
        <w:t xml:space="preserve"> The first defendant issued a letter to the plaintiff, informing her that the vehicle was sold and that she is </w:t>
      </w:r>
      <w:r w:rsidR="00546CAE" w:rsidRPr="00546CAE">
        <w:rPr>
          <w:rFonts w:ascii="Arial" w:hAnsi="Arial" w:cs="Arial"/>
          <w:i/>
          <w:sz w:val="24"/>
          <w:szCs w:val="24"/>
        </w:rPr>
        <w:t>functus officio</w:t>
      </w:r>
      <w:r w:rsidR="00546CAE">
        <w:rPr>
          <w:rFonts w:ascii="Arial" w:hAnsi="Arial" w:cs="Arial"/>
          <w:sz w:val="24"/>
          <w:szCs w:val="24"/>
        </w:rPr>
        <w:t xml:space="preserve">. </w:t>
      </w:r>
      <w:r w:rsidR="0014605E">
        <w:rPr>
          <w:rFonts w:ascii="Arial" w:hAnsi="Arial" w:cs="Arial"/>
          <w:sz w:val="24"/>
          <w:szCs w:val="24"/>
        </w:rPr>
        <w:t>The plaintiff</w:t>
      </w:r>
      <w:r w:rsidR="00546CAE" w:rsidRPr="00546CAE">
        <w:rPr>
          <w:rFonts w:ascii="Arial" w:hAnsi="Arial" w:cs="Arial"/>
          <w:sz w:val="24"/>
          <w:szCs w:val="24"/>
        </w:rPr>
        <w:t xml:space="preserve"> approached the court for an order declaring the inclusion of the vehicle as wrongful and unlawful and that the defendants are liable to reimburse her for the vehi</w:t>
      </w:r>
      <w:r w:rsidR="0014605E">
        <w:rPr>
          <w:rFonts w:ascii="Arial" w:hAnsi="Arial" w:cs="Arial"/>
          <w:sz w:val="24"/>
          <w:szCs w:val="24"/>
        </w:rPr>
        <w:t>cle in the amount of N$353,300</w:t>
      </w:r>
      <w:r w:rsidR="00546CAE" w:rsidRPr="00546CAE">
        <w:rPr>
          <w:rFonts w:ascii="Arial" w:hAnsi="Arial" w:cs="Arial"/>
          <w:sz w:val="24"/>
          <w:szCs w:val="24"/>
        </w:rPr>
        <w:t>.</w:t>
      </w:r>
    </w:p>
    <w:p w:rsidR="00956A9F" w:rsidRDefault="00956A9F" w:rsidP="00D82866">
      <w:pPr>
        <w:spacing w:after="0" w:line="360" w:lineRule="auto"/>
        <w:jc w:val="both"/>
        <w:rPr>
          <w:rFonts w:ascii="Arial" w:hAnsi="Arial" w:cs="Arial"/>
          <w:sz w:val="24"/>
          <w:szCs w:val="24"/>
          <w:lang w:val="en-GB"/>
        </w:rPr>
      </w:pPr>
    </w:p>
    <w:p w:rsidR="00FE7EFA" w:rsidRDefault="00B433A1" w:rsidP="00D82866">
      <w:pPr>
        <w:spacing w:after="0" w:line="360" w:lineRule="auto"/>
        <w:jc w:val="both"/>
        <w:rPr>
          <w:rFonts w:ascii="Arial" w:hAnsi="Arial" w:cs="Arial"/>
          <w:sz w:val="24"/>
          <w:szCs w:val="24"/>
          <w:lang w:val="en-GB"/>
        </w:rPr>
      </w:pPr>
      <w:r w:rsidRPr="00097C4A">
        <w:rPr>
          <w:rFonts w:ascii="Arial" w:hAnsi="Arial" w:cs="Arial"/>
          <w:i/>
          <w:sz w:val="24"/>
          <w:szCs w:val="24"/>
          <w:lang w:val="en-GB"/>
        </w:rPr>
        <w:t>Held</w:t>
      </w:r>
      <w:r w:rsidR="00097C4A">
        <w:rPr>
          <w:rFonts w:ascii="Arial" w:hAnsi="Arial" w:cs="Arial"/>
          <w:i/>
          <w:sz w:val="24"/>
          <w:szCs w:val="24"/>
          <w:lang w:val="en-GB"/>
        </w:rPr>
        <w:t xml:space="preserve"> that</w:t>
      </w:r>
      <w:r w:rsidR="0014605E">
        <w:rPr>
          <w:rFonts w:ascii="Arial" w:hAnsi="Arial" w:cs="Arial"/>
          <w:i/>
          <w:sz w:val="24"/>
          <w:szCs w:val="24"/>
          <w:lang w:val="en-GB"/>
        </w:rPr>
        <w:t>:</w:t>
      </w:r>
      <w:r w:rsidR="00097C4A">
        <w:rPr>
          <w:rFonts w:ascii="Arial" w:hAnsi="Arial" w:cs="Arial"/>
          <w:i/>
          <w:sz w:val="24"/>
          <w:szCs w:val="24"/>
          <w:lang w:val="en-GB"/>
        </w:rPr>
        <w:t xml:space="preserve"> </w:t>
      </w:r>
      <w:r w:rsidR="0014605E">
        <w:rPr>
          <w:rFonts w:ascii="Arial" w:hAnsi="Arial" w:cs="Arial"/>
          <w:i/>
          <w:sz w:val="24"/>
          <w:szCs w:val="24"/>
          <w:lang w:val="en-GB"/>
        </w:rPr>
        <w:t>I</w:t>
      </w:r>
      <w:r w:rsidR="00FE7EFA">
        <w:rPr>
          <w:rFonts w:ascii="Arial" w:hAnsi="Arial" w:cs="Arial"/>
          <w:sz w:val="24"/>
          <w:szCs w:val="24"/>
          <w:lang w:val="en-GB"/>
        </w:rPr>
        <w:t xml:space="preserve">in the absence of proceedings setting aside the </w:t>
      </w:r>
      <w:r w:rsidR="004F78F8">
        <w:rPr>
          <w:rFonts w:ascii="Arial" w:hAnsi="Arial" w:cs="Arial"/>
          <w:sz w:val="24"/>
          <w:szCs w:val="24"/>
          <w:lang w:val="en-GB"/>
        </w:rPr>
        <w:t>Masters</w:t>
      </w:r>
      <w:r w:rsidR="00FE7EFA">
        <w:rPr>
          <w:rFonts w:ascii="Arial" w:hAnsi="Arial" w:cs="Arial"/>
          <w:sz w:val="24"/>
          <w:szCs w:val="24"/>
          <w:lang w:val="en-GB"/>
        </w:rPr>
        <w:t xml:space="preserve"> decision such decision</w:t>
      </w:r>
      <w:r w:rsidR="001116E6">
        <w:rPr>
          <w:rFonts w:ascii="Arial" w:hAnsi="Arial" w:cs="Arial"/>
          <w:sz w:val="24"/>
          <w:szCs w:val="24"/>
          <w:lang w:val="en-GB"/>
        </w:rPr>
        <w:t xml:space="preserve"> could not be disregarded and had to be </w:t>
      </w:r>
      <w:r w:rsidR="00FE7EFA">
        <w:rPr>
          <w:rFonts w:ascii="Arial" w:hAnsi="Arial" w:cs="Arial"/>
          <w:sz w:val="24"/>
          <w:szCs w:val="24"/>
          <w:lang w:val="en-GB"/>
        </w:rPr>
        <w:t>considered valid until set aside.</w:t>
      </w:r>
    </w:p>
    <w:p w:rsidR="00671A34" w:rsidRDefault="00671A34" w:rsidP="00D82866">
      <w:pPr>
        <w:spacing w:after="0" w:line="360" w:lineRule="auto"/>
        <w:jc w:val="both"/>
        <w:rPr>
          <w:rFonts w:ascii="Arial" w:hAnsi="Arial" w:cs="Arial"/>
          <w:sz w:val="24"/>
          <w:szCs w:val="24"/>
          <w:lang w:val="en-GB"/>
        </w:rPr>
      </w:pPr>
    </w:p>
    <w:p w:rsidR="00FE7EFA" w:rsidRDefault="00097C4A" w:rsidP="00D82866">
      <w:pPr>
        <w:spacing w:after="0" w:line="360" w:lineRule="auto"/>
        <w:jc w:val="both"/>
        <w:rPr>
          <w:rFonts w:ascii="Arial" w:hAnsi="Arial" w:cs="Arial"/>
          <w:sz w:val="24"/>
          <w:szCs w:val="24"/>
          <w:lang w:val="en-GB"/>
        </w:rPr>
      </w:pPr>
      <w:r w:rsidRPr="00097C4A">
        <w:rPr>
          <w:rFonts w:ascii="Arial" w:hAnsi="Arial" w:cs="Arial"/>
          <w:i/>
          <w:sz w:val="24"/>
          <w:szCs w:val="24"/>
          <w:lang w:val="en-GB"/>
        </w:rPr>
        <w:t>Held further that</w:t>
      </w:r>
      <w:r w:rsidR="0014605E">
        <w:rPr>
          <w:rFonts w:ascii="Arial" w:hAnsi="Arial" w:cs="Arial"/>
          <w:i/>
          <w:sz w:val="24"/>
          <w:szCs w:val="24"/>
          <w:lang w:val="en-GB"/>
        </w:rPr>
        <w:t>:</w:t>
      </w:r>
      <w:r w:rsidRPr="00097C4A">
        <w:rPr>
          <w:rFonts w:ascii="Arial" w:hAnsi="Arial" w:cs="Arial"/>
          <w:sz w:val="24"/>
          <w:szCs w:val="24"/>
          <w:lang w:val="en-GB"/>
        </w:rPr>
        <w:t xml:space="preserve"> </w:t>
      </w:r>
      <w:r w:rsidR="0014605E">
        <w:rPr>
          <w:rFonts w:ascii="Arial" w:hAnsi="Arial" w:cs="Arial"/>
          <w:sz w:val="24"/>
          <w:szCs w:val="24"/>
          <w:lang w:val="en-GB"/>
        </w:rPr>
        <w:t>the Executor,</w:t>
      </w:r>
      <w:r w:rsidR="004F78F8">
        <w:rPr>
          <w:rFonts w:ascii="Arial" w:hAnsi="Arial" w:cs="Arial"/>
          <w:sz w:val="24"/>
          <w:szCs w:val="24"/>
          <w:lang w:val="en-GB"/>
        </w:rPr>
        <w:t xml:space="preserve"> by virtue of his powers could not just </w:t>
      </w:r>
      <w:r w:rsidR="00D254AF">
        <w:rPr>
          <w:rFonts w:ascii="Arial" w:hAnsi="Arial" w:cs="Arial"/>
          <w:sz w:val="24"/>
          <w:szCs w:val="24"/>
          <w:lang w:val="en-GB"/>
        </w:rPr>
        <w:t>second-guess</w:t>
      </w:r>
      <w:r w:rsidR="004F78F8">
        <w:rPr>
          <w:rFonts w:ascii="Arial" w:hAnsi="Arial" w:cs="Arial"/>
          <w:sz w:val="24"/>
          <w:szCs w:val="24"/>
          <w:lang w:val="en-GB"/>
        </w:rPr>
        <w:t xml:space="preserve"> the</w:t>
      </w:r>
      <w:r w:rsidR="00D254AF">
        <w:rPr>
          <w:rFonts w:ascii="Arial" w:hAnsi="Arial" w:cs="Arial"/>
          <w:sz w:val="24"/>
          <w:szCs w:val="24"/>
          <w:lang w:val="en-GB"/>
        </w:rPr>
        <w:t xml:space="preserve"> </w:t>
      </w:r>
      <w:r w:rsidR="004F78F8">
        <w:rPr>
          <w:rFonts w:ascii="Arial" w:hAnsi="Arial" w:cs="Arial"/>
          <w:sz w:val="24"/>
          <w:szCs w:val="24"/>
          <w:lang w:val="en-GB"/>
        </w:rPr>
        <w:t>Master</w:t>
      </w:r>
      <w:r w:rsidR="0014605E">
        <w:rPr>
          <w:rFonts w:ascii="Arial" w:hAnsi="Arial" w:cs="Arial"/>
          <w:sz w:val="24"/>
          <w:szCs w:val="24"/>
          <w:lang w:val="en-GB"/>
        </w:rPr>
        <w:t>’</w:t>
      </w:r>
      <w:r w:rsidR="004F78F8">
        <w:rPr>
          <w:rFonts w:ascii="Arial" w:hAnsi="Arial" w:cs="Arial"/>
          <w:sz w:val="24"/>
          <w:szCs w:val="24"/>
          <w:lang w:val="en-GB"/>
        </w:rPr>
        <w:t xml:space="preserve">s </w:t>
      </w:r>
      <w:r w:rsidR="00D254AF">
        <w:rPr>
          <w:rFonts w:ascii="Arial" w:hAnsi="Arial" w:cs="Arial"/>
          <w:sz w:val="24"/>
          <w:szCs w:val="24"/>
          <w:lang w:val="en-GB"/>
        </w:rPr>
        <w:t>decision</w:t>
      </w:r>
      <w:r w:rsidR="0014605E">
        <w:rPr>
          <w:rFonts w:ascii="Arial" w:hAnsi="Arial" w:cs="Arial"/>
          <w:sz w:val="24"/>
          <w:szCs w:val="24"/>
          <w:lang w:val="en-GB"/>
        </w:rPr>
        <w:t>,</w:t>
      </w:r>
      <w:r w:rsidR="000B5986">
        <w:rPr>
          <w:rFonts w:ascii="Arial" w:hAnsi="Arial" w:cs="Arial"/>
          <w:sz w:val="24"/>
          <w:szCs w:val="24"/>
          <w:lang w:val="en-GB"/>
        </w:rPr>
        <w:t xml:space="preserve"> just</w:t>
      </w:r>
      <w:r w:rsidR="00D254AF">
        <w:rPr>
          <w:rFonts w:ascii="Arial" w:hAnsi="Arial" w:cs="Arial"/>
          <w:sz w:val="24"/>
          <w:szCs w:val="24"/>
          <w:lang w:val="en-GB"/>
        </w:rPr>
        <w:t xml:space="preserve"> </w:t>
      </w:r>
      <w:r w:rsidR="00D254AF" w:rsidRPr="00A26DDC">
        <w:rPr>
          <w:rFonts w:ascii="Arial" w:hAnsi="Arial" w:cs="Arial"/>
          <w:sz w:val="24"/>
          <w:szCs w:val="24"/>
          <w:lang w:val="en-GB"/>
        </w:rPr>
        <w:t xml:space="preserve">because he may take the view that the </w:t>
      </w:r>
      <w:r w:rsidR="004F78F8">
        <w:rPr>
          <w:rFonts w:ascii="Arial" w:hAnsi="Arial" w:cs="Arial"/>
          <w:sz w:val="24"/>
          <w:szCs w:val="24"/>
          <w:lang w:val="en-GB"/>
        </w:rPr>
        <w:t>Master</w:t>
      </w:r>
      <w:r w:rsidR="0014605E">
        <w:rPr>
          <w:rFonts w:ascii="Arial" w:hAnsi="Arial" w:cs="Arial"/>
          <w:sz w:val="24"/>
          <w:szCs w:val="24"/>
          <w:lang w:val="en-GB"/>
        </w:rPr>
        <w:t>’</w:t>
      </w:r>
      <w:r w:rsidR="004F78F8">
        <w:rPr>
          <w:rFonts w:ascii="Arial" w:hAnsi="Arial" w:cs="Arial"/>
          <w:sz w:val="24"/>
          <w:szCs w:val="24"/>
          <w:lang w:val="en-GB"/>
        </w:rPr>
        <w:t>s</w:t>
      </w:r>
      <w:r w:rsidR="0014605E">
        <w:rPr>
          <w:rFonts w:ascii="Arial" w:hAnsi="Arial" w:cs="Arial"/>
          <w:sz w:val="24"/>
          <w:szCs w:val="24"/>
          <w:lang w:val="en-GB"/>
        </w:rPr>
        <w:t xml:space="preserve"> decisions in this regard wAS</w:t>
      </w:r>
      <w:r w:rsidR="00D254AF" w:rsidRPr="00A26DDC">
        <w:rPr>
          <w:rFonts w:ascii="Arial" w:hAnsi="Arial" w:cs="Arial"/>
          <w:sz w:val="24"/>
          <w:szCs w:val="24"/>
          <w:lang w:val="en-GB"/>
        </w:rPr>
        <w:t xml:space="preserve"> wrong and simply</w:t>
      </w:r>
      <w:r w:rsidR="00D254AF">
        <w:rPr>
          <w:rFonts w:ascii="Arial" w:hAnsi="Arial" w:cs="Arial"/>
          <w:sz w:val="24"/>
          <w:szCs w:val="24"/>
          <w:lang w:val="en-GB"/>
        </w:rPr>
        <w:t>,</w:t>
      </w:r>
      <w:r w:rsidR="00D254AF" w:rsidRPr="00A26DDC">
        <w:rPr>
          <w:rFonts w:ascii="Arial" w:hAnsi="Arial" w:cs="Arial"/>
          <w:sz w:val="24"/>
          <w:szCs w:val="24"/>
          <w:lang w:val="en-GB"/>
        </w:rPr>
        <w:t xml:space="preserve"> through the stroke of the pen</w:t>
      </w:r>
      <w:r w:rsidR="00D254AF">
        <w:rPr>
          <w:rFonts w:ascii="Arial" w:hAnsi="Arial" w:cs="Arial"/>
          <w:sz w:val="24"/>
          <w:szCs w:val="24"/>
          <w:lang w:val="en-GB"/>
        </w:rPr>
        <w:t>,</w:t>
      </w:r>
      <w:r w:rsidR="00D254AF" w:rsidRPr="00A26DDC">
        <w:rPr>
          <w:rFonts w:ascii="Arial" w:hAnsi="Arial" w:cs="Arial"/>
          <w:sz w:val="24"/>
          <w:szCs w:val="24"/>
          <w:lang w:val="en-GB"/>
        </w:rPr>
        <w:t xml:space="preserve"> correct them according to his perceptions</w:t>
      </w:r>
      <w:r w:rsidR="00D254AF">
        <w:rPr>
          <w:rFonts w:ascii="Arial" w:hAnsi="Arial" w:cs="Arial"/>
          <w:sz w:val="24"/>
          <w:szCs w:val="24"/>
          <w:lang w:val="en-GB"/>
        </w:rPr>
        <w:t xml:space="preserve"> – Court holding that he was not entitled to do so.</w:t>
      </w:r>
    </w:p>
    <w:p w:rsidR="00671A34" w:rsidRDefault="00671A34" w:rsidP="001B7E1F">
      <w:pPr>
        <w:spacing w:after="0" w:line="360" w:lineRule="auto"/>
        <w:jc w:val="both"/>
        <w:rPr>
          <w:rFonts w:ascii="Arial" w:hAnsi="Arial" w:cs="Arial"/>
          <w:bCs/>
          <w:sz w:val="24"/>
          <w:szCs w:val="24"/>
        </w:rPr>
      </w:pPr>
    </w:p>
    <w:p w:rsidR="00D254AF" w:rsidRDefault="00097C4A" w:rsidP="001B7E1F">
      <w:pPr>
        <w:spacing w:after="0" w:line="360" w:lineRule="auto"/>
        <w:jc w:val="both"/>
        <w:rPr>
          <w:rFonts w:ascii="Arial" w:hAnsi="Arial" w:cs="Arial"/>
          <w:sz w:val="24"/>
          <w:szCs w:val="24"/>
          <w:lang w:val="en-GB"/>
        </w:rPr>
      </w:pPr>
      <w:r w:rsidRPr="00097C4A">
        <w:rPr>
          <w:rFonts w:ascii="Arial" w:hAnsi="Arial" w:cs="Arial"/>
          <w:bCs/>
          <w:i/>
          <w:sz w:val="24"/>
          <w:szCs w:val="24"/>
        </w:rPr>
        <w:t>Held that</w:t>
      </w:r>
      <w:r w:rsidR="00D254AF" w:rsidRPr="00097C4A">
        <w:rPr>
          <w:rFonts w:ascii="Arial" w:hAnsi="Arial" w:cs="Arial"/>
          <w:bCs/>
          <w:sz w:val="24"/>
          <w:szCs w:val="24"/>
        </w:rPr>
        <w:t xml:space="preserve"> </w:t>
      </w:r>
      <w:r w:rsidR="00D254AF" w:rsidRPr="00097C4A">
        <w:rPr>
          <w:rFonts w:ascii="Arial" w:hAnsi="Arial" w:cs="Arial"/>
          <w:sz w:val="24"/>
          <w:szCs w:val="24"/>
          <w:lang w:val="en-GB"/>
        </w:rPr>
        <w:t xml:space="preserve">In the circumstances of the case and where the decisions regarding the planned activities relating to the applicant’s Bell helicopter thus continued to stand - and were to be regarded as legally valid - in the absence of any review challenging these decisions – court not prepared to grant the relief that was sought by the </w:t>
      </w:r>
      <w:r w:rsidR="00E30EE3" w:rsidRPr="00097C4A">
        <w:rPr>
          <w:rFonts w:ascii="Arial" w:hAnsi="Arial" w:cs="Arial"/>
          <w:sz w:val="24"/>
          <w:szCs w:val="24"/>
          <w:lang w:val="en-GB"/>
        </w:rPr>
        <w:t xml:space="preserve">plaintiff </w:t>
      </w:r>
      <w:r w:rsidR="00D254AF" w:rsidRPr="00097C4A">
        <w:rPr>
          <w:rFonts w:ascii="Arial" w:hAnsi="Arial" w:cs="Arial"/>
          <w:sz w:val="24"/>
          <w:szCs w:val="24"/>
          <w:lang w:val="en-GB"/>
        </w:rPr>
        <w:t>– application accordingly dismissed with costs.</w:t>
      </w:r>
    </w:p>
    <w:p w:rsidR="000B5986" w:rsidRDefault="000B5986" w:rsidP="001B7E1F">
      <w:pPr>
        <w:spacing w:after="0" w:line="360" w:lineRule="auto"/>
        <w:jc w:val="both"/>
        <w:rPr>
          <w:rFonts w:ascii="Arial" w:hAnsi="Arial" w:cs="Arial"/>
          <w:bCs/>
          <w:sz w:val="24"/>
          <w:szCs w:val="24"/>
        </w:rPr>
      </w:pPr>
    </w:p>
    <w:p w:rsidR="0014605E" w:rsidRDefault="0014605E" w:rsidP="001B7E1F">
      <w:pPr>
        <w:spacing w:after="0" w:line="360" w:lineRule="auto"/>
        <w:jc w:val="both"/>
        <w:rPr>
          <w:rFonts w:ascii="Arial" w:hAnsi="Arial" w:cs="Arial"/>
          <w:bCs/>
          <w:sz w:val="24"/>
          <w:szCs w:val="24"/>
        </w:rPr>
      </w:pPr>
    </w:p>
    <w:p w:rsidR="0014605E" w:rsidRDefault="0014605E" w:rsidP="001B7E1F">
      <w:pPr>
        <w:spacing w:after="0" w:line="360" w:lineRule="auto"/>
        <w:jc w:val="both"/>
        <w:rPr>
          <w:rFonts w:ascii="Arial" w:hAnsi="Arial" w:cs="Arial"/>
          <w:bCs/>
          <w:sz w:val="24"/>
          <w:szCs w:val="24"/>
        </w:rPr>
      </w:pPr>
    </w:p>
    <w:p w:rsidR="001B7E1F" w:rsidRPr="006E026B" w:rsidRDefault="00CA7FA2"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lastRenderedPageBreak/>
        <w:t>ORDER</w:t>
      </w:r>
    </w:p>
    <w:p w:rsidR="001B7E1F" w:rsidRPr="006E026B" w:rsidRDefault="00CA7FA2" w:rsidP="001B7E1F">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3F0439" w:rsidRDefault="003F0439" w:rsidP="003F0439">
      <w:pPr>
        <w:spacing w:after="0" w:line="360" w:lineRule="auto"/>
        <w:ind w:left="720"/>
        <w:jc w:val="both"/>
        <w:rPr>
          <w:rFonts w:ascii="Arial" w:hAnsi="Arial" w:cs="Arial"/>
          <w:bCs/>
          <w:sz w:val="24"/>
          <w:szCs w:val="24"/>
        </w:rPr>
      </w:pPr>
    </w:p>
    <w:p w:rsidR="000B5986" w:rsidRDefault="000B5986" w:rsidP="003F0439">
      <w:pPr>
        <w:spacing w:after="0" w:line="360" w:lineRule="auto"/>
        <w:ind w:left="720"/>
        <w:jc w:val="both"/>
        <w:rPr>
          <w:rFonts w:ascii="Arial" w:hAnsi="Arial" w:cs="Arial"/>
          <w:bCs/>
          <w:sz w:val="24"/>
          <w:szCs w:val="24"/>
        </w:rPr>
      </w:pPr>
    </w:p>
    <w:p w:rsidR="00CD638A" w:rsidRDefault="00A26DDC" w:rsidP="00E30EE3">
      <w:pPr>
        <w:numPr>
          <w:ilvl w:val="0"/>
          <w:numId w:val="31"/>
        </w:numPr>
        <w:spacing w:after="0" w:line="360" w:lineRule="auto"/>
        <w:jc w:val="both"/>
        <w:rPr>
          <w:rFonts w:ascii="Arial" w:hAnsi="Arial" w:cs="Arial"/>
          <w:sz w:val="24"/>
          <w:szCs w:val="24"/>
          <w:lang w:val="en-GB"/>
        </w:rPr>
      </w:pPr>
      <w:r>
        <w:rPr>
          <w:rFonts w:ascii="Arial" w:hAnsi="Arial" w:cs="Arial"/>
          <w:sz w:val="24"/>
          <w:szCs w:val="24"/>
          <w:lang w:val="en-GB"/>
        </w:rPr>
        <w:t>The application is dismissed with costs, such costs are to</w:t>
      </w:r>
      <w:r w:rsidR="0014605E">
        <w:rPr>
          <w:rFonts w:ascii="Arial" w:hAnsi="Arial" w:cs="Arial"/>
          <w:sz w:val="24"/>
          <w:szCs w:val="24"/>
          <w:lang w:val="en-GB"/>
        </w:rPr>
        <w:t xml:space="preserve"> include the costs consequent upon</w:t>
      </w:r>
      <w:r>
        <w:rPr>
          <w:rFonts w:ascii="Arial" w:hAnsi="Arial" w:cs="Arial"/>
          <w:sz w:val="24"/>
          <w:szCs w:val="24"/>
          <w:lang w:val="en-GB"/>
        </w:rPr>
        <w:t xml:space="preserve"> the employment of </w:t>
      </w:r>
      <w:r w:rsidR="00671A34">
        <w:rPr>
          <w:rFonts w:ascii="Arial" w:hAnsi="Arial" w:cs="Arial"/>
          <w:sz w:val="24"/>
          <w:szCs w:val="24"/>
          <w:lang w:val="en-GB"/>
        </w:rPr>
        <w:t>o</w:t>
      </w:r>
      <w:r w:rsidR="0014605E">
        <w:rPr>
          <w:rFonts w:ascii="Arial" w:hAnsi="Arial" w:cs="Arial"/>
          <w:sz w:val="24"/>
          <w:szCs w:val="24"/>
          <w:lang w:val="en-GB"/>
        </w:rPr>
        <w:t>ne instructed counsel and one instructing counsel</w:t>
      </w:r>
      <w:r w:rsidR="0092145C">
        <w:rPr>
          <w:rFonts w:ascii="Arial" w:hAnsi="Arial" w:cs="Arial"/>
          <w:sz w:val="24"/>
          <w:szCs w:val="24"/>
          <w:lang w:val="en-GB"/>
        </w:rPr>
        <w:t>.</w:t>
      </w:r>
      <w:r>
        <w:rPr>
          <w:rFonts w:ascii="Arial" w:hAnsi="Arial" w:cs="Arial"/>
          <w:sz w:val="24"/>
          <w:szCs w:val="24"/>
          <w:lang w:val="en-GB"/>
        </w:rPr>
        <w:t xml:space="preserve"> </w:t>
      </w:r>
    </w:p>
    <w:p w:rsidR="00E30EE3" w:rsidRDefault="00E30EE3" w:rsidP="00E30EE3">
      <w:pPr>
        <w:numPr>
          <w:ilvl w:val="0"/>
          <w:numId w:val="31"/>
        </w:numPr>
        <w:spacing w:after="0" w:line="360" w:lineRule="auto"/>
        <w:jc w:val="both"/>
        <w:rPr>
          <w:rFonts w:ascii="Arial" w:hAnsi="Arial" w:cs="Arial"/>
          <w:sz w:val="24"/>
          <w:szCs w:val="24"/>
          <w:lang w:val="en-GB"/>
        </w:rPr>
      </w:pPr>
      <w:r>
        <w:rPr>
          <w:rFonts w:ascii="Arial" w:hAnsi="Arial" w:cs="Arial"/>
          <w:sz w:val="24"/>
          <w:szCs w:val="24"/>
          <w:lang w:val="en-GB"/>
        </w:rPr>
        <w:t>The matter is removed from the roll and regarded as finalised.</w:t>
      </w:r>
    </w:p>
    <w:p w:rsidR="000B5986" w:rsidRDefault="000B5986" w:rsidP="00CD638A">
      <w:pPr>
        <w:spacing w:after="0" w:line="360" w:lineRule="auto"/>
        <w:ind w:left="420"/>
        <w:jc w:val="both"/>
        <w:rPr>
          <w:rFonts w:ascii="Arial" w:hAnsi="Arial" w:cs="Arial"/>
          <w:sz w:val="24"/>
          <w:szCs w:val="24"/>
          <w:lang w:val="en-GB"/>
        </w:rPr>
      </w:pPr>
    </w:p>
    <w:p w:rsidR="001B7E1F" w:rsidRPr="006E026B" w:rsidRDefault="00CA7FA2"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1B7E1F" w:rsidRPr="006E026B" w:rsidRDefault="00CA7FA2"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0B5986" w:rsidRPr="006E026B" w:rsidRDefault="000B5986" w:rsidP="001B7E1F">
      <w:pPr>
        <w:spacing w:after="0" w:line="360" w:lineRule="auto"/>
        <w:ind w:left="1440" w:hanging="1440"/>
        <w:jc w:val="both"/>
        <w:rPr>
          <w:rFonts w:ascii="Arial" w:hAnsi="Arial" w:cs="Arial"/>
          <w:sz w:val="24"/>
          <w:szCs w:val="24"/>
        </w:rPr>
      </w:pPr>
    </w:p>
    <w:p w:rsidR="001B7E1F" w:rsidRDefault="00E30EE3" w:rsidP="001B7E1F">
      <w:pPr>
        <w:spacing w:after="0" w:line="360" w:lineRule="auto"/>
        <w:ind w:left="1440" w:hanging="1440"/>
        <w:jc w:val="both"/>
        <w:rPr>
          <w:rFonts w:ascii="Arial" w:hAnsi="Arial" w:cs="Arial"/>
          <w:sz w:val="24"/>
          <w:szCs w:val="24"/>
        </w:rPr>
      </w:pPr>
      <w:r>
        <w:rPr>
          <w:rFonts w:ascii="Arial" w:hAnsi="Arial" w:cs="Arial"/>
          <w:sz w:val="24"/>
          <w:szCs w:val="24"/>
        </w:rPr>
        <w:t>CHRISTIAAN A</w:t>
      </w:r>
      <w:r w:rsidR="00261313">
        <w:rPr>
          <w:rFonts w:ascii="Arial" w:hAnsi="Arial" w:cs="Arial"/>
          <w:sz w:val="24"/>
          <w:szCs w:val="24"/>
        </w:rPr>
        <w:t>J</w:t>
      </w:r>
      <w:r w:rsidR="001B7E1F" w:rsidRPr="006E026B">
        <w:rPr>
          <w:rFonts w:ascii="Arial" w:hAnsi="Arial" w:cs="Arial"/>
          <w:sz w:val="24"/>
          <w:szCs w:val="24"/>
        </w:rPr>
        <w:t>:</w:t>
      </w:r>
    </w:p>
    <w:p w:rsidR="009B5CF8" w:rsidRPr="006E026B" w:rsidRDefault="009B5CF8" w:rsidP="001B7E1F">
      <w:pPr>
        <w:spacing w:after="0" w:line="360" w:lineRule="auto"/>
        <w:ind w:left="1440" w:hanging="1440"/>
        <w:jc w:val="both"/>
        <w:rPr>
          <w:rFonts w:ascii="Arial" w:hAnsi="Arial" w:cs="Arial"/>
          <w:b/>
          <w:i/>
          <w:sz w:val="24"/>
          <w:szCs w:val="24"/>
        </w:rPr>
      </w:pPr>
    </w:p>
    <w:p w:rsidR="000B5986" w:rsidRPr="009B5CF8" w:rsidRDefault="009B5CF8" w:rsidP="001B7E1F">
      <w:pPr>
        <w:spacing w:after="0" w:line="360" w:lineRule="auto"/>
        <w:rPr>
          <w:rFonts w:ascii="Arial" w:hAnsi="Arial" w:cs="Arial"/>
          <w:i/>
          <w:iCs/>
          <w:sz w:val="24"/>
          <w:szCs w:val="24"/>
        </w:rPr>
      </w:pPr>
      <w:r w:rsidRPr="009B5CF8">
        <w:rPr>
          <w:rFonts w:ascii="Arial" w:hAnsi="Arial" w:cs="Arial"/>
          <w:i/>
          <w:iCs/>
          <w:sz w:val="24"/>
          <w:szCs w:val="24"/>
        </w:rPr>
        <w:t xml:space="preserve"> Introduction and background</w:t>
      </w:r>
    </w:p>
    <w:p w:rsidR="009B5CF8" w:rsidRPr="006E026B" w:rsidRDefault="009B5CF8" w:rsidP="001B7E1F">
      <w:pPr>
        <w:spacing w:after="0" w:line="360" w:lineRule="auto"/>
        <w:rPr>
          <w:rFonts w:ascii="Arial" w:hAnsi="Arial" w:cs="Arial"/>
          <w:sz w:val="24"/>
          <w:szCs w:val="24"/>
        </w:rPr>
      </w:pPr>
    </w:p>
    <w:p w:rsidR="009B5CF8" w:rsidRDefault="009B5CF8" w:rsidP="009B5CF8">
      <w:pPr>
        <w:spacing w:after="0" w:line="360" w:lineRule="auto"/>
        <w:jc w:val="both"/>
        <w:rPr>
          <w:rFonts w:ascii="Arial" w:hAnsi="Arial" w:cs="Arial"/>
          <w:sz w:val="24"/>
          <w:szCs w:val="24"/>
          <w:lang w:val="en-GB"/>
        </w:rPr>
      </w:pPr>
      <w:r w:rsidRPr="009B5CF8">
        <w:rPr>
          <w:rFonts w:ascii="Arial" w:hAnsi="Arial" w:cs="Arial"/>
          <w:sz w:val="24"/>
          <w:szCs w:val="24"/>
          <w:lang w:val="en-GB"/>
        </w:rPr>
        <w:t>[1]</w:t>
      </w:r>
      <w:r w:rsidRPr="009B5CF8">
        <w:rPr>
          <w:rFonts w:ascii="Arial" w:hAnsi="Arial" w:cs="Arial"/>
          <w:sz w:val="24"/>
          <w:szCs w:val="24"/>
          <w:lang w:val="en-GB"/>
        </w:rPr>
        <w:tab/>
        <w:t xml:space="preserve">The plaintiff in this matter is </w:t>
      </w:r>
      <w:r>
        <w:rPr>
          <w:rFonts w:ascii="Arial" w:hAnsi="Arial" w:cs="Arial"/>
          <w:sz w:val="24"/>
          <w:szCs w:val="24"/>
          <w:lang w:val="en-GB"/>
        </w:rPr>
        <w:t>Clera Izediunor Adler</w:t>
      </w:r>
      <w:r w:rsidRPr="009B5CF8">
        <w:rPr>
          <w:rFonts w:ascii="Arial" w:hAnsi="Arial" w:cs="Arial"/>
          <w:sz w:val="24"/>
          <w:szCs w:val="24"/>
          <w:lang w:val="en-GB"/>
        </w:rPr>
        <w:t xml:space="preserve">, an </w:t>
      </w:r>
      <w:r>
        <w:rPr>
          <w:rFonts w:ascii="Arial" w:hAnsi="Arial" w:cs="Arial"/>
          <w:sz w:val="24"/>
          <w:szCs w:val="24"/>
          <w:lang w:val="en-GB"/>
        </w:rPr>
        <w:t>adult female with her address care of Sisa Namandje &amp; Co</w:t>
      </w:r>
      <w:r w:rsidRPr="009B5CF8">
        <w:rPr>
          <w:rFonts w:ascii="Arial" w:hAnsi="Arial" w:cs="Arial"/>
          <w:sz w:val="24"/>
          <w:szCs w:val="24"/>
          <w:lang w:val="en-GB"/>
        </w:rPr>
        <w:t>.</w:t>
      </w:r>
      <w:r w:rsidR="0092145C">
        <w:rPr>
          <w:rFonts w:ascii="Arial" w:hAnsi="Arial" w:cs="Arial"/>
          <w:sz w:val="24"/>
          <w:szCs w:val="24"/>
          <w:lang w:val="en-GB"/>
        </w:rPr>
        <w:t xml:space="preserve"> </w:t>
      </w:r>
      <w:r>
        <w:rPr>
          <w:rFonts w:ascii="Arial" w:hAnsi="Arial" w:cs="Arial"/>
          <w:sz w:val="24"/>
          <w:szCs w:val="24"/>
          <w:lang w:val="en-GB"/>
        </w:rPr>
        <w:t>Inc, 13 and 15 Pasteur Street, Windhoek West, Windhoek.</w:t>
      </w:r>
      <w:r w:rsidRPr="009B5CF8">
        <w:rPr>
          <w:rFonts w:ascii="Arial" w:hAnsi="Arial" w:cs="Arial"/>
          <w:sz w:val="24"/>
          <w:szCs w:val="24"/>
          <w:lang w:val="en-GB"/>
        </w:rPr>
        <w:t xml:space="preserve"> I will for </w:t>
      </w:r>
      <w:r w:rsidR="0092145C">
        <w:rPr>
          <w:rFonts w:ascii="Arial" w:hAnsi="Arial" w:cs="Arial"/>
          <w:sz w:val="24"/>
          <w:szCs w:val="24"/>
          <w:lang w:val="en-GB"/>
        </w:rPr>
        <w:t xml:space="preserve">the </w:t>
      </w:r>
      <w:r w:rsidRPr="009B5CF8">
        <w:rPr>
          <w:rFonts w:ascii="Arial" w:hAnsi="Arial" w:cs="Arial"/>
          <w:sz w:val="24"/>
          <w:szCs w:val="24"/>
          <w:lang w:val="en-GB"/>
        </w:rPr>
        <w:t xml:space="preserve">sake of convenience refer to the plaintiff as </w:t>
      </w:r>
      <w:r>
        <w:rPr>
          <w:rFonts w:ascii="Arial" w:hAnsi="Arial" w:cs="Arial"/>
          <w:sz w:val="24"/>
          <w:szCs w:val="24"/>
          <w:lang w:val="en-GB"/>
        </w:rPr>
        <w:t>Mrs Adler</w:t>
      </w:r>
      <w:r w:rsidRPr="009B5CF8">
        <w:rPr>
          <w:rFonts w:ascii="Arial" w:hAnsi="Arial" w:cs="Arial"/>
          <w:sz w:val="24"/>
          <w:szCs w:val="24"/>
          <w:lang w:val="en-GB"/>
        </w:rPr>
        <w:t>.</w:t>
      </w:r>
    </w:p>
    <w:p w:rsidR="009B5CF8" w:rsidRPr="009B5CF8" w:rsidRDefault="009B5CF8" w:rsidP="009B5CF8">
      <w:pPr>
        <w:spacing w:after="0" w:line="360" w:lineRule="auto"/>
        <w:jc w:val="both"/>
        <w:rPr>
          <w:rFonts w:ascii="Arial" w:hAnsi="Arial" w:cs="Arial"/>
          <w:sz w:val="24"/>
          <w:szCs w:val="24"/>
          <w:lang w:val="en-GB"/>
        </w:rPr>
      </w:pPr>
    </w:p>
    <w:p w:rsidR="009B5CF8" w:rsidRPr="009B5CF8" w:rsidRDefault="009B5CF8" w:rsidP="009B5CF8">
      <w:pPr>
        <w:spacing w:after="0" w:line="360" w:lineRule="auto"/>
        <w:jc w:val="both"/>
        <w:rPr>
          <w:rFonts w:ascii="Arial" w:hAnsi="Arial" w:cs="Arial"/>
          <w:sz w:val="24"/>
          <w:szCs w:val="24"/>
          <w:lang w:val="en-GB"/>
        </w:rPr>
      </w:pPr>
      <w:r w:rsidRPr="009B5CF8">
        <w:rPr>
          <w:rFonts w:ascii="Arial" w:hAnsi="Arial" w:cs="Arial"/>
          <w:sz w:val="24"/>
          <w:szCs w:val="24"/>
          <w:lang w:val="en-GB"/>
        </w:rPr>
        <w:t>[2]</w:t>
      </w:r>
      <w:r w:rsidRPr="009B5CF8">
        <w:rPr>
          <w:rFonts w:ascii="Arial" w:hAnsi="Arial" w:cs="Arial"/>
          <w:sz w:val="24"/>
          <w:szCs w:val="24"/>
          <w:lang w:val="en-GB"/>
        </w:rPr>
        <w:tab/>
        <w:t xml:space="preserve">The first defendant is the </w:t>
      </w:r>
      <w:r>
        <w:rPr>
          <w:rFonts w:ascii="Arial" w:hAnsi="Arial" w:cs="Arial"/>
          <w:sz w:val="24"/>
          <w:szCs w:val="24"/>
          <w:lang w:val="en-GB"/>
        </w:rPr>
        <w:t>Master of the High Court</w:t>
      </w:r>
      <w:r w:rsidRPr="009B5CF8">
        <w:rPr>
          <w:rFonts w:ascii="Arial" w:hAnsi="Arial" w:cs="Arial"/>
          <w:sz w:val="24"/>
          <w:szCs w:val="24"/>
          <w:lang w:val="en-GB"/>
        </w:rPr>
        <w:t xml:space="preserve"> (the </w:t>
      </w:r>
      <w:r>
        <w:rPr>
          <w:rFonts w:ascii="Arial" w:hAnsi="Arial" w:cs="Arial"/>
          <w:sz w:val="24"/>
          <w:szCs w:val="24"/>
          <w:lang w:val="en-GB"/>
        </w:rPr>
        <w:t>Master</w:t>
      </w:r>
      <w:r w:rsidRPr="009B5CF8">
        <w:rPr>
          <w:rFonts w:ascii="Arial" w:hAnsi="Arial" w:cs="Arial"/>
          <w:sz w:val="24"/>
          <w:szCs w:val="24"/>
          <w:lang w:val="en-GB"/>
        </w:rPr>
        <w:t xml:space="preserve">), the second defendant is the </w:t>
      </w:r>
      <w:r>
        <w:rPr>
          <w:rFonts w:ascii="Arial" w:hAnsi="Arial" w:cs="Arial"/>
          <w:sz w:val="24"/>
          <w:szCs w:val="24"/>
          <w:lang w:val="en-GB"/>
        </w:rPr>
        <w:t xml:space="preserve">Executor of the Estate Late J.G. Adler </w:t>
      </w:r>
      <w:r w:rsidRPr="009B5CF8">
        <w:rPr>
          <w:rFonts w:ascii="Arial" w:hAnsi="Arial" w:cs="Arial"/>
          <w:sz w:val="24"/>
          <w:szCs w:val="24"/>
          <w:lang w:val="en-GB"/>
        </w:rPr>
        <w:t xml:space="preserve">(the </w:t>
      </w:r>
      <w:r>
        <w:rPr>
          <w:rFonts w:ascii="Arial" w:hAnsi="Arial" w:cs="Arial"/>
          <w:sz w:val="24"/>
          <w:szCs w:val="24"/>
          <w:lang w:val="en-GB"/>
        </w:rPr>
        <w:t>Executor</w:t>
      </w:r>
      <w:r w:rsidRPr="009B5CF8">
        <w:rPr>
          <w:rFonts w:ascii="Arial" w:hAnsi="Arial" w:cs="Arial"/>
          <w:sz w:val="24"/>
          <w:szCs w:val="24"/>
          <w:lang w:val="en-GB"/>
        </w:rPr>
        <w:t>).</w:t>
      </w:r>
    </w:p>
    <w:p w:rsidR="009B5CF8" w:rsidRPr="009B5CF8" w:rsidRDefault="009B5CF8" w:rsidP="009B5CF8">
      <w:pPr>
        <w:spacing w:after="0" w:line="360" w:lineRule="auto"/>
        <w:jc w:val="both"/>
        <w:rPr>
          <w:rFonts w:ascii="Arial" w:hAnsi="Arial" w:cs="Arial"/>
          <w:sz w:val="24"/>
          <w:szCs w:val="24"/>
          <w:lang w:val="en-GB"/>
        </w:rPr>
      </w:pPr>
    </w:p>
    <w:p w:rsidR="009B5CF8" w:rsidRPr="009B5CF8" w:rsidRDefault="009B5CF8" w:rsidP="009B5CF8">
      <w:pPr>
        <w:spacing w:after="0" w:line="360" w:lineRule="auto"/>
        <w:jc w:val="both"/>
        <w:rPr>
          <w:rFonts w:ascii="Arial" w:hAnsi="Arial" w:cs="Arial"/>
          <w:sz w:val="24"/>
          <w:szCs w:val="24"/>
          <w:lang w:val="en-GB"/>
        </w:rPr>
      </w:pPr>
      <w:r w:rsidRPr="009B5CF8">
        <w:rPr>
          <w:rFonts w:ascii="Arial" w:hAnsi="Arial" w:cs="Arial"/>
          <w:sz w:val="24"/>
          <w:szCs w:val="24"/>
          <w:lang w:val="en-GB"/>
        </w:rPr>
        <w:t>[3]</w:t>
      </w:r>
      <w:r w:rsidRPr="009B5CF8">
        <w:rPr>
          <w:rFonts w:ascii="Arial" w:hAnsi="Arial" w:cs="Arial"/>
          <w:sz w:val="24"/>
          <w:szCs w:val="24"/>
          <w:lang w:val="en-GB"/>
        </w:rPr>
        <w:tab/>
      </w:r>
      <w:r>
        <w:rPr>
          <w:rFonts w:ascii="Arial" w:hAnsi="Arial" w:cs="Arial"/>
          <w:sz w:val="24"/>
          <w:szCs w:val="24"/>
          <w:lang w:val="en-GB"/>
        </w:rPr>
        <w:t xml:space="preserve">The </w:t>
      </w:r>
      <w:r w:rsidR="00E43220">
        <w:rPr>
          <w:rFonts w:ascii="Arial" w:hAnsi="Arial" w:cs="Arial"/>
          <w:sz w:val="24"/>
          <w:szCs w:val="24"/>
          <w:lang w:val="en-GB"/>
        </w:rPr>
        <w:t>p</w:t>
      </w:r>
      <w:r w:rsidR="0037543C">
        <w:rPr>
          <w:rFonts w:ascii="Arial" w:hAnsi="Arial" w:cs="Arial"/>
          <w:sz w:val="24"/>
          <w:szCs w:val="24"/>
          <w:lang w:val="en-GB"/>
        </w:rPr>
        <w:t>laintiff</w:t>
      </w:r>
      <w:r>
        <w:rPr>
          <w:rFonts w:ascii="Arial" w:hAnsi="Arial" w:cs="Arial"/>
          <w:sz w:val="24"/>
          <w:szCs w:val="24"/>
          <w:lang w:val="en-GB"/>
        </w:rPr>
        <w:t xml:space="preserve"> was the owner of a vehicle, to wit, </w:t>
      </w:r>
      <w:r w:rsidR="0092145C">
        <w:rPr>
          <w:rFonts w:ascii="Arial" w:hAnsi="Arial" w:cs="Arial"/>
          <w:sz w:val="24"/>
          <w:szCs w:val="24"/>
          <w:lang w:val="en-GB"/>
        </w:rPr>
        <w:t xml:space="preserve">a </w:t>
      </w:r>
      <w:r w:rsidR="0037543C">
        <w:rPr>
          <w:rFonts w:ascii="Arial" w:hAnsi="Arial" w:cs="Arial"/>
          <w:sz w:val="24"/>
          <w:szCs w:val="24"/>
          <w:lang w:val="en-GB"/>
        </w:rPr>
        <w:t>Mercedes</w:t>
      </w:r>
      <w:r>
        <w:rPr>
          <w:rFonts w:ascii="Arial" w:hAnsi="Arial" w:cs="Arial"/>
          <w:sz w:val="24"/>
          <w:szCs w:val="24"/>
          <w:lang w:val="en-GB"/>
        </w:rPr>
        <w:t xml:space="preserve"> Benz</w:t>
      </w:r>
      <w:r w:rsidR="0037543C">
        <w:rPr>
          <w:rFonts w:ascii="Arial" w:hAnsi="Arial" w:cs="Arial"/>
          <w:sz w:val="24"/>
          <w:szCs w:val="24"/>
          <w:lang w:val="en-GB"/>
        </w:rPr>
        <w:t xml:space="preserve"> 200E with VIN WEE2130422A055852 and engine number 27492030742657</w:t>
      </w:r>
      <w:r w:rsidR="0037543C" w:rsidRPr="009B5CF8">
        <w:rPr>
          <w:rFonts w:ascii="Arial" w:hAnsi="Arial" w:cs="Arial"/>
          <w:sz w:val="24"/>
          <w:szCs w:val="24"/>
          <w:lang w:val="en-GB"/>
        </w:rPr>
        <w:t>.</w:t>
      </w:r>
      <w:r w:rsidR="0037543C">
        <w:rPr>
          <w:rFonts w:ascii="Arial" w:hAnsi="Arial" w:cs="Arial"/>
          <w:sz w:val="24"/>
          <w:szCs w:val="24"/>
          <w:lang w:val="en-GB"/>
        </w:rPr>
        <w:t xml:space="preserve"> (I</w:t>
      </w:r>
      <w:r w:rsidR="0037543C" w:rsidRPr="0037543C">
        <w:rPr>
          <w:rFonts w:ascii="Arial" w:hAnsi="Arial" w:cs="Arial"/>
          <w:sz w:val="24"/>
          <w:szCs w:val="24"/>
          <w:lang w:val="en-GB"/>
        </w:rPr>
        <w:t xml:space="preserve"> will for</w:t>
      </w:r>
      <w:r w:rsidR="0092145C">
        <w:rPr>
          <w:rFonts w:ascii="Arial" w:hAnsi="Arial" w:cs="Arial"/>
          <w:sz w:val="24"/>
          <w:szCs w:val="24"/>
          <w:lang w:val="en-GB"/>
        </w:rPr>
        <w:t xml:space="preserve"> the </w:t>
      </w:r>
      <w:r w:rsidR="0037543C" w:rsidRPr="0037543C">
        <w:rPr>
          <w:rFonts w:ascii="Arial" w:hAnsi="Arial" w:cs="Arial"/>
          <w:sz w:val="24"/>
          <w:szCs w:val="24"/>
          <w:lang w:val="en-GB"/>
        </w:rPr>
        <w:t xml:space="preserve"> sake of convenience refer to the </w:t>
      </w:r>
      <w:r w:rsidR="0037543C">
        <w:rPr>
          <w:rFonts w:ascii="Arial" w:hAnsi="Arial" w:cs="Arial"/>
          <w:sz w:val="24"/>
          <w:szCs w:val="24"/>
          <w:lang w:val="en-GB"/>
        </w:rPr>
        <w:t>vehicle as Plaintiff’s vehicle).</w:t>
      </w:r>
      <w:r w:rsidRPr="009B5CF8">
        <w:rPr>
          <w:rFonts w:ascii="Arial" w:hAnsi="Arial" w:cs="Arial"/>
          <w:sz w:val="24"/>
          <w:szCs w:val="24"/>
          <w:lang w:val="en-GB"/>
        </w:rPr>
        <w:t xml:space="preserve"> </w:t>
      </w:r>
    </w:p>
    <w:p w:rsidR="009B5CF8" w:rsidRPr="009B5CF8" w:rsidRDefault="009B5CF8" w:rsidP="009B5CF8">
      <w:pPr>
        <w:spacing w:after="0" w:line="360" w:lineRule="auto"/>
        <w:jc w:val="both"/>
        <w:rPr>
          <w:rFonts w:ascii="Arial" w:hAnsi="Arial" w:cs="Arial"/>
          <w:sz w:val="24"/>
          <w:szCs w:val="24"/>
          <w:lang w:val="en-GB"/>
        </w:rPr>
      </w:pPr>
    </w:p>
    <w:p w:rsidR="009B5CF8" w:rsidRDefault="009B5CF8" w:rsidP="009B5CF8">
      <w:pPr>
        <w:spacing w:after="0" w:line="360" w:lineRule="auto"/>
        <w:jc w:val="both"/>
        <w:rPr>
          <w:rFonts w:ascii="Arial" w:hAnsi="Arial" w:cs="Arial"/>
          <w:sz w:val="24"/>
          <w:szCs w:val="24"/>
          <w:lang w:val="en-GB"/>
        </w:rPr>
      </w:pPr>
      <w:r w:rsidRPr="009B5CF8">
        <w:rPr>
          <w:rFonts w:ascii="Arial" w:hAnsi="Arial" w:cs="Arial"/>
          <w:sz w:val="24"/>
          <w:szCs w:val="24"/>
          <w:lang w:val="en-GB"/>
        </w:rPr>
        <w:t>[4]</w:t>
      </w:r>
      <w:r w:rsidRPr="009B5CF8">
        <w:rPr>
          <w:rFonts w:ascii="Arial" w:hAnsi="Arial" w:cs="Arial"/>
          <w:sz w:val="24"/>
          <w:szCs w:val="24"/>
          <w:lang w:val="en-GB"/>
        </w:rPr>
        <w:tab/>
      </w:r>
      <w:r w:rsidR="0037543C" w:rsidRPr="009B5CF8">
        <w:rPr>
          <w:rFonts w:ascii="Arial" w:hAnsi="Arial" w:cs="Arial"/>
          <w:sz w:val="24"/>
          <w:szCs w:val="24"/>
          <w:lang w:val="en-GB"/>
        </w:rPr>
        <w:t xml:space="preserve">During </w:t>
      </w:r>
      <w:r w:rsidR="0037543C">
        <w:rPr>
          <w:rFonts w:ascii="Arial" w:hAnsi="Arial" w:cs="Arial"/>
          <w:sz w:val="24"/>
          <w:szCs w:val="24"/>
          <w:lang w:val="en-GB"/>
        </w:rPr>
        <w:t xml:space="preserve">January </w:t>
      </w:r>
      <w:r w:rsidRPr="009B5CF8">
        <w:rPr>
          <w:rFonts w:ascii="Arial" w:hAnsi="Arial" w:cs="Arial"/>
          <w:sz w:val="24"/>
          <w:szCs w:val="24"/>
          <w:lang w:val="en-GB"/>
        </w:rPr>
        <w:t>2019,</w:t>
      </w:r>
      <w:r w:rsidR="0037543C">
        <w:rPr>
          <w:rFonts w:ascii="Arial" w:hAnsi="Arial" w:cs="Arial"/>
          <w:sz w:val="24"/>
          <w:szCs w:val="24"/>
          <w:lang w:val="en-GB"/>
        </w:rPr>
        <w:t xml:space="preserve"> the Executor included the plaintiff’s vehicle into the liquidation and distribution account</w:t>
      </w:r>
      <w:r w:rsidR="0037543C" w:rsidRPr="009B5CF8">
        <w:rPr>
          <w:rFonts w:ascii="Arial" w:hAnsi="Arial" w:cs="Arial"/>
          <w:sz w:val="24"/>
          <w:szCs w:val="24"/>
          <w:lang w:val="en-GB"/>
        </w:rPr>
        <w:t xml:space="preserve"> </w:t>
      </w:r>
      <w:r w:rsidR="0037543C">
        <w:rPr>
          <w:rFonts w:ascii="Arial" w:hAnsi="Arial" w:cs="Arial"/>
          <w:sz w:val="24"/>
          <w:szCs w:val="24"/>
          <w:lang w:val="en-GB"/>
        </w:rPr>
        <w:t>of the estate of the late J.G. Adler which was then approved by the Master and publicly advertised on 13 December 2019, notwithstanding the fact that the plaintiff lodged an objection in terms of section 35 (8) of the Administration of Estate Act</w:t>
      </w:r>
      <w:r w:rsidR="0092145C">
        <w:rPr>
          <w:rFonts w:ascii="Arial" w:hAnsi="Arial" w:cs="Arial"/>
          <w:sz w:val="24"/>
          <w:szCs w:val="24"/>
          <w:lang w:val="en-GB"/>
        </w:rPr>
        <w:t xml:space="preserve"> 65 of 1965</w:t>
      </w:r>
      <w:r w:rsidR="0037543C">
        <w:rPr>
          <w:rFonts w:ascii="Arial" w:hAnsi="Arial" w:cs="Arial"/>
          <w:sz w:val="24"/>
          <w:szCs w:val="24"/>
          <w:lang w:val="en-GB"/>
        </w:rPr>
        <w:t xml:space="preserve"> on 10 January 2020. The Master confirmed that there was no objection by the plaintiff to the liquidation and distribution account that was advertised, resulting in the liquidation and distribute of </w:t>
      </w:r>
      <w:r w:rsidR="0037543C">
        <w:rPr>
          <w:rFonts w:ascii="Arial" w:hAnsi="Arial" w:cs="Arial"/>
          <w:sz w:val="24"/>
          <w:szCs w:val="24"/>
          <w:lang w:val="en-GB"/>
        </w:rPr>
        <w:lastRenderedPageBreak/>
        <w:t xml:space="preserve">the estate of the late J.G. </w:t>
      </w:r>
      <w:r w:rsidR="0037543C" w:rsidRPr="008749CE">
        <w:rPr>
          <w:rFonts w:ascii="Arial" w:hAnsi="Arial" w:cs="Arial"/>
          <w:sz w:val="24"/>
          <w:szCs w:val="24"/>
          <w:lang w:val="en-GB"/>
        </w:rPr>
        <w:t>Adler bring finalised</w:t>
      </w:r>
      <w:r w:rsidR="0037543C" w:rsidRPr="008749CE">
        <w:rPr>
          <w:rFonts w:ascii="Arial" w:hAnsi="Arial" w:cs="Arial"/>
          <w:b/>
          <w:sz w:val="24"/>
          <w:szCs w:val="24"/>
          <w:lang w:val="en-GB"/>
        </w:rPr>
        <w:t xml:space="preserve"> </w:t>
      </w:r>
      <w:r w:rsidR="0037543C">
        <w:rPr>
          <w:rFonts w:ascii="Arial" w:hAnsi="Arial" w:cs="Arial"/>
          <w:sz w:val="24"/>
          <w:szCs w:val="24"/>
          <w:lang w:val="en-GB"/>
        </w:rPr>
        <w:t>to the prejudice and loss of the plaintiff.</w:t>
      </w:r>
    </w:p>
    <w:p w:rsidR="0037543C" w:rsidRPr="009B5CF8" w:rsidRDefault="0037543C" w:rsidP="009B5CF8">
      <w:pPr>
        <w:spacing w:after="0" w:line="360" w:lineRule="auto"/>
        <w:jc w:val="both"/>
        <w:rPr>
          <w:rFonts w:ascii="Arial" w:hAnsi="Arial" w:cs="Arial"/>
          <w:sz w:val="24"/>
          <w:szCs w:val="24"/>
          <w:lang w:val="en-GB"/>
        </w:rPr>
      </w:pPr>
    </w:p>
    <w:p w:rsidR="009B5CF8" w:rsidRPr="009B5CF8" w:rsidRDefault="009B5CF8" w:rsidP="009B5CF8">
      <w:pPr>
        <w:spacing w:after="0" w:line="360" w:lineRule="auto"/>
        <w:jc w:val="both"/>
        <w:rPr>
          <w:rFonts w:ascii="Arial" w:hAnsi="Arial" w:cs="Arial"/>
          <w:sz w:val="24"/>
          <w:szCs w:val="24"/>
          <w:lang w:val="en-GB"/>
        </w:rPr>
      </w:pPr>
      <w:r w:rsidRPr="009B5CF8">
        <w:rPr>
          <w:rFonts w:ascii="Arial" w:hAnsi="Arial" w:cs="Arial"/>
          <w:sz w:val="24"/>
          <w:szCs w:val="24"/>
          <w:lang w:val="en-GB"/>
        </w:rPr>
        <w:t>[5]</w:t>
      </w:r>
      <w:r w:rsidRPr="009B5CF8">
        <w:rPr>
          <w:rFonts w:ascii="Arial" w:hAnsi="Arial" w:cs="Arial"/>
          <w:sz w:val="24"/>
          <w:szCs w:val="24"/>
          <w:lang w:val="en-GB"/>
        </w:rPr>
        <w:tab/>
        <w:t xml:space="preserve">The plaintiff </w:t>
      </w:r>
      <w:r w:rsidR="0037543C">
        <w:rPr>
          <w:rFonts w:ascii="Arial" w:hAnsi="Arial" w:cs="Arial"/>
          <w:sz w:val="24"/>
          <w:szCs w:val="24"/>
          <w:lang w:val="en-GB"/>
        </w:rPr>
        <w:t xml:space="preserve">was informed by the Master </w:t>
      </w:r>
      <w:r w:rsidR="00E7630F">
        <w:rPr>
          <w:rFonts w:ascii="Arial" w:hAnsi="Arial" w:cs="Arial"/>
          <w:sz w:val="24"/>
          <w:szCs w:val="24"/>
          <w:lang w:val="en-GB"/>
        </w:rPr>
        <w:t xml:space="preserve">that the Executor had in the meantime disposed of her vehicle on the basis of the Master’s erroneous confirmation that there was no objection to the liquidation and distribution account.  The plaintiff’s vehicle was valued at N$ </w:t>
      </w:r>
      <w:r w:rsidR="0092145C">
        <w:rPr>
          <w:rFonts w:ascii="Arial" w:hAnsi="Arial" w:cs="Arial"/>
          <w:sz w:val="24"/>
          <w:szCs w:val="24"/>
          <w:lang w:val="en-GB"/>
        </w:rPr>
        <w:t>353 300.</w:t>
      </w:r>
    </w:p>
    <w:p w:rsidR="009B5CF8" w:rsidRPr="009B5CF8" w:rsidRDefault="009B5CF8" w:rsidP="009B5CF8">
      <w:pPr>
        <w:spacing w:after="0" w:line="360" w:lineRule="auto"/>
        <w:jc w:val="both"/>
        <w:rPr>
          <w:rFonts w:ascii="Arial" w:hAnsi="Arial" w:cs="Arial"/>
          <w:sz w:val="24"/>
          <w:szCs w:val="24"/>
          <w:lang w:val="en-GB"/>
        </w:rPr>
      </w:pPr>
    </w:p>
    <w:p w:rsidR="009B5CF8" w:rsidRDefault="009B5CF8" w:rsidP="009B5CF8">
      <w:pPr>
        <w:spacing w:after="0" w:line="360" w:lineRule="auto"/>
        <w:jc w:val="both"/>
        <w:rPr>
          <w:rFonts w:ascii="Arial" w:hAnsi="Arial" w:cs="Arial"/>
          <w:sz w:val="24"/>
          <w:szCs w:val="24"/>
          <w:lang w:val="en-GB"/>
        </w:rPr>
      </w:pPr>
      <w:r w:rsidRPr="009B5CF8">
        <w:rPr>
          <w:rFonts w:ascii="Arial" w:hAnsi="Arial" w:cs="Arial"/>
          <w:sz w:val="24"/>
          <w:szCs w:val="24"/>
          <w:lang w:val="en-GB"/>
        </w:rPr>
        <w:t>[6]</w:t>
      </w:r>
      <w:r w:rsidRPr="009B5CF8">
        <w:rPr>
          <w:rFonts w:ascii="Arial" w:hAnsi="Arial" w:cs="Arial"/>
          <w:sz w:val="24"/>
          <w:szCs w:val="24"/>
          <w:lang w:val="en-GB"/>
        </w:rPr>
        <w:tab/>
        <w:t xml:space="preserve"> Following </w:t>
      </w:r>
      <w:r w:rsidR="0047675E">
        <w:rPr>
          <w:rFonts w:ascii="Arial" w:hAnsi="Arial" w:cs="Arial"/>
          <w:sz w:val="24"/>
          <w:szCs w:val="24"/>
          <w:lang w:val="en-GB"/>
        </w:rPr>
        <w:t>her</w:t>
      </w:r>
      <w:r w:rsidRPr="009B5CF8">
        <w:rPr>
          <w:rFonts w:ascii="Arial" w:hAnsi="Arial" w:cs="Arial"/>
          <w:sz w:val="24"/>
          <w:szCs w:val="24"/>
          <w:lang w:val="en-GB"/>
        </w:rPr>
        <w:t xml:space="preserve"> </w:t>
      </w:r>
      <w:r w:rsidR="0047675E" w:rsidRPr="0047675E">
        <w:rPr>
          <w:rFonts w:ascii="Arial" w:hAnsi="Arial" w:cs="Arial"/>
          <w:sz w:val="24"/>
          <w:szCs w:val="24"/>
          <w:lang w:val="en-GB"/>
        </w:rPr>
        <w:t xml:space="preserve">efforts made since the </w:t>
      </w:r>
      <w:r w:rsidR="0047675E">
        <w:rPr>
          <w:rFonts w:ascii="Arial" w:hAnsi="Arial" w:cs="Arial"/>
          <w:sz w:val="24"/>
          <w:szCs w:val="24"/>
          <w:lang w:val="en-GB"/>
        </w:rPr>
        <w:t>9th</w:t>
      </w:r>
      <w:r w:rsidR="0047675E" w:rsidRPr="0047675E">
        <w:rPr>
          <w:rFonts w:ascii="Arial" w:hAnsi="Arial" w:cs="Arial"/>
          <w:sz w:val="24"/>
          <w:szCs w:val="24"/>
          <w:lang w:val="en-GB"/>
        </w:rPr>
        <w:t xml:space="preserve"> of April 20</w:t>
      </w:r>
      <w:r w:rsidR="0047675E">
        <w:rPr>
          <w:rFonts w:ascii="Arial" w:hAnsi="Arial" w:cs="Arial"/>
          <w:sz w:val="24"/>
          <w:szCs w:val="24"/>
          <w:lang w:val="en-GB"/>
        </w:rPr>
        <w:t>21</w:t>
      </w:r>
      <w:r w:rsidR="0047675E" w:rsidRPr="0047675E">
        <w:rPr>
          <w:rFonts w:ascii="Arial" w:hAnsi="Arial" w:cs="Arial"/>
          <w:sz w:val="24"/>
          <w:szCs w:val="24"/>
          <w:lang w:val="en-GB"/>
        </w:rPr>
        <w:t xml:space="preserve"> to get the</w:t>
      </w:r>
      <w:r w:rsidR="0047675E">
        <w:rPr>
          <w:rFonts w:ascii="Arial" w:hAnsi="Arial" w:cs="Arial"/>
          <w:sz w:val="24"/>
          <w:szCs w:val="24"/>
          <w:lang w:val="en-GB"/>
        </w:rPr>
        <w:t xml:space="preserve"> executor return the vehicle</w:t>
      </w:r>
      <w:r w:rsidRPr="009B5CF8">
        <w:rPr>
          <w:rFonts w:ascii="Arial" w:hAnsi="Arial" w:cs="Arial"/>
          <w:sz w:val="24"/>
          <w:szCs w:val="24"/>
          <w:lang w:val="en-GB"/>
        </w:rPr>
        <w:t xml:space="preserve">, the plaintiff, during August 2021, approached this Court claiming (in </w:t>
      </w:r>
      <w:r w:rsidR="0047675E">
        <w:rPr>
          <w:rFonts w:ascii="Arial" w:hAnsi="Arial" w:cs="Arial"/>
          <w:sz w:val="24"/>
          <w:szCs w:val="24"/>
          <w:lang w:val="en-GB"/>
        </w:rPr>
        <w:t xml:space="preserve">her </w:t>
      </w:r>
      <w:r w:rsidRPr="009B5CF8">
        <w:rPr>
          <w:rFonts w:ascii="Arial" w:hAnsi="Arial" w:cs="Arial"/>
          <w:sz w:val="24"/>
          <w:szCs w:val="24"/>
          <w:lang w:val="en-GB"/>
        </w:rPr>
        <w:t>particulars of claim) that:</w:t>
      </w:r>
    </w:p>
    <w:p w:rsidR="009B5CF8" w:rsidRDefault="009B5CF8" w:rsidP="00A26DDC">
      <w:pPr>
        <w:spacing w:after="0" w:line="360" w:lineRule="auto"/>
        <w:jc w:val="both"/>
        <w:rPr>
          <w:rFonts w:ascii="Arial" w:hAnsi="Arial" w:cs="Arial"/>
          <w:sz w:val="24"/>
          <w:szCs w:val="24"/>
          <w:lang w:val="en-GB"/>
        </w:rPr>
      </w:pPr>
    </w:p>
    <w:p w:rsidR="00F05A2D" w:rsidRPr="0092145C" w:rsidRDefault="0092145C" w:rsidP="0047675E">
      <w:pPr>
        <w:spacing w:after="0" w:line="360" w:lineRule="auto"/>
        <w:ind w:firstLine="720"/>
        <w:jc w:val="both"/>
        <w:rPr>
          <w:rFonts w:ascii="Arial" w:hAnsi="Arial" w:cs="Arial"/>
          <w:sz w:val="24"/>
          <w:szCs w:val="24"/>
          <w:lang w:val="en-GB"/>
        </w:rPr>
      </w:pPr>
      <w:r w:rsidRPr="0092145C">
        <w:rPr>
          <w:rFonts w:ascii="Arial" w:hAnsi="Arial" w:cs="Arial"/>
          <w:sz w:val="24"/>
          <w:szCs w:val="24"/>
          <w:lang w:val="en-GB"/>
        </w:rPr>
        <w:t>I</w:t>
      </w:r>
      <w:r w:rsidR="00F05A2D" w:rsidRPr="0092145C">
        <w:rPr>
          <w:rFonts w:ascii="Arial" w:hAnsi="Arial" w:cs="Arial"/>
          <w:sz w:val="24"/>
          <w:szCs w:val="24"/>
          <w:lang w:val="en-GB"/>
        </w:rPr>
        <w:t xml:space="preserve">n </w:t>
      </w:r>
      <w:r w:rsidR="0047675E" w:rsidRPr="0092145C">
        <w:rPr>
          <w:rFonts w:ascii="Arial" w:hAnsi="Arial" w:cs="Arial"/>
          <w:sz w:val="24"/>
          <w:szCs w:val="24"/>
          <w:lang w:val="en-GB"/>
        </w:rPr>
        <w:t xml:space="preserve">the premises, the </w:t>
      </w:r>
      <w:r w:rsidR="00E43220" w:rsidRPr="0092145C">
        <w:rPr>
          <w:rFonts w:ascii="Arial" w:hAnsi="Arial" w:cs="Arial"/>
          <w:sz w:val="24"/>
          <w:szCs w:val="24"/>
          <w:lang w:val="en-GB"/>
        </w:rPr>
        <w:t>p</w:t>
      </w:r>
      <w:r w:rsidR="0047675E" w:rsidRPr="0092145C">
        <w:rPr>
          <w:rFonts w:ascii="Arial" w:hAnsi="Arial" w:cs="Arial"/>
          <w:sz w:val="24"/>
          <w:szCs w:val="24"/>
          <w:lang w:val="en-GB"/>
        </w:rPr>
        <w:t>laintiff seeks the following orders</w:t>
      </w:r>
      <w:r w:rsidR="00F05A2D" w:rsidRPr="0092145C">
        <w:rPr>
          <w:rFonts w:ascii="Arial" w:hAnsi="Arial" w:cs="Arial"/>
          <w:sz w:val="24"/>
          <w:szCs w:val="24"/>
          <w:lang w:val="en-GB"/>
        </w:rPr>
        <w:t>:</w:t>
      </w:r>
      <w:r w:rsidR="00A26DDC" w:rsidRPr="0092145C">
        <w:rPr>
          <w:rFonts w:ascii="Arial" w:hAnsi="Arial" w:cs="Arial"/>
          <w:sz w:val="24"/>
          <w:szCs w:val="24"/>
          <w:lang w:val="en-GB"/>
        </w:rPr>
        <w:t xml:space="preserve"> </w:t>
      </w:r>
    </w:p>
    <w:p w:rsidR="00E30EE3" w:rsidRDefault="00E30EE3" w:rsidP="00A26DDC">
      <w:pPr>
        <w:spacing w:after="0" w:line="360" w:lineRule="auto"/>
        <w:jc w:val="both"/>
        <w:rPr>
          <w:rFonts w:ascii="Arial" w:hAnsi="Arial" w:cs="Arial"/>
          <w:sz w:val="24"/>
          <w:szCs w:val="24"/>
          <w:lang w:val="en-GB"/>
        </w:rPr>
      </w:pPr>
    </w:p>
    <w:p w:rsidR="009B5CF8" w:rsidRPr="009B5CF8" w:rsidRDefault="009B5CF8" w:rsidP="0047675E">
      <w:pPr>
        <w:spacing w:after="0" w:line="360" w:lineRule="auto"/>
        <w:jc w:val="both"/>
        <w:rPr>
          <w:rFonts w:ascii="Arial" w:hAnsi="Arial" w:cs="Arial"/>
          <w:lang w:val="en-GB"/>
        </w:rPr>
      </w:pPr>
      <w:r w:rsidRPr="009B5CF8">
        <w:rPr>
          <w:rFonts w:ascii="Arial" w:hAnsi="Arial" w:cs="Arial"/>
          <w:lang w:val="en-GB"/>
        </w:rPr>
        <w:t>12.1</w:t>
      </w:r>
      <w:r w:rsidRPr="009B5CF8">
        <w:rPr>
          <w:rFonts w:ascii="Arial" w:hAnsi="Arial" w:cs="Arial"/>
          <w:lang w:val="en-GB"/>
        </w:rPr>
        <w:tab/>
        <w:t xml:space="preserve">An order declaring that the inclusion of the </w:t>
      </w:r>
      <w:r w:rsidR="00E43220">
        <w:rPr>
          <w:rFonts w:ascii="Arial" w:hAnsi="Arial" w:cs="Arial"/>
          <w:lang w:val="en-GB"/>
        </w:rPr>
        <w:t>p</w:t>
      </w:r>
      <w:r w:rsidRPr="009B5CF8">
        <w:rPr>
          <w:rFonts w:ascii="Arial" w:hAnsi="Arial" w:cs="Arial"/>
          <w:lang w:val="en-GB"/>
        </w:rPr>
        <w:t xml:space="preserve">laintiff's vehicle in the estate of the late J.G. Adler and the disposal of the </w:t>
      </w:r>
      <w:r w:rsidR="00E43220">
        <w:rPr>
          <w:rFonts w:ascii="Arial" w:hAnsi="Arial" w:cs="Arial"/>
          <w:lang w:val="en-GB"/>
        </w:rPr>
        <w:t>p</w:t>
      </w:r>
      <w:r w:rsidRPr="009B5CF8">
        <w:rPr>
          <w:rFonts w:ascii="Arial" w:hAnsi="Arial" w:cs="Arial"/>
          <w:lang w:val="en-GB"/>
        </w:rPr>
        <w:t>laintiff's vehicle were wrongful and unlawful.</w:t>
      </w:r>
    </w:p>
    <w:p w:rsidR="009B5CF8" w:rsidRPr="009B5CF8" w:rsidRDefault="009B5CF8" w:rsidP="009B5CF8">
      <w:pPr>
        <w:spacing w:after="0" w:line="360" w:lineRule="auto"/>
        <w:ind w:firstLine="720"/>
        <w:jc w:val="both"/>
        <w:rPr>
          <w:rFonts w:ascii="Arial" w:hAnsi="Arial" w:cs="Arial"/>
          <w:lang w:val="en-GB"/>
        </w:rPr>
      </w:pPr>
    </w:p>
    <w:p w:rsidR="009B5CF8" w:rsidRPr="009B5CF8" w:rsidRDefault="009B5CF8" w:rsidP="009B5CF8">
      <w:pPr>
        <w:spacing w:after="0" w:line="360" w:lineRule="auto"/>
        <w:jc w:val="both"/>
        <w:rPr>
          <w:rFonts w:ascii="Arial" w:hAnsi="Arial" w:cs="Arial"/>
          <w:lang w:val="en-GB"/>
        </w:rPr>
      </w:pPr>
      <w:r w:rsidRPr="009B5CF8">
        <w:rPr>
          <w:rFonts w:ascii="Arial" w:hAnsi="Arial" w:cs="Arial"/>
          <w:lang w:val="en-GB"/>
        </w:rPr>
        <w:t xml:space="preserve">12.2 An order declaring that the </w:t>
      </w:r>
      <w:r w:rsidR="00E43220">
        <w:rPr>
          <w:rFonts w:ascii="Arial" w:hAnsi="Arial" w:cs="Arial"/>
          <w:lang w:val="en-GB"/>
        </w:rPr>
        <w:t>d</w:t>
      </w:r>
      <w:r w:rsidRPr="009B5CF8">
        <w:rPr>
          <w:rFonts w:ascii="Arial" w:hAnsi="Arial" w:cs="Arial"/>
          <w:lang w:val="en-GB"/>
        </w:rPr>
        <w:t xml:space="preserve">efendants are liable to </w:t>
      </w:r>
      <w:r w:rsidR="00E43220">
        <w:rPr>
          <w:rFonts w:ascii="Arial" w:hAnsi="Arial" w:cs="Arial"/>
          <w:lang w:val="en-GB"/>
        </w:rPr>
        <w:t>p</w:t>
      </w:r>
      <w:r w:rsidRPr="009B5CF8">
        <w:rPr>
          <w:rFonts w:ascii="Arial" w:hAnsi="Arial" w:cs="Arial"/>
          <w:lang w:val="en-GB"/>
        </w:rPr>
        <w:t>laintiff, jointly and severally, the one paying, the other to be absolved, in the amount of N$353,300.00.</w:t>
      </w:r>
    </w:p>
    <w:p w:rsidR="009B5CF8" w:rsidRPr="009B5CF8" w:rsidRDefault="009B5CF8" w:rsidP="009B5CF8">
      <w:pPr>
        <w:spacing w:after="0" w:line="360" w:lineRule="auto"/>
        <w:ind w:firstLine="720"/>
        <w:jc w:val="both"/>
        <w:rPr>
          <w:rFonts w:ascii="Arial" w:hAnsi="Arial" w:cs="Arial"/>
          <w:lang w:val="en-GB"/>
        </w:rPr>
      </w:pPr>
    </w:p>
    <w:p w:rsidR="000B5986" w:rsidRPr="009B5CF8" w:rsidRDefault="009B5CF8" w:rsidP="009B5CF8">
      <w:pPr>
        <w:spacing w:after="0" w:line="360" w:lineRule="auto"/>
        <w:jc w:val="both"/>
        <w:rPr>
          <w:rFonts w:ascii="Arial" w:hAnsi="Arial" w:cs="Arial"/>
          <w:lang w:val="en-GB"/>
        </w:rPr>
      </w:pPr>
      <w:r w:rsidRPr="009B5CF8">
        <w:rPr>
          <w:rFonts w:ascii="Arial" w:hAnsi="Arial" w:cs="Arial"/>
          <w:lang w:val="en-GB"/>
        </w:rPr>
        <w:t>12.3</w:t>
      </w:r>
      <w:r w:rsidRPr="009B5CF8">
        <w:rPr>
          <w:rFonts w:ascii="Arial" w:hAnsi="Arial" w:cs="Arial"/>
          <w:lang w:val="en-GB"/>
        </w:rPr>
        <w:tab/>
        <w:t xml:space="preserve">An order directing </w:t>
      </w:r>
      <w:r w:rsidR="00E43220">
        <w:rPr>
          <w:rFonts w:ascii="Arial" w:hAnsi="Arial" w:cs="Arial"/>
          <w:lang w:val="en-GB"/>
        </w:rPr>
        <w:t>d</w:t>
      </w:r>
      <w:r w:rsidRPr="009B5CF8">
        <w:rPr>
          <w:rFonts w:ascii="Arial" w:hAnsi="Arial" w:cs="Arial"/>
          <w:lang w:val="en-GB"/>
        </w:rPr>
        <w:t>efendants to jointly and severally pay to the</w:t>
      </w:r>
      <w:r w:rsidR="00E43220">
        <w:rPr>
          <w:rFonts w:ascii="Arial" w:hAnsi="Arial" w:cs="Arial"/>
          <w:lang w:val="en-GB"/>
        </w:rPr>
        <w:t xml:space="preserve"> p</w:t>
      </w:r>
      <w:r w:rsidRPr="009B5CF8">
        <w:rPr>
          <w:rFonts w:ascii="Arial" w:hAnsi="Arial" w:cs="Arial"/>
          <w:lang w:val="en-GB"/>
        </w:rPr>
        <w:t>laintiff the amount of N$353,300.00 within 30 (thirty) days of the orders.</w:t>
      </w:r>
      <w:r>
        <w:rPr>
          <w:rFonts w:ascii="Arial" w:hAnsi="Arial" w:cs="Arial"/>
          <w:lang w:val="en-GB"/>
        </w:rPr>
        <w:t>’</w:t>
      </w:r>
    </w:p>
    <w:p w:rsidR="00A26DDC" w:rsidRDefault="00A26DDC" w:rsidP="00A26DDC">
      <w:pPr>
        <w:spacing w:after="0" w:line="360" w:lineRule="auto"/>
        <w:jc w:val="both"/>
        <w:rPr>
          <w:rFonts w:ascii="Arial" w:hAnsi="Arial" w:cs="Arial"/>
          <w:sz w:val="24"/>
          <w:szCs w:val="24"/>
          <w:lang w:val="en-GB"/>
        </w:rPr>
      </w:pPr>
    </w:p>
    <w:p w:rsidR="0047675E" w:rsidRPr="0047675E" w:rsidRDefault="00B433A1" w:rsidP="0047675E">
      <w:pPr>
        <w:spacing w:after="0" w:line="360" w:lineRule="auto"/>
        <w:jc w:val="both"/>
        <w:rPr>
          <w:rFonts w:ascii="Arial" w:hAnsi="Arial" w:cs="Arial"/>
          <w:sz w:val="24"/>
          <w:szCs w:val="24"/>
          <w:lang w:val="en-GB"/>
        </w:rPr>
      </w:pPr>
      <w:r>
        <w:rPr>
          <w:rFonts w:ascii="Arial" w:hAnsi="Arial" w:cs="Arial"/>
          <w:sz w:val="24"/>
          <w:szCs w:val="24"/>
          <w:lang w:val="en-GB"/>
        </w:rPr>
        <w:t>[</w:t>
      </w:r>
      <w:r w:rsidR="0047675E">
        <w:rPr>
          <w:rFonts w:ascii="Arial" w:hAnsi="Arial" w:cs="Arial"/>
          <w:sz w:val="24"/>
          <w:szCs w:val="24"/>
          <w:lang w:val="en-GB"/>
        </w:rPr>
        <w:t>7</w:t>
      </w:r>
      <w:r w:rsidR="00A26DDC">
        <w:rPr>
          <w:rFonts w:ascii="Arial" w:hAnsi="Arial" w:cs="Arial"/>
          <w:sz w:val="24"/>
          <w:szCs w:val="24"/>
          <w:lang w:val="en-GB"/>
        </w:rPr>
        <w:t>]</w:t>
      </w:r>
      <w:r w:rsidR="00A26DDC">
        <w:rPr>
          <w:rFonts w:ascii="Arial" w:hAnsi="Arial" w:cs="Arial"/>
          <w:sz w:val="24"/>
          <w:szCs w:val="24"/>
          <w:lang w:val="en-GB"/>
        </w:rPr>
        <w:tab/>
      </w:r>
      <w:r w:rsidR="0047675E" w:rsidRPr="0047675E">
        <w:rPr>
          <w:rFonts w:ascii="Arial" w:hAnsi="Arial" w:cs="Arial"/>
          <w:sz w:val="24"/>
          <w:szCs w:val="24"/>
          <w:lang w:val="en-GB"/>
        </w:rPr>
        <w:t xml:space="preserve">The defendants entered a notice to defend the action and </w:t>
      </w:r>
      <w:r w:rsidR="00EE1CF1">
        <w:rPr>
          <w:rFonts w:ascii="Arial" w:hAnsi="Arial" w:cs="Arial"/>
          <w:sz w:val="24"/>
          <w:szCs w:val="24"/>
          <w:lang w:val="en-GB"/>
        </w:rPr>
        <w:t>denied that the vehicle belonged to the plaintiff</w:t>
      </w:r>
      <w:r w:rsidR="0047675E" w:rsidRPr="0047675E">
        <w:rPr>
          <w:rFonts w:ascii="Arial" w:hAnsi="Arial" w:cs="Arial"/>
          <w:sz w:val="24"/>
          <w:szCs w:val="24"/>
          <w:lang w:val="en-GB"/>
        </w:rPr>
        <w:t xml:space="preserve">. They pleaded that the </w:t>
      </w:r>
      <w:r w:rsidR="00EE1CF1">
        <w:rPr>
          <w:rFonts w:ascii="Arial" w:hAnsi="Arial" w:cs="Arial"/>
          <w:sz w:val="24"/>
          <w:szCs w:val="24"/>
          <w:lang w:val="en-GB"/>
        </w:rPr>
        <w:t>late Mr. J. G. Adler was the owner of the said vehicle.</w:t>
      </w:r>
      <w:r w:rsidR="0047675E" w:rsidRPr="0047675E">
        <w:rPr>
          <w:rFonts w:ascii="Arial" w:hAnsi="Arial" w:cs="Arial"/>
          <w:sz w:val="24"/>
          <w:szCs w:val="24"/>
          <w:lang w:val="en-GB"/>
        </w:rPr>
        <w:t xml:space="preserve"> The </w:t>
      </w:r>
      <w:r w:rsidR="0092145C">
        <w:rPr>
          <w:rFonts w:ascii="Arial" w:hAnsi="Arial" w:cs="Arial"/>
          <w:sz w:val="24"/>
          <w:szCs w:val="24"/>
          <w:lang w:val="en-GB"/>
        </w:rPr>
        <w:t>defendants further pleaded:</w:t>
      </w:r>
    </w:p>
    <w:p w:rsidR="0047675E" w:rsidRPr="0047675E" w:rsidRDefault="0047675E" w:rsidP="0047675E">
      <w:pPr>
        <w:spacing w:after="0" w:line="360" w:lineRule="auto"/>
        <w:jc w:val="both"/>
        <w:rPr>
          <w:rFonts w:ascii="Arial" w:hAnsi="Arial" w:cs="Arial"/>
          <w:sz w:val="24"/>
          <w:szCs w:val="24"/>
          <w:lang w:val="en-GB"/>
        </w:rPr>
      </w:pPr>
    </w:p>
    <w:p w:rsidR="0047675E" w:rsidRPr="0047675E" w:rsidRDefault="0047675E" w:rsidP="0047675E">
      <w:pPr>
        <w:spacing w:after="0" w:line="360" w:lineRule="auto"/>
        <w:jc w:val="both"/>
        <w:rPr>
          <w:rFonts w:ascii="Arial" w:hAnsi="Arial" w:cs="Arial"/>
          <w:sz w:val="24"/>
          <w:szCs w:val="24"/>
          <w:lang w:val="en-GB"/>
        </w:rPr>
      </w:pPr>
      <w:r w:rsidRPr="0047675E">
        <w:rPr>
          <w:rFonts w:ascii="Arial" w:hAnsi="Arial" w:cs="Arial"/>
          <w:sz w:val="24"/>
          <w:szCs w:val="24"/>
          <w:lang w:val="en-GB"/>
        </w:rPr>
        <w:t>(a)</w:t>
      </w:r>
      <w:r w:rsidRPr="0047675E">
        <w:rPr>
          <w:rFonts w:ascii="Arial" w:hAnsi="Arial" w:cs="Arial"/>
          <w:sz w:val="24"/>
          <w:szCs w:val="24"/>
          <w:lang w:val="en-GB"/>
        </w:rPr>
        <w:tab/>
      </w:r>
      <w:r w:rsidR="00EE1CF1">
        <w:rPr>
          <w:rFonts w:ascii="Arial" w:hAnsi="Arial" w:cs="Arial"/>
          <w:sz w:val="24"/>
          <w:szCs w:val="24"/>
          <w:lang w:val="en-GB"/>
        </w:rPr>
        <w:t>that the vehicle was correctly included in the liquidation and distribution account of the late Mr J G Adler</w:t>
      </w:r>
      <w:r w:rsidR="00C04F40">
        <w:rPr>
          <w:rFonts w:ascii="Arial" w:hAnsi="Arial" w:cs="Arial"/>
          <w:sz w:val="24"/>
          <w:szCs w:val="24"/>
          <w:lang w:val="en-GB"/>
        </w:rPr>
        <w:t>.</w:t>
      </w:r>
    </w:p>
    <w:p w:rsidR="0047675E" w:rsidRPr="0047675E" w:rsidRDefault="0047675E" w:rsidP="0047675E">
      <w:pPr>
        <w:spacing w:after="0" w:line="360" w:lineRule="auto"/>
        <w:jc w:val="both"/>
        <w:rPr>
          <w:rFonts w:ascii="Arial" w:hAnsi="Arial" w:cs="Arial"/>
          <w:sz w:val="24"/>
          <w:szCs w:val="24"/>
          <w:lang w:val="en-GB"/>
        </w:rPr>
      </w:pPr>
    </w:p>
    <w:p w:rsidR="0047675E" w:rsidRPr="0047675E" w:rsidRDefault="0047675E" w:rsidP="0047675E">
      <w:pPr>
        <w:spacing w:after="0" w:line="360" w:lineRule="auto"/>
        <w:jc w:val="both"/>
        <w:rPr>
          <w:rFonts w:ascii="Arial" w:hAnsi="Arial" w:cs="Arial"/>
          <w:sz w:val="24"/>
          <w:szCs w:val="24"/>
          <w:lang w:val="en-GB"/>
        </w:rPr>
      </w:pPr>
      <w:r w:rsidRPr="0047675E">
        <w:rPr>
          <w:rFonts w:ascii="Arial" w:hAnsi="Arial" w:cs="Arial"/>
          <w:sz w:val="24"/>
          <w:szCs w:val="24"/>
          <w:lang w:val="en-GB"/>
        </w:rPr>
        <w:t>(b)</w:t>
      </w:r>
      <w:r w:rsidRPr="0047675E">
        <w:rPr>
          <w:rFonts w:ascii="Arial" w:hAnsi="Arial" w:cs="Arial"/>
          <w:sz w:val="24"/>
          <w:szCs w:val="24"/>
          <w:lang w:val="en-GB"/>
        </w:rPr>
        <w:tab/>
        <w:t xml:space="preserve">that the </w:t>
      </w:r>
      <w:r w:rsidR="00EE1CF1">
        <w:rPr>
          <w:rFonts w:ascii="Arial" w:hAnsi="Arial" w:cs="Arial"/>
          <w:sz w:val="24"/>
          <w:szCs w:val="24"/>
          <w:lang w:val="en-GB"/>
        </w:rPr>
        <w:t>Master correctly approved the Liquidation and Distribution account</w:t>
      </w:r>
      <w:r w:rsidRPr="0047675E">
        <w:rPr>
          <w:rFonts w:ascii="Arial" w:hAnsi="Arial" w:cs="Arial"/>
          <w:sz w:val="24"/>
          <w:szCs w:val="24"/>
          <w:lang w:val="en-GB"/>
        </w:rPr>
        <w:t>;</w:t>
      </w:r>
    </w:p>
    <w:p w:rsidR="0047675E" w:rsidRPr="0047675E" w:rsidRDefault="0047675E" w:rsidP="0047675E">
      <w:pPr>
        <w:spacing w:after="0" w:line="360" w:lineRule="auto"/>
        <w:jc w:val="both"/>
        <w:rPr>
          <w:rFonts w:ascii="Arial" w:hAnsi="Arial" w:cs="Arial"/>
          <w:sz w:val="24"/>
          <w:szCs w:val="24"/>
          <w:lang w:val="en-GB"/>
        </w:rPr>
      </w:pPr>
    </w:p>
    <w:p w:rsidR="0047675E" w:rsidRPr="0047675E" w:rsidRDefault="0047675E" w:rsidP="0047675E">
      <w:pPr>
        <w:spacing w:after="0" w:line="360" w:lineRule="auto"/>
        <w:jc w:val="both"/>
        <w:rPr>
          <w:rFonts w:ascii="Arial" w:hAnsi="Arial" w:cs="Arial"/>
          <w:sz w:val="24"/>
          <w:szCs w:val="24"/>
          <w:lang w:val="en-GB"/>
        </w:rPr>
      </w:pPr>
      <w:r w:rsidRPr="0047675E">
        <w:rPr>
          <w:rFonts w:ascii="Arial" w:hAnsi="Arial" w:cs="Arial"/>
          <w:sz w:val="24"/>
          <w:szCs w:val="24"/>
          <w:lang w:val="en-GB"/>
        </w:rPr>
        <w:t>(c)</w:t>
      </w:r>
      <w:r w:rsidRPr="0047675E">
        <w:rPr>
          <w:rFonts w:ascii="Arial" w:hAnsi="Arial" w:cs="Arial"/>
          <w:sz w:val="24"/>
          <w:szCs w:val="24"/>
          <w:lang w:val="en-GB"/>
        </w:rPr>
        <w:tab/>
      </w:r>
      <w:r w:rsidR="00EE1CF1">
        <w:rPr>
          <w:rFonts w:ascii="Arial" w:hAnsi="Arial" w:cs="Arial"/>
          <w:sz w:val="24"/>
          <w:szCs w:val="24"/>
          <w:lang w:val="en-GB"/>
        </w:rPr>
        <w:t>that the Master correctly approved the liquidation and distribution account, authorising the Executor to proceed and finalise the estate</w:t>
      </w:r>
      <w:r w:rsidRPr="0047675E">
        <w:rPr>
          <w:rFonts w:ascii="Arial" w:hAnsi="Arial" w:cs="Arial"/>
          <w:sz w:val="24"/>
          <w:szCs w:val="24"/>
          <w:lang w:val="en-GB"/>
        </w:rPr>
        <w:t>;</w:t>
      </w:r>
    </w:p>
    <w:p w:rsidR="0047675E" w:rsidRPr="0047675E" w:rsidRDefault="0047675E" w:rsidP="0047675E">
      <w:pPr>
        <w:spacing w:after="0" w:line="360" w:lineRule="auto"/>
        <w:jc w:val="both"/>
        <w:rPr>
          <w:rFonts w:ascii="Arial" w:hAnsi="Arial" w:cs="Arial"/>
          <w:sz w:val="24"/>
          <w:szCs w:val="24"/>
          <w:lang w:val="en-GB"/>
        </w:rPr>
      </w:pPr>
    </w:p>
    <w:p w:rsidR="0047675E" w:rsidRPr="0047675E" w:rsidRDefault="0047675E" w:rsidP="0047675E">
      <w:pPr>
        <w:spacing w:after="0" w:line="360" w:lineRule="auto"/>
        <w:jc w:val="both"/>
        <w:rPr>
          <w:rFonts w:ascii="Arial" w:hAnsi="Arial" w:cs="Arial"/>
          <w:sz w:val="24"/>
          <w:szCs w:val="24"/>
          <w:lang w:val="en-GB"/>
        </w:rPr>
      </w:pPr>
      <w:r w:rsidRPr="0047675E">
        <w:rPr>
          <w:rFonts w:ascii="Arial" w:hAnsi="Arial" w:cs="Arial"/>
          <w:sz w:val="24"/>
          <w:szCs w:val="24"/>
          <w:lang w:val="en-GB"/>
        </w:rPr>
        <w:lastRenderedPageBreak/>
        <w:t>(d)</w:t>
      </w:r>
      <w:r w:rsidRPr="0047675E">
        <w:rPr>
          <w:rFonts w:ascii="Arial" w:hAnsi="Arial" w:cs="Arial"/>
          <w:sz w:val="24"/>
          <w:szCs w:val="24"/>
          <w:lang w:val="en-GB"/>
        </w:rPr>
        <w:tab/>
        <w:t xml:space="preserve">that </w:t>
      </w:r>
      <w:r w:rsidR="00EE1CF1">
        <w:rPr>
          <w:rFonts w:ascii="Arial" w:hAnsi="Arial" w:cs="Arial"/>
          <w:sz w:val="24"/>
          <w:szCs w:val="24"/>
          <w:lang w:val="en-GB"/>
        </w:rPr>
        <w:t>the Executor correctly disposed of the vehicle o</w:t>
      </w:r>
      <w:r w:rsidR="0092145C">
        <w:rPr>
          <w:rFonts w:ascii="Arial" w:hAnsi="Arial" w:cs="Arial"/>
          <w:sz w:val="24"/>
          <w:szCs w:val="24"/>
          <w:lang w:val="en-GB"/>
        </w:rPr>
        <w:t>n the instructions of the Master.</w:t>
      </w:r>
    </w:p>
    <w:p w:rsidR="0047675E" w:rsidRPr="0047675E" w:rsidRDefault="0047675E" w:rsidP="0047675E">
      <w:pPr>
        <w:spacing w:after="0" w:line="360" w:lineRule="auto"/>
        <w:jc w:val="both"/>
        <w:rPr>
          <w:rFonts w:ascii="Arial" w:hAnsi="Arial" w:cs="Arial"/>
          <w:sz w:val="24"/>
          <w:szCs w:val="24"/>
          <w:lang w:val="en-GB"/>
        </w:rPr>
      </w:pPr>
    </w:p>
    <w:p w:rsidR="0071685A" w:rsidRDefault="0071685A" w:rsidP="0071685A">
      <w:pPr>
        <w:spacing w:after="0" w:line="360" w:lineRule="auto"/>
        <w:jc w:val="both"/>
        <w:rPr>
          <w:rFonts w:ascii="Arial" w:hAnsi="Arial" w:cs="Arial"/>
          <w:i/>
          <w:iCs/>
          <w:sz w:val="24"/>
          <w:szCs w:val="24"/>
          <w:lang w:val="en-GB"/>
        </w:rPr>
      </w:pPr>
      <w:r w:rsidRPr="0071685A">
        <w:rPr>
          <w:rFonts w:ascii="Arial" w:hAnsi="Arial" w:cs="Arial"/>
          <w:i/>
          <w:iCs/>
          <w:sz w:val="24"/>
          <w:szCs w:val="24"/>
          <w:lang w:val="en-GB"/>
        </w:rPr>
        <w:t>The issue</w:t>
      </w:r>
      <w:r w:rsidR="00076B5D">
        <w:rPr>
          <w:rFonts w:ascii="Arial" w:hAnsi="Arial" w:cs="Arial"/>
          <w:i/>
          <w:iCs/>
          <w:sz w:val="24"/>
          <w:szCs w:val="24"/>
          <w:lang w:val="en-GB"/>
        </w:rPr>
        <w:t>s</w:t>
      </w:r>
      <w:r w:rsidRPr="0071685A">
        <w:rPr>
          <w:rFonts w:ascii="Arial" w:hAnsi="Arial" w:cs="Arial"/>
          <w:i/>
          <w:iCs/>
          <w:sz w:val="24"/>
          <w:szCs w:val="24"/>
          <w:lang w:val="en-GB"/>
        </w:rPr>
        <w:t xml:space="preserve"> that the Court is required to resolve</w:t>
      </w:r>
    </w:p>
    <w:p w:rsidR="006F427F" w:rsidRDefault="006F427F" w:rsidP="0071685A">
      <w:pPr>
        <w:spacing w:after="0" w:line="360" w:lineRule="auto"/>
        <w:jc w:val="both"/>
        <w:rPr>
          <w:rFonts w:ascii="Arial" w:hAnsi="Arial" w:cs="Arial"/>
          <w:i/>
          <w:iCs/>
          <w:sz w:val="24"/>
          <w:szCs w:val="24"/>
          <w:lang w:val="en-GB"/>
        </w:rPr>
      </w:pPr>
    </w:p>
    <w:p w:rsidR="00076B5D" w:rsidRDefault="00076B5D" w:rsidP="0071685A">
      <w:pPr>
        <w:spacing w:after="0" w:line="360" w:lineRule="auto"/>
        <w:jc w:val="both"/>
        <w:rPr>
          <w:rFonts w:ascii="Arial" w:hAnsi="Arial" w:cs="Arial"/>
          <w:i/>
          <w:iCs/>
          <w:sz w:val="24"/>
          <w:szCs w:val="24"/>
          <w:lang w:val="en-GB"/>
        </w:rPr>
      </w:pPr>
      <w:r>
        <w:rPr>
          <w:rFonts w:ascii="Arial" w:hAnsi="Arial" w:cs="Arial"/>
          <w:i/>
          <w:iCs/>
          <w:sz w:val="24"/>
          <w:szCs w:val="24"/>
          <w:lang w:val="en-GB"/>
        </w:rPr>
        <w:t>Pre- trial order</w:t>
      </w:r>
    </w:p>
    <w:p w:rsidR="00076B5D" w:rsidRDefault="00076B5D" w:rsidP="0071685A">
      <w:pPr>
        <w:spacing w:after="0" w:line="360" w:lineRule="auto"/>
        <w:jc w:val="both"/>
        <w:rPr>
          <w:rFonts w:ascii="Arial" w:hAnsi="Arial" w:cs="Arial"/>
          <w:i/>
          <w:iCs/>
          <w:sz w:val="24"/>
          <w:szCs w:val="24"/>
          <w:lang w:val="en-GB"/>
        </w:rPr>
      </w:pPr>
    </w:p>
    <w:p w:rsidR="00076B5D" w:rsidRDefault="00076B5D" w:rsidP="0071685A">
      <w:pPr>
        <w:spacing w:after="0" w:line="360" w:lineRule="auto"/>
        <w:jc w:val="both"/>
        <w:rPr>
          <w:rFonts w:ascii="Arial" w:hAnsi="Arial" w:cs="Arial"/>
          <w:iCs/>
          <w:sz w:val="24"/>
          <w:szCs w:val="24"/>
          <w:lang w:val="en-GB"/>
        </w:rPr>
      </w:pPr>
      <w:r>
        <w:rPr>
          <w:rFonts w:ascii="Arial" w:hAnsi="Arial" w:cs="Arial"/>
          <w:iCs/>
          <w:sz w:val="24"/>
          <w:szCs w:val="24"/>
          <w:lang w:val="en-GB"/>
        </w:rPr>
        <w:t>[8]</w:t>
      </w:r>
      <w:r>
        <w:rPr>
          <w:rFonts w:ascii="Arial" w:hAnsi="Arial" w:cs="Arial"/>
          <w:iCs/>
          <w:sz w:val="24"/>
          <w:szCs w:val="24"/>
          <w:lang w:val="en-GB"/>
        </w:rPr>
        <w:tab/>
      </w:r>
      <w:r w:rsidRPr="00076B5D">
        <w:rPr>
          <w:rFonts w:ascii="Arial" w:hAnsi="Arial" w:cs="Arial"/>
          <w:iCs/>
          <w:sz w:val="24"/>
          <w:szCs w:val="24"/>
          <w:lang w:val="en-GB"/>
        </w:rPr>
        <w:t>In the pre-trial order the issues of fact the court w</w:t>
      </w:r>
      <w:r w:rsidR="0092145C">
        <w:rPr>
          <w:rFonts w:ascii="Arial" w:hAnsi="Arial" w:cs="Arial"/>
          <w:iCs/>
          <w:sz w:val="24"/>
          <w:szCs w:val="24"/>
          <w:lang w:val="en-GB"/>
        </w:rPr>
        <w:t>as called upon to adjudicate were</w:t>
      </w:r>
      <w:r w:rsidRPr="00076B5D">
        <w:rPr>
          <w:rFonts w:ascii="Arial" w:hAnsi="Arial" w:cs="Arial"/>
          <w:iCs/>
          <w:sz w:val="24"/>
          <w:szCs w:val="24"/>
          <w:lang w:val="en-GB"/>
        </w:rPr>
        <w:t xml:space="preserve"> the following:</w:t>
      </w:r>
    </w:p>
    <w:p w:rsidR="00076B5D" w:rsidRPr="00097C4A" w:rsidRDefault="00076B5D" w:rsidP="00076B5D">
      <w:pPr>
        <w:spacing w:after="0" w:line="360" w:lineRule="auto"/>
        <w:ind w:firstLine="720"/>
        <w:jc w:val="both"/>
        <w:rPr>
          <w:rFonts w:ascii="Arial" w:hAnsi="Arial" w:cs="Arial"/>
          <w:iCs/>
          <w:szCs w:val="24"/>
          <w:lang w:val="en-GB"/>
        </w:rPr>
      </w:pPr>
      <w:r w:rsidRPr="00097C4A">
        <w:rPr>
          <w:rFonts w:ascii="Arial" w:hAnsi="Arial" w:cs="Arial"/>
          <w:iCs/>
          <w:szCs w:val="24"/>
          <w:lang w:val="en-GB"/>
        </w:rPr>
        <w:t xml:space="preserve">1.1 Whether or not the </w:t>
      </w:r>
      <w:r w:rsidR="00E43220">
        <w:rPr>
          <w:rFonts w:ascii="Arial" w:hAnsi="Arial" w:cs="Arial"/>
          <w:iCs/>
          <w:szCs w:val="24"/>
          <w:lang w:val="en-GB"/>
        </w:rPr>
        <w:t>p</w:t>
      </w:r>
      <w:r w:rsidRPr="00097C4A">
        <w:rPr>
          <w:rFonts w:ascii="Arial" w:hAnsi="Arial" w:cs="Arial"/>
          <w:iCs/>
          <w:szCs w:val="24"/>
          <w:lang w:val="en-GB"/>
        </w:rPr>
        <w:t>laintiff in fact lodged an objection in   terms of section 35(8) of the Administration of Estates Act?</w:t>
      </w:r>
    </w:p>
    <w:p w:rsidR="00076B5D" w:rsidRPr="00097C4A" w:rsidRDefault="00076B5D" w:rsidP="00076B5D">
      <w:pPr>
        <w:spacing w:after="0" w:line="360" w:lineRule="auto"/>
        <w:jc w:val="both"/>
        <w:rPr>
          <w:rFonts w:ascii="Arial" w:hAnsi="Arial" w:cs="Arial"/>
          <w:iCs/>
          <w:szCs w:val="24"/>
          <w:lang w:val="en-GB"/>
        </w:rPr>
      </w:pPr>
      <w:r w:rsidRPr="00097C4A">
        <w:rPr>
          <w:rFonts w:ascii="Arial" w:hAnsi="Arial" w:cs="Arial"/>
          <w:iCs/>
          <w:szCs w:val="24"/>
          <w:lang w:val="en-GB"/>
        </w:rPr>
        <w:t xml:space="preserve">1.2 Whether or not the vehicle as set out under paragraph 4 of the Particulars of Claims belongs to the </w:t>
      </w:r>
      <w:r w:rsidR="00E43220">
        <w:rPr>
          <w:rFonts w:ascii="Arial" w:hAnsi="Arial" w:cs="Arial"/>
          <w:iCs/>
          <w:szCs w:val="24"/>
          <w:lang w:val="en-GB"/>
        </w:rPr>
        <w:t>p</w:t>
      </w:r>
      <w:r w:rsidRPr="00097C4A">
        <w:rPr>
          <w:rFonts w:ascii="Arial" w:hAnsi="Arial" w:cs="Arial"/>
          <w:iCs/>
          <w:szCs w:val="24"/>
          <w:lang w:val="en-GB"/>
        </w:rPr>
        <w:t>laintiff?</w:t>
      </w:r>
    </w:p>
    <w:p w:rsidR="00076B5D" w:rsidRPr="00097C4A" w:rsidRDefault="00076B5D" w:rsidP="00076B5D">
      <w:pPr>
        <w:spacing w:after="0" w:line="360" w:lineRule="auto"/>
        <w:jc w:val="both"/>
        <w:rPr>
          <w:rFonts w:ascii="Arial" w:hAnsi="Arial" w:cs="Arial"/>
          <w:iCs/>
          <w:szCs w:val="24"/>
          <w:lang w:val="en-GB"/>
        </w:rPr>
      </w:pPr>
      <w:r w:rsidRPr="00097C4A">
        <w:rPr>
          <w:rFonts w:ascii="Arial" w:hAnsi="Arial" w:cs="Arial"/>
          <w:iCs/>
          <w:szCs w:val="24"/>
          <w:lang w:val="en-GB"/>
        </w:rPr>
        <w:t xml:space="preserve">1.3 Whether or not, as a direct result of the </w:t>
      </w:r>
      <w:r w:rsidR="00E43220">
        <w:rPr>
          <w:rFonts w:ascii="Arial" w:hAnsi="Arial" w:cs="Arial"/>
          <w:iCs/>
          <w:szCs w:val="24"/>
          <w:lang w:val="en-GB"/>
        </w:rPr>
        <w:t>d</w:t>
      </w:r>
      <w:r w:rsidRPr="00097C4A">
        <w:rPr>
          <w:rFonts w:ascii="Arial" w:hAnsi="Arial" w:cs="Arial"/>
          <w:iCs/>
          <w:szCs w:val="24"/>
          <w:lang w:val="en-GB"/>
        </w:rPr>
        <w:t xml:space="preserve">efendants wrongful and unlawful conducts the </w:t>
      </w:r>
      <w:r w:rsidR="00E43220">
        <w:rPr>
          <w:rFonts w:ascii="Arial" w:hAnsi="Arial" w:cs="Arial"/>
          <w:iCs/>
          <w:szCs w:val="24"/>
          <w:lang w:val="en-GB"/>
        </w:rPr>
        <w:t>p</w:t>
      </w:r>
      <w:r w:rsidRPr="00097C4A">
        <w:rPr>
          <w:rFonts w:ascii="Arial" w:hAnsi="Arial" w:cs="Arial"/>
          <w:iCs/>
          <w:szCs w:val="24"/>
          <w:lang w:val="en-GB"/>
        </w:rPr>
        <w:t>laintiff suffered damages in the amount of N$353,300.00, which is the value of the vehicle.</w:t>
      </w:r>
    </w:p>
    <w:p w:rsidR="00076B5D" w:rsidRPr="00097C4A" w:rsidRDefault="00E43220" w:rsidP="00076B5D">
      <w:pPr>
        <w:spacing w:after="0" w:line="360" w:lineRule="auto"/>
        <w:jc w:val="both"/>
        <w:rPr>
          <w:rFonts w:ascii="Arial" w:hAnsi="Arial" w:cs="Arial"/>
          <w:iCs/>
          <w:szCs w:val="24"/>
          <w:lang w:val="en-GB"/>
        </w:rPr>
      </w:pPr>
      <w:r>
        <w:rPr>
          <w:rFonts w:ascii="Arial" w:hAnsi="Arial" w:cs="Arial"/>
          <w:iCs/>
          <w:szCs w:val="24"/>
          <w:lang w:val="en-GB"/>
        </w:rPr>
        <w:t>1.4 Whether the s</w:t>
      </w:r>
      <w:r w:rsidR="00076B5D" w:rsidRPr="00097C4A">
        <w:rPr>
          <w:rFonts w:ascii="Arial" w:hAnsi="Arial" w:cs="Arial"/>
          <w:iCs/>
          <w:szCs w:val="24"/>
          <w:lang w:val="en-GB"/>
        </w:rPr>
        <w:t xml:space="preserve">econd </w:t>
      </w:r>
      <w:r>
        <w:rPr>
          <w:rFonts w:ascii="Arial" w:hAnsi="Arial" w:cs="Arial"/>
          <w:iCs/>
          <w:szCs w:val="24"/>
          <w:lang w:val="en-GB"/>
        </w:rPr>
        <w:t>d</w:t>
      </w:r>
      <w:r w:rsidR="00076B5D" w:rsidRPr="00097C4A">
        <w:rPr>
          <w:rFonts w:ascii="Arial" w:hAnsi="Arial" w:cs="Arial"/>
          <w:iCs/>
          <w:szCs w:val="24"/>
          <w:lang w:val="en-GB"/>
        </w:rPr>
        <w:t>efendant acted within his rights to finalise the estate late: J. G. Adler in terms of the non-objection letter dated 20 March 2020, received from the Master of the High Court.</w:t>
      </w:r>
    </w:p>
    <w:p w:rsidR="00076B5D" w:rsidRPr="00097C4A" w:rsidRDefault="00076B5D" w:rsidP="00076B5D">
      <w:pPr>
        <w:spacing w:after="0" w:line="360" w:lineRule="auto"/>
        <w:jc w:val="both"/>
        <w:rPr>
          <w:rFonts w:ascii="Arial" w:hAnsi="Arial" w:cs="Arial"/>
          <w:iCs/>
          <w:szCs w:val="24"/>
          <w:lang w:val="en-GB"/>
        </w:rPr>
      </w:pPr>
      <w:r w:rsidRPr="00097C4A">
        <w:rPr>
          <w:rFonts w:ascii="Arial" w:hAnsi="Arial" w:cs="Arial"/>
          <w:iCs/>
          <w:szCs w:val="24"/>
          <w:lang w:val="en-GB"/>
        </w:rPr>
        <w:t>1.5 Whether the letter of the Master of the High Court, dat</w:t>
      </w:r>
      <w:r w:rsidR="00E43220">
        <w:rPr>
          <w:rFonts w:ascii="Arial" w:hAnsi="Arial" w:cs="Arial"/>
          <w:iCs/>
          <w:szCs w:val="24"/>
          <w:lang w:val="en-GB"/>
        </w:rPr>
        <w:t>ed 15 February 2021, binds the second d</w:t>
      </w:r>
      <w:r w:rsidRPr="00097C4A">
        <w:rPr>
          <w:rFonts w:ascii="Arial" w:hAnsi="Arial" w:cs="Arial"/>
          <w:iCs/>
          <w:szCs w:val="24"/>
          <w:lang w:val="en-GB"/>
        </w:rPr>
        <w:t>efendant in light of the non</w:t>
      </w:r>
      <w:r w:rsidR="00E43220">
        <w:rPr>
          <w:rFonts w:ascii="Arial" w:hAnsi="Arial" w:cs="Arial"/>
          <w:iCs/>
          <w:szCs w:val="24"/>
          <w:lang w:val="en-GB"/>
        </w:rPr>
        <w:t>-objection letter forwarded to second d</w:t>
      </w:r>
      <w:r w:rsidRPr="00097C4A">
        <w:rPr>
          <w:rFonts w:ascii="Arial" w:hAnsi="Arial" w:cs="Arial"/>
          <w:iCs/>
          <w:szCs w:val="24"/>
          <w:lang w:val="en-GB"/>
        </w:rPr>
        <w:t>efendant on 20 March 2020.</w:t>
      </w:r>
    </w:p>
    <w:p w:rsidR="00076B5D" w:rsidRPr="00097C4A" w:rsidRDefault="00076B5D" w:rsidP="00076B5D">
      <w:pPr>
        <w:spacing w:after="0" w:line="360" w:lineRule="auto"/>
        <w:jc w:val="both"/>
        <w:rPr>
          <w:rFonts w:ascii="Arial" w:hAnsi="Arial" w:cs="Arial"/>
          <w:iCs/>
          <w:szCs w:val="24"/>
          <w:lang w:val="en-GB"/>
        </w:rPr>
      </w:pPr>
      <w:r w:rsidRPr="00097C4A">
        <w:rPr>
          <w:rFonts w:ascii="Arial" w:hAnsi="Arial" w:cs="Arial"/>
          <w:iCs/>
          <w:szCs w:val="24"/>
          <w:lang w:val="en-GB"/>
        </w:rPr>
        <w:t xml:space="preserve">1.6 Whether the letter of the Master of the High Court to the </w:t>
      </w:r>
      <w:r w:rsidR="00E43220">
        <w:rPr>
          <w:rFonts w:ascii="Arial" w:hAnsi="Arial" w:cs="Arial"/>
          <w:iCs/>
          <w:szCs w:val="24"/>
          <w:lang w:val="en-GB"/>
        </w:rPr>
        <w:t>p</w:t>
      </w:r>
      <w:r w:rsidRPr="00097C4A">
        <w:rPr>
          <w:rFonts w:ascii="Arial" w:hAnsi="Arial" w:cs="Arial"/>
          <w:iCs/>
          <w:szCs w:val="24"/>
          <w:lang w:val="en-GB"/>
        </w:rPr>
        <w:t>laintiff's legal practitioner, dated 15 February 2021 is not an admission by the Master of the High Court of her negligence insofar it may be relevant, having regard to the fact that it was forwarded approximately eleven months after the non-objection letter was forwarded to the executor's agent eleven months after the non-objection letter was forwarded to the executor's agent.</w:t>
      </w:r>
    </w:p>
    <w:p w:rsidR="00076B5D" w:rsidRPr="00097C4A" w:rsidRDefault="00E43220" w:rsidP="00076B5D">
      <w:pPr>
        <w:spacing w:after="0" w:line="360" w:lineRule="auto"/>
        <w:jc w:val="both"/>
        <w:rPr>
          <w:rFonts w:ascii="Arial" w:hAnsi="Arial" w:cs="Arial"/>
          <w:iCs/>
          <w:szCs w:val="24"/>
          <w:lang w:val="en-GB"/>
        </w:rPr>
      </w:pPr>
      <w:r>
        <w:rPr>
          <w:rFonts w:ascii="Arial" w:hAnsi="Arial" w:cs="Arial"/>
          <w:iCs/>
          <w:szCs w:val="24"/>
          <w:lang w:val="en-GB"/>
        </w:rPr>
        <w:t>1.7 Whether the second d</w:t>
      </w:r>
      <w:r w:rsidR="00076B5D" w:rsidRPr="00097C4A">
        <w:rPr>
          <w:rFonts w:ascii="Arial" w:hAnsi="Arial" w:cs="Arial"/>
          <w:iCs/>
          <w:szCs w:val="24"/>
          <w:lang w:val="en-GB"/>
        </w:rPr>
        <w:t>efendant was entitled to dispose of the Mercedes Benz motor vehicle, in light of the non-objection letter.</w:t>
      </w:r>
    </w:p>
    <w:p w:rsidR="00076B5D" w:rsidRPr="00076B5D" w:rsidRDefault="00E43220" w:rsidP="00076B5D">
      <w:pPr>
        <w:spacing w:after="0" w:line="360" w:lineRule="auto"/>
        <w:jc w:val="both"/>
        <w:rPr>
          <w:rFonts w:ascii="Arial" w:hAnsi="Arial" w:cs="Arial"/>
          <w:iCs/>
          <w:szCs w:val="24"/>
          <w:lang w:val="en-GB"/>
        </w:rPr>
      </w:pPr>
      <w:r>
        <w:rPr>
          <w:rFonts w:ascii="Arial" w:hAnsi="Arial" w:cs="Arial"/>
          <w:iCs/>
          <w:szCs w:val="24"/>
          <w:lang w:val="en-GB"/>
        </w:rPr>
        <w:t>1.8 Whether the p</w:t>
      </w:r>
      <w:r w:rsidR="00076B5D" w:rsidRPr="00097C4A">
        <w:rPr>
          <w:rFonts w:ascii="Arial" w:hAnsi="Arial" w:cs="Arial"/>
          <w:iCs/>
          <w:szCs w:val="24"/>
          <w:lang w:val="en-GB"/>
        </w:rPr>
        <w:t>laintiff lodged a formal claim in terms of Section 35(7) of the Administration of Estates Act, Act No. 66 of 1965 in time</w:t>
      </w:r>
    </w:p>
    <w:p w:rsidR="00076B5D" w:rsidRPr="00076B5D" w:rsidRDefault="00076B5D" w:rsidP="00076B5D">
      <w:pPr>
        <w:spacing w:after="0" w:line="360" w:lineRule="auto"/>
        <w:jc w:val="both"/>
        <w:rPr>
          <w:rFonts w:ascii="Arial" w:hAnsi="Arial" w:cs="Arial"/>
          <w:iCs/>
          <w:szCs w:val="24"/>
          <w:lang w:val="en-GB"/>
        </w:rPr>
      </w:pPr>
      <w:r w:rsidRPr="00076B5D">
        <w:rPr>
          <w:rFonts w:ascii="Arial" w:hAnsi="Arial" w:cs="Arial"/>
          <w:iCs/>
          <w:szCs w:val="24"/>
          <w:lang w:val="en-GB"/>
        </w:rPr>
        <w:t>1.9 Whether the Mercedes Benz motor vehicle was registered in the name of the late J. G. Adler.</w:t>
      </w:r>
    </w:p>
    <w:p w:rsidR="00076B5D" w:rsidRPr="00076B5D" w:rsidRDefault="00076B5D" w:rsidP="00076B5D">
      <w:pPr>
        <w:spacing w:after="0" w:line="360" w:lineRule="auto"/>
        <w:jc w:val="both"/>
        <w:rPr>
          <w:rFonts w:ascii="Arial" w:hAnsi="Arial" w:cs="Arial"/>
          <w:iCs/>
          <w:szCs w:val="24"/>
          <w:lang w:val="en-GB"/>
        </w:rPr>
      </w:pPr>
      <w:r w:rsidRPr="00076B5D">
        <w:rPr>
          <w:rFonts w:ascii="Arial" w:hAnsi="Arial" w:cs="Arial"/>
          <w:iCs/>
          <w:szCs w:val="24"/>
          <w:lang w:val="en-GB"/>
        </w:rPr>
        <w:t>1.10 Whether the value of the Mercedes Benz vehicle was N$353 300.00.</w:t>
      </w:r>
    </w:p>
    <w:p w:rsidR="00076B5D" w:rsidRPr="00076B5D" w:rsidRDefault="00076B5D" w:rsidP="00076B5D">
      <w:pPr>
        <w:spacing w:after="0" w:line="360" w:lineRule="auto"/>
        <w:jc w:val="both"/>
        <w:rPr>
          <w:rFonts w:ascii="Arial" w:hAnsi="Arial" w:cs="Arial"/>
          <w:iCs/>
          <w:szCs w:val="24"/>
          <w:lang w:val="en-GB"/>
        </w:rPr>
      </w:pPr>
      <w:r w:rsidRPr="00076B5D">
        <w:rPr>
          <w:rFonts w:ascii="Arial" w:hAnsi="Arial" w:cs="Arial"/>
          <w:iCs/>
          <w:szCs w:val="24"/>
          <w:lang w:val="en-GB"/>
        </w:rPr>
        <w:t xml:space="preserve">1.11 The </w:t>
      </w:r>
      <w:r w:rsidR="00E43220">
        <w:rPr>
          <w:rFonts w:ascii="Arial" w:hAnsi="Arial" w:cs="Arial"/>
          <w:iCs/>
          <w:szCs w:val="24"/>
          <w:lang w:val="en-GB"/>
        </w:rPr>
        <w:t>p</w:t>
      </w:r>
      <w:r w:rsidRPr="00076B5D">
        <w:rPr>
          <w:rFonts w:ascii="Arial" w:hAnsi="Arial" w:cs="Arial"/>
          <w:iCs/>
          <w:szCs w:val="24"/>
          <w:lang w:val="en-GB"/>
        </w:rPr>
        <w:t>laintiff objects to the inclusion of issues listed under paragraphs 1.1 and 1.8 above as they were not pleaded by the Second Defendant.</w:t>
      </w:r>
    </w:p>
    <w:p w:rsidR="00076B5D" w:rsidRDefault="00076B5D" w:rsidP="00076B5D">
      <w:pPr>
        <w:spacing w:after="0" w:line="360" w:lineRule="auto"/>
        <w:jc w:val="both"/>
        <w:rPr>
          <w:rFonts w:ascii="Arial" w:hAnsi="Arial" w:cs="Arial"/>
          <w:iCs/>
          <w:szCs w:val="24"/>
          <w:lang w:val="en-GB"/>
        </w:rPr>
      </w:pPr>
    </w:p>
    <w:p w:rsidR="008749CE" w:rsidRPr="00076B5D" w:rsidRDefault="008749CE" w:rsidP="00076B5D">
      <w:pPr>
        <w:spacing w:after="0" w:line="360" w:lineRule="auto"/>
        <w:jc w:val="both"/>
        <w:rPr>
          <w:rFonts w:ascii="Arial" w:hAnsi="Arial" w:cs="Arial"/>
          <w:iCs/>
          <w:szCs w:val="24"/>
          <w:lang w:val="en-GB"/>
        </w:rPr>
      </w:pPr>
    </w:p>
    <w:p w:rsidR="00076B5D" w:rsidRDefault="00076B5D" w:rsidP="00076B5D">
      <w:pPr>
        <w:spacing w:after="0" w:line="360" w:lineRule="auto"/>
        <w:jc w:val="both"/>
        <w:rPr>
          <w:rFonts w:ascii="Arial" w:hAnsi="Arial" w:cs="Arial"/>
          <w:i/>
          <w:iCs/>
          <w:sz w:val="24"/>
          <w:szCs w:val="24"/>
          <w:lang w:val="en-GB"/>
        </w:rPr>
      </w:pPr>
      <w:r w:rsidRPr="00076B5D">
        <w:rPr>
          <w:rFonts w:ascii="Arial" w:hAnsi="Arial" w:cs="Arial"/>
          <w:i/>
          <w:iCs/>
          <w:sz w:val="24"/>
          <w:szCs w:val="24"/>
          <w:lang w:val="en-GB"/>
        </w:rPr>
        <w:lastRenderedPageBreak/>
        <w:t>All issues of law to be resolved during the trial</w:t>
      </w:r>
    </w:p>
    <w:p w:rsidR="006F427F" w:rsidRDefault="006F427F" w:rsidP="00076B5D">
      <w:pPr>
        <w:spacing w:after="0" w:line="360" w:lineRule="auto"/>
        <w:jc w:val="both"/>
        <w:rPr>
          <w:rFonts w:ascii="Arial" w:hAnsi="Arial" w:cs="Arial"/>
          <w:i/>
          <w:iCs/>
          <w:sz w:val="24"/>
          <w:szCs w:val="24"/>
          <w:lang w:val="en-GB"/>
        </w:rPr>
      </w:pPr>
    </w:p>
    <w:p w:rsidR="006F427F" w:rsidRPr="006F427F" w:rsidRDefault="006F427F" w:rsidP="00076B5D">
      <w:pPr>
        <w:spacing w:after="0" w:line="360" w:lineRule="auto"/>
        <w:jc w:val="both"/>
        <w:rPr>
          <w:rFonts w:ascii="Arial" w:hAnsi="Arial" w:cs="Arial"/>
          <w:iCs/>
          <w:sz w:val="24"/>
          <w:szCs w:val="24"/>
          <w:lang w:val="en-GB"/>
        </w:rPr>
      </w:pPr>
      <w:r w:rsidRPr="006F427F">
        <w:rPr>
          <w:rFonts w:ascii="Arial" w:hAnsi="Arial" w:cs="Arial"/>
          <w:iCs/>
          <w:sz w:val="24"/>
          <w:szCs w:val="24"/>
          <w:lang w:val="en-GB"/>
        </w:rPr>
        <w:t>[9]</w:t>
      </w:r>
      <w:r w:rsidRPr="006F427F">
        <w:rPr>
          <w:rFonts w:ascii="Arial" w:hAnsi="Arial" w:cs="Arial"/>
          <w:iCs/>
          <w:sz w:val="24"/>
          <w:szCs w:val="24"/>
          <w:lang w:val="en-GB"/>
        </w:rPr>
        <w:tab/>
        <w:t>And the issues of law that the court should resolve at the trial is as follows:</w:t>
      </w:r>
    </w:p>
    <w:p w:rsidR="00076B5D" w:rsidRPr="00076B5D" w:rsidRDefault="00076B5D" w:rsidP="00076B5D">
      <w:pPr>
        <w:spacing w:after="0" w:line="360" w:lineRule="auto"/>
        <w:jc w:val="both"/>
        <w:rPr>
          <w:rFonts w:ascii="Arial" w:hAnsi="Arial" w:cs="Arial"/>
          <w:i/>
          <w:iCs/>
          <w:sz w:val="24"/>
          <w:szCs w:val="24"/>
          <w:lang w:val="en-GB"/>
        </w:rPr>
      </w:pPr>
    </w:p>
    <w:p w:rsidR="00076B5D" w:rsidRPr="00076B5D" w:rsidRDefault="006F427F" w:rsidP="006F427F">
      <w:pPr>
        <w:spacing w:after="0" w:line="360" w:lineRule="auto"/>
        <w:ind w:firstLine="720"/>
        <w:jc w:val="both"/>
        <w:rPr>
          <w:rFonts w:ascii="Arial" w:hAnsi="Arial" w:cs="Arial"/>
          <w:iCs/>
          <w:szCs w:val="24"/>
          <w:lang w:val="en-GB"/>
        </w:rPr>
      </w:pPr>
      <w:r>
        <w:rPr>
          <w:rFonts w:ascii="Arial" w:hAnsi="Arial" w:cs="Arial"/>
          <w:iCs/>
          <w:szCs w:val="24"/>
          <w:lang w:val="en-GB"/>
        </w:rPr>
        <w:t>‘</w:t>
      </w:r>
      <w:r w:rsidR="00E43220">
        <w:rPr>
          <w:rFonts w:ascii="Arial" w:hAnsi="Arial" w:cs="Arial"/>
          <w:iCs/>
          <w:szCs w:val="24"/>
          <w:lang w:val="en-GB"/>
        </w:rPr>
        <w:t>2.1 Whether or not the second d</w:t>
      </w:r>
      <w:r w:rsidR="00076B5D" w:rsidRPr="00076B5D">
        <w:rPr>
          <w:rFonts w:ascii="Arial" w:hAnsi="Arial" w:cs="Arial"/>
          <w:iCs/>
          <w:szCs w:val="24"/>
          <w:lang w:val="en-GB"/>
        </w:rPr>
        <w:t>efendant unlawfully and wrongfully included the Plaintiff's vehicle into the liquidation and distribution account of the late J.G Adler?</w:t>
      </w:r>
    </w:p>
    <w:p w:rsidR="00076B5D" w:rsidRPr="00097C4A" w:rsidRDefault="00076B5D" w:rsidP="00076B5D">
      <w:pPr>
        <w:spacing w:after="0" w:line="360" w:lineRule="auto"/>
        <w:jc w:val="both"/>
        <w:rPr>
          <w:rFonts w:ascii="Arial" w:hAnsi="Arial" w:cs="Arial"/>
          <w:iCs/>
          <w:szCs w:val="24"/>
          <w:lang w:val="en-GB"/>
        </w:rPr>
      </w:pPr>
      <w:r w:rsidRPr="00097C4A">
        <w:rPr>
          <w:rFonts w:ascii="Arial" w:hAnsi="Arial" w:cs="Arial"/>
          <w:iCs/>
          <w:szCs w:val="24"/>
          <w:lang w:val="en-GB"/>
        </w:rPr>
        <w:t xml:space="preserve">2.2 Whether or not the </w:t>
      </w:r>
      <w:r w:rsidR="00E43220">
        <w:rPr>
          <w:rFonts w:ascii="Arial" w:hAnsi="Arial" w:cs="Arial"/>
          <w:iCs/>
          <w:szCs w:val="24"/>
          <w:lang w:val="en-GB"/>
        </w:rPr>
        <w:t>p</w:t>
      </w:r>
      <w:r w:rsidRPr="00097C4A">
        <w:rPr>
          <w:rFonts w:ascii="Arial" w:hAnsi="Arial" w:cs="Arial"/>
          <w:iCs/>
          <w:szCs w:val="24"/>
          <w:lang w:val="en-GB"/>
        </w:rPr>
        <w:t>laintiff duly lodged an objection in terms of section 35(8) of the Administration of Estates Act?</w:t>
      </w:r>
    </w:p>
    <w:p w:rsidR="00076B5D" w:rsidRPr="00097C4A" w:rsidRDefault="00E43220" w:rsidP="00076B5D">
      <w:pPr>
        <w:spacing w:after="0" w:line="360" w:lineRule="auto"/>
        <w:jc w:val="both"/>
        <w:rPr>
          <w:rFonts w:ascii="Arial" w:hAnsi="Arial" w:cs="Arial"/>
          <w:iCs/>
          <w:szCs w:val="24"/>
          <w:lang w:val="en-GB"/>
        </w:rPr>
      </w:pPr>
      <w:r>
        <w:rPr>
          <w:rFonts w:ascii="Arial" w:hAnsi="Arial" w:cs="Arial"/>
          <w:iCs/>
          <w:szCs w:val="24"/>
          <w:lang w:val="en-GB"/>
        </w:rPr>
        <w:t>2.3 Whether or not the first d</w:t>
      </w:r>
      <w:r w:rsidR="00076B5D" w:rsidRPr="00097C4A">
        <w:rPr>
          <w:rFonts w:ascii="Arial" w:hAnsi="Arial" w:cs="Arial"/>
          <w:iCs/>
          <w:szCs w:val="24"/>
          <w:lang w:val="en-GB"/>
        </w:rPr>
        <w:t xml:space="preserve">efendant notwithstanding the duly lodged objection by the </w:t>
      </w:r>
      <w:r>
        <w:rPr>
          <w:rFonts w:ascii="Arial" w:hAnsi="Arial" w:cs="Arial"/>
          <w:iCs/>
          <w:szCs w:val="24"/>
          <w:lang w:val="en-GB"/>
        </w:rPr>
        <w:t>p</w:t>
      </w:r>
      <w:r w:rsidR="00076B5D" w:rsidRPr="00097C4A">
        <w:rPr>
          <w:rFonts w:ascii="Arial" w:hAnsi="Arial" w:cs="Arial"/>
          <w:iCs/>
          <w:szCs w:val="24"/>
          <w:lang w:val="en-GB"/>
        </w:rPr>
        <w:t>laintiff, unlawfully and wrongfully confirmed that there was no objection to the liquidation and distribution of the estate of the late J.G Adler?</w:t>
      </w:r>
    </w:p>
    <w:p w:rsidR="00076B5D" w:rsidRPr="00097C4A" w:rsidRDefault="00E43220" w:rsidP="00076B5D">
      <w:pPr>
        <w:spacing w:after="0" w:line="360" w:lineRule="auto"/>
        <w:jc w:val="both"/>
        <w:rPr>
          <w:rFonts w:ascii="Arial" w:hAnsi="Arial" w:cs="Arial"/>
          <w:iCs/>
          <w:szCs w:val="24"/>
          <w:lang w:val="en-GB"/>
        </w:rPr>
      </w:pPr>
      <w:r>
        <w:rPr>
          <w:rFonts w:ascii="Arial" w:hAnsi="Arial" w:cs="Arial"/>
          <w:iCs/>
          <w:szCs w:val="24"/>
          <w:lang w:val="en-GB"/>
        </w:rPr>
        <w:t>2.4 Whether or not second d</w:t>
      </w:r>
      <w:r w:rsidR="00076B5D" w:rsidRPr="00097C4A">
        <w:rPr>
          <w:rFonts w:ascii="Arial" w:hAnsi="Arial" w:cs="Arial"/>
          <w:iCs/>
          <w:szCs w:val="24"/>
          <w:lang w:val="en-GB"/>
        </w:rPr>
        <w:t>efendant unlawfully and wrongfully publicly advertised the estate late J.G Adler on the 13th December 2019?</w:t>
      </w:r>
    </w:p>
    <w:p w:rsidR="00076B5D" w:rsidRPr="00097C4A" w:rsidRDefault="00076B5D" w:rsidP="00076B5D">
      <w:pPr>
        <w:spacing w:after="0" w:line="360" w:lineRule="auto"/>
        <w:jc w:val="both"/>
        <w:rPr>
          <w:rFonts w:ascii="Arial" w:hAnsi="Arial" w:cs="Arial"/>
          <w:iCs/>
          <w:szCs w:val="24"/>
          <w:lang w:val="en-GB"/>
        </w:rPr>
      </w:pPr>
      <w:r w:rsidRPr="00097C4A">
        <w:rPr>
          <w:rFonts w:ascii="Arial" w:hAnsi="Arial" w:cs="Arial"/>
          <w:iCs/>
          <w:szCs w:val="24"/>
          <w:lang w:val="en-GB"/>
        </w:rPr>
        <w:t xml:space="preserve">2.5 Whether or not the </w:t>
      </w:r>
      <w:r w:rsidR="00E43220">
        <w:rPr>
          <w:rFonts w:ascii="Arial" w:hAnsi="Arial" w:cs="Arial"/>
          <w:iCs/>
          <w:szCs w:val="24"/>
          <w:lang w:val="en-GB"/>
        </w:rPr>
        <w:t>p</w:t>
      </w:r>
      <w:r w:rsidRPr="00097C4A">
        <w:rPr>
          <w:rFonts w:ascii="Arial" w:hAnsi="Arial" w:cs="Arial"/>
          <w:iCs/>
          <w:szCs w:val="24"/>
          <w:lang w:val="en-GB"/>
        </w:rPr>
        <w:t>laintiff is the legal owner of the vehicle, Mercedes Benz 200E with VIN WDD2130422A055852 and engine number 27492030742657?</w:t>
      </w:r>
    </w:p>
    <w:p w:rsidR="00076B5D" w:rsidRPr="00097C4A" w:rsidRDefault="00076B5D" w:rsidP="00076B5D">
      <w:pPr>
        <w:spacing w:after="0" w:line="360" w:lineRule="auto"/>
        <w:jc w:val="both"/>
        <w:rPr>
          <w:rFonts w:ascii="Arial" w:hAnsi="Arial" w:cs="Arial"/>
          <w:iCs/>
          <w:szCs w:val="24"/>
          <w:lang w:val="en-GB"/>
        </w:rPr>
      </w:pPr>
      <w:r w:rsidRPr="00097C4A">
        <w:rPr>
          <w:rFonts w:ascii="Arial" w:hAnsi="Arial" w:cs="Arial"/>
          <w:iCs/>
          <w:szCs w:val="24"/>
          <w:lang w:val="en-GB"/>
        </w:rPr>
        <w:t xml:space="preserve">2.6 Whether or not the confirmation by the </w:t>
      </w:r>
      <w:r w:rsidR="00E43220">
        <w:rPr>
          <w:rFonts w:ascii="Arial" w:hAnsi="Arial" w:cs="Arial"/>
          <w:iCs/>
          <w:szCs w:val="24"/>
          <w:lang w:val="en-GB"/>
        </w:rPr>
        <w:t>first d</w:t>
      </w:r>
      <w:r w:rsidRPr="00097C4A">
        <w:rPr>
          <w:rFonts w:ascii="Arial" w:hAnsi="Arial" w:cs="Arial"/>
          <w:iCs/>
          <w:szCs w:val="24"/>
          <w:lang w:val="en-GB"/>
        </w:rPr>
        <w:t>efendant, that there was no objection to the liquidation and distribution of late J.G Adler resulted in the liquidation and distribution of the estate?</w:t>
      </w:r>
    </w:p>
    <w:p w:rsidR="00076B5D" w:rsidRPr="00097C4A" w:rsidRDefault="00076B5D" w:rsidP="00076B5D">
      <w:pPr>
        <w:spacing w:after="0" w:line="360" w:lineRule="auto"/>
        <w:jc w:val="both"/>
        <w:rPr>
          <w:rFonts w:ascii="Arial" w:hAnsi="Arial" w:cs="Arial"/>
          <w:iCs/>
          <w:szCs w:val="24"/>
          <w:lang w:val="en-GB"/>
        </w:rPr>
      </w:pPr>
      <w:r w:rsidRPr="00097C4A">
        <w:rPr>
          <w:rFonts w:ascii="Arial" w:hAnsi="Arial" w:cs="Arial"/>
          <w:iCs/>
          <w:szCs w:val="24"/>
          <w:lang w:val="en-GB"/>
        </w:rPr>
        <w:t>2.7 Without derogating from the generality of</w:t>
      </w:r>
      <w:r w:rsidR="00E43220">
        <w:rPr>
          <w:rFonts w:ascii="Arial" w:hAnsi="Arial" w:cs="Arial"/>
          <w:iCs/>
          <w:szCs w:val="24"/>
          <w:lang w:val="en-GB"/>
        </w:rPr>
        <w:t xml:space="preserve"> the above, whether or not the d</w:t>
      </w:r>
      <w:r w:rsidRPr="00097C4A">
        <w:rPr>
          <w:rFonts w:ascii="Arial" w:hAnsi="Arial" w:cs="Arial"/>
          <w:iCs/>
          <w:szCs w:val="24"/>
          <w:lang w:val="en-GB"/>
        </w:rPr>
        <w:t xml:space="preserve">efendants had the right(s) </w:t>
      </w:r>
      <w:r w:rsidR="00E43220">
        <w:rPr>
          <w:rFonts w:ascii="Arial" w:hAnsi="Arial" w:cs="Arial"/>
          <w:iCs/>
          <w:szCs w:val="24"/>
          <w:lang w:val="en-GB"/>
        </w:rPr>
        <w:t>in law to include the p</w:t>
      </w:r>
      <w:r w:rsidRPr="00097C4A">
        <w:rPr>
          <w:rFonts w:ascii="Arial" w:hAnsi="Arial" w:cs="Arial"/>
          <w:iCs/>
          <w:szCs w:val="24"/>
          <w:lang w:val="en-GB"/>
        </w:rPr>
        <w:t>laintiff's vehicle in the estate of late J.G Adler?</w:t>
      </w:r>
    </w:p>
    <w:p w:rsidR="00076B5D" w:rsidRPr="00097C4A" w:rsidRDefault="00076B5D" w:rsidP="00076B5D">
      <w:pPr>
        <w:spacing w:after="0" w:line="360" w:lineRule="auto"/>
        <w:jc w:val="both"/>
        <w:rPr>
          <w:rFonts w:ascii="Arial" w:hAnsi="Arial" w:cs="Arial"/>
          <w:iCs/>
          <w:szCs w:val="24"/>
          <w:lang w:val="en-GB"/>
        </w:rPr>
      </w:pPr>
      <w:r w:rsidRPr="00097C4A">
        <w:rPr>
          <w:rFonts w:ascii="Arial" w:hAnsi="Arial" w:cs="Arial"/>
          <w:iCs/>
          <w:szCs w:val="24"/>
          <w:lang w:val="en-GB"/>
        </w:rPr>
        <w:t>2.8 The admissibility of the statement under paragraph 2 of the witness statement of Peter Kreybig.</w:t>
      </w:r>
    </w:p>
    <w:p w:rsidR="00076B5D" w:rsidRPr="0092145C" w:rsidRDefault="00E43220" w:rsidP="00076B5D">
      <w:pPr>
        <w:spacing w:after="0" w:line="360" w:lineRule="auto"/>
        <w:jc w:val="both"/>
        <w:rPr>
          <w:rFonts w:ascii="Arial" w:hAnsi="Arial" w:cs="Arial"/>
          <w:iCs/>
          <w:szCs w:val="24"/>
          <w:lang w:val="en-GB"/>
        </w:rPr>
      </w:pPr>
      <w:r w:rsidRPr="0092145C">
        <w:rPr>
          <w:rFonts w:ascii="Arial" w:hAnsi="Arial" w:cs="Arial"/>
          <w:iCs/>
          <w:szCs w:val="24"/>
          <w:lang w:val="en-GB"/>
        </w:rPr>
        <w:t>2.9 Whether the s</w:t>
      </w:r>
      <w:r w:rsidR="00076B5D" w:rsidRPr="0092145C">
        <w:rPr>
          <w:rFonts w:ascii="Arial" w:hAnsi="Arial" w:cs="Arial"/>
          <w:iCs/>
          <w:szCs w:val="24"/>
          <w:lang w:val="en-GB"/>
        </w:rPr>
        <w:t xml:space="preserve">econd </w:t>
      </w:r>
      <w:r w:rsidRPr="0092145C">
        <w:rPr>
          <w:rFonts w:ascii="Arial" w:hAnsi="Arial" w:cs="Arial"/>
          <w:iCs/>
          <w:szCs w:val="24"/>
          <w:lang w:val="en-GB"/>
        </w:rPr>
        <w:t>d</w:t>
      </w:r>
      <w:r w:rsidR="00076B5D" w:rsidRPr="0092145C">
        <w:rPr>
          <w:rFonts w:ascii="Arial" w:hAnsi="Arial" w:cs="Arial"/>
          <w:iCs/>
          <w:szCs w:val="24"/>
          <w:lang w:val="en-GB"/>
        </w:rPr>
        <w:t>efendant acted within his rights to finalise the estate late: J. G. Adler in terms of the non-objection letter dated 20/03/2020, received from the Master of the High Court.</w:t>
      </w:r>
    </w:p>
    <w:p w:rsidR="00076B5D" w:rsidRPr="0092145C" w:rsidRDefault="00076B5D" w:rsidP="00076B5D">
      <w:pPr>
        <w:spacing w:after="0" w:line="360" w:lineRule="auto"/>
        <w:jc w:val="both"/>
        <w:rPr>
          <w:rFonts w:ascii="Arial" w:hAnsi="Arial" w:cs="Arial"/>
          <w:iCs/>
          <w:szCs w:val="24"/>
          <w:lang w:val="en-GB"/>
        </w:rPr>
      </w:pPr>
      <w:r w:rsidRPr="0092145C">
        <w:rPr>
          <w:rFonts w:ascii="Arial" w:hAnsi="Arial" w:cs="Arial"/>
          <w:iCs/>
          <w:szCs w:val="24"/>
          <w:lang w:val="en-GB"/>
        </w:rPr>
        <w:t>2.10 Whether the letter of the Master of the High Court, dat</w:t>
      </w:r>
      <w:r w:rsidR="00E43220" w:rsidRPr="0092145C">
        <w:rPr>
          <w:rFonts w:ascii="Arial" w:hAnsi="Arial" w:cs="Arial"/>
          <w:iCs/>
          <w:szCs w:val="24"/>
          <w:lang w:val="en-GB"/>
        </w:rPr>
        <w:t>ed 15 February 2021, binds the second d</w:t>
      </w:r>
      <w:r w:rsidRPr="0092145C">
        <w:rPr>
          <w:rFonts w:ascii="Arial" w:hAnsi="Arial" w:cs="Arial"/>
          <w:iCs/>
          <w:szCs w:val="24"/>
          <w:lang w:val="en-GB"/>
        </w:rPr>
        <w:t xml:space="preserve">efendant in light of the non-objection </w:t>
      </w:r>
      <w:r w:rsidR="00E43220" w:rsidRPr="0092145C">
        <w:rPr>
          <w:rFonts w:ascii="Arial" w:hAnsi="Arial" w:cs="Arial"/>
          <w:iCs/>
          <w:szCs w:val="24"/>
          <w:lang w:val="en-GB"/>
        </w:rPr>
        <w:t>letter forwarded to second d</w:t>
      </w:r>
      <w:r w:rsidRPr="0092145C">
        <w:rPr>
          <w:rFonts w:ascii="Arial" w:hAnsi="Arial" w:cs="Arial"/>
          <w:iCs/>
          <w:szCs w:val="24"/>
          <w:lang w:val="en-GB"/>
        </w:rPr>
        <w:t>efendant on 20 March 2020.</w:t>
      </w:r>
    </w:p>
    <w:p w:rsidR="00076B5D" w:rsidRPr="0092145C" w:rsidRDefault="00076B5D" w:rsidP="00076B5D">
      <w:pPr>
        <w:spacing w:after="0" w:line="360" w:lineRule="auto"/>
        <w:jc w:val="both"/>
        <w:rPr>
          <w:rFonts w:ascii="Arial" w:hAnsi="Arial" w:cs="Arial"/>
          <w:iCs/>
          <w:szCs w:val="24"/>
          <w:lang w:val="en-GB"/>
        </w:rPr>
      </w:pPr>
      <w:r w:rsidRPr="0092145C">
        <w:rPr>
          <w:rFonts w:ascii="Arial" w:hAnsi="Arial" w:cs="Arial"/>
          <w:iCs/>
          <w:szCs w:val="24"/>
          <w:lang w:val="en-GB"/>
        </w:rPr>
        <w:t xml:space="preserve">2.11 Whether the letter of the Master of the High Court to the </w:t>
      </w:r>
      <w:r w:rsidR="00E43220" w:rsidRPr="0092145C">
        <w:rPr>
          <w:rFonts w:ascii="Arial" w:hAnsi="Arial" w:cs="Arial"/>
          <w:iCs/>
          <w:szCs w:val="24"/>
          <w:lang w:val="en-GB"/>
        </w:rPr>
        <w:t>p</w:t>
      </w:r>
      <w:r w:rsidRPr="0092145C">
        <w:rPr>
          <w:rFonts w:ascii="Arial" w:hAnsi="Arial" w:cs="Arial"/>
          <w:iCs/>
          <w:szCs w:val="24"/>
          <w:lang w:val="en-GB"/>
        </w:rPr>
        <w:t>laintiff's legal practitioner, dated 15 February 2021 is not an admission by the Master of the High Court of her negligence insofar it may be relevant, having regard to the fact that it was forwarded approximately eleven months after the non-objection letter was forwarded to the executor's agent.</w:t>
      </w:r>
    </w:p>
    <w:p w:rsidR="00076B5D" w:rsidRPr="0092145C" w:rsidRDefault="00E43220" w:rsidP="00076B5D">
      <w:pPr>
        <w:spacing w:after="0" w:line="360" w:lineRule="auto"/>
        <w:jc w:val="both"/>
        <w:rPr>
          <w:rFonts w:ascii="Arial" w:hAnsi="Arial" w:cs="Arial"/>
          <w:iCs/>
          <w:szCs w:val="24"/>
          <w:lang w:val="en-GB"/>
        </w:rPr>
      </w:pPr>
      <w:r w:rsidRPr="0092145C">
        <w:rPr>
          <w:rFonts w:ascii="Arial" w:hAnsi="Arial" w:cs="Arial"/>
          <w:iCs/>
          <w:szCs w:val="24"/>
          <w:lang w:val="en-GB"/>
        </w:rPr>
        <w:t>2.12 Whether the second d</w:t>
      </w:r>
      <w:r w:rsidR="00076B5D" w:rsidRPr="0092145C">
        <w:rPr>
          <w:rFonts w:ascii="Arial" w:hAnsi="Arial" w:cs="Arial"/>
          <w:iCs/>
          <w:szCs w:val="24"/>
          <w:lang w:val="en-GB"/>
        </w:rPr>
        <w:t>efendant was entitled to dispose of the Mercedes Benz motor vehicle, in light of the non-objection letter.</w:t>
      </w:r>
    </w:p>
    <w:p w:rsidR="00076B5D" w:rsidRPr="0092145C" w:rsidRDefault="00E43220" w:rsidP="00076B5D">
      <w:pPr>
        <w:spacing w:after="0" w:line="360" w:lineRule="auto"/>
        <w:jc w:val="both"/>
        <w:rPr>
          <w:rFonts w:ascii="Arial" w:hAnsi="Arial" w:cs="Arial"/>
          <w:iCs/>
          <w:szCs w:val="24"/>
          <w:lang w:val="en-GB"/>
        </w:rPr>
      </w:pPr>
      <w:r w:rsidRPr="0092145C">
        <w:rPr>
          <w:rFonts w:ascii="Arial" w:hAnsi="Arial" w:cs="Arial"/>
          <w:iCs/>
          <w:szCs w:val="24"/>
          <w:lang w:val="en-GB"/>
        </w:rPr>
        <w:t>2.13 Whether the p</w:t>
      </w:r>
      <w:r w:rsidR="00076B5D" w:rsidRPr="0092145C">
        <w:rPr>
          <w:rFonts w:ascii="Arial" w:hAnsi="Arial" w:cs="Arial"/>
          <w:iCs/>
          <w:szCs w:val="24"/>
          <w:lang w:val="en-GB"/>
        </w:rPr>
        <w:t>laintiff lodged a formal claim i</w:t>
      </w:r>
      <w:r w:rsidR="006F427F" w:rsidRPr="0092145C">
        <w:rPr>
          <w:rFonts w:ascii="Arial" w:hAnsi="Arial" w:cs="Arial"/>
          <w:iCs/>
          <w:szCs w:val="24"/>
          <w:lang w:val="en-GB"/>
        </w:rPr>
        <w:t xml:space="preserve">n terms of Section 35(7) of the </w:t>
      </w:r>
      <w:r w:rsidR="00076B5D" w:rsidRPr="0092145C">
        <w:rPr>
          <w:rFonts w:ascii="Arial" w:hAnsi="Arial" w:cs="Arial"/>
          <w:iCs/>
          <w:szCs w:val="24"/>
          <w:lang w:val="en-GB"/>
        </w:rPr>
        <w:t>Administration of Estates Act, Act No. 66 of 1965 in time.</w:t>
      </w:r>
    </w:p>
    <w:p w:rsidR="00076B5D" w:rsidRPr="0092145C" w:rsidRDefault="00076B5D" w:rsidP="00076B5D">
      <w:pPr>
        <w:spacing w:after="0" w:line="360" w:lineRule="auto"/>
        <w:jc w:val="both"/>
        <w:rPr>
          <w:rFonts w:ascii="Arial" w:hAnsi="Arial" w:cs="Arial"/>
          <w:iCs/>
          <w:szCs w:val="24"/>
          <w:lang w:val="en-GB"/>
        </w:rPr>
      </w:pPr>
      <w:r w:rsidRPr="0092145C">
        <w:rPr>
          <w:rFonts w:ascii="Arial" w:hAnsi="Arial" w:cs="Arial"/>
          <w:iCs/>
          <w:szCs w:val="24"/>
          <w:lang w:val="en-GB"/>
        </w:rPr>
        <w:lastRenderedPageBreak/>
        <w:t xml:space="preserve">2.14 The </w:t>
      </w:r>
      <w:r w:rsidR="00E43220" w:rsidRPr="0092145C">
        <w:rPr>
          <w:rFonts w:ascii="Arial" w:hAnsi="Arial" w:cs="Arial"/>
          <w:iCs/>
          <w:szCs w:val="24"/>
          <w:lang w:val="en-GB"/>
        </w:rPr>
        <w:t>p</w:t>
      </w:r>
      <w:r w:rsidRPr="0092145C">
        <w:rPr>
          <w:rFonts w:ascii="Arial" w:hAnsi="Arial" w:cs="Arial"/>
          <w:iCs/>
          <w:szCs w:val="24"/>
          <w:lang w:val="en-GB"/>
        </w:rPr>
        <w:t xml:space="preserve">laintiff objects to the inclusion of issues listed under paragraphs 2.2 and 2.13 above as </w:t>
      </w:r>
      <w:r w:rsidR="00E43220" w:rsidRPr="0092145C">
        <w:rPr>
          <w:rFonts w:ascii="Arial" w:hAnsi="Arial" w:cs="Arial"/>
          <w:iCs/>
          <w:szCs w:val="24"/>
          <w:lang w:val="en-GB"/>
        </w:rPr>
        <w:t>they were never pleaded by the second d</w:t>
      </w:r>
      <w:r w:rsidRPr="0092145C">
        <w:rPr>
          <w:rFonts w:ascii="Arial" w:hAnsi="Arial" w:cs="Arial"/>
          <w:iCs/>
          <w:szCs w:val="24"/>
          <w:lang w:val="en-GB"/>
        </w:rPr>
        <w:t>efendant.</w:t>
      </w:r>
    </w:p>
    <w:p w:rsidR="00076B5D" w:rsidRPr="0092145C" w:rsidRDefault="00076B5D" w:rsidP="00076B5D">
      <w:pPr>
        <w:spacing w:after="0" w:line="360" w:lineRule="auto"/>
        <w:jc w:val="both"/>
        <w:rPr>
          <w:rFonts w:ascii="Arial" w:hAnsi="Arial" w:cs="Arial"/>
          <w:iCs/>
          <w:szCs w:val="24"/>
          <w:lang w:val="en-GB"/>
        </w:rPr>
      </w:pPr>
      <w:r w:rsidRPr="0092145C">
        <w:rPr>
          <w:rFonts w:ascii="Arial" w:hAnsi="Arial" w:cs="Arial"/>
          <w:iCs/>
          <w:szCs w:val="24"/>
          <w:lang w:val="en-GB"/>
        </w:rPr>
        <w:t xml:space="preserve">2.15 Whether or not the </w:t>
      </w:r>
      <w:r w:rsidR="00E43220" w:rsidRPr="0092145C">
        <w:rPr>
          <w:rFonts w:ascii="Arial" w:hAnsi="Arial" w:cs="Arial"/>
          <w:iCs/>
          <w:szCs w:val="24"/>
          <w:lang w:val="en-GB"/>
        </w:rPr>
        <w:t>p</w:t>
      </w:r>
      <w:r w:rsidRPr="0092145C">
        <w:rPr>
          <w:rFonts w:ascii="Arial" w:hAnsi="Arial" w:cs="Arial"/>
          <w:iCs/>
          <w:szCs w:val="24"/>
          <w:lang w:val="en-GB"/>
        </w:rPr>
        <w:t>laintiff must be granted the relief sought in the particulars of claim.</w:t>
      </w:r>
      <w:r w:rsidR="006F427F" w:rsidRPr="0092145C">
        <w:rPr>
          <w:rFonts w:ascii="Arial" w:hAnsi="Arial" w:cs="Arial"/>
          <w:iCs/>
          <w:szCs w:val="24"/>
          <w:lang w:val="en-GB"/>
        </w:rPr>
        <w:t>’</w:t>
      </w:r>
    </w:p>
    <w:p w:rsidR="00076B5D" w:rsidRPr="0092145C" w:rsidRDefault="00076B5D" w:rsidP="00076B5D">
      <w:pPr>
        <w:spacing w:after="0" w:line="360" w:lineRule="auto"/>
        <w:jc w:val="both"/>
        <w:rPr>
          <w:rFonts w:ascii="Arial" w:hAnsi="Arial" w:cs="Arial"/>
          <w:iCs/>
          <w:sz w:val="24"/>
          <w:szCs w:val="24"/>
          <w:lang w:val="en-GB"/>
        </w:rPr>
      </w:pPr>
    </w:p>
    <w:p w:rsidR="00076B5D" w:rsidRDefault="00076B5D" w:rsidP="00076B5D">
      <w:pPr>
        <w:spacing w:after="0" w:line="360" w:lineRule="auto"/>
        <w:jc w:val="both"/>
        <w:rPr>
          <w:rFonts w:ascii="Arial" w:hAnsi="Arial" w:cs="Arial"/>
          <w:i/>
          <w:iCs/>
          <w:sz w:val="24"/>
          <w:szCs w:val="24"/>
          <w:lang w:val="en-GB"/>
        </w:rPr>
      </w:pPr>
      <w:r>
        <w:rPr>
          <w:rFonts w:ascii="Arial" w:hAnsi="Arial" w:cs="Arial"/>
          <w:i/>
          <w:iCs/>
          <w:sz w:val="24"/>
          <w:szCs w:val="24"/>
          <w:lang w:val="en-GB"/>
        </w:rPr>
        <w:t xml:space="preserve">Common cause facts </w:t>
      </w:r>
    </w:p>
    <w:p w:rsidR="006F427F" w:rsidRDefault="006F427F" w:rsidP="00076B5D">
      <w:pPr>
        <w:spacing w:after="0" w:line="360" w:lineRule="auto"/>
        <w:jc w:val="both"/>
        <w:rPr>
          <w:rFonts w:ascii="Arial" w:hAnsi="Arial" w:cs="Arial"/>
          <w:i/>
          <w:iCs/>
          <w:sz w:val="24"/>
          <w:szCs w:val="24"/>
          <w:lang w:val="en-GB"/>
        </w:rPr>
      </w:pPr>
    </w:p>
    <w:p w:rsidR="00076B5D" w:rsidRDefault="00076B5D" w:rsidP="00076B5D">
      <w:pPr>
        <w:spacing w:after="0" w:line="360" w:lineRule="auto"/>
        <w:jc w:val="both"/>
        <w:rPr>
          <w:rFonts w:ascii="Arial" w:hAnsi="Arial" w:cs="Arial"/>
          <w:iCs/>
          <w:sz w:val="24"/>
          <w:szCs w:val="24"/>
          <w:lang w:val="en-GB"/>
        </w:rPr>
      </w:pPr>
      <w:r>
        <w:rPr>
          <w:rFonts w:ascii="Arial" w:hAnsi="Arial" w:cs="Arial"/>
          <w:iCs/>
          <w:sz w:val="24"/>
          <w:szCs w:val="24"/>
          <w:lang w:val="en-GB"/>
        </w:rPr>
        <w:t>[</w:t>
      </w:r>
      <w:r w:rsidR="006F427F">
        <w:rPr>
          <w:rFonts w:ascii="Arial" w:hAnsi="Arial" w:cs="Arial"/>
          <w:iCs/>
          <w:sz w:val="24"/>
          <w:szCs w:val="24"/>
          <w:lang w:val="en-GB"/>
        </w:rPr>
        <w:t>10</w:t>
      </w:r>
      <w:r>
        <w:rPr>
          <w:rFonts w:ascii="Arial" w:hAnsi="Arial" w:cs="Arial"/>
          <w:iCs/>
          <w:sz w:val="24"/>
          <w:szCs w:val="24"/>
          <w:lang w:val="en-GB"/>
        </w:rPr>
        <w:t>]</w:t>
      </w:r>
      <w:r>
        <w:rPr>
          <w:rFonts w:ascii="Arial" w:hAnsi="Arial" w:cs="Arial"/>
          <w:iCs/>
          <w:sz w:val="24"/>
          <w:szCs w:val="24"/>
          <w:lang w:val="en-GB"/>
        </w:rPr>
        <w:tab/>
      </w:r>
      <w:r w:rsidRPr="00076B5D">
        <w:rPr>
          <w:rFonts w:ascii="Arial" w:hAnsi="Arial" w:cs="Arial"/>
          <w:iCs/>
          <w:sz w:val="24"/>
          <w:szCs w:val="24"/>
          <w:lang w:val="en-GB"/>
        </w:rPr>
        <w:t>The following facts appear to be common cause between the parties:</w:t>
      </w:r>
    </w:p>
    <w:p w:rsidR="006F427F" w:rsidRPr="00076B5D" w:rsidRDefault="006F427F" w:rsidP="00076B5D">
      <w:pPr>
        <w:spacing w:after="0" w:line="360" w:lineRule="auto"/>
        <w:jc w:val="both"/>
        <w:rPr>
          <w:rFonts w:ascii="Arial" w:hAnsi="Arial" w:cs="Arial"/>
          <w:iCs/>
          <w:sz w:val="24"/>
          <w:szCs w:val="24"/>
          <w:lang w:val="en-GB"/>
        </w:rPr>
      </w:pPr>
    </w:p>
    <w:p w:rsidR="00076B5D" w:rsidRPr="00076B5D" w:rsidRDefault="006F427F" w:rsidP="006F427F">
      <w:pPr>
        <w:spacing w:after="0" w:line="360" w:lineRule="auto"/>
        <w:ind w:firstLine="720"/>
        <w:jc w:val="both"/>
        <w:rPr>
          <w:rFonts w:ascii="Arial" w:hAnsi="Arial" w:cs="Arial"/>
          <w:iCs/>
          <w:szCs w:val="24"/>
          <w:lang w:val="en-GB"/>
        </w:rPr>
      </w:pPr>
      <w:r>
        <w:rPr>
          <w:rFonts w:ascii="Arial" w:hAnsi="Arial" w:cs="Arial"/>
          <w:iCs/>
          <w:szCs w:val="24"/>
          <w:lang w:val="en-GB"/>
        </w:rPr>
        <w:t>‘</w:t>
      </w:r>
      <w:r w:rsidR="00076B5D" w:rsidRPr="00076B5D">
        <w:rPr>
          <w:rFonts w:ascii="Arial" w:hAnsi="Arial" w:cs="Arial"/>
          <w:iCs/>
          <w:szCs w:val="24"/>
          <w:lang w:val="en-GB"/>
        </w:rPr>
        <w:t>3.1 Plaintiff is the surviving spouse of the late J.G Adler.</w:t>
      </w:r>
    </w:p>
    <w:p w:rsidR="00076B5D" w:rsidRPr="00076B5D" w:rsidRDefault="00076B5D" w:rsidP="00076B5D">
      <w:pPr>
        <w:spacing w:after="0" w:line="360" w:lineRule="auto"/>
        <w:jc w:val="both"/>
        <w:rPr>
          <w:rFonts w:ascii="Arial" w:hAnsi="Arial" w:cs="Arial"/>
          <w:iCs/>
          <w:szCs w:val="24"/>
          <w:lang w:val="en-GB"/>
        </w:rPr>
      </w:pPr>
      <w:r w:rsidRPr="00076B5D">
        <w:rPr>
          <w:rFonts w:ascii="Arial" w:hAnsi="Arial" w:cs="Arial"/>
          <w:iCs/>
          <w:szCs w:val="24"/>
          <w:lang w:val="en-GB"/>
        </w:rPr>
        <w:t>3.2 The facts pleaded under paragraphs 1.1, 2 to 3 of the Particulars of Claim.</w:t>
      </w:r>
    </w:p>
    <w:p w:rsidR="00076B5D" w:rsidRPr="00076B5D" w:rsidRDefault="00E43220" w:rsidP="00076B5D">
      <w:pPr>
        <w:spacing w:after="0" w:line="360" w:lineRule="auto"/>
        <w:jc w:val="both"/>
        <w:rPr>
          <w:rFonts w:ascii="Arial" w:hAnsi="Arial" w:cs="Arial"/>
          <w:iCs/>
          <w:szCs w:val="24"/>
          <w:lang w:val="en-GB"/>
        </w:rPr>
      </w:pPr>
      <w:r>
        <w:rPr>
          <w:rFonts w:ascii="Arial" w:hAnsi="Arial" w:cs="Arial"/>
          <w:iCs/>
          <w:szCs w:val="24"/>
          <w:lang w:val="en-GB"/>
        </w:rPr>
        <w:t>3.3 The second d</w:t>
      </w:r>
      <w:r w:rsidR="00076B5D" w:rsidRPr="00076B5D">
        <w:rPr>
          <w:rFonts w:ascii="Arial" w:hAnsi="Arial" w:cs="Arial"/>
          <w:iCs/>
          <w:szCs w:val="24"/>
          <w:lang w:val="en-GB"/>
        </w:rPr>
        <w:t>efendant was appointed as the Executor of the late J.G Adler estate.</w:t>
      </w:r>
    </w:p>
    <w:p w:rsidR="00076B5D" w:rsidRPr="00076B5D" w:rsidRDefault="00076B5D" w:rsidP="00076B5D">
      <w:pPr>
        <w:spacing w:after="0" w:line="360" w:lineRule="auto"/>
        <w:jc w:val="both"/>
        <w:rPr>
          <w:rFonts w:ascii="Arial" w:hAnsi="Arial" w:cs="Arial"/>
          <w:iCs/>
          <w:szCs w:val="24"/>
          <w:lang w:val="en-GB"/>
        </w:rPr>
      </w:pPr>
      <w:r w:rsidRPr="00076B5D">
        <w:rPr>
          <w:rFonts w:ascii="Arial" w:hAnsi="Arial" w:cs="Arial"/>
          <w:iCs/>
          <w:szCs w:val="24"/>
          <w:lang w:val="en-GB"/>
        </w:rPr>
        <w:t>3.4 The citation of the respective parties.</w:t>
      </w:r>
    </w:p>
    <w:p w:rsidR="00076B5D" w:rsidRPr="00076B5D" w:rsidRDefault="00076B5D" w:rsidP="00076B5D">
      <w:pPr>
        <w:spacing w:after="0" w:line="360" w:lineRule="auto"/>
        <w:jc w:val="both"/>
        <w:rPr>
          <w:rFonts w:ascii="Arial" w:hAnsi="Arial" w:cs="Arial"/>
          <w:iCs/>
          <w:szCs w:val="24"/>
          <w:lang w:val="en-GB"/>
        </w:rPr>
      </w:pPr>
      <w:r w:rsidRPr="00076B5D">
        <w:rPr>
          <w:rFonts w:ascii="Arial" w:hAnsi="Arial" w:cs="Arial"/>
          <w:iCs/>
          <w:szCs w:val="24"/>
          <w:lang w:val="en-GB"/>
        </w:rPr>
        <w:t>3.5 The late J. G. Adler had a will.</w:t>
      </w:r>
    </w:p>
    <w:p w:rsidR="00E43220" w:rsidRDefault="00076B5D" w:rsidP="00076B5D">
      <w:pPr>
        <w:spacing w:after="0" w:line="360" w:lineRule="auto"/>
        <w:jc w:val="both"/>
        <w:rPr>
          <w:rFonts w:ascii="Arial" w:hAnsi="Arial" w:cs="Arial"/>
          <w:iCs/>
          <w:szCs w:val="24"/>
          <w:lang w:val="en-GB"/>
        </w:rPr>
      </w:pPr>
      <w:r w:rsidRPr="00076B5D">
        <w:rPr>
          <w:rFonts w:ascii="Arial" w:hAnsi="Arial" w:cs="Arial"/>
          <w:iCs/>
          <w:szCs w:val="24"/>
          <w:lang w:val="en-GB"/>
        </w:rPr>
        <w:t>3.6 On 20 March 2020 the Master for the High Court issued</w:t>
      </w:r>
      <w:r w:rsidR="00E43220">
        <w:rPr>
          <w:rFonts w:ascii="Arial" w:hAnsi="Arial" w:cs="Arial"/>
          <w:iCs/>
          <w:szCs w:val="24"/>
          <w:lang w:val="en-GB"/>
        </w:rPr>
        <w:t xml:space="preserve"> a non-objection letter to the  </w:t>
      </w:r>
    </w:p>
    <w:p w:rsidR="00076B5D" w:rsidRPr="00076B5D" w:rsidRDefault="00E43220" w:rsidP="00076B5D">
      <w:pPr>
        <w:spacing w:after="0" w:line="360" w:lineRule="auto"/>
        <w:jc w:val="both"/>
        <w:rPr>
          <w:rFonts w:ascii="Arial" w:hAnsi="Arial" w:cs="Arial"/>
          <w:iCs/>
          <w:szCs w:val="24"/>
          <w:lang w:val="en-GB"/>
        </w:rPr>
      </w:pPr>
      <w:r>
        <w:rPr>
          <w:rFonts w:ascii="Arial" w:hAnsi="Arial" w:cs="Arial"/>
          <w:iCs/>
          <w:szCs w:val="24"/>
          <w:lang w:val="en-GB"/>
        </w:rPr>
        <w:t xml:space="preserve">      s</w:t>
      </w:r>
      <w:r w:rsidR="00076B5D" w:rsidRPr="00076B5D">
        <w:rPr>
          <w:rFonts w:ascii="Arial" w:hAnsi="Arial" w:cs="Arial"/>
          <w:iCs/>
          <w:szCs w:val="24"/>
          <w:lang w:val="en-GB"/>
        </w:rPr>
        <w:t xml:space="preserve">econd </w:t>
      </w:r>
      <w:r>
        <w:rPr>
          <w:rFonts w:ascii="Arial" w:hAnsi="Arial" w:cs="Arial"/>
          <w:iCs/>
          <w:szCs w:val="24"/>
          <w:lang w:val="en-GB"/>
        </w:rPr>
        <w:t>d</w:t>
      </w:r>
      <w:r w:rsidR="00076B5D" w:rsidRPr="00076B5D">
        <w:rPr>
          <w:rFonts w:ascii="Arial" w:hAnsi="Arial" w:cs="Arial"/>
          <w:iCs/>
          <w:szCs w:val="24"/>
          <w:lang w:val="en-GB"/>
        </w:rPr>
        <w:t>efendant.</w:t>
      </w:r>
    </w:p>
    <w:p w:rsidR="00076B5D" w:rsidRDefault="00076B5D" w:rsidP="00076B5D">
      <w:pPr>
        <w:spacing w:after="0" w:line="360" w:lineRule="auto"/>
        <w:jc w:val="both"/>
        <w:rPr>
          <w:rFonts w:ascii="Arial" w:hAnsi="Arial" w:cs="Arial"/>
          <w:iCs/>
          <w:szCs w:val="24"/>
          <w:lang w:val="en-GB"/>
        </w:rPr>
      </w:pPr>
      <w:r w:rsidRPr="00076B5D">
        <w:rPr>
          <w:rFonts w:ascii="Arial" w:hAnsi="Arial" w:cs="Arial"/>
          <w:iCs/>
          <w:szCs w:val="24"/>
          <w:lang w:val="en-GB"/>
        </w:rPr>
        <w:t xml:space="preserve">3.7 On 15 February 2021 the </w:t>
      </w:r>
      <w:r w:rsidR="00E43220">
        <w:rPr>
          <w:rFonts w:ascii="Arial" w:hAnsi="Arial" w:cs="Arial"/>
          <w:iCs/>
          <w:szCs w:val="24"/>
          <w:lang w:val="en-GB"/>
        </w:rPr>
        <w:t>first d</w:t>
      </w:r>
      <w:r w:rsidRPr="00076B5D">
        <w:rPr>
          <w:rFonts w:ascii="Arial" w:hAnsi="Arial" w:cs="Arial"/>
          <w:iCs/>
          <w:szCs w:val="24"/>
          <w:lang w:val="en-GB"/>
        </w:rPr>
        <w:t xml:space="preserve">efendant informed </w:t>
      </w:r>
      <w:r w:rsidR="00E43220">
        <w:rPr>
          <w:rFonts w:ascii="Arial" w:hAnsi="Arial" w:cs="Arial"/>
          <w:iCs/>
          <w:szCs w:val="24"/>
          <w:lang w:val="en-GB"/>
        </w:rPr>
        <w:t>p</w:t>
      </w:r>
      <w:r w:rsidRPr="00076B5D">
        <w:rPr>
          <w:rFonts w:ascii="Arial" w:hAnsi="Arial" w:cs="Arial"/>
          <w:iCs/>
          <w:szCs w:val="24"/>
          <w:lang w:val="en-GB"/>
        </w:rPr>
        <w:t xml:space="preserve">laintiff that </w:t>
      </w:r>
      <w:r w:rsidR="00E43220">
        <w:rPr>
          <w:rFonts w:ascii="Arial" w:hAnsi="Arial" w:cs="Arial"/>
          <w:iCs/>
          <w:szCs w:val="24"/>
          <w:lang w:val="en-GB"/>
        </w:rPr>
        <w:t>f</w:t>
      </w:r>
      <w:r w:rsidRPr="00076B5D">
        <w:rPr>
          <w:rFonts w:ascii="Arial" w:hAnsi="Arial" w:cs="Arial"/>
          <w:iCs/>
          <w:szCs w:val="24"/>
          <w:lang w:val="en-GB"/>
        </w:rPr>
        <w:t xml:space="preserve">irst </w:t>
      </w:r>
      <w:r w:rsidR="00E43220">
        <w:rPr>
          <w:rFonts w:ascii="Arial" w:hAnsi="Arial" w:cs="Arial"/>
          <w:iCs/>
          <w:szCs w:val="24"/>
          <w:lang w:val="en-GB"/>
        </w:rPr>
        <w:t>d</w:t>
      </w:r>
      <w:r w:rsidRPr="00076B5D">
        <w:rPr>
          <w:rFonts w:ascii="Arial" w:hAnsi="Arial" w:cs="Arial"/>
          <w:iCs/>
          <w:szCs w:val="24"/>
          <w:lang w:val="en-GB"/>
        </w:rPr>
        <w:t>efendant erroneously issued the non-objection letter dated 20 March 2020.</w:t>
      </w:r>
      <w:r w:rsidR="006F427F">
        <w:rPr>
          <w:rFonts w:ascii="Arial" w:hAnsi="Arial" w:cs="Arial"/>
          <w:iCs/>
          <w:szCs w:val="24"/>
          <w:lang w:val="en-GB"/>
        </w:rPr>
        <w:t>’</w:t>
      </w:r>
    </w:p>
    <w:p w:rsidR="00A65474" w:rsidRPr="00076B5D" w:rsidRDefault="00A65474" w:rsidP="00076B5D">
      <w:pPr>
        <w:spacing w:after="0" w:line="360" w:lineRule="auto"/>
        <w:jc w:val="both"/>
        <w:rPr>
          <w:rFonts w:ascii="Arial" w:hAnsi="Arial" w:cs="Arial"/>
          <w:iCs/>
          <w:sz w:val="24"/>
          <w:szCs w:val="24"/>
          <w:lang w:val="en-GB"/>
        </w:rPr>
      </w:pPr>
    </w:p>
    <w:p w:rsidR="0071685A" w:rsidRPr="0071685A" w:rsidRDefault="006F427F" w:rsidP="0071685A">
      <w:pPr>
        <w:spacing w:after="0" w:line="360" w:lineRule="auto"/>
        <w:jc w:val="both"/>
        <w:rPr>
          <w:rFonts w:ascii="Arial" w:hAnsi="Arial" w:cs="Arial"/>
          <w:sz w:val="24"/>
          <w:szCs w:val="24"/>
          <w:lang w:val="en-GB"/>
        </w:rPr>
      </w:pPr>
      <w:r w:rsidRPr="0071685A">
        <w:rPr>
          <w:rFonts w:ascii="Arial" w:hAnsi="Arial" w:cs="Arial"/>
          <w:sz w:val="24"/>
          <w:szCs w:val="24"/>
          <w:lang w:val="en-GB"/>
        </w:rPr>
        <w:t xml:space="preserve"> </w:t>
      </w:r>
      <w:r w:rsidR="0071685A" w:rsidRPr="0071685A">
        <w:rPr>
          <w:rFonts w:ascii="Arial" w:hAnsi="Arial" w:cs="Arial"/>
          <w:sz w:val="24"/>
          <w:szCs w:val="24"/>
          <w:lang w:val="en-GB"/>
        </w:rPr>
        <w:t>[</w:t>
      </w:r>
      <w:r w:rsidR="0071685A">
        <w:rPr>
          <w:rFonts w:ascii="Arial" w:hAnsi="Arial" w:cs="Arial"/>
          <w:sz w:val="24"/>
          <w:szCs w:val="24"/>
          <w:lang w:val="en-GB"/>
        </w:rPr>
        <w:t>1</w:t>
      </w:r>
      <w:r>
        <w:rPr>
          <w:rFonts w:ascii="Arial" w:hAnsi="Arial" w:cs="Arial"/>
          <w:sz w:val="24"/>
          <w:szCs w:val="24"/>
          <w:lang w:val="en-GB"/>
        </w:rPr>
        <w:t>1</w:t>
      </w:r>
      <w:r w:rsidR="0071685A" w:rsidRPr="0071685A">
        <w:rPr>
          <w:rFonts w:ascii="Arial" w:hAnsi="Arial" w:cs="Arial"/>
          <w:sz w:val="24"/>
          <w:szCs w:val="24"/>
          <w:lang w:val="en-GB"/>
        </w:rPr>
        <w:t>]</w:t>
      </w:r>
      <w:r w:rsidR="0071685A" w:rsidRPr="0071685A">
        <w:rPr>
          <w:rFonts w:ascii="Arial" w:hAnsi="Arial" w:cs="Arial"/>
          <w:sz w:val="24"/>
          <w:szCs w:val="24"/>
          <w:lang w:val="en-GB"/>
        </w:rPr>
        <w:tab/>
      </w:r>
      <w:r w:rsidR="00076B5D" w:rsidRPr="00076B5D">
        <w:rPr>
          <w:rFonts w:ascii="Arial" w:hAnsi="Arial" w:cs="Arial"/>
          <w:sz w:val="24"/>
          <w:szCs w:val="24"/>
          <w:lang w:val="en-GB"/>
        </w:rPr>
        <w:t>Wha</w:t>
      </w:r>
      <w:r w:rsidR="0092145C">
        <w:rPr>
          <w:rFonts w:ascii="Arial" w:hAnsi="Arial" w:cs="Arial"/>
          <w:sz w:val="24"/>
          <w:szCs w:val="24"/>
          <w:lang w:val="en-GB"/>
        </w:rPr>
        <w:t>t remains to be resolved in these</w:t>
      </w:r>
      <w:r w:rsidR="00076B5D" w:rsidRPr="00076B5D">
        <w:rPr>
          <w:rFonts w:ascii="Arial" w:hAnsi="Arial" w:cs="Arial"/>
          <w:sz w:val="24"/>
          <w:szCs w:val="24"/>
          <w:lang w:val="en-GB"/>
        </w:rPr>
        <w:t xml:space="preserve"> proceeding</w:t>
      </w:r>
      <w:r w:rsidR="0092145C">
        <w:rPr>
          <w:rFonts w:ascii="Arial" w:hAnsi="Arial" w:cs="Arial"/>
          <w:sz w:val="24"/>
          <w:szCs w:val="24"/>
          <w:lang w:val="en-GB"/>
        </w:rPr>
        <w:t>s</w:t>
      </w:r>
      <w:r w:rsidR="00076B5D" w:rsidRPr="00076B5D">
        <w:rPr>
          <w:rFonts w:ascii="Arial" w:hAnsi="Arial" w:cs="Arial"/>
          <w:sz w:val="24"/>
          <w:szCs w:val="24"/>
          <w:lang w:val="en-GB"/>
        </w:rPr>
        <w:t xml:space="preserve"> are the issues of fact and the issues of law set out in paragraph</w:t>
      </w:r>
      <w:r>
        <w:rPr>
          <w:rFonts w:ascii="Arial" w:hAnsi="Arial" w:cs="Arial"/>
          <w:sz w:val="24"/>
          <w:szCs w:val="24"/>
          <w:lang w:val="en-GB"/>
        </w:rPr>
        <w:t>s</w:t>
      </w:r>
      <w:r w:rsidR="00076B5D" w:rsidRPr="00076B5D">
        <w:rPr>
          <w:rFonts w:ascii="Arial" w:hAnsi="Arial" w:cs="Arial"/>
          <w:sz w:val="24"/>
          <w:szCs w:val="24"/>
          <w:lang w:val="en-GB"/>
        </w:rPr>
        <w:t xml:space="preserve"> </w:t>
      </w:r>
      <w:r>
        <w:rPr>
          <w:rFonts w:ascii="Arial" w:hAnsi="Arial" w:cs="Arial"/>
          <w:sz w:val="24"/>
          <w:szCs w:val="24"/>
          <w:lang w:val="en-GB"/>
        </w:rPr>
        <w:t>8 and 9.</w:t>
      </w:r>
      <w:r w:rsidR="00076B5D" w:rsidRPr="00076B5D">
        <w:rPr>
          <w:rFonts w:ascii="Arial" w:hAnsi="Arial" w:cs="Arial"/>
          <w:sz w:val="24"/>
          <w:szCs w:val="24"/>
          <w:lang w:val="en-GB"/>
        </w:rPr>
        <w:t xml:space="preserve"> </w:t>
      </w:r>
      <w:r w:rsidR="00076B5D" w:rsidRPr="0071685A">
        <w:rPr>
          <w:rFonts w:ascii="Arial" w:hAnsi="Arial" w:cs="Arial"/>
          <w:sz w:val="24"/>
          <w:szCs w:val="24"/>
          <w:lang w:val="en-GB"/>
        </w:rPr>
        <w:t>This</w:t>
      </w:r>
      <w:r w:rsidR="0071685A" w:rsidRPr="0071685A">
        <w:rPr>
          <w:rFonts w:ascii="Arial" w:hAnsi="Arial" w:cs="Arial"/>
          <w:sz w:val="24"/>
          <w:szCs w:val="24"/>
          <w:lang w:val="en-GB"/>
        </w:rPr>
        <w:t xml:space="preserve"> matter proceeded to trial and at the close of the plaintiff’s case the defendants</w:t>
      </w:r>
      <w:r w:rsidR="0071685A">
        <w:rPr>
          <w:rFonts w:ascii="Arial" w:hAnsi="Arial" w:cs="Arial"/>
          <w:sz w:val="24"/>
          <w:szCs w:val="24"/>
          <w:lang w:val="en-GB"/>
        </w:rPr>
        <w:t xml:space="preserve"> decided</w:t>
      </w:r>
      <w:r w:rsidR="0071685A" w:rsidRPr="0071685A">
        <w:rPr>
          <w:rFonts w:ascii="Arial" w:hAnsi="Arial" w:cs="Arial"/>
          <w:sz w:val="24"/>
          <w:szCs w:val="24"/>
          <w:lang w:val="en-GB"/>
        </w:rPr>
        <w:t xml:space="preserve"> </w:t>
      </w:r>
      <w:r w:rsidR="0071685A">
        <w:rPr>
          <w:rFonts w:ascii="Arial" w:hAnsi="Arial" w:cs="Arial"/>
          <w:sz w:val="24"/>
          <w:szCs w:val="24"/>
          <w:lang w:val="en-GB"/>
        </w:rPr>
        <w:t>not to testify and closed their case</w:t>
      </w:r>
      <w:r w:rsidR="0071685A" w:rsidRPr="0071685A">
        <w:rPr>
          <w:rFonts w:ascii="Arial" w:hAnsi="Arial" w:cs="Arial"/>
          <w:sz w:val="24"/>
          <w:szCs w:val="24"/>
          <w:lang w:val="en-GB"/>
        </w:rPr>
        <w:t>.</w:t>
      </w:r>
      <w:r w:rsidR="0092145C">
        <w:rPr>
          <w:rFonts w:ascii="Arial" w:hAnsi="Arial" w:cs="Arial"/>
          <w:sz w:val="24"/>
          <w:szCs w:val="24"/>
          <w:lang w:val="en-GB"/>
        </w:rPr>
        <w:t xml:space="preserve"> I </w:t>
      </w:r>
      <w:r w:rsidR="0071685A" w:rsidRPr="0071685A">
        <w:rPr>
          <w:rFonts w:ascii="Arial" w:hAnsi="Arial" w:cs="Arial"/>
          <w:sz w:val="24"/>
          <w:szCs w:val="24"/>
          <w:lang w:val="en-GB"/>
        </w:rPr>
        <w:t>proceed by starting off with the testimony presented by the plaintiff.</w:t>
      </w:r>
    </w:p>
    <w:p w:rsidR="0071685A" w:rsidRPr="0071685A" w:rsidRDefault="0071685A" w:rsidP="0071685A">
      <w:pPr>
        <w:spacing w:after="0" w:line="360" w:lineRule="auto"/>
        <w:jc w:val="both"/>
        <w:rPr>
          <w:rFonts w:ascii="Arial" w:hAnsi="Arial" w:cs="Arial"/>
          <w:sz w:val="24"/>
          <w:szCs w:val="24"/>
          <w:lang w:val="en-GB"/>
        </w:rPr>
      </w:pPr>
    </w:p>
    <w:p w:rsidR="0071685A" w:rsidRPr="0071685A" w:rsidRDefault="0071685A" w:rsidP="0071685A">
      <w:pPr>
        <w:spacing w:after="0" w:line="360" w:lineRule="auto"/>
        <w:jc w:val="both"/>
        <w:rPr>
          <w:rFonts w:ascii="Arial" w:hAnsi="Arial" w:cs="Arial"/>
          <w:i/>
          <w:iCs/>
          <w:sz w:val="24"/>
          <w:szCs w:val="24"/>
          <w:lang w:val="en-GB"/>
        </w:rPr>
      </w:pPr>
      <w:r w:rsidRPr="0071685A">
        <w:rPr>
          <w:rFonts w:ascii="Arial" w:hAnsi="Arial" w:cs="Arial"/>
          <w:i/>
          <w:iCs/>
          <w:sz w:val="24"/>
          <w:szCs w:val="24"/>
          <w:lang w:val="en-GB"/>
        </w:rPr>
        <w:t>The plaintiff’s evidence</w:t>
      </w:r>
    </w:p>
    <w:p w:rsidR="00956A9F" w:rsidRPr="00A26DDC" w:rsidRDefault="00956A9F" w:rsidP="00A26DDC">
      <w:pPr>
        <w:spacing w:after="0" w:line="360" w:lineRule="auto"/>
        <w:jc w:val="both"/>
        <w:rPr>
          <w:rFonts w:ascii="Arial" w:hAnsi="Arial" w:cs="Arial"/>
          <w:sz w:val="24"/>
          <w:szCs w:val="24"/>
          <w:lang w:val="en-GB"/>
        </w:rPr>
      </w:pPr>
    </w:p>
    <w:p w:rsidR="00A26DDC" w:rsidRDefault="00B433A1" w:rsidP="00A26DDC">
      <w:pPr>
        <w:spacing w:after="0" w:line="360" w:lineRule="auto"/>
        <w:jc w:val="both"/>
        <w:rPr>
          <w:rFonts w:ascii="Arial" w:hAnsi="Arial" w:cs="Arial"/>
          <w:sz w:val="24"/>
          <w:szCs w:val="24"/>
          <w:lang w:val="en-GB"/>
        </w:rPr>
      </w:pPr>
      <w:r>
        <w:rPr>
          <w:rFonts w:ascii="Arial" w:hAnsi="Arial" w:cs="Arial"/>
          <w:sz w:val="24"/>
          <w:szCs w:val="24"/>
          <w:lang w:val="en-GB"/>
        </w:rPr>
        <w:t>[</w:t>
      </w:r>
      <w:r w:rsidR="00AD3CB0">
        <w:rPr>
          <w:rFonts w:ascii="Arial" w:hAnsi="Arial" w:cs="Arial"/>
          <w:sz w:val="24"/>
          <w:szCs w:val="24"/>
          <w:lang w:val="en-GB"/>
        </w:rPr>
        <w:t>1</w:t>
      </w:r>
      <w:r w:rsidR="006F427F">
        <w:rPr>
          <w:rFonts w:ascii="Arial" w:hAnsi="Arial" w:cs="Arial"/>
          <w:sz w:val="24"/>
          <w:szCs w:val="24"/>
          <w:lang w:val="en-GB"/>
        </w:rPr>
        <w:t>2</w:t>
      </w:r>
      <w:r w:rsidR="00A26DDC">
        <w:rPr>
          <w:rFonts w:ascii="Arial" w:hAnsi="Arial" w:cs="Arial"/>
          <w:sz w:val="24"/>
          <w:szCs w:val="24"/>
          <w:lang w:val="en-GB"/>
        </w:rPr>
        <w:t>]</w:t>
      </w:r>
      <w:r w:rsidR="00A26DDC">
        <w:rPr>
          <w:rFonts w:ascii="Arial" w:hAnsi="Arial" w:cs="Arial"/>
          <w:sz w:val="24"/>
          <w:szCs w:val="24"/>
          <w:lang w:val="en-GB"/>
        </w:rPr>
        <w:tab/>
      </w:r>
      <w:r w:rsidR="0071685A" w:rsidRPr="0071685A">
        <w:rPr>
          <w:rFonts w:ascii="Arial" w:hAnsi="Arial" w:cs="Arial"/>
          <w:sz w:val="24"/>
          <w:szCs w:val="24"/>
          <w:lang w:val="en-GB"/>
        </w:rPr>
        <w:t xml:space="preserve">In </w:t>
      </w:r>
      <w:r w:rsidR="0071685A">
        <w:rPr>
          <w:rFonts w:ascii="Arial" w:hAnsi="Arial" w:cs="Arial"/>
          <w:sz w:val="24"/>
          <w:szCs w:val="24"/>
          <w:lang w:val="en-GB"/>
        </w:rPr>
        <w:t>her</w:t>
      </w:r>
      <w:r w:rsidR="0071685A" w:rsidRPr="0071685A">
        <w:rPr>
          <w:rFonts w:ascii="Arial" w:hAnsi="Arial" w:cs="Arial"/>
          <w:sz w:val="24"/>
          <w:szCs w:val="24"/>
          <w:lang w:val="en-GB"/>
        </w:rPr>
        <w:t xml:space="preserve"> quest to prove </w:t>
      </w:r>
      <w:r w:rsidR="0071685A">
        <w:rPr>
          <w:rFonts w:ascii="Arial" w:hAnsi="Arial" w:cs="Arial"/>
          <w:sz w:val="24"/>
          <w:szCs w:val="24"/>
          <w:lang w:val="en-GB"/>
        </w:rPr>
        <w:t>her</w:t>
      </w:r>
      <w:r w:rsidR="0071685A" w:rsidRPr="0071685A">
        <w:rPr>
          <w:rFonts w:ascii="Arial" w:hAnsi="Arial" w:cs="Arial"/>
          <w:sz w:val="24"/>
          <w:szCs w:val="24"/>
          <w:lang w:val="en-GB"/>
        </w:rPr>
        <w:t xml:space="preserve"> claim, the plaintiff testified </w:t>
      </w:r>
      <w:r w:rsidR="0071685A">
        <w:rPr>
          <w:rFonts w:ascii="Arial" w:hAnsi="Arial" w:cs="Arial"/>
          <w:sz w:val="24"/>
          <w:szCs w:val="24"/>
          <w:lang w:val="en-GB"/>
        </w:rPr>
        <w:t>as the only witness</w:t>
      </w:r>
      <w:r w:rsidR="0071685A" w:rsidRPr="0071685A">
        <w:rPr>
          <w:rFonts w:ascii="Arial" w:hAnsi="Arial" w:cs="Arial"/>
          <w:sz w:val="24"/>
          <w:szCs w:val="24"/>
          <w:lang w:val="en-GB"/>
        </w:rPr>
        <w:t xml:space="preserve"> (The </w:t>
      </w:r>
      <w:r w:rsidR="008C08CF">
        <w:rPr>
          <w:rFonts w:ascii="Arial" w:hAnsi="Arial" w:cs="Arial"/>
          <w:sz w:val="24"/>
          <w:szCs w:val="24"/>
          <w:lang w:val="en-GB"/>
        </w:rPr>
        <w:t xml:space="preserve">uncontested </w:t>
      </w:r>
      <w:r w:rsidR="0071685A" w:rsidRPr="0071685A">
        <w:rPr>
          <w:rFonts w:ascii="Arial" w:hAnsi="Arial" w:cs="Arial"/>
          <w:sz w:val="24"/>
          <w:szCs w:val="24"/>
          <w:lang w:val="en-GB"/>
        </w:rPr>
        <w:t>evidence presented in Court was summarised as follows:</w:t>
      </w:r>
    </w:p>
    <w:p w:rsidR="0071685A" w:rsidRDefault="0071685A" w:rsidP="00A26DDC">
      <w:pPr>
        <w:spacing w:after="0" w:line="360" w:lineRule="auto"/>
        <w:jc w:val="both"/>
        <w:rPr>
          <w:rFonts w:ascii="Arial" w:hAnsi="Arial" w:cs="Arial"/>
          <w:sz w:val="24"/>
          <w:szCs w:val="24"/>
          <w:lang w:val="en-GB"/>
        </w:rPr>
      </w:pPr>
    </w:p>
    <w:p w:rsidR="0071685A" w:rsidRDefault="0071685A" w:rsidP="00A26DDC">
      <w:pPr>
        <w:spacing w:after="0" w:line="360" w:lineRule="auto"/>
        <w:jc w:val="both"/>
        <w:rPr>
          <w:rFonts w:ascii="Arial" w:hAnsi="Arial" w:cs="Arial"/>
          <w:i/>
          <w:iCs/>
          <w:sz w:val="24"/>
          <w:szCs w:val="24"/>
          <w:lang w:val="en-GB"/>
        </w:rPr>
      </w:pPr>
      <w:r w:rsidRPr="0071685A">
        <w:rPr>
          <w:rFonts w:ascii="Arial" w:hAnsi="Arial" w:cs="Arial"/>
          <w:i/>
          <w:iCs/>
          <w:sz w:val="24"/>
          <w:szCs w:val="24"/>
          <w:lang w:val="en-GB"/>
        </w:rPr>
        <w:t>Clera Izediunor Adler</w:t>
      </w:r>
    </w:p>
    <w:p w:rsidR="00AD3CB0" w:rsidRDefault="00AD3CB0" w:rsidP="00A26DDC">
      <w:pPr>
        <w:spacing w:after="0" w:line="360" w:lineRule="auto"/>
        <w:jc w:val="both"/>
        <w:rPr>
          <w:rFonts w:ascii="Arial" w:hAnsi="Arial" w:cs="Arial"/>
          <w:i/>
          <w:iCs/>
          <w:sz w:val="24"/>
          <w:szCs w:val="24"/>
          <w:lang w:val="en-GB"/>
        </w:rPr>
      </w:pPr>
    </w:p>
    <w:p w:rsidR="00AD3CB0" w:rsidRDefault="00AD3CB0" w:rsidP="00A26DDC">
      <w:pPr>
        <w:spacing w:after="0" w:line="360" w:lineRule="auto"/>
        <w:jc w:val="both"/>
        <w:rPr>
          <w:rFonts w:ascii="Arial" w:hAnsi="Arial" w:cs="Arial"/>
          <w:sz w:val="24"/>
          <w:szCs w:val="24"/>
          <w:lang w:val="en-GB"/>
        </w:rPr>
      </w:pPr>
      <w:r w:rsidRPr="00AD3CB0">
        <w:rPr>
          <w:rFonts w:ascii="Arial" w:hAnsi="Arial" w:cs="Arial"/>
          <w:sz w:val="24"/>
          <w:szCs w:val="24"/>
          <w:lang w:val="en-GB"/>
        </w:rPr>
        <w:t>[1</w:t>
      </w:r>
      <w:r w:rsidR="006F427F">
        <w:rPr>
          <w:rFonts w:ascii="Arial" w:hAnsi="Arial" w:cs="Arial"/>
          <w:sz w:val="24"/>
          <w:szCs w:val="24"/>
          <w:lang w:val="en-GB"/>
        </w:rPr>
        <w:t>3</w:t>
      </w:r>
      <w:r w:rsidRPr="00AD3CB0">
        <w:rPr>
          <w:rFonts w:ascii="Arial" w:hAnsi="Arial" w:cs="Arial"/>
          <w:sz w:val="24"/>
          <w:szCs w:val="24"/>
          <w:lang w:val="en-GB"/>
        </w:rPr>
        <w:t>]</w:t>
      </w:r>
      <w:r>
        <w:rPr>
          <w:rFonts w:ascii="Arial" w:hAnsi="Arial" w:cs="Arial"/>
          <w:i/>
          <w:iCs/>
          <w:sz w:val="24"/>
          <w:szCs w:val="24"/>
          <w:lang w:val="en-GB"/>
        </w:rPr>
        <w:tab/>
      </w:r>
      <w:r w:rsidRPr="00AD3CB0">
        <w:rPr>
          <w:rFonts w:ascii="Arial" w:hAnsi="Arial" w:cs="Arial"/>
          <w:sz w:val="24"/>
          <w:szCs w:val="24"/>
          <w:lang w:val="en-GB"/>
        </w:rPr>
        <w:t xml:space="preserve">The </w:t>
      </w:r>
      <w:r w:rsidR="00E43220">
        <w:rPr>
          <w:rFonts w:ascii="Arial" w:hAnsi="Arial" w:cs="Arial"/>
          <w:sz w:val="24"/>
          <w:szCs w:val="24"/>
          <w:lang w:val="en-GB"/>
        </w:rPr>
        <w:t>p</w:t>
      </w:r>
      <w:r w:rsidRPr="00AD3CB0">
        <w:rPr>
          <w:rFonts w:ascii="Arial" w:hAnsi="Arial" w:cs="Arial"/>
          <w:sz w:val="24"/>
          <w:szCs w:val="24"/>
          <w:lang w:val="en-GB"/>
        </w:rPr>
        <w:t xml:space="preserve">laintiff testified that </w:t>
      </w:r>
      <w:r>
        <w:rPr>
          <w:rFonts w:ascii="Arial" w:hAnsi="Arial" w:cs="Arial"/>
          <w:sz w:val="24"/>
          <w:szCs w:val="24"/>
          <w:lang w:val="en-GB"/>
        </w:rPr>
        <w:t>she is a major female businesswoman from Germany and mar</w:t>
      </w:r>
      <w:r w:rsidR="0092145C">
        <w:rPr>
          <w:rFonts w:ascii="Arial" w:hAnsi="Arial" w:cs="Arial"/>
          <w:sz w:val="24"/>
          <w:szCs w:val="24"/>
          <w:lang w:val="en-GB"/>
        </w:rPr>
        <w:t xml:space="preserve">ried to Johann George Adler on </w:t>
      </w:r>
      <w:r>
        <w:rPr>
          <w:rFonts w:ascii="Arial" w:hAnsi="Arial" w:cs="Arial"/>
          <w:sz w:val="24"/>
          <w:szCs w:val="24"/>
          <w:lang w:val="en-GB"/>
        </w:rPr>
        <w:t>3 November in the United States of America.</w:t>
      </w:r>
    </w:p>
    <w:p w:rsidR="00AD3CB0" w:rsidRDefault="00AD3CB0" w:rsidP="00A26DDC">
      <w:pPr>
        <w:spacing w:after="0" w:line="360" w:lineRule="auto"/>
        <w:jc w:val="both"/>
        <w:rPr>
          <w:rFonts w:ascii="Arial" w:hAnsi="Arial" w:cs="Arial"/>
          <w:sz w:val="24"/>
          <w:szCs w:val="24"/>
          <w:lang w:val="en-GB"/>
        </w:rPr>
      </w:pPr>
    </w:p>
    <w:p w:rsidR="000B5986" w:rsidRDefault="00AD3CB0" w:rsidP="00A26DDC">
      <w:pPr>
        <w:spacing w:after="0" w:line="360" w:lineRule="auto"/>
        <w:jc w:val="both"/>
        <w:rPr>
          <w:rFonts w:ascii="Arial" w:hAnsi="Arial" w:cs="Arial"/>
          <w:sz w:val="24"/>
          <w:szCs w:val="24"/>
          <w:lang w:val="en-GB"/>
        </w:rPr>
      </w:pPr>
      <w:r>
        <w:rPr>
          <w:rFonts w:ascii="Arial" w:hAnsi="Arial" w:cs="Arial"/>
          <w:sz w:val="24"/>
          <w:szCs w:val="24"/>
          <w:lang w:val="en-GB"/>
        </w:rPr>
        <w:t>[1</w:t>
      </w:r>
      <w:r w:rsidR="006F427F">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t xml:space="preserve"> In her further testimony she informed the court that she won a </w:t>
      </w:r>
      <w:r w:rsidRPr="00AD3CB0">
        <w:rPr>
          <w:rFonts w:ascii="Arial" w:hAnsi="Arial" w:cs="Arial"/>
          <w:sz w:val="24"/>
          <w:szCs w:val="24"/>
          <w:lang w:val="en-GB"/>
        </w:rPr>
        <w:t>Mercedes Benz 200E with VIN WEE2130422A055852 and engine number 27492030742657</w:t>
      </w:r>
      <w:r>
        <w:rPr>
          <w:rFonts w:ascii="Arial" w:hAnsi="Arial" w:cs="Arial"/>
          <w:sz w:val="24"/>
          <w:szCs w:val="24"/>
          <w:lang w:val="en-GB"/>
        </w:rPr>
        <w:t xml:space="preserve">, </w:t>
      </w:r>
      <w:r>
        <w:rPr>
          <w:rFonts w:ascii="Arial" w:hAnsi="Arial" w:cs="Arial"/>
          <w:sz w:val="24"/>
          <w:szCs w:val="24"/>
          <w:lang w:val="en-GB"/>
        </w:rPr>
        <w:lastRenderedPageBreak/>
        <w:t>at the Jewel Casino at the Country Club, Windhoek.  The plaintiff further testified at the time she won the vehicle, she was visiting Namibia with her husband and they were due to return to Germany.</w:t>
      </w:r>
    </w:p>
    <w:p w:rsidR="00220241" w:rsidRDefault="00220241" w:rsidP="00A26DDC">
      <w:pPr>
        <w:spacing w:after="0" w:line="360" w:lineRule="auto"/>
        <w:jc w:val="both"/>
        <w:rPr>
          <w:rFonts w:ascii="Arial" w:hAnsi="Arial" w:cs="Arial"/>
          <w:sz w:val="24"/>
          <w:szCs w:val="24"/>
          <w:lang w:val="en-GB"/>
        </w:rPr>
      </w:pPr>
    </w:p>
    <w:p w:rsidR="00220241" w:rsidRDefault="00220241" w:rsidP="00A26DDC">
      <w:pPr>
        <w:spacing w:after="0" w:line="360" w:lineRule="auto"/>
        <w:jc w:val="both"/>
        <w:rPr>
          <w:rFonts w:ascii="Arial" w:hAnsi="Arial" w:cs="Arial"/>
          <w:sz w:val="24"/>
          <w:szCs w:val="24"/>
          <w:lang w:val="en-GB"/>
        </w:rPr>
      </w:pPr>
      <w:r>
        <w:rPr>
          <w:rFonts w:ascii="Arial" w:hAnsi="Arial" w:cs="Arial"/>
          <w:sz w:val="24"/>
          <w:szCs w:val="24"/>
          <w:lang w:val="en-GB"/>
        </w:rPr>
        <w:t>[1</w:t>
      </w:r>
      <w:r w:rsidR="006F427F">
        <w:rPr>
          <w:rFonts w:ascii="Arial" w:hAnsi="Arial" w:cs="Arial"/>
          <w:sz w:val="24"/>
          <w:szCs w:val="24"/>
          <w:lang w:val="en-GB"/>
        </w:rPr>
        <w:t>5</w:t>
      </w:r>
      <w:r>
        <w:rPr>
          <w:rFonts w:ascii="Arial" w:hAnsi="Arial" w:cs="Arial"/>
          <w:sz w:val="24"/>
          <w:szCs w:val="24"/>
          <w:lang w:val="en-GB"/>
        </w:rPr>
        <w:t>]</w:t>
      </w:r>
      <w:r>
        <w:rPr>
          <w:rFonts w:ascii="Arial" w:hAnsi="Arial" w:cs="Arial"/>
          <w:sz w:val="24"/>
          <w:szCs w:val="24"/>
          <w:lang w:val="en-GB"/>
        </w:rPr>
        <w:tab/>
        <w:t xml:space="preserve">Mrs Adler further testified that Metje &amp; Ziegler (M+Z) facilitated the registration of the vehicle with the relevant authorities, and since she came to Namibia on a tourist permit and her </w:t>
      </w:r>
      <w:r w:rsidR="0092145C">
        <w:rPr>
          <w:rFonts w:ascii="Arial" w:hAnsi="Arial" w:cs="Arial"/>
          <w:sz w:val="24"/>
          <w:szCs w:val="24"/>
          <w:lang w:val="en-GB"/>
        </w:rPr>
        <w:t>husband is a permanent resident</w:t>
      </w:r>
      <w:r>
        <w:rPr>
          <w:rFonts w:ascii="Arial" w:hAnsi="Arial" w:cs="Arial"/>
          <w:sz w:val="24"/>
          <w:szCs w:val="24"/>
          <w:lang w:val="en-GB"/>
        </w:rPr>
        <w:t xml:space="preserve">, she decided to have the vehicle registered in his name for convenience and did not donate or pass the vehicle to him. She further testified that she had full access and use of her husband’s </w:t>
      </w:r>
      <w:r w:rsidR="00855EA2">
        <w:rPr>
          <w:rFonts w:ascii="Arial" w:hAnsi="Arial" w:cs="Arial"/>
          <w:sz w:val="24"/>
          <w:szCs w:val="24"/>
          <w:lang w:val="en-GB"/>
        </w:rPr>
        <w:t>assets and</w:t>
      </w:r>
      <w:r>
        <w:rPr>
          <w:rFonts w:ascii="Arial" w:hAnsi="Arial" w:cs="Arial"/>
          <w:sz w:val="24"/>
          <w:szCs w:val="24"/>
          <w:lang w:val="en-GB"/>
        </w:rPr>
        <w:t xml:space="preserve"> he paid some expenses on her behalf, and he paid for the insurance premium on the vehicle. </w:t>
      </w:r>
    </w:p>
    <w:p w:rsidR="00220241" w:rsidRDefault="00220241" w:rsidP="00A26DDC">
      <w:pPr>
        <w:spacing w:after="0" w:line="360" w:lineRule="auto"/>
        <w:jc w:val="both"/>
        <w:rPr>
          <w:rFonts w:ascii="Arial" w:hAnsi="Arial" w:cs="Arial"/>
          <w:sz w:val="24"/>
          <w:szCs w:val="24"/>
          <w:lang w:val="en-GB"/>
        </w:rPr>
      </w:pPr>
    </w:p>
    <w:p w:rsidR="00220241" w:rsidRDefault="00220241" w:rsidP="00A26DDC">
      <w:pPr>
        <w:spacing w:after="0" w:line="360" w:lineRule="auto"/>
        <w:jc w:val="both"/>
        <w:rPr>
          <w:rFonts w:ascii="Arial" w:hAnsi="Arial" w:cs="Arial"/>
          <w:sz w:val="24"/>
          <w:szCs w:val="24"/>
          <w:lang w:val="en-GB"/>
        </w:rPr>
      </w:pPr>
      <w:r>
        <w:rPr>
          <w:rFonts w:ascii="Arial" w:hAnsi="Arial" w:cs="Arial"/>
          <w:sz w:val="24"/>
          <w:szCs w:val="24"/>
          <w:lang w:val="en-GB"/>
        </w:rPr>
        <w:t>[1</w:t>
      </w:r>
      <w:r w:rsidR="006F427F">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t>Mrs Adler testified that she had used the vehicle on two occasions and her husband passed away in 2018, and she came to Namibia to speak to the husband</w:t>
      </w:r>
      <w:r w:rsidR="0092145C">
        <w:rPr>
          <w:rFonts w:ascii="Arial" w:hAnsi="Arial" w:cs="Arial"/>
          <w:sz w:val="24"/>
          <w:szCs w:val="24"/>
          <w:lang w:val="en-GB"/>
        </w:rPr>
        <w:t>’s</w:t>
      </w:r>
      <w:r>
        <w:rPr>
          <w:rFonts w:ascii="Arial" w:hAnsi="Arial" w:cs="Arial"/>
          <w:sz w:val="24"/>
          <w:szCs w:val="24"/>
          <w:lang w:val="en-GB"/>
        </w:rPr>
        <w:t xml:space="preserve"> lawyers to find out what the status of her late husband</w:t>
      </w:r>
      <w:r w:rsidR="0092145C">
        <w:rPr>
          <w:rFonts w:ascii="Arial" w:hAnsi="Arial" w:cs="Arial"/>
          <w:sz w:val="24"/>
          <w:szCs w:val="24"/>
          <w:lang w:val="en-GB"/>
        </w:rPr>
        <w:t>’s</w:t>
      </w:r>
      <w:r>
        <w:rPr>
          <w:rFonts w:ascii="Arial" w:hAnsi="Arial" w:cs="Arial"/>
          <w:sz w:val="24"/>
          <w:szCs w:val="24"/>
          <w:lang w:val="en-GB"/>
        </w:rPr>
        <w:t xml:space="preserve"> estate was. The </w:t>
      </w:r>
      <w:r w:rsidR="00E43220">
        <w:rPr>
          <w:rFonts w:ascii="Arial" w:hAnsi="Arial" w:cs="Arial"/>
          <w:sz w:val="24"/>
          <w:szCs w:val="24"/>
          <w:lang w:val="en-GB"/>
        </w:rPr>
        <w:t>p</w:t>
      </w:r>
      <w:r>
        <w:rPr>
          <w:rFonts w:ascii="Arial" w:hAnsi="Arial" w:cs="Arial"/>
          <w:sz w:val="24"/>
          <w:szCs w:val="24"/>
          <w:lang w:val="en-GB"/>
        </w:rPr>
        <w:t xml:space="preserve">laintiff testified that she returned to Germany and upon enquiry a few months later, she was informed that the Executor collected the keys and was in possession of the vehicle. </w:t>
      </w:r>
    </w:p>
    <w:p w:rsidR="00220241" w:rsidRDefault="00220241" w:rsidP="00A26DDC">
      <w:pPr>
        <w:spacing w:after="0" w:line="360" w:lineRule="auto"/>
        <w:jc w:val="both"/>
        <w:rPr>
          <w:rFonts w:ascii="Arial" w:hAnsi="Arial" w:cs="Arial"/>
          <w:sz w:val="24"/>
          <w:szCs w:val="24"/>
          <w:lang w:val="en-GB"/>
        </w:rPr>
      </w:pPr>
    </w:p>
    <w:p w:rsidR="00220241" w:rsidRDefault="00220241" w:rsidP="00A26DDC">
      <w:pPr>
        <w:spacing w:after="0" w:line="360" w:lineRule="auto"/>
        <w:jc w:val="both"/>
        <w:rPr>
          <w:rFonts w:ascii="Arial" w:hAnsi="Arial" w:cs="Arial"/>
          <w:sz w:val="24"/>
          <w:szCs w:val="24"/>
          <w:lang w:val="en-GB"/>
        </w:rPr>
      </w:pPr>
      <w:r>
        <w:rPr>
          <w:rFonts w:ascii="Arial" w:hAnsi="Arial" w:cs="Arial"/>
          <w:sz w:val="24"/>
          <w:szCs w:val="24"/>
          <w:lang w:val="en-GB"/>
        </w:rPr>
        <w:t>[1</w:t>
      </w:r>
      <w:r w:rsidR="006F427F">
        <w:rPr>
          <w:rFonts w:ascii="Arial" w:hAnsi="Arial" w:cs="Arial"/>
          <w:sz w:val="24"/>
          <w:szCs w:val="24"/>
          <w:lang w:val="en-GB"/>
        </w:rPr>
        <w:t>7</w:t>
      </w:r>
      <w:r>
        <w:rPr>
          <w:rFonts w:ascii="Arial" w:hAnsi="Arial" w:cs="Arial"/>
          <w:sz w:val="24"/>
          <w:szCs w:val="24"/>
          <w:lang w:val="en-GB"/>
        </w:rPr>
        <w:t>]</w:t>
      </w:r>
      <w:r>
        <w:rPr>
          <w:rFonts w:ascii="Arial" w:hAnsi="Arial" w:cs="Arial"/>
          <w:sz w:val="24"/>
          <w:szCs w:val="24"/>
          <w:lang w:val="en-GB"/>
        </w:rPr>
        <w:tab/>
        <w:t>Mrs Adler testified that she contacted the lawyer of her husband to establish where the vehicle was</w:t>
      </w:r>
      <w:r w:rsidR="0092145C">
        <w:rPr>
          <w:rFonts w:ascii="Arial" w:hAnsi="Arial" w:cs="Arial"/>
          <w:sz w:val="24"/>
          <w:szCs w:val="24"/>
          <w:lang w:val="en-GB"/>
        </w:rPr>
        <w:t xml:space="preserve"> and</w:t>
      </w:r>
      <w:r w:rsidR="00736B69">
        <w:rPr>
          <w:rFonts w:ascii="Arial" w:hAnsi="Arial" w:cs="Arial"/>
          <w:sz w:val="24"/>
          <w:szCs w:val="24"/>
          <w:lang w:val="en-GB"/>
        </w:rPr>
        <w:t xml:space="preserve"> to further informed the executor to return the vehicle as it is not part of her deceased husband’s estate. </w:t>
      </w:r>
      <w:r w:rsidR="00E43220">
        <w:rPr>
          <w:rFonts w:ascii="Arial" w:hAnsi="Arial" w:cs="Arial"/>
          <w:sz w:val="24"/>
          <w:szCs w:val="24"/>
          <w:lang w:val="en-GB"/>
        </w:rPr>
        <w:t>The p</w:t>
      </w:r>
      <w:r w:rsidR="004C245A">
        <w:rPr>
          <w:rFonts w:ascii="Arial" w:hAnsi="Arial" w:cs="Arial"/>
          <w:sz w:val="24"/>
          <w:szCs w:val="24"/>
          <w:lang w:val="en-GB"/>
        </w:rPr>
        <w:t>laintiff testified that she gave consent for the Jewel Casino to provide all the information relating to the vehicle to the lawyer and that the same be shared with the Executor.</w:t>
      </w:r>
    </w:p>
    <w:p w:rsidR="004C245A" w:rsidRDefault="004C245A" w:rsidP="00A26DDC">
      <w:pPr>
        <w:spacing w:after="0" w:line="360" w:lineRule="auto"/>
        <w:jc w:val="both"/>
        <w:rPr>
          <w:rFonts w:ascii="Arial" w:hAnsi="Arial" w:cs="Arial"/>
          <w:sz w:val="24"/>
          <w:szCs w:val="24"/>
          <w:lang w:val="en-GB"/>
        </w:rPr>
      </w:pPr>
    </w:p>
    <w:p w:rsidR="004C245A" w:rsidRDefault="004C245A" w:rsidP="00A26DDC">
      <w:pPr>
        <w:spacing w:after="0" w:line="360" w:lineRule="auto"/>
        <w:jc w:val="both"/>
        <w:rPr>
          <w:rFonts w:ascii="Arial" w:hAnsi="Arial" w:cs="Arial"/>
          <w:sz w:val="24"/>
          <w:szCs w:val="24"/>
          <w:lang w:val="en-GB"/>
        </w:rPr>
      </w:pPr>
      <w:r>
        <w:rPr>
          <w:rFonts w:ascii="Arial" w:hAnsi="Arial" w:cs="Arial"/>
          <w:sz w:val="24"/>
          <w:szCs w:val="24"/>
          <w:lang w:val="en-GB"/>
        </w:rPr>
        <w:t>[1</w:t>
      </w:r>
      <w:r w:rsidR="006F427F">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t xml:space="preserve">Mrs Adler testified that the vehicle and keys were not returned, and the Executor included the vehicle in the deceased husband’s estate. </w:t>
      </w:r>
      <w:r w:rsidR="00E43220">
        <w:rPr>
          <w:rFonts w:ascii="Arial" w:hAnsi="Arial" w:cs="Arial"/>
          <w:sz w:val="24"/>
          <w:szCs w:val="24"/>
          <w:lang w:val="en-GB"/>
        </w:rPr>
        <w:t>The p</w:t>
      </w:r>
      <w:r>
        <w:rPr>
          <w:rFonts w:ascii="Arial" w:hAnsi="Arial" w:cs="Arial"/>
          <w:sz w:val="24"/>
          <w:szCs w:val="24"/>
          <w:lang w:val="en-GB"/>
        </w:rPr>
        <w:t xml:space="preserve">laintiff testified that she was later informed that the estate of the late husband was finalised and that a non- objection </w:t>
      </w:r>
      <w:r w:rsidR="0092145C">
        <w:rPr>
          <w:rFonts w:ascii="Arial" w:hAnsi="Arial" w:cs="Arial"/>
          <w:sz w:val="24"/>
          <w:szCs w:val="24"/>
          <w:lang w:val="en-GB"/>
        </w:rPr>
        <w:t>letter was issued by the Master</w:t>
      </w:r>
      <w:r>
        <w:rPr>
          <w:rFonts w:ascii="Arial" w:hAnsi="Arial" w:cs="Arial"/>
          <w:sz w:val="24"/>
          <w:szCs w:val="24"/>
          <w:lang w:val="en-GB"/>
        </w:rPr>
        <w:t xml:space="preserve"> despite the fact that she has raised an objection to the liquidation and distribution account. </w:t>
      </w:r>
    </w:p>
    <w:p w:rsidR="004C245A" w:rsidRDefault="004C245A" w:rsidP="00A26DDC">
      <w:pPr>
        <w:spacing w:after="0" w:line="360" w:lineRule="auto"/>
        <w:jc w:val="both"/>
        <w:rPr>
          <w:rFonts w:ascii="Arial" w:hAnsi="Arial" w:cs="Arial"/>
          <w:sz w:val="24"/>
          <w:szCs w:val="24"/>
          <w:lang w:val="en-GB"/>
        </w:rPr>
      </w:pPr>
    </w:p>
    <w:p w:rsidR="004C245A" w:rsidRDefault="004C245A" w:rsidP="00A26DDC">
      <w:pPr>
        <w:spacing w:after="0" w:line="360" w:lineRule="auto"/>
        <w:jc w:val="both"/>
        <w:rPr>
          <w:rFonts w:ascii="Arial" w:hAnsi="Arial" w:cs="Arial"/>
          <w:sz w:val="24"/>
          <w:szCs w:val="24"/>
          <w:lang w:val="en-GB"/>
        </w:rPr>
      </w:pPr>
      <w:r>
        <w:rPr>
          <w:rFonts w:ascii="Arial" w:hAnsi="Arial" w:cs="Arial"/>
          <w:sz w:val="24"/>
          <w:szCs w:val="24"/>
          <w:lang w:val="en-GB"/>
        </w:rPr>
        <w:t>[1</w:t>
      </w:r>
      <w:r w:rsidR="006F427F">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t>Mrs Adler further testified that the Master</w:t>
      </w:r>
      <w:r w:rsidR="0092145C">
        <w:rPr>
          <w:rFonts w:ascii="Arial" w:hAnsi="Arial" w:cs="Arial"/>
          <w:sz w:val="24"/>
          <w:szCs w:val="24"/>
          <w:lang w:val="en-GB"/>
        </w:rPr>
        <w:t>,</w:t>
      </w:r>
      <w:r>
        <w:rPr>
          <w:rFonts w:ascii="Arial" w:hAnsi="Arial" w:cs="Arial"/>
          <w:sz w:val="24"/>
          <w:szCs w:val="24"/>
          <w:lang w:val="en-GB"/>
        </w:rPr>
        <w:t xml:space="preserve"> in a letter dated 15 February 2021</w:t>
      </w:r>
      <w:r w:rsidR="000B0DA9">
        <w:rPr>
          <w:rFonts w:ascii="Arial" w:hAnsi="Arial" w:cs="Arial"/>
          <w:sz w:val="24"/>
          <w:szCs w:val="24"/>
          <w:lang w:val="en-GB"/>
        </w:rPr>
        <w:t>,</w:t>
      </w:r>
      <w:r>
        <w:rPr>
          <w:rStyle w:val="FootnoteReference"/>
          <w:rFonts w:ascii="Arial" w:hAnsi="Arial" w:cs="Arial"/>
          <w:sz w:val="24"/>
          <w:szCs w:val="24"/>
          <w:lang w:val="en-GB"/>
        </w:rPr>
        <w:footnoteReference w:id="1"/>
      </w:r>
      <w:r>
        <w:rPr>
          <w:rFonts w:ascii="Arial" w:hAnsi="Arial" w:cs="Arial"/>
          <w:sz w:val="24"/>
          <w:szCs w:val="24"/>
          <w:lang w:val="en-GB"/>
        </w:rPr>
        <w:t xml:space="preserve"> informed her that she erroneously issued the non-objection letter, although she had submitted a valid claim and that she instructed the agent of the Executor to amend the liquidation and distribution account.</w:t>
      </w:r>
      <w:r w:rsidR="008204C3">
        <w:rPr>
          <w:rFonts w:ascii="Arial" w:hAnsi="Arial" w:cs="Arial"/>
          <w:sz w:val="24"/>
          <w:szCs w:val="24"/>
          <w:lang w:val="en-GB"/>
        </w:rPr>
        <w:t xml:space="preserve">  The plaintiff testified that whilst she was </w:t>
      </w:r>
      <w:r w:rsidR="000B0DA9">
        <w:rPr>
          <w:rFonts w:ascii="Arial" w:hAnsi="Arial" w:cs="Arial"/>
          <w:sz w:val="24"/>
          <w:szCs w:val="24"/>
          <w:lang w:val="en-GB"/>
        </w:rPr>
        <w:lastRenderedPageBreak/>
        <w:t>waiting</w:t>
      </w:r>
      <w:r w:rsidR="008204C3">
        <w:rPr>
          <w:rFonts w:ascii="Arial" w:hAnsi="Arial" w:cs="Arial"/>
          <w:sz w:val="24"/>
          <w:szCs w:val="24"/>
          <w:lang w:val="en-GB"/>
        </w:rPr>
        <w:t xml:space="preserve"> for the amendment of the liquidation and distribution account, the Master send her another letter</w:t>
      </w:r>
      <w:r w:rsidR="008204C3">
        <w:rPr>
          <w:rStyle w:val="FootnoteReference"/>
          <w:rFonts w:ascii="Arial" w:hAnsi="Arial" w:cs="Arial"/>
          <w:sz w:val="24"/>
          <w:szCs w:val="24"/>
          <w:lang w:val="en-GB"/>
        </w:rPr>
        <w:footnoteReference w:id="2"/>
      </w:r>
      <w:r w:rsidR="008204C3">
        <w:rPr>
          <w:rFonts w:ascii="Arial" w:hAnsi="Arial" w:cs="Arial"/>
          <w:sz w:val="24"/>
          <w:szCs w:val="24"/>
          <w:lang w:val="en-GB"/>
        </w:rPr>
        <w:t xml:space="preserve"> that the vehicle was sold by the Executor and that the Master can no longer assist her.</w:t>
      </w:r>
    </w:p>
    <w:p w:rsidR="008204C3" w:rsidRDefault="008204C3" w:rsidP="00A26DDC">
      <w:pPr>
        <w:spacing w:after="0" w:line="360" w:lineRule="auto"/>
        <w:jc w:val="both"/>
        <w:rPr>
          <w:rFonts w:ascii="Arial" w:hAnsi="Arial" w:cs="Arial"/>
          <w:sz w:val="24"/>
          <w:szCs w:val="24"/>
          <w:lang w:val="en-GB"/>
        </w:rPr>
      </w:pPr>
    </w:p>
    <w:p w:rsidR="00AD3CB0" w:rsidRDefault="008204C3" w:rsidP="00A26DDC">
      <w:pPr>
        <w:spacing w:after="0" w:line="360" w:lineRule="auto"/>
        <w:jc w:val="both"/>
        <w:rPr>
          <w:rFonts w:ascii="Arial" w:hAnsi="Arial" w:cs="Arial"/>
          <w:sz w:val="24"/>
          <w:szCs w:val="24"/>
          <w:lang w:val="en-GB"/>
        </w:rPr>
      </w:pPr>
      <w:r>
        <w:rPr>
          <w:rFonts w:ascii="Arial" w:hAnsi="Arial" w:cs="Arial"/>
          <w:sz w:val="24"/>
          <w:szCs w:val="24"/>
          <w:lang w:val="en-GB"/>
        </w:rPr>
        <w:t>[</w:t>
      </w:r>
      <w:r w:rsidR="006F427F">
        <w:rPr>
          <w:rFonts w:ascii="Arial" w:hAnsi="Arial" w:cs="Arial"/>
          <w:sz w:val="24"/>
          <w:szCs w:val="24"/>
          <w:lang w:val="en-GB"/>
        </w:rPr>
        <w:t>20</w:t>
      </w:r>
      <w:r>
        <w:rPr>
          <w:rFonts w:ascii="Arial" w:hAnsi="Arial" w:cs="Arial"/>
          <w:sz w:val="24"/>
          <w:szCs w:val="24"/>
          <w:lang w:val="en-GB"/>
        </w:rPr>
        <w:t>]</w:t>
      </w:r>
      <w:r>
        <w:rPr>
          <w:rFonts w:ascii="Arial" w:hAnsi="Arial" w:cs="Arial"/>
          <w:sz w:val="24"/>
          <w:szCs w:val="24"/>
          <w:lang w:val="en-GB"/>
        </w:rPr>
        <w:tab/>
        <w:t>Mrs Adler</w:t>
      </w:r>
      <w:r w:rsidR="000B0DA9">
        <w:rPr>
          <w:rFonts w:ascii="Arial" w:hAnsi="Arial" w:cs="Arial"/>
          <w:sz w:val="24"/>
          <w:szCs w:val="24"/>
          <w:lang w:val="en-GB"/>
        </w:rPr>
        <w:t>,</w:t>
      </w:r>
      <w:r>
        <w:rPr>
          <w:rFonts w:ascii="Arial" w:hAnsi="Arial" w:cs="Arial"/>
          <w:sz w:val="24"/>
          <w:szCs w:val="24"/>
          <w:lang w:val="en-GB"/>
        </w:rPr>
        <w:t xml:space="preserve"> in closing her testimony</w:t>
      </w:r>
      <w:r w:rsidR="000B0DA9">
        <w:rPr>
          <w:rFonts w:ascii="Arial" w:hAnsi="Arial" w:cs="Arial"/>
          <w:sz w:val="24"/>
          <w:szCs w:val="24"/>
          <w:lang w:val="en-GB"/>
        </w:rPr>
        <w:t>,</w:t>
      </w:r>
      <w:r>
        <w:rPr>
          <w:rFonts w:ascii="Arial" w:hAnsi="Arial" w:cs="Arial"/>
          <w:sz w:val="24"/>
          <w:szCs w:val="24"/>
          <w:lang w:val="en-GB"/>
        </w:rPr>
        <w:t xml:space="preserve"> informed the court that the vehicle was brand new and that the Master had no right to issue a non-objection letter to the Executor in light of the valid objection against the liquidation and distribution account. The plaintiff further testified that the Executor had no right to include her vehicle in the liquidation and distribution account of the estate of her late husband and </w:t>
      </w:r>
      <w:r w:rsidR="000B0DA9">
        <w:rPr>
          <w:rFonts w:ascii="Arial" w:hAnsi="Arial" w:cs="Arial"/>
          <w:sz w:val="24"/>
          <w:szCs w:val="24"/>
          <w:lang w:val="en-GB"/>
        </w:rPr>
        <w:t xml:space="preserve">further that </w:t>
      </w:r>
      <w:r>
        <w:rPr>
          <w:rFonts w:ascii="Arial" w:hAnsi="Arial" w:cs="Arial"/>
          <w:sz w:val="24"/>
          <w:szCs w:val="24"/>
          <w:lang w:val="en-GB"/>
        </w:rPr>
        <w:t>the executor had not right to dispose of the vehicle.</w:t>
      </w:r>
    </w:p>
    <w:p w:rsidR="008204C3" w:rsidRDefault="008204C3" w:rsidP="00A26DDC">
      <w:pPr>
        <w:spacing w:after="0" w:line="360" w:lineRule="auto"/>
        <w:jc w:val="both"/>
        <w:rPr>
          <w:rFonts w:ascii="Arial" w:hAnsi="Arial" w:cs="Arial"/>
          <w:sz w:val="24"/>
          <w:szCs w:val="24"/>
          <w:lang w:val="en-GB"/>
        </w:rPr>
      </w:pPr>
    </w:p>
    <w:p w:rsidR="008204C3" w:rsidRDefault="008204C3" w:rsidP="00A26DDC">
      <w:pPr>
        <w:spacing w:after="0" w:line="360" w:lineRule="auto"/>
        <w:jc w:val="both"/>
        <w:rPr>
          <w:rFonts w:ascii="Arial" w:hAnsi="Arial" w:cs="Arial"/>
          <w:sz w:val="24"/>
          <w:szCs w:val="24"/>
          <w:lang w:val="en-GB"/>
        </w:rPr>
      </w:pPr>
      <w:r>
        <w:rPr>
          <w:rFonts w:ascii="Arial" w:hAnsi="Arial" w:cs="Arial"/>
          <w:sz w:val="24"/>
          <w:szCs w:val="24"/>
          <w:lang w:val="en-GB"/>
        </w:rPr>
        <w:t>[</w:t>
      </w:r>
      <w:r w:rsidRPr="008204C3">
        <w:rPr>
          <w:rFonts w:ascii="Arial" w:hAnsi="Arial" w:cs="Arial"/>
          <w:sz w:val="24"/>
          <w:szCs w:val="24"/>
          <w:lang w:val="en-GB"/>
        </w:rPr>
        <w:t>2</w:t>
      </w:r>
      <w:r w:rsidR="00097C4A">
        <w:rPr>
          <w:rFonts w:ascii="Arial" w:hAnsi="Arial" w:cs="Arial"/>
          <w:sz w:val="24"/>
          <w:szCs w:val="24"/>
          <w:lang w:val="en-GB"/>
        </w:rPr>
        <w:t>1</w:t>
      </w:r>
      <w:r w:rsidR="00E43220">
        <w:rPr>
          <w:rFonts w:ascii="Arial" w:hAnsi="Arial" w:cs="Arial"/>
          <w:sz w:val="24"/>
          <w:szCs w:val="24"/>
          <w:lang w:val="en-GB"/>
        </w:rPr>
        <w:t>]</w:t>
      </w:r>
      <w:r w:rsidR="00E43220">
        <w:rPr>
          <w:rFonts w:ascii="Arial" w:hAnsi="Arial" w:cs="Arial"/>
          <w:sz w:val="24"/>
          <w:szCs w:val="24"/>
          <w:lang w:val="en-GB"/>
        </w:rPr>
        <w:tab/>
        <w:t>The p</w:t>
      </w:r>
      <w:r w:rsidRPr="008204C3">
        <w:rPr>
          <w:rFonts w:ascii="Arial" w:hAnsi="Arial" w:cs="Arial"/>
          <w:sz w:val="24"/>
          <w:szCs w:val="24"/>
          <w:lang w:val="en-GB"/>
        </w:rPr>
        <w:t xml:space="preserve">laintiff closed </w:t>
      </w:r>
      <w:r>
        <w:rPr>
          <w:rFonts w:ascii="Arial" w:hAnsi="Arial" w:cs="Arial"/>
          <w:sz w:val="24"/>
          <w:szCs w:val="24"/>
          <w:lang w:val="en-GB"/>
        </w:rPr>
        <w:t>her</w:t>
      </w:r>
      <w:r w:rsidRPr="008204C3">
        <w:rPr>
          <w:rFonts w:ascii="Arial" w:hAnsi="Arial" w:cs="Arial"/>
          <w:sz w:val="24"/>
          <w:szCs w:val="24"/>
          <w:lang w:val="en-GB"/>
        </w:rPr>
        <w:t xml:space="preserve"> case and the defendants </w:t>
      </w:r>
      <w:r>
        <w:rPr>
          <w:rFonts w:ascii="Arial" w:hAnsi="Arial" w:cs="Arial"/>
          <w:sz w:val="24"/>
          <w:szCs w:val="24"/>
          <w:lang w:val="en-GB"/>
        </w:rPr>
        <w:t>elected not to testify in their defence and closed their case</w:t>
      </w:r>
      <w:r w:rsidRPr="008204C3">
        <w:rPr>
          <w:rFonts w:ascii="Arial" w:hAnsi="Arial" w:cs="Arial"/>
          <w:sz w:val="24"/>
          <w:szCs w:val="24"/>
          <w:lang w:val="en-GB"/>
        </w:rPr>
        <w:t xml:space="preserve">.  I will now proceed and discuss the legal principles applicable </w:t>
      </w:r>
      <w:r>
        <w:rPr>
          <w:rFonts w:ascii="Arial" w:hAnsi="Arial" w:cs="Arial"/>
          <w:sz w:val="24"/>
          <w:szCs w:val="24"/>
          <w:lang w:val="en-GB"/>
        </w:rPr>
        <w:t>in this matter.</w:t>
      </w:r>
    </w:p>
    <w:p w:rsidR="002F642C" w:rsidRDefault="002F642C" w:rsidP="00A26DDC">
      <w:pPr>
        <w:spacing w:after="0" w:line="360" w:lineRule="auto"/>
        <w:jc w:val="both"/>
        <w:rPr>
          <w:rFonts w:ascii="Arial" w:hAnsi="Arial" w:cs="Arial"/>
          <w:sz w:val="24"/>
          <w:szCs w:val="24"/>
          <w:lang w:val="en-GB"/>
        </w:rPr>
      </w:pPr>
    </w:p>
    <w:p w:rsidR="002F642C" w:rsidRPr="002F642C" w:rsidRDefault="002F642C" w:rsidP="002F642C">
      <w:pPr>
        <w:spacing w:after="0" w:line="360" w:lineRule="auto"/>
        <w:jc w:val="both"/>
        <w:rPr>
          <w:rFonts w:ascii="Arial" w:hAnsi="Arial" w:cs="Arial"/>
          <w:i/>
          <w:sz w:val="24"/>
          <w:szCs w:val="24"/>
          <w:lang w:val="en-GB"/>
        </w:rPr>
      </w:pPr>
      <w:r w:rsidRPr="002F642C">
        <w:rPr>
          <w:rFonts w:ascii="Arial" w:hAnsi="Arial" w:cs="Arial"/>
          <w:i/>
          <w:sz w:val="24"/>
          <w:szCs w:val="24"/>
          <w:lang w:val="en-GB"/>
        </w:rPr>
        <w:t>Closing arguments</w:t>
      </w:r>
    </w:p>
    <w:p w:rsidR="002F642C" w:rsidRPr="002F642C" w:rsidRDefault="002F642C" w:rsidP="002F642C">
      <w:pPr>
        <w:spacing w:after="0" w:line="360" w:lineRule="auto"/>
        <w:jc w:val="both"/>
        <w:rPr>
          <w:rFonts w:ascii="Arial" w:hAnsi="Arial" w:cs="Arial"/>
          <w:sz w:val="24"/>
          <w:szCs w:val="24"/>
          <w:lang w:val="en-GB"/>
        </w:rPr>
      </w:pPr>
    </w:p>
    <w:p w:rsidR="002F642C" w:rsidRDefault="002F642C" w:rsidP="002F642C">
      <w:pPr>
        <w:spacing w:after="0" w:line="360" w:lineRule="auto"/>
        <w:jc w:val="both"/>
        <w:rPr>
          <w:rFonts w:ascii="Arial" w:hAnsi="Arial" w:cs="Arial"/>
          <w:sz w:val="24"/>
          <w:szCs w:val="24"/>
          <w:lang w:val="en-GB"/>
        </w:rPr>
      </w:pPr>
      <w:r w:rsidRPr="002F642C">
        <w:rPr>
          <w:rFonts w:ascii="Arial" w:hAnsi="Arial" w:cs="Arial"/>
          <w:sz w:val="24"/>
          <w:szCs w:val="24"/>
          <w:lang w:val="en-GB"/>
        </w:rPr>
        <w:t>[</w:t>
      </w:r>
      <w:r w:rsidR="00097C4A">
        <w:rPr>
          <w:rFonts w:ascii="Arial" w:hAnsi="Arial" w:cs="Arial"/>
          <w:sz w:val="24"/>
          <w:szCs w:val="24"/>
          <w:lang w:val="en-GB"/>
        </w:rPr>
        <w:t>22</w:t>
      </w:r>
      <w:r w:rsidRPr="002F642C">
        <w:rPr>
          <w:rFonts w:ascii="Arial" w:hAnsi="Arial" w:cs="Arial"/>
          <w:sz w:val="24"/>
          <w:szCs w:val="24"/>
          <w:lang w:val="en-GB"/>
        </w:rPr>
        <w:t>]</w:t>
      </w:r>
      <w:r w:rsidRPr="002F642C">
        <w:rPr>
          <w:rFonts w:ascii="Arial" w:hAnsi="Arial" w:cs="Arial"/>
          <w:sz w:val="24"/>
          <w:szCs w:val="24"/>
          <w:lang w:val="en-GB"/>
        </w:rPr>
        <w:tab/>
        <w:t xml:space="preserve"> I do not intend to repeat the arguments advanced by counsel as it would amount to a recap of the summary of the facts above. As expected, each counsel argued that the court should find in fa</w:t>
      </w:r>
      <w:r w:rsidR="000B0DA9">
        <w:rPr>
          <w:rFonts w:ascii="Arial" w:hAnsi="Arial" w:cs="Arial"/>
          <w:sz w:val="24"/>
          <w:szCs w:val="24"/>
          <w:lang w:val="en-GB"/>
        </w:rPr>
        <w:t>vor of their respective client</w:t>
      </w:r>
      <w:r w:rsidRPr="002F642C">
        <w:rPr>
          <w:rFonts w:ascii="Arial" w:hAnsi="Arial" w:cs="Arial"/>
          <w:sz w:val="24"/>
          <w:szCs w:val="24"/>
          <w:lang w:val="en-GB"/>
        </w:rPr>
        <w:t>.</w:t>
      </w:r>
    </w:p>
    <w:p w:rsidR="008204C3" w:rsidRDefault="008204C3" w:rsidP="00A26DDC">
      <w:pPr>
        <w:spacing w:after="0" w:line="360" w:lineRule="auto"/>
        <w:jc w:val="both"/>
        <w:rPr>
          <w:rFonts w:ascii="Arial" w:hAnsi="Arial" w:cs="Arial"/>
          <w:sz w:val="24"/>
          <w:szCs w:val="24"/>
          <w:lang w:val="en-GB"/>
        </w:rPr>
      </w:pPr>
    </w:p>
    <w:p w:rsidR="008204C3" w:rsidRDefault="008204C3" w:rsidP="00A26DDC">
      <w:pPr>
        <w:spacing w:after="0" w:line="360" w:lineRule="auto"/>
        <w:jc w:val="both"/>
        <w:rPr>
          <w:rFonts w:ascii="Arial" w:hAnsi="Arial" w:cs="Arial"/>
          <w:i/>
          <w:iCs/>
          <w:sz w:val="24"/>
          <w:szCs w:val="24"/>
          <w:lang w:val="en-GB"/>
        </w:rPr>
      </w:pPr>
      <w:r w:rsidRPr="008204C3">
        <w:rPr>
          <w:rFonts w:ascii="Arial" w:hAnsi="Arial" w:cs="Arial"/>
          <w:i/>
          <w:iCs/>
          <w:sz w:val="24"/>
          <w:szCs w:val="24"/>
          <w:lang w:val="en-GB"/>
        </w:rPr>
        <w:t>Applicable legal principles</w:t>
      </w:r>
    </w:p>
    <w:p w:rsidR="000D6AAC" w:rsidRDefault="000D6AAC" w:rsidP="00A26DDC">
      <w:pPr>
        <w:spacing w:after="0" w:line="360" w:lineRule="auto"/>
        <w:jc w:val="both"/>
        <w:rPr>
          <w:rFonts w:ascii="Arial" w:hAnsi="Arial" w:cs="Arial"/>
          <w:i/>
          <w:iCs/>
          <w:sz w:val="24"/>
          <w:szCs w:val="24"/>
          <w:lang w:val="en-GB"/>
        </w:rPr>
      </w:pPr>
    </w:p>
    <w:p w:rsidR="000D6AAC" w:rsidRPr="000D6AAC" w:rsidRDefault="000D6AAC" w:rsidP="000D6AAC">
      <w:pPr>
        <w:spacing w:after="0" w:line="360" w:lineRule="auto"/>
        <w:jc w:val="both"/>
        <w:rPr>
          <w:rFonts w:ascii="Arial" w:hAnsi="Arial" w:cs="Arial"/>
          <w:sz w:val="24"/>
          <w:szCs w:val="24"/>
          <w:lang w:val="en-GB"/>
        </w:rPr>
      </w:pPr>
      <w:r>
        <w:rPr>
          <w:rFonts w:ascii="Arial" w:hAnsi="Arial" w:cs="Arial"/>
          <w:sz w:val="24"/>
          <w:szCs w:val="24"/>
          <w:lang w:val="en-GB"/>
        </w:rPr>
        <w:t>[</w:t>
      </w:r>
      <w:r w:rsidR="00097C4A">
        <w:rPr>
          <w:rFonts w:ascii="Arial" w:hAnsi="Arial" w:cs="Arial"/>
          <w:sz w:val="24"/>
          <w:szCs w:val="24"/>
          <w:lang w:val="en-GB"/>
        </w:rPr>
        <w:t>23</w:t>
      </w:r>
      <w:r>
        <w:rPr>
          <w:rFonts w:ascii="Arial" w:hAnsi="Arial" w:cs="Arial"/>
          <w:sz w:val="24"/>
          <w:szCs w:val="24"/>
          <w:lang w:val="en-GB"/>
        </w:rPr>
        <w:t>]</w:t>
      </w:r>
      <w:r>
        <w:rPr>
          <w:rFonts w:ascii="Arial" w:hAnsi="Arial" w:cs="Arial"/>
          <w:sz w:val="24"/>
          <w:szCs w:val="24"/>
          <w:lang w:val="en-GB"/>
        </w:rPr>
        <w:tab/>
      </w:r>
      <w:r w:rsidRPr="000D6AAC">
        <w:rPr>
          <w:rFonts w:ascii="Arial" w:hAnsi="Arial" w:cs="Arial"/>
          <w:sz w:val="24"/>
          <w:szCs w:val="24"/>
          <w:lang w:val="en-GB"/>
        </w:rPr>
        <w:t>Article 18 of the Namibian Constitution has been quoted in all the cases where decisions or actions of administrative bodies were impugned but I will nonetheless quote it here, it provides as follows:</w:t>
      </w:r>
    </w:p>
    <w:p w:rsidR="000D6AAC" w:rsidRPr="000D6AAC" w:rsidRDefault="000D6AAC" w:rsidP="000D6AAC">
      <w:pPr>
        <w:spacing w:after="0" w:line="360" w:lineRule="auto"/>
        <w:jc w:val="both"/>
        <w:rPr>
          <w:rFonts w:ascii="Arial" w:hAnsi="Arial" w:cs="Arial"/>
          <w:sz w:val="24"/>
          <w:szCs w:val="24"/>
          <w:lang w:val="en-GB"/>
        </w:rPr>
      </w:pPr>
    </w:p>
    <w:p w:rsidR="00C95BD9" w:rsidRDefault="000D6AAC" w:rsidP="00C95BD9">
      <w:pPr>
        <w:spacing w:after="0" w:line="360" w:lineRule="auto"/>
        <w:ind w:firstLine="720"/>
        <w:jc w:val="both"/>
        <w:rPr>
          <w:rFonts w:ascii="Arial" w:hAnsi="Arial" w:cs="Arial"/>
          <w:sz w:val="24"/>
          <w:szCs w:val="24"/>
          <w:lang w:val="en-GB"/>
        </w:rPr>
      </w:pPr>
      <w:r w:rsidRPr="000D6AAC">
        <w:rPr>
          <w:rFonts w:ascii="Arial" w:hAnsi="Arial" w:cs="Arial"/>
          <w:lang w:val="en-GB"/>
        </w:rPr>
        <w:t>'Administrative bodies and administrative officials shall act fairly and reasonably and comply with the requirements imposed upon such bodies and officials by common-law and any relevant legislation, and persons aggrieved by the exercise of such acts and decisions shall have the right to seek redress before a competent Court or Tribunal</w:t>
      </w:r>
      <w:r w:rsidRPr="000D6AAC">
        <w:rPr>
          <w:rFonts w:ascii="Arial" w:hAnsi="Arial" w:cs="Arial"/>
          <w:sz w:val="24"/>
          <w:szCs w:val="24"/>
          <w:lang w:val="en-GB"/>
        </w:rPr>
        <w:t>.'</w:t>
      </w:r>
    </w:p>
    <w:p w:rsidR="00C95BD9" w:rsidRDefault="00C95BD9" w:rsidP="00C95BD9">
      <w:pPr>
        <w:spacing w:after="0" w:line="360" w:lineRule="auto"/>
        <w:jc w:val="both"/>
        <w:rPr>
          <w:rFonts w:ascii="Arial" w:hAnsi="Arial" w:cs="Arial"/>
          <w:sz w:val="24"/>
          <w:szCs w:val="24"/>
          <w:lang w:val="en-GB"/>
        </w:rPr>
      </w:pPr>
    </w:p>
    <w:p w:rsidR="00C95BD9" w:rsidRDefault="00C95BD9" w:rsidP="00C95BD9">
      <w:pPr>
        <w:spacing w:after="0" w:line="360" w:lineRule="auto"/>
        <w:jc w:val="both"/>
        <w:rPr>
          <w:rFonts w:ascii="Arial" w:hAnsi="Arial" w:cs="Arial"/>
          <w:sz w:val="24"/>
          <w:szCs w:val="24"/>
          <w:lang w:val="en-GB"/>
        </w:rPr>
      </w:pPr>
      <w:r>
        <w:rPr>
          <w:rFonts w:ascii="Arial" w:hAnsi="Arial" w:cs="Arial"/>
          <w:sz w:val="24"/>
          <w:szCs w:val="24"/>
          <w:lang w:val="en-GB"/>
        </w:rPr>
        <w:t>[</w:t>
      </w:r>
      <w:r w:rsidR="00097C4A">
        <w:rPr>
          <w:rFonts w:ascii="Arial" w:hAnsi="Arial" w:cs="Arial"/>
          <w:sz w:val="24"/>
          <w:szCs w:val="24"/>
          <w:lang w:val="en-GB"/>
        </w:rPr>
        <w:t>24</w:t>
      </w:r>
      <w:r>
        <w:rPr>
          <w:rFonts w:ascii="Arial" w:hAnsi="Arial" w:cs="Arial"/>
          <w:sz w:val="24"/>
          <w:szCs w:val="24"/>
          <w:lang w:val="en-GB"/>
        </w:rPr>
        <w:t>]</w:t>
      </w:r>
      <w:r>
        <w:rPr>
          <w:rFonts w:ascii="Arial" w:hAnsi="Arial" w:cs="Arial"/>
          <w:sz w:val="24"/>
          <w:szCs w:val="24"/>
          <w:lang w:val="en-GB"/>
        </w:rPr>
        <w:tab/>
      </w:r>
      <w:r w:rsidR="00525884">
        <w:rPr>
          <w:rFonts w:ascii="Arial" w:hAnsi="Arial" w:cs="Arial"/>
          <w:sz w:val="24"/>
          <w:szCs w:val="24"/>
          <w:lang w:val="en-GB"/>
        </w:rPr>
        <w:t xml:space="preserve">The requirements that the above provision of the Constitution impose on the Master as an administrative official, is that she must act fairly and reasonably, and in </w:t>
      </w:r>
      <w:r w:rsidR="00525884">
        <w:rPr>
          <w:rFonts w:ascii="Arial" w:hAnsi="Arial" w:cs="Arial"/>
          <w:sz w:val="24"/>
          <w:szCs w:val="24"/>
          <w:lang w:val="en-GB"/>
        </w:rPr>
        <w:lastRenderedPageBreak/>
        <w:t>compliance with t</w:t>
      </w:r>
      <w:r w:rsidR="000B0DA9">
        <w:rPr>
          <w:rFonts w:ascii="Arial" w:hAnsi="Arial" w:cs="Arial"/>
          <w:sz w:val="24"/>
          <w:szCs w:val="24"/>
          <w:lang w:val="en-GB"/>
        </w:rPr>
        <w:t>he law. I will now deal with</w:t>
      </w:r>
      <w:r w:rsidR="00525884">
        <w:rPr>
          <w:rFonts w:ascii="Arial" w:hAnsi="Arial" w:cs="Arial"/>
          <w:sz w:val="24"/>
          <w:szCs w:val="24"/>
          <w:lang w:val="en-GB"/>
        </w:rPr>
        <w:t xml:space="preserve"> important aspect that needs consideration, that is</w:t>
      </w:r>
      <w:r w:rsidR="000B0DA9">
        <w:rPr>
          <w:rFonts w:ascii="Arial" w:hAnsi="Arial" w:cs="Arial"/>
          <w:sz w:val="24"/>
          <w:szCs w:val="24"/>
          <w:lang w:val="en-GB"/>
        </w:rPr>
        <w:t>,</w:t>
      </w:r>
      <w:r w:rsidR="00525884">
        <w:rPr>
          <w:rFonts w:ascii="Arial" w:hAnsi="Arial" w:cs="Arial"/>
          <w:sz w:val="24"/>
          <w:szCs w:val="24"/>
          <w:lang w:val="en-GB"/>
        </w:rPr>
        <w:t xml:space="preserve"> the approach laid down by the Administration of Estates Act</w:t>
      </w:r>
      <w:r w:rsidR="00525884">
        <w:rPr>
          <w:rStyle w:val="FootnoteReference"/>
          <w:rFonts w:ascii="Arial" w:hAnsi="Arial"/>
          <w:sz w:val="24"/>
          <w:szCs w:val="24"/>
          <w:lang w:val="en-GB"/>
        </w:rPr>
        <w:footnoteReference w:id="3"/>
      </w:r>
      <w:r w:rsidR="000B0DA9">
        <w:rPr>
          <w:rFonts w:ascii="Arial" w:hAnsi="Arial" w:cs="Arial"/>
          <w:sz w:val="24"/>
          <w:szCs w:val="24"/>
          <w:lang w:val="en-GB"/>
        </w:rPr>
        <w:t xml:space="preserve"> </w:t>
      </w:r>
      <w:r w:rsidR="00525884">
        <w:rPr>
          <w:rFonts w:ascii="Arial" w:hAnsi="Arial" w:cs="Arial"/>
          <w:sz w:val="24"/>
          <w:szCs w:val="24"/>
          <w:lang w:val="en-GB"/>
        </w:rPr>
        <w:t xml:space="preserve">when an objection is lodged against a liquidation and distribution account with the Master and the </w:t>
      </w:r>
      <w:r w:rsidR="00525884" w:rsidRPr="00525884">
        <w:rPr>
          <w:rFonts w:ascii="Arial" w:hAnsi="Arial" w:cs="Arial"/>
          <w:sz w:val="24"/>
          <w:szCs w:val="24"/>
          <w:lang w:val="en-GB"/>
        </w:rPr>
        <w:t>approach to reviews of decisions taken by the Master</w:t>
      </w:r>
      <w:r w:rsidR="00525884">
        <w:rPr>
          <w:rFonts w:ascii="Arial" w:hAnsi="Arial" w:cs="Arial"/>
          <w:sz w:val="24"/>
          <w:szCs w:val="24"/>
          <w:lang w:val="en-GB"/>
        </w:rPr>
        <w:t>.</w:t>
      </w:r>
    </w:p>
    <w:p w:rsidR="00855EA2" w:rsidRDefault="00855EA2" w:rsidP="000D6AAC">
      <w:pPr>
        <w:spacing w:after="0" w:line="360" w:lineRule="auto"/>
        <w:ind w:firstLine="720"/>
        <w:jc w:val="both"/>
        <w:rPr>
          <w:rFonts w:ascii="Arial" w:hAnsi="Arial" w:cs="Arial"/>
          <w:sz w:val="24"/>
          <w:szCs w:val="24"/>
          <w:lang w:val="en-GB"/>
        </w:rPr>
      </w:pPr>
    </w:p>
    <w:p w:rsidR="00855EA2" w:rsidRDefault="00855EA2" w:rsidP="00855EA2">
      <w:pPr>
        <w:spacing w:after="0" w:line="360" w:lineRule="auto"/>
        <w:jc w:val="both"/>
        <w:rPr>
          <w:rFonts w:ascii="Arial" w:hAnsi="Arial" w:cs="Arial"/>
          <w:i/>
          <w:sz w:val="24"/>
          <w:szCs w:val="24"/>
          <w:lang w:val="en-GB"/>
        </w:rPr>
      </w:pPr>
      <w:r w:rsidRPr="00855EA2">
        <w:rPr>
          <w:rFonts w:ascii="Arial" w:hAnsi="Arial" w:cs="Arial"/>
          <w:i/>
          <w:sz w:val="24"/>
          <w:szCs w:val="24"/>
          <w:lang w:val="en-GB"/>
        </w:rPr>
        <w:t xml:space="preserve">The proper approach to lodge an </w:t>
      </w:r>
      <w:r w:rsidR="007E588C">
        <w:rPr>
          <w:rFonts w:ascii="Arial" w:hAnsi="Arial" w:cs="Arial"/>
          <w:i/>
          <w:sz w:val="24"/>
          <w:szCs w:val="24"/>
          <w:lang w:val="en-GB"/>
        </w:rPr>
        <w:t>objection against a liquidation and distribution account</w:t>
      </w:r>
      <w:r w:rsidRPr="00855EA2">
        <w:rPr>
          <w:rFonts w:ascii="Arial" w:hAnsi="Arial" w:cs="Arial"/>
          <w:i/>
          <w:sz w:val="24"/>
          <w:szCs w:val="24"/>
          <w:lang w:val="en-GB"/>
        </w:rPr>
        <w:t xml:space="preserve"> with the Master in terms of section </w:t>
      </w:r>
      <w:r w:rsidR="006E0395">
        <w:rPr>
          <w:rFonts w:ascii="Arial" w:hAnsi="Arial" w:cs="Arial"/>
          <w:i/>
          <w:sz w:val="24"/>
          <w:szCs w:val="24"/>
          <w:lang w:val="en-GB"/>
        </w:rPr>
        <w:t xml:space="preserve">35 (1), section </w:t>
      </w:r>
      <w:r w:rsidRPr="00855EA2">
        <w:rPr>
          <w:rFonts w:ascii="Arial" w:hAnsi="Arial" w:cs="Arial"/>
          <w:i/>
          <w:sz w:val="24"/>
          <w:szCs w:val="24"/>
          <w:lang w:val="en-GB"/>
        </w:rPr>
        <w:t>35(7), section 35(8) and section 35(9) of the Administration of Estates Act</w:t>
      </w:r>
    </w:p>
    <w:p w:rsidR="00855EA2" w:rsidRPr="00855EA2" w:rsidRDefault="00855EA2" w:rsidP="00855EA2">
      <w:pPr>
        <w:spacing w:after="0" w:line="360" w:lineRule="auto"/>
        <w:jc w:val="both"/>
        <w:rPr>
          <w:rFonts w:ascii="Arial" w:hAnsi="Arial" w:cs="Arial"/>
          <w:sz w:val="24"/>
          <w:szCs w:val="24"/>
          <w:lang w:val="en-GB"/>
        </w:rPr>
      </w:pPr>
    </w:p>
    <w:p w:rsidR="00855EA2" w:rsidRPr="00855EA2" w:rsidRDefault="00855EA2" w:rsidP="00855EA2">
      <w:pPr>
        <w:spacing w:after="0" w:line="360" w:lineRule="auto"/>
        <w:jc w:val="both"/>
        <w:rPr>
          <w:rFonts w:ascii="Arial" w:hAnsi="Arial" w:cs="Arial"/>
          <w:sz w:val="24"/>
          <w:szCs w:val="24"/>
          <w:lang w:val="en-GB"/>
        </w:rPr>
      </w:pPr>
      <w:r w:rsidRPr="00855EA2">
        <w:rPr>
          <w:rFonts w:ascii="Arial" w:hAnsi="Arial" w:cs="Arial"/>
          <w:sz w:val="24"/>
          <w:szCs w:val="24"/>
          <w:lang w:val="en-GB"/>
        </w:rPr>
        <w:t>[</w:t>
      </w:r>
      <w:r w:rsidR="00097C4A">
        <w:rPr>
          <w:rFonts w:ascii="Arial" w:hAnsi="Arial" w:cs="Arial"/>
          <w:sz w:val="24"/>
          <w:szCs w:val="24"/>
          <w:lang w:val="en-GB"/>
        </w:rPr>
        <w:t>25</w:t>
      </w:r>
      <w:r w:rsidRPr="00855EA2">
        <w:rPr>
          <w:rFonts w:ascii="Arial" w:hAnsi="Arial" w:cs="Arial"/>
          <w:sz w:val="24"/>
          <w:szCs w:val="24"/>
          <w:lang w:val="en-GB"/>
        </w:rPr>
        <w:t>]</w:t>
      </w:r>
      <w:r w:rsidRPr="00855EA2">
        <w:rPr>
          <w:rFonts w:ascii="Arial" w:hAnsi="Arial" w:cs="Arial"/>
          <w:sz w:val="24"/>
          <w:szCs w:val="24"/>
          <w:lang w:val="en-GB"/>
        </w:rPr>
        <w:tab/>
        <w:t>Section 35(1) of the Act provides that the executor of a deceased estate shall lodge a liquidation and distribution account with the Master.  The account will then lie for inspection at the Master’s office and the executor shall publish a notice stating that the account is open for inspection. Any person interested in the estate may lodge an objection, giving reasons, with the Master</w:t>
      </w:r>
      <w:r w:rsidR="000B0DA9">
        <w:rPr>
          <w:rFonts w:ascii="Arial" w:hAnsi="Arial" w:cs="Arial"/>
          <w:sz w:val="24"/>
          <w:szCs w:val="24"/>
          <w:lang w:val="en-GB"/>
        </w:rPr>
        <w:t>,</w:t>
      </w:r>
      <w:r w:rsidRPr="00855EA2">
        <w:rPr>
          <w:rFonts w:ascii="Arial" w:hAnsi="Arial" w:cs="Arial"/>
          <w:sz w:val="24"/>
          <w:szCs w:val="24"/>
          <w:lang w:val="en-GB"/>
        </w:rPr>
        <w:t xml:space="preserve"> to the liquidation and distribution account.</w:t>
      </w:r>
      <w:r w:rsidR="007E588C">
        <w:rPr>
          <w:rStyle w:val="FootnoteReference"/>
          <w:rFonts w:ascii="Arial" w:hAnsi="Arial"/>
          <w:sz w:val="24"/>
          <w:szCs w:val="24"/>
          <w:lang w:val="en-GB"/>
        </w:rPr>
        <w:footnoteReference w:id="4"/>
      </w:r>
      <w:r w:rsidRPr="00855EA2">
        <w:rPr>
          <w:rFonts w:ascii="Arial" w:hAnsi="Arial" w:cs="Arial"/>
          <w:sz w:val="24"/>
          <w:szCs w:val="24"/>
          <w:lang w:val="en-GB"/>
        </w:rPr>
        <w:t xml:space="preserve">   The Master will provide the executor with copies of the objection and the executor must respond to the objection within fourteen days</w:t>
      </w:r>
      <w:r w:rsidR="007E588C">
        <w:rPr>
          <w:rStyle w:val="FootnoteReference"/>
          <w:rFonts w:ascii="Arial" w:hAnsi="Arial"/>
          <w:sz w:val="24"/>
          <w:szCs w:val="24"/>
          <w:lang w:val="en-GB"/>
        </w:rPr>
        <w:footnoteReference w:id="5"/>
      </w:r>
      <w:r w:rsidRPr="00855EA2">
        <w:rPr>
          <w:rFonts w:ascii="Arial" w:hAnsi="Arial" w:cs="Arial"/>
          <w:sz w:val="24"/>
          <w:szCs w:val="24"/>
          <w:lang w:val="en-GB"/>
        </w:rPr>
        <w:t xml:space="preserve">. Having received the response from the executor, the Master then determines whether the objection is well-founded or not, and may direct the executor to amend </w:t>
      </w:r>
      <w:r w:rsidR="000B0DA9">
        <w:rPr>
          <w:rFonts w:ascii="Arial" w:hAnsi="Arial" w:cs="Arial"/>
          <w:sz w:val="24"/>
          <w:szCs w:val="24"/>
          <w:lang w:val="en-GB"/>
        </w:rPr>
        <w:t>the account or give</w:t>
      </w:r>
      <w:r w:rsidRPr="00855EA2">
        <w:rPr>
          <w:rFonts w:ascii="Arial" w:hAnsi="Arial" w:cs="Arial"/>
          <w:sz w:val="24"/>
          <w:szCs w:val="24"/>
          <w:lang w:val="en-GB"/>
        </w:rPr>
        <w:t xml:space="preserve"> such other direction as she deems fit.</w:t>
      </w:r>
      <w:r w:rsidR="007E588C">
        <w:rPr>
          <w:rStyle w:val="FootnoteReference"/>
          <w:rFonts w:ascii="Arial" w:hAnsi="Arial"/>
          <w:sz w:val="24"/>
          <w:szCs w:val="24"/>
          <w:lang w:val="en-GB"/>
        </w:rPr>
        <w:footnoteReference w:id="6"/>
      </w:r>
    </w:p>
    <w:p w:rsidR="00D60A52" w:rsidRDefault="00D60A52" w:rsidP="00A26DDC">
      <w:pPr>
        <w:spacing w:after="0" w:line="360" w:lineRule="auto"/>
        <w:jc w:val="both"/>
        <w:rPr>
          <w:rFonts w:ascii="Arial" w:hAnsi="Arial" w:cs="Arial"/>
          <w:i/>
          <w:iCs/>
          <w:sz w:val="24"/>
          <w:szCs w:val="24"/>
          <w:lang w:val="en-GB"/>
        </w:rPr>
      </w:pPr>
    </w:p>
    <w:p w:rsidR="006951FF" w:rsidRPr="006951FF" w:rsidRDefault="006951FF" w:rsidP="006951FF">
      <w:pPr>
        <w:spacing w:after="0" w:line="360" w:lineRule="auto"/>
        <w:jc w:val="both"/>
        <w:rPr>
          <w:rFonts w:ascii="Arial" w:hAnsi="Arial" w:cs="Arial"/>
          <w:i/>
          <w:iCs/>
          <w:sz w:val="24"/>
          <w:szCs w:val="24"/>
          <w:lang w:val="en-GB"/>
        </w:rPr>
      </w:pPr>
      <w:r w:rsidRPr="006951FF">
        <w:rPr>
          <w:rFonts w:ascii="Arial" w:hAnsi="Arial" w:cs="Arial"/>
          <w:i/>
          <w:iCs/>
          <w:sz w:val="24"/>
          <w:szCs w:val="24"/>
          <w:lang w:val="en-GB"/>
        </w:rPr>
        <w:t>The proper approach to reviews of decisions taken by the Master in terms of s 35(10) of the Act</w:t>
      </w:r>
    </w:p>
    <w:p w:rsidR="006951FF" w:rsidRPr="006951FF" w:rsidRDefault="006951FF" w:rsidP="006951FF">
      <w:pPr>
        <w:spacing w:after="0" w:line="360" w:lineRule="auto"/>
        <w:jc w:val="both"/>
        <w:rPr>
          <w:rFonts w:ascii="Arial" w:hAnsi="Arial" w:cs="Arial"/>
          <w:sz w:val="24"/>
          <w:szCs w:val="24"/>
          <w:lang w:val="en-GB"/>
        </w:rPr>
      </w:pPr>
    </w:p>
    <w:p w:rsidR="006951FF" w:rsidRPr="006951FF" w:rsidRDefault="006951FF" w:rsidP="006951FF">
      <w:pPr>
        <w:spacing w:after="0" w:line="360" w:lineRule="auto"/>
        <w:jc w:val="both"/>
        <w:rPr>
          <w:rFonts w:ascii="Arial" w:hAnsi="Arial" w:cs="Arial"/>
          <w:sz w:val="24"/>
          <w:szCs w:val="24"/>
          <w:lang w:val="en-GB"/>
        </w:rPr>
      </w:pPr>
      <w:r w:rsidRPr="006951FF">
        <w:rPr>
          <w:rFonts w:ascii="Arial" w:hAnsi="Arial" w:cs="Arial"/>
          <w:sz w:val="24"/>
          <w:szCs w:val="24"/>
          <w:lang w:val="en-GB"/>
        </w:rPr>
        <w:t>[2</w:t>
      </w:r>
      <w:r w:rsidR="00097C4A">
        <w:rPr>
          <w:rFonts w:ascii="Arial" w:hAnsi="Arial" w:cs="Arial"/>
          <w:sz w:val="24"/>
          <w:szCs w:val="24"/>
          <w:lang w:val="en-GB"/>
        </w:rPr>
        <w:t>6</w:t>
      </w:r>
      <w:r w:rsidRPr="006951FF">
        <w:rPr>
          <w:rFonts w:ascii="Arial" w:hAnsi="Arial" w:cs="Arial"/>
          <w:sz w:val="24"/>
          <w:szCs w:val="24"/>
          <w:lang w:val="en-GB"/>
        </w:rPr>
        <w:t>]</w:t>
      </w:r>
      <w:r w:rsidRPr="006951FF">
        <w:rPr>
          <w:rFonts w:ascii="Arial" w:hAnsi="Arial" w:cs="Arial"/>
          <w:sz w:val="24"/>
          <w:szCs w:val="24"/>
          <w:lang w:val="en-GB"/>
        </w:rPr>
        <w:tab/>
        <w:t>Section 35(10) then provides that –</w:t>
      </w:r>
    </w:p>
    <w:p w:rsidR="006951FF" w:rsidRPr="006951FF" w:rsidRDefault="006951FF" w:rsidP="006951FF">
      <w:pPr>
        <w:spacing w:after="0" w:line="360" w:lineRule="auto"/>
        <w:jc w:val="both"/>
        <w:rPr>
          <w:rFonts w:ascii="Arial" w:hAnsi="Arial" w:cs="Arial"/>
          <w:sz w:val="24"/>
          <w:szCs w:val="24"/>
          <w:lang w:val="en-GB"/>
        </w:rPr>
      </w:pPr>
    </w:p>
    <w:p w:rsidR="006951FF" w:rsidRPr="000D6AAC" w:rsidRDefault="006951FF" w:rsidP="000D6AAC">
      <w:pPr>
        <w:spacing w:after="0" w:line="360" w:lineRule="auto"/>
        <w:ind w:firstLine="720"/>
        <w:jc w:val="both"/>
        <w:rPr>
          <w:rFonts w:ascii="Arial" w:hAnsi="Arial" w:cs="Arial"/>
          <w:lang w:val="en-GB"/>
        </w:rPr>
      </w:pPr>
      <w:r w:rsidRPr="000D6AAC">
        <w:rPr>
          <w:rFonts w:ascii="Arial" w:hAnsi="Arial" w:cs="Arial"/>
          <w:lang w:val="en-GB"/>
        </w:rPr>
        <w:t>'Any person aggrieved by any such direction of the Master or by a refusal of the Master to sustain an objection so lodged may apply by motion to the Court within thirty days after the date of such direction or refusal or within such further period as the Court may allow, for an order to set aside the Master’s decision and the Court may make such order as it may think fit.'</w:t>
      </w:r>
    </w:p>
    <w:p w:rsidR="006951FF" w:rsidRPr="006951FF" w:rsidRDefault="006951FF" w:rsidP="006951FF">
      <w:pPr>
        <w:spacing w:after="0" w:line="360" w:lineRule="auto"/>
        <w:jc w:val="both"/>
        <w:rPr>
          <w:rFonts w:ascii="Arial" w:hAnsi="Arial" w:cs="Arial"/>
          <w:sz w:val="24"/>
          <w:szCs w:val="24"/>
          <w:lang w:val="en-GB"/>
        </w:rPr>
      </w:pPr>
    </w:p>
    <w:p w:rsidR="00DE0863" w:rsidRDefault="006951FF" w:rsidP="00A26DDC">
      <w:pPr>
        <w:spacing w:after="0" w:line="360" w:lineRule="auto"/>
        <w:jc w:val="both"/>
        <w:rPr>
          <w:rFonts w:ascii="Arial" w:hAnsi="Arial" w:cs="Arial"/>
          <w:sz w:val="24"/>
          <w:szCs w:val="24"/>
          <w:lang w:val="en-GB"/>
        </w:rPr>
      </w:pPr>
      <w:r w:rsidRPr="006951FF">
        <w:rPr>
          <w:rFonts w:ascii="Arial" w:hAnsi="Arial" w:cs="Arial"/>
          <w:sz w:val="24"/>
          <w:szCs w:val="24"/>
          <w:lang w:val="en-GB"/>
        </w:rPr>
        <w:lastRenderedPageBreak/>
        <w:t>[2</w:t>
      </w:r>
      <w:r w:rsidR="00097C4A">
        <w:rPr>
          <w:rFonts w:ascii="Arial" w:hAnsi="Arial" w:cs="Arial"/>
          <w:sz w:val="24"/>
          <w:szCs w:val="24"/>
          <w:lang w:val="en-GB"/>
        </w:rPr>
        <w:t>7</w:t>
      </w:r>
      <w:r w:rsidRPr="006951FF">
        <w:rPr>
          <w:rFonts w:ascii="Arial" w:hAnsi="Arial" w:cs="Arial"/>
          <w:sz w:val="24"/>
          <w:szCs w:val="24"/>
          <w:lang w:val="en-GB"/>
        </w:rPr>
        <w:t>]</w:t>
      </w:r>
      <w:r w:rsidRPr="006951FF">
        <w:rPr>
          <w:rFonts w:ascii="Arial" w:hAnsi="Arial" w:cs="Arial"/>
          <w:sz w:val="24"/>
          <w:szCs w:val="24"/>
          <w:lang w:val="en-GB"/>
        </w:rPr>
        <w:tab/>
        <w:t xml:space="preserve">It was </w:t>
      </w:r>
      <w:r w:rsidR="00C95BD9">
        <w:rPr>
          <w:rFonts w:ascii="Arial" w:hAnsi="Arial" w:cs="Arial"/>
          <w:sz w:val="24"/>
          <w:szCs w:val="24"/>
          <w:lang w:val="en-GB"/>
        </w:rPr>
        <w:t xml:space="preserve">held in the Supreme court judgement </w:t>
      </w:r>
      <w:r w:rsidR="00C95BD9" w:rsidRPr="00C95BD9">
        <w:rPr>
          <w:rFonts w:ascii="Arial" w:hAnsi="Arial" w:cs="Arial"/>
          <w:i/>
          <w:sz w:val="24"/>
          <w:szCs w:val="24"/>
          <w:lang w:val="en-GB"/>
        </w:rPr>
        <w:t>of  Kamahunga v Master of the High Court</w:t>
      </w:r>
      <w:r w:rsidR="00C95BD9">
        <w:rPr>
          <w:rFonts w:ascii="Arial" w:hAnsi="Arial" w:cs="Arial"/>
          <w:sz w:val="24"/>
          <w:szCs w:val="24"/>
          <w:lang w:val="en-GB"/>
        </w:rPr>
        <w:t xml:space="preserve"> </w:t>
      </w:r>
      <w:r w:rsidR="00C95BD9">
        <w:rPr>
          <w:rStyle w:val="FootnoteReference"/>
          <w:rFonts w:ascii="Arial" w:hAnsi="Arial"/>
          <w:sz w:val="24"/>
          <w:szCs w:val="24"/>
          <w:lang w:val="en-GB"/>
        </w:rPr>
        <w:footnoteReference w:id="7"/>
      </w:r>
      <w:r w:rsidRPr="006951FF">
        <w:rPr>
          <w:rFonts w:ascii="Arial" w:hAnsi="Arial" w:cs="Arial"/>
          <w:sz w:val="24"/>
          <w:szCs w:val="24"/>
          <w:lang w:val="en-GB"/>
        </w:rPr>
        <w:t xml:space="preserve"> that the</w:t>
      </w:r>
      <w:r w:rsidR="00C95BD9">
        <w:rPr>
          <w:rFonts w:ascii="Arial" w:hAnsi="Arial" w:cs="Arial"/>
          <w:sz w:val="24"/>
          <w:szCs w:val="24"/>
          <w:lang w:val="en-GB"/>
        </w:rPr>
        <w:t xml:space="preserve"> correct approach in Namibia when considering the</w:t>
      </w:r>
      <w:r w:rsidRPr="006951FF">
        <w:rPr>
          <w:rFonts w:ascii="Arial" w:hAnsi="Arial" w:cs="Arial"/>
          <w:sz w:val="24"/>
          <w:szCs w:val="24"/>
          <w:lang w:val="en-GB"/>
        </w:rPr>
        <w:t xml:space="preserve"> review jurisdiction conferred on a court by s 35(10)</w:t>
      </w:r>
      <w:r w:rsidR="00C95BD9">
        <w:rPr>
          <w:rFonts w:ascii="Arial" w:hAnsi="Arial" w:cs="Arial"/>
          <w:sz w:val="24"/>
          <w:szCs w:val="24"/>
          <w:lang w:val="en-GB"/>
        </w:rPr>
        <w:t>,that it</w:t>
      </w:r>
      <w:r w:rsidRPr="006951FF">
        <w:rPr>
          <w:rFonts w:ascii="Arial" w:hAnsi="Arial" w:cs="Arial"/>
          <w:sz w:val="24"/>
          <w:szCs w:val="24"/>
          <w:lang w:val="en-GB"/>
        </w:rPr>
        <w:t xml:space="preserve"> should be construed consistently with Art</w:t>
      </w:r>
      <w:r w:rsidR="00C95BD9">
        <w:rPr>
          <w:rFonts w:ascii="Arial" w:hAnsi="Arial" w:cs="Arial"/>
          <w:sz w:val="24"/>
          <w:szCs w:val="24"/>
          <w:lang w:val="en-GB"/>
        </w:rPr>
        <w:t>icle</w:t>
      </w:r>
      <w:r w:rsidRPr="006951FF">
        <w:rPr>
          <w:rFonts w:ascii="Arial" w:hAnsi="Arial" w:cs="Arial"/>
          <w:sz w:val="24"/>
          <w:szCs w:val="24"/>
          <w:lang w:val="en-GB"/>
        </w:rPr>
        <w:t xml:space="preserve"> 18 of the Constitution, which would require a court reviewing a decision of the Master to determine whether the Master had acted reasonably, fairly and in compliance with legal requirements in her determination of the objection to the liquidation and distribution account.  </w:t>
      </w:r>
    </w:p>
    <w:p w:rsidR="00DE0863" w:rsidRDefault="00DE0863" w:rsidP="00A26DDC">
      <w:pPr>
        <w:spacing w:after="0" w:line="360" w:lineRule="auto"/>
        <w:jc w:val="both"/>
        <w:rPr>
          <w:rFonts w:ascii="Arial" w:hAnsi="Arial" w:cs="Arial"/>
          <w:sz w:val="24"/>
          <w:szCs w:val="24"/>
          <w:lang w:val="en-GB"/>
        </w:rPr>
      </w:pPr>
    </w:p>
    <w:p w:rsidR="00161310" w:rsidRDefault="00161310" w:rsidP="00A26DDC">
      <w:pPr>
        <w:spacing w:after="0" w:line="360" w:lineRule="auto"/>
        <w:jc w:val="both"/>
        <w:rPr>
          <w:rFonts w:ascii="Arial" w:hAnsi="Arial" w:cs="Arial"/>
          <w:i/>
          <w:iCs/>
          <w:sz w:val="24"/>
          <w:szCs w:val="24"/>
          <w:lang w:val="en-GB"/>
        </w:rPr>
      </w:pPr>
      <w:r>
        <w:rPr>
          <w:rFonts w:ascii="Arial" w:hAnsi="Arial" w:cs="Arial"/>
          <w:i/>
          <w:iCs/>
          <w:sz w:val="24"/>
          <w:szCs w:val="24"/>
          <w:lang w:val="en-GB"/>
        </w:rPr>
        <w:t>Functus officio</w:t>
      </w:r>
    </w:p>
    <w:p w:rsidR="00161310" w:rsidRDefault="00161310" w:rsidP="00A26DDC">
      <w:pPr>
        <w:spacing w:after="0" w:line="360" w:lineRule="auto"/>
        <w:jc w:val="both"/>
        <w:rPr>
          <w:rFonts w:ascii="Arial" w:hAnsi="Arial" w:cs="Arial"/>
          <w:i/>
          <w:iCs/>
          <w:sz w:val="24"/>
          <w:szCs w:val="24"/>
          <w:lang w:val="en-GB"/>
        </w:rPr>
      </w:pPr>
    </w:p>
    <w:p w:rsidR="00161310" w:rsidRPr="00161310" w:rsidRDefault="00097C4A" w:rsidP="00161310">
      <w:pPr>
        <w:spacing w:after="0" w:line="360" w:lineRule="auto"/>
        <w:jc w:val="both"/>
        <w:rPr>
          <w:rFonts w:ascii="Arial" w:hAnsi="Arial" w:cs="Arial"/>
          <w:sz w:val="24"/>
          <w:szCs w:val="24"/>
          <w:lang w:val="en-GB"/>
        </w:rPr>
      </w:pPr>
      <w:r>
        <w:rPr>
          <w:rFonts w:ascii="Arial" w:hAnsi="Arial" w:cs="Arial"/>
          <w:sz w:val="24"/>
          <w:szCs w:val="24"/>
          <w:lang w:val="en-GB"/>
        </w:rPr>
        <w:t>[28]</w:t>
      </w:r>
      <w:r>
        <w:rPr>
          <w:rFonts w:ascii="Arial" w:hAnsi="Arial" w:cs="Arial"/>
          <w:sz w:val="24"/>
          <w:szCs w:val="24"/>
          <w:lang w:val="en-GB"/>
        </w:rPr>
        <w:tab/>
      </w:r>
      <w:r w:rsidR="00161310" w:rsidRPr="00161310">
        <w:rPr>
          <w:rFonts w:ascii="Arial" w:hAnsi="Arial" w:cs="Arial"/>
          <w:sz w:val="24"/>
          <w:szCs w:val="24"/>
          <w:lang w:val="en-GB"/>
        </w:rPr>
        <w:t xml:space="preserve">In the matter of </w:t>
      </w:r>
      <w:r w:rsidR="00161310" w:rsidRPr="00DE0863">
        <w:rPr>
          <w:rFonts w:ascii="Arial" w:hAnsi="Arial" w:cs="Arial"/>
          <w:i/>
          <w:sz w:val="24"/>
          <w:szCs w:val="24"/>
          <w:lang w:val="en-GB"/>
        </w:rPr>
        <w:t xml:space="preserve">Witbooi </w:t>
      </w:r>
      <w:r w:rsidR="000B0DA9">
        <w:rPr>
          <w:rFonts w:ascii="Arial" w:hAnsi="Arial" w:cs="Arial"/>
          <w:i/>
          <w:sz w:val="24"/>
          <w:szCs w:val="24"/>
          <w:lang w:val="en-GB"/>
        </w:rPr>
        <w:t xml:space="preserve">and Others </w:t>
      </w:r>
      <w:r w:rsidR="00161310" w:rsidRPr="00DE0863">
        <w:rPr>
          <w:rFonts w:ascii="Arial" w:hAnsi="Arial" w:cs="Arial"/>
          <w:i/>
          <w:sz w:val="24"/>
          <w:szCs w:val="24"/>
          <w:lang w:val="en-GB"/>
        </w:rPr>
        <w:t xml:space="preserve">v Minister of Urban and Rural </w:t>
      </w:r>
      <w:r w:rsidR="000B0DA9" w:rsidRPr="00DE0863">
        <w:rPr>
          <w:rFonts w:ascii="Arial" w:hAnsi="Arial" w:cs="Arial"/>
          <w:i/>
          <w:sz w:val="24"/>
          <w:szCs w:val="24"/>
          <w:lang w:val="en-GB"/>
        </w:rPr>
        <w:t>Development</w:t>
      </w:r>
      <w:r w:rsidR="000B0DA9">
        <w:rPr>
          <w:rFonts w:ascii="Arial" w:hAnsi="Arial" w:cs="Arial"/>
          <w:i/>
          <w:sz w:val="24"/>
          <w:szCs w:val="24"/>
          <w:lang w:val="en-GB"/>
        </w:rPr>
        <w:t xml:space="preserve"> and Others</w:t>
      </w:r>
      <w:r w:rsidR="00146984">
        <w:rPr>
          <w:rStyle w:val="FootnoteReference"/>
          <w:rFonts w:ascii="Arial" w:hAnsi="Arial"/>
          <w:i/>
          <w:sz w:val="24"/>
          <w:szCs w:val="24"/>
          <w:lang w:val="en-GB"/>
        </w:rPr>
        <w:footnoteReference w:id="8"/>
      </w:r>
      <w:r w:rsidR="00161310" w:rsidRPr="00DE0863">
        <w:rPr>
          <w:rFonts w:ascii="Arial" w:hAnsi="Arial" w:cs="Arial"/>
          <w:i/>
          <w:sz w:val="24"/>
          <w:szCs w:val="24"/>
          <w:lang w:val="en-GB"/>
        </w:rPr>
        <w:t xml:space="preserve"> </w:t>
      </w:r>
      <w:r w:rsidR="00161310" w:rsidRPr="00161310">
        <w:rPr>
          <w:rFonts w:ascii="Arial" w:hAnsi="Arial" w:cs="Arial"/>
          <w:sz w:val="24"/>
          <w:szCs w:val="24"/>
          <w:lang w:val="en-GB"/>
        </w:rPr>
        <w:t>[12], Masuku J</w:t>
      </w:r>
      <w:r w:rsidR="000B0DA9">
        <w:rPr>
          <w:rFonts w:ascii="Arial" w:hAnsi="Arial" w:cs="Arial"/>
          <w:sz w:val="24"/>
          <w:szCs w:val="24"/>
          <w:lang w:val="en-GB"/>
        </w:rPr>
        <w:t>,</w:t>
      </w:r>
      <w:r w:rsidR="00161310" w:rsidRPr="00161310">
        <w:rPr>
          <w:rFonts w:ascii="Arial" w:hAnsi="Arial" w:cs="Arial"/>
          <w:sz w:val="24"/>
          <w:szCs w:val="24"/>
          <w:lang w:val="en-GB"/>
        </w:rPr>
        <w:t xml:space="preserve"> said the following regarding the Minister being functus officio:</w:t>
      </w:r>
    </w:p>
    <w:p w:rsidR="00161310" w:rsidRPr="00161310" w:rsidRDefault="00161310" w:rsidP="00161310">
      <w:pPr>
        <w:spacing w:after="0" w:line="360" w:lineRule="auto"/>
        <w:jc w:val="both"/>
        <w:rPr>
          <w:rFonts w:ascii="Arial" w:hAnsi="Arial" w:cs="Arial"/>
          <w:sz w:val="24"/>
          <w:szCs w:val="24"/>
          <w:lang w:val="en-GB"/>
        </w:rPr>
      </w:pPr>
    </w:p>
    <w:p w:rsidR="00161310" w:rsidRPr="00DE0863" w:rsidRDefault="00161310" w:rsidP="00161310">
      <w:pPr>
        <w:spacing w:after="0" w:line="360" w:lineRule="auto"/>
        <w:jc w:val="both"/>
        <w:rPr>
          <w:rFonts w:ascii="Arial" w:hAnsi="Arial" w:cs="Arial"/>
          <w:szCs w:val="24"/>
          <w:lang w:val="en-GB"/>
        </w:rPr>
      </w:pPr>
      <w:r w:rsidRPr="00DE0863">
        <w:rPr>
          <w:rFonts w:ascii="Arial" w:hAnsi="Arial" w:cs="Arial"/>
          <w:szCs w:val="24"/>
          <w:lang w:val="en-GB"/>
        </w:rPr>
        <w:t xml:space="preserve">             ‘[71] I am of the view that this is a case where the Minister was functus officio and his office had fully and finally exercised its discretion. He had no lawful reason to revisi</w:t>
      </w:r>
      <w:r w:rsidR="00DE0863" w:rsidRPr="00DE0863">
        <w:rPr>
          <w:rFonts w:ascii="Arial" w:hAnsi="Arial" w:cs="Arial"/>
          <w:szCs w:val="24"/>
          <w:lang w:val="en-GB"/>
        </w:rPr>
        <w:t xml:space="preserve">t and thus reopen the issue. It </w:t>
      </w:r>
      <w:r w:rsidRPr="00DE0863">
        <w:rPr>
          <w:rFonts w:ascii="Arial" w:hAnsi="Arial" w:cs="Arial"/>
          <w:szCs w:val="24"/>
          <w:lang w:val="en-GB"/>
        </w:rPr>
        <w:t>would be a travesty of justice in such instances, to let a decision, which the Minister had no power to make when he did, to stand. This is especially so when the decision appears to run counter to the relevant law and more particularly, the Constitution, as will be apparent later.</w:t>
      </w:r>
      <w:r w:rsidR="000B0DA9">
        <w:rPr>
          <w:rFonts w:ascii="Arial" w:hAnsi="Arial" w:cs="Arial"/>
          <w:szCs w:val="24"/>
          <w:lang w:val="en-GB"/>
        </w:rPr>
        <w:t>’</w:t>
      </w:r>
    </w:p>
    <w:p w:rsidR="00161310" w:rsidRPr="00161310" w:rsidRDefault="00161310" w:rsidP="00161310">
      <w:pPr>
        <w:spacing w:after="0" w:line="360" w:lineRule="auto"/>
        <w:jc w:val="both"/>
        <w:rPr>
          <w:rFonts w:ascii="Arial" w:hAnsi="Arial" w:cs="Arial"/>
          <w:sz w:val="24"/>
          <w:szCs w:val="24"/>
          <w:lang w:val="en-GB"/>
        </w:rPr>
      </w:pPr>
    </w:p>
    <w:p w:rsidR="00161310" w:rsidRDefault="00161310" w:rsidP="00161310">
      <w:pPr>
        <w:spacing w:after="0" w:line="360" w:lineRule="auto"/>
        <w:jc w:val="both"/>
        <w:rPr>
          <w:rFonts w:ascii="Arial" w:hAnsi="Arial" w:cs="Arial"/>
          <w:sz w:val="24"/>
          <w:szCs w:val="24"/>
          <w:lang w:val="en-GB"/>
        </w:rPr>
      </w:pPr>
      <w:r w:rsidRPr="00161310">
        <w:rPr>
          <w:rFonts w:ascii="Arial" w:hAnsi="Arial" w:cs="Arial"/>
          <w:sz w:val="24"/>
          <w:szCs w:val="24"/>
          <w:lang w:val="en-GB"/>
        </w:rPr>
        <w:t xml:space="preserve"> [</w:t>
      </w:r>
      <w:r w:rsidR="00097C4A">
        <w:rPr>
          <w:rFonts w:ascii="Arial" w:hAnsi="Arial" w:cs="Arial"/>
          <w:sz w:val="24"/>
          <w:szCs w:val="24"/>
          <w:lang w:val="en-GB"/>
        </w:rPr>
        <w:t>29</w:t>
      </w:r>
      <w:r w:rsidRPr="00161310">
        <w:rPr>
          <w:rFonts w:ascii="Arial" w:hAnsi="Arial" w:cs="Arial"/>
          <w:sz w:val="24"/>
          <w:szCs w:val="24"/>
          <w:lang w:val="en-GB"/>
        </w:rPr>
        <w:t xml:space="preserve">]      In </w:t>
      </w:r>
      <w:r w:rsidR="00C901DB" w:rsidRPr="00C901DB">
        <w:rPr>
          <w:rFonts w:ascii="Arial" w:hAnsi="Arial" w:cs="Arial"/>
          <w:i/>
          <w:sz w:val="24"/>
          <w:szCs w:val="24"/>
          <w:lang w:val="en-GB"/>
        </w:rPr>
        <w:t xml:space="preserve">Pamo Trading Enterprises CC and Another v Chairperson of the Tender Board of Namibia and Others </w:t>
      </w:r>
      <w:r w:rsidR="00146984">
        <w:rPr>
          <w:rStyle w:val="FootnoteReference"/>
          <w:rFonts w:ascii="Arial" w:hAnsi="Arial"/>
          <w:sz w:val="24"/>
          <w:szCs w:val="24"/>
          <w:lang w:val="en-GB"/>
        </w:rPr>
        <w:footnoteReference w:id="9"/>
      </w:r>
      <w:r w:rsidRPr="00161310">
        <w:rPr>
          <w:rFonts w:ascii="Arial" w:hAnsi="Arial" w:cs="Arial"/>
          <w:sz w:val="24"/>
          <w:szCs w:val="24"/>
          <w:lang w:val="en-GB"/>
        </w:rPr>
        <w:t xml:space="preserve"> the Supreme Court expressed itself on the doctrine of </w:t>
      </w:r>
      <w:r w:rsidRPr="00C901DB">
        <w:rPr>
          <w:rFonts w:ascii="Arial" w:hAnsi="Arial" w:cs="Arial"/>
          <w:i/>
          <w:sz w:val="24"/>
          <w:szCs w:val="24"/>
          <w:lang w:val="en-GB"/>
        </w:rPr>
        <w:t>functus officio</w:t>
      </w:r>
      <w:r w:rsidRPr="00161310">
        <w:rPr>
          <w:rFonts w:ascii="Arial" w:hAnsi="Arial" w:cs="Arial"/>
          <w:sz w:val="24"/>
          <w:szCs w:val="24"/>
          <w:lang w:val="en-GB"/>
        </w:rPr>
        <w:t xml:space="preserve">. It again had a later opportunity to do so in </w:t>
      </w:r>
      <w:r w:rsidRPr="00146984">
        <w:rPr>
          <w:rFonts w:ascii="Arial" w:hAnsi="Arial" w:cs="Arial"/>
          <w:i/>
          <w:sz w:val="24"/>
          <w:szCs w:val="24"/>
          <w:lang w:val="en-GB"/>
        </w:rPr>
        <w:t>Hashagen</w:t>
      </w:r>
      <w:r w:rsidR="00146984">
        <w:rPr>
          <w:rStyle w:val="FootnoteReference"/>
          <w:rFonts w:ascii="Arial" w:hAnsi="Arial"/>
          <w:i/>
          <w:sz w:val="24"/>
          <w:szCs w:val="24"/>
          <w:lang w:val="en-GB"/>
        </w:rPr>
        <w:footnoteReference w:id="10"/>
      </w:r>
      <w:r w:rsidR="00146984" w:rsidRPr="00161310">
        <w:rPr>
          <w:rFonts w:ascii="Arial" w:hAnsi="Arial" w:cs="Arial"/>
          <w:sz w:val="24"/>
          <w:szCs w:val="24"/>
          <w:lang w:val="en-GB"/>
        </w:rPr>
        <w:t>, where</w:t>
      </w:r>
      <w:r w:rsidRPr="00161310">
        <w:rPr>
          <w:rFonts w:ascii="Arial" w:hAnsi="Arial" w:cs="Arial"/>
          <w:sz w:val="24"/>
          <w:szCs w:val="24"/>
          <w:lang w:val="en-GB"/>
        </w:rPr>
        <w:t xml:space="preserve"> it expressed in the following terms:</w:t>
      </w:r>
    </w:p>
    <w:p w:rsidR="00DE0863" w:rsidRPr="00161310" w:rsidRDefault="00DE0863" w:rsidP="00161310">
      <w:pPr>
        <w:spacing w:after="0" w:line="360" w:lineRule="auto"/>
        <w:jc w:val="both"/>
        <w:rPr>
          <w:rFonts w:ascii="Arial" w:hAnsi="Arial" w:cs="Arial"/>
          <w:sz w:val="24"/>
          <w:szCs w:val="24"/>
          <w:lang w:val="en-GB"/>
        </w:rPr>
      </w:pPr>
    </w:p>
    <w:p w:rsidR="00161310" w:rsidRPr="00DE0863" w:rsidRDefault="00161310" w:rsidP="00161310">
      <w:pPr>
        <w:spacing w:after="0" w:line="360" w:lineRule="auto"/>
        <w:jc w:val="both"/>
        <w:rPr>
          <w:rFonts w:ascii="Arial" w:hAnsi="Arial" w:cs="Arial"/>
          <w:szCs w:val="24"/>
          <w:lang w:val="en-GB"/>
        </w:rPr>
      </w:pPr>
      <w:r w:rsidRPr="00161310">
        <w:rPr>
          <w:rFonts w:ascii="Arial" w:hAnsi="Arial" w:cs="Arial"/>
          <w:sz w:val="24"/>
          <w:szCs w:val="24"/>
          <w:lang w:val="en-GB"/>
        </w:rPr>
        <w:t xml:space="preserve">            </w:t>
      </w:r>
      <w:r w:rsidR="0031273C">
        <w:rPr>
          <w:rFonts w:ascii="Arial" w:hAnsi="Arial" w:cs="Arial"/>
          <w:szCs w:val="24"/>
          <w:lang w:val="en-GB"/>
        </w:rPr>
        <w:t>‘</w:t>
      </w:r>
      <w:r w:rsidRPr="00DE0863">
        <w:rPr>
          <w:rFonts w:ascii="Arial" w:hAnsi="Arial" w:cs="Arial"/>
          <w:szCs w:val="24"/>
          <w:lang w:val="en-GB"/>
        </w:rPr>
        <w:t>[27] An administrative decision is deemed to be final and binding once it is made. Once made, such a decision cannot be re-opened or revoked by the decision-maker unless authorised by law, expressly or by necessary implication. The animating principle for the rule is that both the decision-maker and the subject know where they stand. At its core, therefo</w:t>
      </w:r>
      <w:r w:rsidR="0031273C">
        <w:rPr>
          <w:rFonts w:ascii="Arial" w:hAnsi="Arial" w:cs="Arial"/>
          <w:szCs w:val="24"/>
          <w:lang w:val="en-GB"/>
        </w:rPr>
        <w:t>re, are fairness and certainty.’</w:t>
      </w:r>
    </w:p>
    <w:p w:rsidR="00161310" w:rsidRPr="00161310" w:rsidRDefault="00161310" w:rsidP="00161310">
      <w:pPr>
        <w:spacing w:after="0" w:line="360" w:lineRule="auto"/>
        <w:jc w:val="both"/>
        <w:rPr>
          <w:rFonts w:ascii="Arial" w:hAnsi="Arial" w:cs="Arial"/>
          <w:sz w:val="24"/>
          <w:szCs w:val="24"/>
          <w:lang w:val="en-GB"/>
        </w:rPr>
      </w:pPr>
    </w:p>
    <w:p w:rsidR="00161310" w:rsidRPr="00DE0863" w:rsidRDefault="00161310" w:rsidP="00161310">
      <w:pPr>
        <w:spacing w:after="0" w:line="360" w:lineRule="auto"/>
        <w:jc w:val="both"/>
        <w:rPr>
          <w:rFonts w:ascii="Arial" w:hAnsi="Arial" w:cs="Arial"/>
          <w:szCs w:val="24"/>
          <w:lang w:val="en-GB"/>
        </w:rPr>
      </w:pPr>
      <w:r w:rsidRPr="00DE0863">
        <w:rPr>
          <w:rFonts w:ascii="Arial" w:hAnsi="Arial" w:cs="Arial"/>
          <w:szCs w:val="24"/>
          <w:lang w:val="en-GB"/>
        </w:rPr>
        <w:lastRenderedPageBreak/>
        <w:t>[28]      As Pretorius aptly observes:</w:t>
      </w:r>
    </w:p>
    <w:p w:rsidR="00161310" w:rsidRPr="00DE0863" w:rsidRDefault="00161310" w:rsidP="0031273C">
      <w:pPr>
        <w:spacing w:after="0" w:line="360" w:lineRule="auto"/>
        <w:ind w:firstLine="720"/>
        <w:jc w:val="both"/>
        <w:rPr>
          <w:rFonts w:ascii="Arial" w:hAnsi="Arial" w:cs="Arial"/>
          <w:szCs w:val="24"/>
          <w:lang w:val="en-GB"/>
        </w:rPr>
      </w:pPr>
      <w:r w:rsidRPr="00DE0863">
        <w:rPr>
          <w:rFonts w:ascii="Arial" w:hAnsi="Arial" w:cs="Arial"/>
          <w:szCs w:val="24"/>
          <w:lang w:val="en-GB"/>
        </w:rPr>
        <w:t>The functus officio doctrine is one of the mechanisms by means of which the law gives expression to the principle of finality. According to this doctrine, a person who is vested with adjudicative or decision-making powers may, as a general rule, exercise those powers only once in relation to the same matter. This rule applies with particular force, but not only, in circumstances where the exercise of such adjudicative or decision-making powers has the effect of determining a person’s legal rights or of conferring rights or benefits of a legally cognizable nature on a person. The result is that once such a decision has been given, it is (subject to any right of appeal or functionary) final and conclusive. Such a decision cannot be revoked o</w:t>
      </w:r>
      <w:r w:rsidR="0031273C">
        <w:rPr>
          <w:rFonts w:ascii="Arial" w:hAnsi="Arial" w:cs="Arial"/>
          <w:szCs w:val="24"/>
          <w:lang w:val="en-GB"/>
        </w:rPr>
        <w:t>r varied by the decision-maker.’</w:t>
      </w:r>
    </w:p>
    <w:p w:rsidR="00161310" w:rsidRPr="00DE0863" w:rsidRDefault="00161310" w:rsidP="00161310">
      <w:pPr>
        <w:spacing w:after="0" w:line="360" w:lineRule="auto"/>
        <w:jc w:val="both"/>
        <w:rPr>
          <w:rFonts w:ascii="Arial" w:hAnsi="Arial" w:cs="Arial"/>
          <w:szCs w:val="24"/>
          <w:lang w:val="en-GB"/>
        </w:rPr>
      </w:pPr>
    </w:p>
    <w:p w:rsidR="00161310" w:rsidRPr="00DE0863" w:rsidRDefault="00161310" w:rsidP="00161310">
      <w:pPr>
        <w:spacing w:after="0" w:line="360" w:lineRule="auto"/>
        <w:jc w:val="both"/>
        <w:rPr>
          <w:rFonts w:ascii="Arial" w:hAnsi="Arial" w:cs="Arial"/>
          <w:szCs w:val="24"/>
          <w:lang w:val="en-GB"/>
        </w:rPr>
      </w:pPr>
      <w:r w:rsidRPr="00DE0863">
        <w:rPr>
          <w:rFonts w:ascii="Arial" w:hAnsi="Arial" w:cs="Arial"/>
          <w:szCs w:val="24"/>
          <w:lang w:val="en-GB"/>
        </w:rPr>
        <w:t>[29] What this means then is that once an administrative body has exercised an administrative discretion in a specific way in a particular case, it loses further jurisdiction in the matter. It cannot go back on it or assume power again in respect of the s</w:t>
      </w:r>
      <w:r w:rsidR="0031273C">
        <w:rPr>
          <w:rFonts w:ascii="Arial" w:hAnsi="Arial" w:cs="Arial"/>
          <w:szCs w:val="24"/>
          <w:lang w:val="en-GB"/>
        </w:rPr>
        <w:t>ame matter between the parties.</w:t>
      </w:r>
    </w:p>
    <w:p w:rsidR="00161310" w:rsidRPr="00DE0863" w:rsidRDefault="00161310" w:rsidP="00161310">
      <w:pPr>
        <w:spacing w:after="0" w:line="360" w:lineRule="auto"/>
        <w:jc w:val="both"/>
        <w:rPr>
          <w:rFonts w:ascii="Arial" w:hAnsi="Arial" w:cs="Arial"/>
          <w:szCs w:val="24"/>
          <w:lang w:val="en-GB"/>
        </w:rPr>
      </w:pPr>
    </w:p>
    <w:p w:rsidR="00161310" w:rsidRPr="00161310" w:rsidRDefault="00161310" w:rsidP="00161310">
      <w:pPr>
        <w:spacing w:after="0" w:line="360" w:lineRule="auto"/>
        <w:jc w:val="both"/>
        <w:rPr>
          <w:rFonts w:ascii="Arial" w:hAnsi="Arial" w:cs="Arial"/>
          <w:sz w:val="24"/>
          <w:szCs w:val="24"/>
          <w:lang w:val="en-GB"/>
        </w:rPr>
      </w:pPr>
      <w:r w:rsidRPr="00161310">
        <w:rPr>
          <w:rFonts w:ascii="Arial" w:hAnsi="Arial" w:cs="Arial"/>
          <w:sz w:val="24"/>
          <w:szCs w:val="24"/>
          <w:lang w:val="en-GB"/>
        </w:rPr>
        <w:t xml:space="preserve"> [</w:t>
      </w:r>
      <w:r w:rsidR="00DE0863">
        <w:rPr>
          <w:rFonts w:ascii="Arial" w:hAnsi="Arial" w:cs="Arial"/>
          <w:sz w:val="24"/>
          <w:szCs w:val="24"/>
          <w:lang w:val="en-GB"/>
        </w:rPr>
        <w:t>3</w:t>
      </w:r>
      <w:r w:rsidR="00097C4A">
        <w:rPr>
          <w:rFonts w:ascii="Arial" w:hAnsi="Arial" w:cs="Arial"/>
          <w:sz w:val="24"/>
          <w:szCs w:val="24"/>
          <w:lang w:val="en-GB"/>
        </w:rPr>
        <w:t>0</w:t>
      </w:r>
      <w:r w:rsidRPr="00161310">
        <w:rPr>
          <w:rFonts w:ascii="Arial" w:hAnsi="Arial" w:cs="Arial"/>
          <w:sz w:val="24"/>
          <w:szCs w:val="24"/>
          <w:lang w:val="en-GB"/>
        </w:rPr>
        <w:t>]      It appears that there are very few and circumscribed circumstances in which a decision-maker can be allowed to revisit or reopen his or her decision. This would be in circumstances where the law expressly provides that unusual avenue or where it impliedly allows a second bite to the same cherry.’</w:t>
      </w:r>
    </w:p>
    <w:p w:rsidR="002F4194" w:rsidRDefault="002F4194" w:rsidP="00A26DDC">
      <w:pPr>
        <w:spacing w:after="0" w:line="360" w:lineRule="auto"/>
        <w:jc w:val="both"/>
        <w:rPr>
          <w:rFonts w:ascii="Arial" w:hAnsi="Arial" w:cs="Arial"/>
          <w:i/>
          <w:iCs/>
          <w:sz w:val="24"/>
          <w:szCs w:val="24"/>
          <w:lang w:val="en-GB"/>
        </w:rPr>
      </w:pPr>
    </w:p>
    <w:p w:rsidR="00161310" w:rsidRDefault="00161310" w:rsidP="00A26DDC">
      <w:pPr>
        <w:spacing w:after="0" w:line="360" w:lineRule="auto"/>
        <w:jc w:val="both"/>
        <w:rPr>
          <w:rFonts w:ascii="Arial" w:hAnsi="Arial" w:cs="Arial"/>
          <w:i/>
          <w:iCs/>
          <w:sz w:val="24"/>
          <w:szCs w:val="24"/>
          <w:lang w:val="en-GB"/>
        </w:rPr>
      </w:pPr>
      <w:r>
        <w:rPr>
          <w:rFonts w:ascii="Arial" w:hAnsi="Arial" w:cs="Arial"/>
          <w:i/>
          <w:iCs/>
          <w:sz w:val="24"/>
          <w:szCs w:val="24"/>
          <w:lang w:val="en-GB"/>
        </w:rPr>
        <w:t>Oudekraal principle</w:t>
      </w:r>
    </w:p>
    <w:p w:rsidR="00DE0863" w:rsidRDefault="00DE0863" w:rsidP="00A26DDC">
      <w:pPr>
        <w:spacing w:after="0" w:line="360" w:lineRule="auto"/>
        <w:jc w:val="both"/>
        <w:rPr>
          <w:rFonts w:ascii="Arial" w:hAnsi="Arial" w:cs="Arial"/>
          <w:i/>
          <w:iCs/>
          <w:sz w:val="24"/>
          <w:szCs w:val="24"/>
          <w:lang w:val="en-GB"/>
        </w:rPr>
      </w:pPr>
    </w:p>
    <w:p w:rsidR="00146984" w:rsidRDefault="00DE0863" w:rsidP="00146984">
      <w:pPr>
        <w:spacing w:after="0" w:line="360" w:lineRule="auto"/>
        <w:jc w:val="both"/>
        <w:rPr>
          <w:rFonts w:ascii="Arial" w:hAnsi="Arial" w:cs="Arial"/>
          <w:iCs/>
          <w:sz w:val="24"/>
          <w:szCs w:val="24"/>
          <w:lang w:val="en-GB"/>
        </w:rPr>
      </w:pPr>
      <w:r>
        <w:rPr>
          <w:rFonts w:ascii="Arial" w:hAnsi="Arial" w:cs="Arial"/>
          <w:iCs/>
          <w:sz w:val="24"/>
          <w:szCs w:val="24"/>
          <w:lang w:val="en-GB"/>
        </w:rPr>
        <w:t>[3</w:t>
      </w:r>
      <w:r w:rsidR="00097C4A">
        <w:rPr>
          <w:rFonts w:ascii="Arial" w:hAnsi="Arial" w:cs="Arial"/>
          <w:iCs/>
          <w:sz w:val="24"/>
          <w:szCs w:val="24"/>
          <w:lang w:val="en-GB"/>
        </w:rPr>
        <w:t>1</w:t>
      </w:r>
      <w:r>
        <w:rPr>
          <w:rFonts w:ascii="Arial" w:hAnsi="Arial" w:cs="Arial"/>
          <w:iCs/>
          <w:sz w:val="24"/>
          <w:szCs w:val="24"/>
          <w:lang w:val="en-GB"/>
        </w:rPr>
        <w:t>]</w:t>
      </w:r>
      <w:r>
        <w:rPr>
          <w:rFonts w:ascii="Arial" w:hAnsi="Arial" w:cs="Arial"/>
          <w:iCs/>
          <w:sz w:val="24"/>
          <w:szCs w:val="24"/>
          <w:lang w:val="en-GB"/>
        </w:rPr>
        <w:tab/>
      </w:r>
      <w:r w:rsidR="00146984" w:rsidRPr="00146984">
        <w:rPr>
          <w:rFonts w:ascii="Tahoma" w:hAnsi="Tahoma" w:cs="Tahoma"/>
          <w:iCs/>
          <w:sz w:val="24"/>
          <w:szCs w:val="24"/>
          <w:lang w:val="en-GB"/>
        </w:rPr>
        <w:t>﻿﻿﻿﻿﻿</w:t>
      </w:r>
      <w:r w:rsidR="00146984" w:rsidRPr="00146984">
        <w:rPr>
          <w:rFonts w:ascii="Arial" w:hAnsi="Arial" w:cs="Arial"/>
          <w:iCs/>
          <w:sz w:val="24"/>
          <w:szCs w:val="24"/>
          <w:lang w:val="en-GB"/>
        </w:rPr>
        <w:t xml:space="preserve">The decision in </w:t>
      </w:r>
      <w:r w:rsidR="0031273C">
        <w:rPr>
          <w:rFonts w:ascii="Arial" w:hAnsi="Arial" w:cs="Arial"/>
          <w:i/>
          <w:iCs/>
          <w:sz w:val="24"/>
          <w:szCs w:val="24"/>
          <w:lang w:val="en-GB"/>
        </w:rPr>
        <w:t>Oudekraal Estates (Pt</w:t>
      </w:r>
      <w:r w:rsidR="00146984" w:rsidRPr="00146984">
        <w:rPr>
          <w:rFonts w:ascii="Arial" w:hAnsi="Arial" w:cs="Arial"/>
          <w:i/>
          <w:iCs/>
          <w:sz w:val="24"/>
          <w:szCs w:val="24"/>
          <w:lang w:val="en-GB"/>
        </w:rPr>
        <w:t>y) Ltd v City of Cape Town &amp; others'</w:t>
      </w:r>
      <w:r w:rsidR="00146984">
        <w:rPr>
          <w:rStyle w:val="FootnoteReference"/>
          <w:rFonts w:ascii="Arial" w:hAnsi="Arial"/>
          <w:iCs/>
          <w:sz w:val="24"/>
          <w:szCs w:val="24"/>
          <w:lang w:val="en-GB"/>
        </w:rPr>
        <w:footnoteReference w:id="11"/>
      </w:r>
      <w:r w:rsidR="0031273C">
        <w:rPr>
          <w:rFonts w:ascii="Arial" w:hAnsi="Arial" w:cs="Arial"/>
          <w:i/>
          <w:iCs/>
          <w:sz w:val="24"/>
          <w:szCs w:val="24"/>
          <w:lang w:val="en-GB"/>
        </w:rPr>
        <w:t xml:space="preserve"> </w:t>
      </w:r>
      <w:r w:rsidR="00146984" w:rsidRPr="00146984">
        <w:rPr>
          <w:rFonts w:ascii="Arial" w:hAnsi="Arial" w:cs="Arial"/>
          <w:iCs/>
          <w:sz w:val="24"/>
          <w:szCs w:val="24"/>
          <w:lang w:val="en-GB"/>
        </w:rPr>
        <w:t xml:space="preserve">has been referred to with approval in a number of cases in this jurisdiction. The </w:t>
      </w:r>
      <w:r w:rsidR="00146984" w:rsidRPr="00146984">
        <w:rPr>
          <w:rFonts w:ascii="Arial" w:hAnsi="Arial" w:cs="Arial"/>
          <w:i/>
          <w:iCs/>
          <w:sz w:val="24"/>
          <w:szCs w:val="24"/>
          <w:lang w:val="en-GB"/>
        </w:rPr>
        <w:t>'Oudekraal principle'</w:t>
      </w:r>
      <w:r w:rsidR="00146984" w:rsidRPr="00146984">
        <w:rPr>
          <w:rFonts w:ascii="Arial" w:hAnsi="Arial" w:cs="Arial"/>
          <w:iCs/>
          <w:sz w:val="24"/>
          <w:szCs w:val="24"/>
          <w:lang w:val="en-GB"/>
        </w:rPr>
        <w:t xml:space="preserve"> entails that once an administrator has made a decision</w:t>
      </w:r>
      <w:r w:rsidR="0031273C">
        <w:rPr>
          <w:rFonts w:ascii="Arial" w:hAnsi="Arial" w:cs="Arial"/>
          <w:iCs/>
          <w:sz w:val="24"/>
          <w:szCs w:val="24"/>
          <w:lang w:val="en-GB"/>
        </w:rPr>
        <w:t>,</w:t>
      </w:r>
      <w:r w:rsidR="00146984" w:rsidRPr="00146984">
        <w:rPr>
          <w:rFonts w:ascii="Arial" w:hAnsi="Arial" w:cs="Arial"/>
          <w:iCs/>
          <w:sz w:val="24"/>
          <w:szCs w:val="24"/>
          <w:lang w:val="en-GB"/>
        </w:rPr>
        <w:t xml:space="preserve"> it has no power to change it or set it aside, </w:t>
      </w:r>
      <w:r w:rsidR="002F4194" w:rsidRPr="00146984">
        <w:rPr>
          <w:rFonts w:ascii="Arial" w:hAnsi="Arial" w:cs="Arial"/>
          <w:iCs/>
          <w:sz w:val="24"/>
          <w:szCs w:val="24"/>
          <w:lang w:val="en-GB"/>
        </w:rPr>
        <w:t>i.e.</w:t>
      </w:r>
      <w:r w:rsidR="00146984" w:rsidRPr="00146984">
        <w:rPr>
          <w:rFonts w:ascii="Arial" w:hAnsi="Arial" w:cs="Arial"/>
          <w:iCs/>
          <w:sz w:val="24"/>
          <w:szCs w:val="24"/>
          <w:lang w:val="en-GB"/>
        </w:rPr>
        <w:t xml:space="preserve"> that defective decisions of administrators remain binding until they are set aside through judicial review.</w:t>
      </w:r>
    </w:p>
    <w:p w:rsidR="002F4194" w:rsidRPr="00146984" w:rsidRDefault="002F4194" w:rsidP="00146984">
      <w:pPr>
        <w:spacing w:after="0" w:line="360" w:lineRule="auto"/>
        <w:jc w:val="both"/>
        <w:rPr>
          <w:rFonts w:ascii="Arial" w:hAnsi="Arial" w:cs="Arial"/>
          <w:iCs/>
          <w:sz w:val="24"/>
          <w:szCs w:val="24"/>
          <w:lang w:val="en-GB"/>
        </w:rPr>
      </w:pPr>
    </w:p>
    <w:p w:rsidR="00146984" w:rsidRPr="00146984" w:rsidRDefault="00146984" w:rsidP="00146984">
      <w:pPr>
        <w:spacing w:after="0" w:line="360" w:lineRule="auto"/>
        <w:jc w:val="both"/>
        <w:rPr>
          <w:rFonts w:ascii="Arial" w:hAnsi="Arial" w:cs="Arial"/>
          <w:iCs/>
          <w:sz w:val="24"/>
          <w:szCs w:val="24"/>
          <w:lang w:val="en-GB"/>
        </w:rPr>
      </w:pPr>
      <w:r w:rsidRPr="00146984">
        <w:rPr>
          <w:rFonts w:ascii="Tahoma" w:hAnsi="Tahoma" w:cs="Tahoma"/>
          <w:iCs/>
          <w:sz w:val="24"/>
          <w:szCs w:val="24"/>
          <w:lang w:val="en-GB"/>
        </w:rPr>
        <w:t>﻿﻿﻿﻿﻿</w:t>
      </w:r>
      <w:r w:rsidR="002F4194">
        <w:rPr>
          <w:rFonts w:ascii="Tahoma" w:hAnsi="Tahoma" w:cs="Tahoma"/>
          <w:iCs/>
          <w:sz w:val="24"/>
          <w:szCs w:val="24"/>
          <w:lang w:val="en-GB"/>
        </w:rPr>
        <w:t>[3</w:t>
      </w:r>
      <w:r w:rsidR="00097C4A">
        <w:rPr>
          <w:rFonts w:ascii="Tahoma" w:hAnsi="Tahoma" w:cs="Tahoma"/>
          <w:iCs/>
          <w:sz w:val="24"/>
          <w:szCs w:val="24"/>
          <w:lang w:val="en-GB"/>
        </w:rPr>
        <w:t>2</w:t>
      </w:r>
      <w:r w:rsidR="002F4194">
        <w:rPr>
          <w:rFonts w:ascii="Tahoma" w:hAnsi="Tahoma" w:cs="Tahoma"/>
          <w:iCs/>
          <w:sz w:val="24"/>
          <w:szCs w:val="24"/>
          <w:lang w:val="en-GB"/>
        </w:rPr>
        <w:t>]</w:t>
      </w:r>
      <w:r w:rsidR="002F4194">
        <w:rPr>
          <w:rFonts w:ascii="Tahoma" w:hAnsi="Tahoma" w:cs="Tahoma"/>
          <w:iCs/>
          <w:sz w:val="24"/>
          <w:szCs w:val="24"/>
          <w:lang w:val="en-GB"/>
        </w:rPr>
        <w:tab/>
      </w:r>
      <w:r w:rsidRPr="00146984">
        <w:rPr>
          <w:rFonts w:ascii="Arial" w:hAnsi="Arial" w:cs="Arial"/>
          <w:iCs/>
          <w:sz w:val="24"/>
          <w:szCs w:val="24"/>
          <w:lang w:val="en-GB"/>
        </w:rPr>
        <w:t xml:space="preserve">In the case of </w:t>
      </w:r>
      <w:r w:rsidRPr="002F4194">
        <w:rPr>
          <w:rFonts w:ascii="Arial" w:hAnsi="Arial" w:cs="Arial"/>
          <w:i/>
          <w:iCs/>
          <w:sz w:val="24"/>
          <w:szCs w:val="24"/>
          <w:lang w:val="en-GB"/>
        </w:rPr>
        <w:t>Minister of Finance v Merlus Se</w:t>
      </w:r>
      <w:r w:rsidR="0031273C">
        <w:rPr>
          <w:rFonts w:ascii="Arial" w:hAnsi="Arial" w:cs="Arial"/>
          <w:i/>
          <w:iCs/>
          <w:sz w:val="24"/>
          <w:szCs w:val="24"/>
          <w:lang w:val="en-GB"/>
        </w:rPr>
        <w:t>afood Processors (Pty) Ltd</w:t>
      </w:r>
      <w:r w:rsidR="002F4194">
        <w:rPr>
          <w:rStyle w:val="FootnoteReference"/>
          <w:rFonts w:ascii="Arial" w:hAnsi="Arial"/>
          <w:i/>
          <w:iCs/>
          <w:sz w:val="24"/>
          <w:szCs w:val="24"/>
          <w:lang w:val="en-GB"/>
        </w:rPr>
        <w:footnoteReference w:id="12"/>
      </w:r>
      <w:r w:rsidR="002F4194" w:rsidRPr="002F4194">
        <w:rPr>
          <w:rFonts w:ascii="Arial" w:hAnsi="Arial" w:cs="Arial"/>
          <w:i/>
          <w:iCs/>
          <w:sz w:val="24"/>
          <w:szCs w:val="24"/>
          <w:lang w:val="en-GB"/>
        </w:rPr>
        <w:t xml:space="preserve"> 2016</w:t>
      </w:r>
      <w:r w:rsidRPr="002F4194">
        <w:rPr>
          <w:rFonts w:ascii="Arial" w:hAnsi="Arial" w:cs="Arial"/>
          <w:i/>
          <w:iCs/>
          <w:sz w:val="24"/>
          <w:szCs w:val="24"/>
          <w:lang w:val="en-GB"/>
        </w:rPr>
        <w:t>(4) NR 1042 (SC)</w:t>
      </w:r>
      <w:r w:rsidRPr="00146984">
        <w:rPr>
          <w:rFonts w:ascii="Arial" w:hAnsi="Arial" w:cs="Arial"/>
          <w:iCs/>
          <w:sz w:val="24"/>
          <w:szCs w:val="24"/>
          <w:lang w:val="en-GB"/>
        </w:rPr>
        <w:t xml:space="preserve"> Mainga JA discuss</w:t>
      </w:r>
      <w:r w:rsidR="0031273C">
        <w:rPr>
          <w:rFonts w:ascii="Arial" w:hAnsi="Arial" w:cs="Arial"/>
          <w:iCs/>
          <w:sz w:val="24"/>
          <w:szCs w:val="24"/>
          <w:lang w:val="en-GB"/>
        </w:rPr>
        <w:t>es</w:t>
      </w:r>
      <w:r w:rsidRPr="00146984">
        <w:rPr>
          <w:rFonts w:ascii="Arial" w:hAnsi="Arial" w:cs="Arial"/>
          <w:iCs/>
          <w:sz w:val="24"/>
          <w:szCs w:val="24"/>
          <w:lang w:val="en-GB"/>
        </w:rPr>
        <w:t xml:space="preserve"> the principle as follows:</w:t>
      </w:r>
    </w:p>
    <w:p w:rsidR="002F4194" w:rsidRDefault="002F4194" w:rsidP="002F4194">
      <w:pPr>
        <w:spacing w:after="0" w:line="360" w:lineRule="auto"/>
        <w:ind w:firstLine="720"/>
        <w:jc w:val="both"/>
        <w:rPr>
          <w:rFonts w:ascii="Arial" w:hAnsi="Arial" w:cs="Arial"/>
          <w:iCs/>
          <w:szCs w:val="24"/>
          <w:lang w:val="en-GB"/>
        </w:rPr>
      </w:pPr>
    </w:p>
    <w:p w:rsidR="00146984" w:rsidRPr="002F4194" w:rsidRDefault="00146984" w:rsidP="002F4194">
      <w:pPr>
        <w:spacing w:after="0" w:line="360" w:lineRule="auto"/>
        <w:ind w:firstLine="720"/>
        <w:jc w:val="both"/>
        <w:rPr>
          <w:rFonts w:ascii="Arial" w:hAnsi="Arial" w:cs="Arial"/>
          <w:iCs/>
          <w:szCs w:val="24"/>
          <w:lang w:val="en-GB"/>
        </w:rPr>
      </w:pPr>
      <w:r w:rsidRPr="002F4194">
        <w:rPr>
          <w:rFonts w:ascii="Arial" w:hAnsi="Arial" w:cs="Arial"/>
          <w:iCs/>
          <w:szCs w:val="24"/>
          <w:lang w:val="en-GB"/>
        </w:rPr>
        <w:t>'(27</w:t>
      </w:r>
      <w:r w:rsidR="002F4194" w:rsidRPr="002F4194">
        <w:rPr>
          <w:rFonts w:ascii="Arial" w:hAnsi="Arial" w:cs="Arial"/>
          <w:iCs/>
          <w:szCs w:val="24"/>
          <w:lang w:val="en-GB"/>
        </w:rPr>
        <w:t>]</w:t>
      </w:r>
      <w:r w:rsidRPr="002F4194">
        <w:rPr>
          <w:rFonts w:ascii="Arial" w:hAnsi="Arial" w:cs="Arial"/>
          <w:iCs/>
          <w:szCs w:val="24"/>
          <w:lang w:val="en-GB"/>
        </w:rPr>
        <w:t xml:space="preserve"> The apparent anomaly (that an unlawful act can produce legally effective consequences) is sometimes attributed to the effect of a presumption that administrative acts are valid, which is explained as follows by Lawrence Baxter Administrative Law at 355:</w:t>
      </w:r>
    </w:p>
    <w:p w:rsidR="00146984" w:rsidRPr="002F4194" w:rsidRDefault="00146984" w:rsidP="00146984">
      <w:pPr>
        <w:spacing w:after="0" w:line="360" w:lineRule="auto"/>
        <w:jc w:val="both"/>
        <w:rPr>
          <w:rFonts w:ascii="Arial" w:hAnsi="Arial" w:cs="Arial"/>
          <w:iCs/>
          <w:szCs w:val="24"/>
          <w:lang w:val="en-GB"/>
        </w:rPr>
      </w:pPr>
    </w:p>
    <w:p w:rsidR="00146984" w:rsidRPr="002F4194" w:rsidRDefault="00146984" w:rsidP="00146984">
      <w:pPr>
        <w:spacing w:after="0" w:line="360" w:lineRule="auto"/>
        <w:jc w:val="both"/>
        <w:rPr>
          <w:rFonts w:ascii="Arial" w:hAnsi="Arial" w:cs="Arial"/>
          <w:iCs/>
          <w:szCs w:val="24"/>
          <w:lang w:val="en-GB"/>
        </w:rPr>
      </w:pPr>
      <w:r w:rsidRPr="002F4194">
        <w:rPr>
          <w:rFonts w:ascii="Arial" w:hAnsi="Arial" w:cs="Arial"/>
          <w:iCs/>
          <w:szCs w:val="24"/>
          <w:lang w:val="en-GB"/>
        </w:rPr>
        <w:t xml:space="preserve">"There exists an evidential presumption of validity expressed by the maxim </w:t>
      </w:r>
      <w:r w:rsidRPr="002F4194">
        <w:rPr>
          <w:rFonts w:ascii="Arial" w:hAnsi="Arial" w:cs="Arial"/>
          <w:i/>
          <w:iCs/>
          <w:szCs w:val="24"/>
          <w:lang w:val="en-GB"/>
        </w:rPr>
        <w:t>omnia praesumuntur rite esse acta</w:t>
      </w:r>
      <w:r w:rsidRPr="002F4194">
        <w:rPr>
          <w:rFonts w:ascii="Arial" w:hAnsi="Arial" w:cs="Arial"/>
          <w:iCs/>
          <w:szCs w:val="24"/>
          <w:lang w:val="en-GB"/>
        </w:rPr>
        <w:t>; and until the act in question is found to be unlawful by a court, there is no certainty that it is. Hence it is sometimes argued that u</w:t>
      </w:r>
      <w:r w:rsidR="002F4194">
        <w:rPr>
          <w:rFonts w:ascii="Arial" w:hAnsi="Arial" w:cs="Arial"/>
          <w:iCs/>
          <w:szCs w:val="24"/>
          <w:lang w:val="en-GB"/>
        </w:rPr>
        <w:t xml:space="preserve">nlawful administrative acts are </w:t>
      </w:r>
      <w:r w:rsidRPr="002F4194">
        <w:rPr>
          <w:rFonts w:ascii="Arial" w:hAnsi="Arial" w:cs="Arial"/>
          <w:iCs/>
          <w:szCs w:val="24"/>
          <w:lang w:val="en-GB"/>
        </w:rPr>
        <w:t>'voidable' because they have to be annulled.</w:t>
      </w:r>
    </w:p>
    <w:p w:rsidR="00146984" w:rsidRPr="00146984" w:rsidRDefault="00146984" w:rsidP="00146984">
      <w:pPr>
        <w:spacing w:after="0" w:line="360" w:lineRule="auto"/>
        <w:jc w:val="both"/>
        <w:rPr>
          <w:rFonts w:ascii="Arial" w:hAnsi="Arial" w:cs="Arial"/>
          <w:iCs/>
          <w:sz w:val="24"/>
          <w:szCs w:val="24"/>
          <w:lang w:val="en-GB"/>
        </w:rPr>
      </w:pPr>
    </w:p>
    <w:p w:rsidR="00146984" w:rsidRPr="002F4194" w:rsidRDefault="00146984" w:rsidP="00146984">
      <w:pPr>
        <w:spacing w:after="0" w:line="360" w:lineRule="auto"/>
        <w:jc w:val="both"/>
        <w:rPr>
          <w:rFonts w:ascii="Arial" w:hAnsi="Arial" w:cs="Arial"/>
          <w:i/>
          <w:iCs/>
          <w:sz w:val="24"/>
          <w:szCs w:val="24"/>
          <w:lang w:val="en-GB"/>
        </w:rPr>
      </w:pPr>
      <w:r w:rsidRPr="00146984">
        <w:rPr>
          <w:rFonts w:ascii="Arial" w:hAnsi="Arial" w:cs="Arial"/>
          <w:iCs/>
          <w:sz w:val="24"/>
          <w:szCs w:val="24"/>
          <w:lang w:val="en-GB"/>
        </w:rPr>
        <w:t xml:space="preserve">'At other times it has been explained on little more than pragmatic grounds. In </w:t>
      </w:r>
      <w:r w:rsidRPr="002F4194">
        <w:rPr>
          <w:rFonts w:ascii="Arial" w:hAnsi="Arial" w:cs="Arial"/>
          <w:i/>
          <w:iCs/>
          <w:sz w:val="24"/>
          <w:szCs w:val="24"/>
          <w:lang w:val="en-GB"/>
        </w:rPr>
        <w:t>Haraker v Minister of the Interior 1965 (1) SA 372 (C)</w:t>
      </w:r>
      <w:r w:rsidRPr="00146984">
        <w:rPr>
          <w:rFonts w:ascii="Arial" w:hAnsi="Arial" w:cs="Arial"/>
          <w:iCs/>
          <w:sz w:val="24"/>
          <w:szCs w:val="24"/>
          <w:lang w:val="en-GB"/>
        </w:rPr>
        <w:t xml:space="preserve"> Corbett J said at 381C that where a court declines to set aside an invalid act on the grounds of delay (the same would apply where it declines to do so on other grounds) (in a sense delay would . .. 'validate' a nullity. Or as Lord Radcliffe said in </w:t>
      </w:r>
      <w:r w:rsidRPr="002F4194">
        <w:rPr>
          <w:rFonts w:ascii="Arial" w:hAnsi="Arial" w:cs="Arial"/>
          <w:i/>
          <w:iCs/>
          <w:sz w:val="24"/>
          <w:szCs w:val="24"/>
          <w:lang w:val="en-GB"/>
        </w:rPr>
        <w:t>Smith v East Elle Rural District Council [1956] AC 736 (HL) at 769 - 70 ([1956] 1 All ER 855 at 871H; [1956] 2 WLR 88):</w:t>
      </w:r>
    </w:p>
    <w:p w:rsidR="00146984" w:rsidRPr="002F4194" w:rsidRDefault="00146984" w:rsidP="00146984">
      <w:pPr>
        <w:spacing w:after="0" w:line="360" w:lineRule="auto"/>
        <w:jc w:val="both"/>
        <w:rPr>
          <w:rFonts w:ascii="Arial" w:hAnsi="Arial" w:cs="Arial"/>
          <w:i/>
          <w:iCs/>
          <w:sz w:val="24"/>
          <w:szCs w:val="24"/>
          <w:lang w:val="en-GB"/>
        </w:rPr>
      </w:pPr>
    </w:p>
    <w:p w:rsidR="00DE0863" w:rsidRPr="00DE0863" w:rsidRDefault="00146984" w:rsidP="002F4194">
      <w:pPr>
        <w:spacing w:after="0" w:line="360" w:lineRule="auto"/>
        <w:ind w:firstLine="720"/>
        <w:jc w:val="both"/>
        <w:rPr>
          <w:rFonts w:ascii="Arial" w:hAnsi="Arial" w:cs="Arial"/>
          <w:iCs/>
          <w:sz w:val="24"/>
          <w:szCs w:val="24"/>
          <w:lang w:val="en-GB"/>
        </w:rPr>
      </w:pPr>
      <w:r w:rsidRPr="00146984">
        <w:rPr>
          <w:rFonts w:ascii="Arial" w:hAnsi="Arial" w:cs="Arial"/>
          <w:iCs/>
          <w:sz w:val="24"/>
          <w:szCs w:val="24"/>
          <w:lang w:val="en-GB"/>
        </w:rPr>
        <w:t>"An [administrative] order . . . is still an act capable of legal consequences. It bears no brand of invalidity upon its forehead. Unless the necessary proceedings are taken at law to establish the cause of invalidity and to get it quashed or otherwise upset, it will remain as effective for its ostensible purpose as the most impeccable of orders.</w:t>
      </w:r>
    </w:p>
    <w:p w:rsidR="00DE0863" w:rsidRDefault="00DE0863" w:rsidP="00A26DDC">
      <w:pPr>
        <w:spacing w:after="0" w:line="360" w:lineRule="auto"/>
        <w:jc w:val="both"/>
        <w:rPr>
          <w:rFonts w:ascii="Arial" w:hAnsi="Arial" w:cs="Arial"/>
          <w:i/>
          <w:iCs/>
          <w:sz w:val="24"/>
          <w:szCs w:val="24"/>
          <w:lang w:val="en-GB"/>
        </w:rPr>
      </w:pPr>
    </w:p>
    <w:p w:rsidR="00792D49" w:rsidRDefault="002F4194" w:rsidP="002F4194">
      <w:pPr>
        <w:spacing w:after="0" w:line="360" w:lineRule="auto"/>
        <w:jc w:val="both"/>
        <w:rPr>
          <w:rFonts w:ascii="Arial" w:hAnsi="Arial" w:cs="Arial"/>
          <w:iCs/>
          <w:sz w:val="24"/>
          <w:szCs w:val="24"/>
          <w:lang w:val="en-GB"/>
        </w:rPr>
      </w:pPr>
      <w:r>
        <w:rPr>
          <w:rFonts w:ascii="Arial" w:hAnsi="Arial" w:cs="Arial"/>
          <w:iCs/>
          <w:sz w:val="24"/>
          <w:szCs w:val="24"/>
          <w:lang w:val="en-GB"/>
        </w:rPr>
        <w:t>[3</w:t>
      </w:r>
      <w:r w:rsidR="00097C4A">
        <w:rPr>
          <w:rFonts w:ascii="Arial" w:hAnsi="Arial" w:cs="Arial"/>
          <w:iCs/>
          <w:sz w:val="24"/>
          <w:szCs w:val="24"/>
          <w:lang w:val="en-GB"/>
        </w:rPr>
        <w:t>3</w:t>
      </w:r>
      <w:r>
        <w:rPr>
          <w:rFonts w:ascii="Arial" w:hAnsi="Arial" w:cs="Arial"/>
          <w:iCs/>
          <w:sz w:val="24"/>
          <w:szCs w:val="24"/>
          <w:lang w:val="en-GB"/>
        </w:rPr>
        <w:t>]</w:t>
      </w:r>
      <w:r>
        <w:rPr>
          <w:rFonts w:ascii="Arial" w:hAnsi="Arial" w:cs="Arial"/>
          <w:iCs/>
          <w:sz w:val="24"/>
          <w:szCs w:val="24"/>
          <w:lang w:val="en-GB"/>
        </w:rPr>
        <w:tab/>
      </w:r>
      <w:r w:rsidRPr="002F4194">
        <w:rPr>
          <w:rFonts w:ascii="Tahoma" w:hAnsi="Tahoma" w:cs="Tahoma"/>
          <w:iCs/>
          <w:sz w:val="24"/>
          <w:szCs w:val="24"/>
          <w:lang w:val="en-GB"/>
        </w:rPr>
        <w:t>﻿﻿﻿﻿﻿</w:t>
      </w:r>
      <w:r w:rsidRPr="002F4194">
        <w:rPr>
          <w:rFonts w:ascii="Arial" w:hAnsi="Arial" w:cs="Arial"/>
          <w:iCs/>
          <w:sz w:val="24"/>
          <w:szCs w:val="24"/>
          <w:lang w:val="en-GB"/>
        </w:rPr>
        <w:t xml:space="preserve">The court in the </w:t>
      </w:r>
      <w:r w:rsidR="0031273C">
        <w:rPr>
          <w:rFonts w:ascii="Arial" w:hAnsi="Arial" w:cs="Arial"/>
          <w:i/>
          <w:iCs/>
          <w:sz w:val="24"/>
          <w:szCs w:val="24"/>
          <w:lang w:val="en-GB"/>
        </w:rPr>
        <w:t>Oudek</w:t>
      </w:r>
      <w:r w:rsidRPr="002F4194">
        <w:rPr>
          <w:rFonts w:ascii="Arial" w:hAnsi="Arial" w:cs="Arial"/>
          <w:i/>
          <w:iCs/>
          <w:sz w:val="24"/>
          <w:szCs w:val="24"/>
          <w:lang w:val="en-GB"/>
        </w:rPr>
        <w:t>raal</w:t>
      </w:r>
      <w:r w:rsidRPr="002F4194">
        <w:rPr>
          <w:rFonts w:ascii="Arial" w:hAnsi="Arial" w:cs="Arial"/>
          <w:iCs/>
          <w:sz w:val="24"/>
          <w:szCs w:val="24"/>
          <w:lang w:val="en-GB"/>
        </w:rPr>
        <w:t xml:space="preserve"> matter essentially requires organs of State to apply for the review and setting aside of their own erroneous decisions upon learning of them, where applicants for the decisions wish to rely upon them. These principles are further in line with the principle underlying the term </w:t>
      </w:r>
      <w:r w:rsidRPr="00792D49">
        <w:rPr>
          <w:rFonts w:ascii="Arial" w:hAnsi="Arial" w:cs="Arial"/>
          <w:i/>
          <w:iCs/>
          <w:sz w:val="24"/>
          <w:szCs w:val="24"/>
          <w:lang w:val="en-GB"/>
        </w:rPr>
        <w:t>functus officio</w:t>
      </w:r>
      <w:r w:rsidRPr="002F4194">
        <w:rPr>
          <w:rFonts w:ascii="Arial" w:hAnsi="Arial" w:cs="Arial"/>
          <w:iCs/>
          <w:sz w:val="24"/>
          <w:szCs w:val="24"/>
          <w:lang w:val="en-GB"/>
        </w:rPr>
        <w:t xml:space="preserve">, which entails that once an administrator has made a decision it has no power to change it or set it aside. </w:t>
      </w:r>
    </w:p>
    <w:p w:rsidR="00792D49" w:rsidRPr="002F4194" w:rsidRDefault="00792D49" w:rsidP="002F4194">
      <w:pPr>
        <w:spacing w:after="0" w:line="360" w:lineRule="auto"/>
        <w:jc w:val="both"/>
        <w:rPr>
          <w:rFonts w:ascii="Arial" w:hAnsi="Arial" w:cs="Arial"/>
          <w:iCs/>
          <w:sz w:val="24"/>
          <w:szCs w:val="24"/>
          <w:lang w:val="en-GB"/>
        </w:rPr>
      </w:pPr>
    </w:p>
    <w:p w:rsidR="002F642C" w:rsidRPr="002F642C" w:rsidRDefault="002F642C" w:rsidP="002F642C">
      <w:pPr>
        <w:spacing w:after="0" w:line="360" w:lineRule="auto"/>
        <w:jc w:val="both"/>
        <w:rPr>
          <w:rFonts w:ascii="Arial" w:hAnsi="Arial" w:cs="Arial"/>
          <w:iCs/>
          <w:sz w:val="24"/>
          <w:szCs w:val="24"/>
          <w:lang w:val="en-GB"/>
        </w:rPr>
      </w:pPr>
      <w:r w:rsidRPr="002F642C">
        <w:rPr>
          <w:rFonts w:ascii="Arial" w:hAnsi="Arial" w:cs="Arial"/>
          <w:iCs/>
          <w:sz w:val="24"/>
          <w:szCs w:val="24"/>
          <w:lang w:val="en-GB"/>
        </w:rPr>
        <w:t>[</w:t>
      </w:r>
      <w:r w:rsidR="00CD010F">
        <w:rPr>
          <w:rFonts w:ascii="Arial" w:hAnsi="Arial" w:cs="Arial"/>
          <w:iCs/>
          <w:sz w:val="24"/>
          <w:szCs w:val="24"/>
          <w:lang w:val="en-GB"/>
        </w:rPr>
        <w:t>3</w:t>
      </w:r>
      <w:r w:rsidR="00097C4A">
        <w:rPr>
          <w:rFonts w:ascii="Arial" w:hAnsi="Arial" w:cs="Arial"/>
          <w:iCs/>
          <w:sz w:val="24"/>
          <w:szCs w:val="24"/>
          <w:lang w:val="en-GB"/>
        </w:rPr>
        <w:t>4</w:t>
      </w:r>
      <w:r w:rsidRPr="002F642C">
        <w:rPr>
          <w:rFonts w:ascii="Arial" w:hAnsi="Arial" w:cs="Arial"/>
          <w:iCs/>
          <w:sz w:val="24"/>
          <w:szCs w:val="24"/>
          <w:lang w:val="en-GB"/>
        </w:rPr>
        <w:t>]</w:t>
      </w:r>
      <w:r w:rsidRPr="002F642C">
        <w:rPr>
          <w:rFonts w:ascii="Arial" w:hAnsi="Arial" w:cs="Arial"/>
          <w:iCs/>
          <w:sz w:val="24"/>
          <w:szCs w:val="24"/>
          <w:lang w:val="en-GB"/>
        </w:rPr>
        <w:tab/>
        <w:t>At this juncture, I will proceed and evaluate the evidence, against the background of the stated legal principles.</w:t>
      </w:r>
    </w:p>
    <w:p w:rsidR="002F642C" w:rsidRPr="002F642C" w:rsidRDefault="002F642C" w:rsidP="002F642C">
      <w:pPr>
        <w:spacing w:after="0" w:line="360" w:lineRule="auto"/>
        <w:jc w:val="both"/>
        <w:rPr>
          <w:rFonts w:ascii="Arial" w:hAnsi="Arial" w:cs="Arial"/>
          <w:iCs/>
          <w:sz w:val="24"/>
          <w:szCs w:val="24"/>
          <w:lang w:val="en-GB"/>
        </w:rPr>
      </w:pPr>
    </w:p>
    <w:p w:rsidR="002F642C" w:rsidRPr="002F642C" w:rsidRDefault="002F642C" w:rsidP="002F642C">
      <w:pPr>
        <w:spacing w:after="0" w:line="360" w:lineRule="auto"/>
        <w:jc w:val="both"/>
        <w:rPr>
          <w:rFonts w:ascii="Arial" w:hAnsi="Arial" w:cs="Arial"/>
          <w:i/>
          <w:iCs/>
          <w:sz w:val="24"/>
          <w:szCs w:val="24"/>
          <w:lang w:val="en-GB"/>
        </w:rPr>
      </w:pPr>
      <w:r w:rsidRPr="002F642C">
        <w:rPr>
          <w:rFonts w:ascii="Arial" w:hAnsi="Arial" w:cs="Arial"/>
          <w:i/>
          <w:iCs/>
          <w:sz w:val="24"/>
          <w:szCs w:val="24"/>
          <w:lang w:val="en-GB"/>
        </w:rPr>
        <w:t xml:space="preserve">Evaluation of evidence </w:t>
      </w:r>
    </w:p>
    <w:p w:rsidR="002F642C" w:rsidRPr="002F642C" w:rsidRDefault="002F642C" w:rsidP="002F642C">
      <w:pPr>
        <w:spacing w:after="0" w:line="360" w:lineRule="auto"/>
        <w:jc w:val="both"/>
        <w:rPr>
          <w:rFonts w:ascii="Arial" w:hAnsi="Arial" w:cs="Arial"/>
          <w:iCs/>
          <w:sz w:val="24"/>
          <w:szCs w:val="24"/>
          <w:lang w:val="en-GB"/>
        </w:rPr>
      </w:pPr>
    </w:p>
    <w:p w:rsidR="002F642C" w:rsidRPr="002F642C" w:rsidRDefault="002F642C" w:rsidP="002F642C">
      <w:pPr>
        <w:spacing w:after="0" w:line="360" w:lineRule="auto"/>
        <w:jc w:val="both"/>
        <w:rPr>
          <w:rFonts w:ascii="Arial" w:hAnsi="Arial" w:cs="Arial"/>
          <w:iCs/>
          <w:sz w:val="24"/>
          <w:szCs w:val="24"/>
          <w:lang w:val="en-GB"/>
        </w:rPr>
      </w:pPr>
      <w:r w:rsidRPr="002F642C">
        <w:rPr>
          <w:rFonts w:ascii="Arial" w:hAnsi="Arial" w:cs="Arial"/>
          <w:iCs/>
          <w:sz w:val="24"/>
          <w:szCs w:val="24"/>
          <w:lang w:val="en-GB"/>
        </w:rPr>
        <w:t>[</w:t>
      </w:r>
      <w:r w:rsidR="00097C4A">
        <w:rPr>
          <w:rFonts w:ascii="Arial" w:hAnsi="Arial" w:cs="Arial"/>
          <w:iCs/>
          <w:sz w:val="24"/>
          <w:szCs w:val="24"/>
          <w:lang w:val="en-GB"/>
        </w:rPr>
        <w:t>35</w:t>
      </w:r>
      <w:r w:rsidRPr="002F642C">
        <w:rPr>
          <w:rFonts w:ascii="Arial" w:hAnsi="Arial" w:cs="Arial"/>
          <w:iCs/>
          <w:sz w:val="24"/>
          <w:szCs w:val="24"/>
          <w:lang w:val="en-GB"/>
        </w:rPr>
        <w:t>]</w:t>
      </w:r>
      <w:r w:rsidRPr="002F642C">
        <w:rPr>
          <w:rFonts w:ascii="Arial" w:hAnsi="Arial" w:cs="Arial"/>
          <w:iCs/>
          <w:sz w:val="24"/>
          <w:szCs w:val="24"/>
          <w:lang w:val="en-GB"/>
        </w:rPr>
        <w:tab/>
        <w:t xml:space="preserve">Before dealing with the evaluation of the evidence, it is necessary to deal with the </w:t>
      </w:r>
      <w:r>
        <w:rPr>
          <w:rFonts w:ascii="Arial" w:hAnsi="Arial" w:cs="Arial"/>
          <w:iCs/>
          <w:sz w:val="24"/>
          <w:szCs w:val="24"/>
          <w:lang w:val="en-GB"/>
        </w:rPr>
        <w:t>Master</w:t>
      </w:r>
      <w:r w:rsidR="0031273C">
        <w:rPr>
          <w:rFonts w:ascii="Arial" w:hAnsi="Arial" w:cs="Arial"/>
          <w:iCs/>
          <w:sz w:val="24"/>
          <w:szCs w:val="24"/>
          <w:lang w:val="en-GB"/>
        </w:rPr>
        <w:t>’</w:t>
      </w:r>
      <w:r>
        <w:rPr>
          <w:rFonts w:ascii="Arial" w:hAnsi="Arial" w:cs="Arial"/>
          <w:iCs/>
          <w:sz w:val="24"/>
          <w:szCs w:val="24"/>
          <w:lang w:val="en-GB"/>
        </w:rPr>
        <w:t>s failure to partake in the proceedings</w:t>
      </w:r>
      <w:r w:rsidRPr="002F642C">
        <w:rPr>
          <w:rFonts w:ascii="Arial" w:hAnsi="Arial" w:cs="Arial"/>
          <w:iCs/>
          <w:sz w:val="24"/>
          <w:szCs w:val="24"/>
          <w:lang w:val="en-GB"/>
        </w:rPr>
        <w:t xml:space="preserve">. It is common cause that the </w:t>
      </w:r>
      <w:r>
        <w:rPr>
          <w:rFonts w:ascii="Arial" w:hAnsi="Arial" w:cs="Arial"/>
          <w:iCs/>
          <w:sz w:val="24"/>
          <w:szCs w:val="24"/>
          <w:lang w:val="en-GB"/>
        </w:rPr>
        <w:t xml:space="preserve">Master did not lodge a notice </w:t>
      </w:r>
      <w:r w:rsidR="0031273C">
        <w:rPr>
          <w:rFonts w:ascii="Arial" w:hAnsi="Arial" w:cs="Arial"/>
          <w:iCs/>
          <w:sz w:val="24"/>
          <w:szCs w:val="24"/>
          <w:lang w:val="en-GB"/>
        </w:rPr>
        <w:t>of intention to oppose, no file</w:t>
      </w:r>
      <w:r>
        <w:rPr>
          <w:rFonts w:ascii="Arial" w:hAnsi="Arial" w:cs="Arial"/>
          <w:iCs/>
          <w:sz w:val="24"/>
          <w:szCs w:val="24"/>
          <w:lang w:val="en-GB"/>
        </w:rPr>
        <w:t xml:space="preserve"> a </w:t>
      </w:r>
      <w:r w:rsidR="00CD010F">
        <w:rPr>
          <w:rFonts w:ascii="Arial" w:hAnsi="Arial" w:cs="Arial"/>
          <w:iCs/>
          <w:sz w:val="24"/>
          <w:szCs w:val="24"/>
          <w:lang w:val="en-GB"/>
        </w:rPr>
        <w:t>reply</w:t>
      </w:r>
      <w:r>
        <w:rPr>
          <w:rFonts w:ascii="Arial" w:hAnsi="Arial" w:cs="Arial"/>
          <w:iCs/>
          <w:sz w:val="24"/>
          <w:szCs w:val="24"/>
          <w:lang w:val="en-GB"/>
        </w:rPr>
        <w:t xml:space="preserve"> setting out her response to the issues raised in these proceedings. The records disclosed that there </w:t>
      </w:r>
      <w:r>
        <w:rPr>
          <w:rFonts w:ascii="Arial" w:hAnsi="Arial" w:cs="Arial"/>
          <w:iCs/>
          <w:sz w:val="24"/>
          <w:szCs w:val="24"/>
          <w:lang w:val="en-GB"/>
        </w:rPr>
        <w:lastRenderedPageBreak/>
        <w:t>had been proper service on the Master. It is a matter of concern to this court that i</w:t>
      </w:r>
      <w:r w:rsidR="00CD010F">
        <w:rPr>
          <w:rFonts w:ascii="Arial" w:hAnsi="Arial" w:cs="Arial"/>
          <w:iCs/>
          <w:sz w:val="24"/>
          <w:szCs w:val="24"/>
          <w:lang w:val="en-GB"/>
        </w:rPr>
        <w:t xml:space="preserve">t </w:t>
      </w:r>
      <w:r>
        <w:rPr>
          <w:rFonts w:ascii="Arial" w:hAnsi="Arial" w:cs="Arial"/>
          <w:iCs/>
          <w:sz w:val="24"/>
          <w:szCs w:val="24"/>
          <w:lang w:val="en-GB"/>
        </w:rPr>
        <w:t xml:space="preserve">should </w:t>
      </w:r>
      <w:r w:rsidR="00CD010F">
        <w:rPr>
          <w:rFonts w:ascii="Arial" w:hAnsi="Arial" w:cs="Arial"/>
          <w:iCs/>
          <w:sz w:val="24"/>
          <w:szCs w:val="24"/>
          <w:lang w:val="en-GB"/>
        </w:rPr>
        <w:t>make a determination on</w:t>
      </w:r>
      <w:r>
        <w:rPr>
          <w:rFonts w:ascii="Arial" w:hAnsi="Arial" w:cs="Arial"/>
          <w:iCs/>
          <w:sz w:val="24"/>
          <w:szCs w:val="24"/>
          <w:lang w:val="en-GB"/>
        </w:rPr>
        <w:t xml:space="preserve"> the issues on the </w:t>
      </w:r>
      <w:r w:rsidR="00CD010F">
        <w:rPr>
          <w:rFonts w:ascii="Arial" w:hAnsi="Arial" w:cs="Arial"/>
          <w:iCs/>
          <w:sz w:val="24"/>
          <w:szCs w:val="24"/>
          <w:lang w:val="en-GB"/>
        </w:rPr>
        <w:t>basis</w:t>
      </w:r>
      <w:r>
        <w:rPr>
          <w:rFonts w:ascii="Arial" w:hAnsi="Arial" w:cs="Arial"/>
          <w:iCs/>
          <w:sz w:val="24"/>
          <w:szCs w:val="24"/>
          <w:lang w:val="en-GB"/>
        </w:rPr>
        <w:t xml:space="preserve"> of a record that does not include a </w:t>
      </w:r>
      <w:r w:rsidR="00CD010F">
        <w:rPr>
          <w:rFonts w:ascii="Arial" w:hAnsi="Arial" w:cs="Arial"/>
          <w:iCs/>
          <w:sz w:val="24"/>
          <w:szCs w:val="24"/>
          <w:lang w:val="en-GB"/>
        </w:rPr>
        <w:t>reply</w:t>
      </w:r>
      <w:r>
        <w:rPr>
          <w:rFonts w:ascii="Arial" w:hAnsi="Arial" w:cs="Arial"/>
          <w:iCs/>
          <w:sz w:val="24"/>
          <w:szCs w:val="24"/>
          <w:lang w:val="en-GB"/>
        </w:rPr>
        <w:t xml:space="preserve"> from the Master.</w:t>
      </w:r>
      <w:r w:rsidR="00CD010F">
        <w:rPr>
          <w:rFonts w:ascii="Arial" w:hAnsi="Arial" w:cs="Arial"/>
          <w:iCs/>
          <w:sz w:val="24"/>
          <w:szCs w:val="24"/>
          <w:lang w:val="en-GB"/>
        </w:rPr>
        <w:t xml:space="preserve"> It is so that the record in this case contains a number of documents which clarify the Master’s position, but the court could not address those issues where the conduct of the Master was questioned. </w:t>
      </w:r>
    </w:p>
    <w:p w:rsidR="002F642C" w:rsidRDefault="002F642C" w:rsidP="002F4194">
      <w:pPr>
        <w:spacing w:after="0" w:line="360" w:lineRule="auto"/>
        <w:jc w:val="both"/>
        <w:rPr>
          <w:rFonts w:ascii="Arial" w:hAnsi="Arial" w:cs="Arial"/>
          <w:iCs/>
          <w:sz w:val="24"/>
          <w:szCs w:val="24"/>
          <w:lang w:val="en-GB"/>
        </w:rPr>
      </w:pPr>
    </w:p>
    <w:p w:rsidR="00A26DDC" w:rsidRPr="00A26DDC" w:rsidRDefault="002F642C" w:rsidP="00A26DDC">
      <w:pPr>
        <w:spacing w:after="0" w:line="360" w:lineRule="auto"/>
        <w:jc w:val="both"/>
        <w:rPr>
          <w:rFonts w:ascii="Arial" w:hAnsi="Arial" w:cs="Arial"/>
          <w:sz w:val="24"/>
          <w:szCs w:val="24"/>
          <w:lang w:val="en-GB"/>
        </w:rPr>
      </w:pPr>
      <w:r>
        <w:rPr>
          <w:rFonts w:ascii="Arial" w:hAnsi="Arial" w:cs="Arial"/>
          <w:sz w:val="24"/>
          <w:szCs w:val="24"/>
          <w:lang w:val="en-GB"/>
        </w:rPr>
        <w:t xml:space="preserve"> </w:t>
      </w:r>
      <w:r w:rsidR="00B433A1">
        <w:rPr>
          <w:rFonts w:ascii="Arial" w:hAnsi="Arial" w:cs="Arial"/>
          <w:sz w:val="24"/>
          <w:szCs w:val="24"/>
          <w:lang w:val="en-GB"/>
        </w:rPr>
        <w:t>[</w:t>
      </w:r>
      <w:r w:rsidR="00097C4A">
        <w:rPr>
          <w:rFonts w:ascii="Arial" w:hAnsi="Arial" w:cs="Arial"/>
          <w:sz w:val="24"/>
          <w:szCs w:val="24"/>
          <w:lang w:val="en-GB"/>
        </w:rPr>
        <w:t>36</w:t>
      </w:r>
      <w:r w:rsidR="00A26DDC">
        <w:rPr>
          <w:rFonts w:ascii="Arial" w:hAnsi="Arial" w:cs="Arial"/>
          <w:sz w:val="24"/>
          <w:szCs w:val="24"/>
          <w:lang w:val="en-GB"/>
        </w:rPr>
        <w:t>]</w:t>
      </w:r>
      <w:r w:rsidR="00A26DDC">
        <w:rPr>
          <w:rFonts w:ascii="Arial" w:hAnsi="Arial" w:cs="Arial"/>
          <w:sz w:val="24"/>
          <w:szCs w:val="24"/>
          <w:lang w:val="en-GB"/>
        </w:rPr>
        <w:tab/>
      </w:r>
      <w:r w:rsidR="00CD010F">
        <w:rPr>
          <w:rFonts w:ascii="Arial" w:hAnsi="Arial" w:cs="Arial"/>
          <w:sz w:val="24"/>
          <w:szCs w:val="24"/>
          <w:lang w:val="en-GB"/>
        </w:rPr>
        <w:t>The plaintiff informed the court that she won a motor vehicle from the Jewel Casi</w:t>
      </w:r>
      <w:r w:rsidR="0031273C">
        <w:rPr>
          <w:rFonts w:ascii="Arial" w:hAnsi="Arial" w:cs="Arial"/>
          <w:sz w:val="24"/>
          <w:szCs w:val="24"/>
          <w:lang w:val="en-GB"/>
        </w:rPr>
        <w:t>no in Windhoek during a visit to</w:t>
      </w:r>
      <w:r w:rsidR="00CD010F">
        <w:rPr>
          <w:rFonts w:ascii="Arial" w:hAnsi="Arial" w:cs="Arial"/>
          <w:sz w:val="24"/>
          <w:szCs w:val="24"/>
          <w:lang w:val="en-GB"/>
        </w:rPr>
        <w:t xml:space="preserve"> Namibia, and that this vehicle was registered in the name of her late husband who was paying insurance</w:t>
      </w:r>
      <w:r w:rsidR="00C04F40">
        <w:rPr>
          <w:rFonts w:ascii="Arial" w:hAnsi="Arial" w:cs="Arial"/>
          <w:sz w:val="24"/>
          <w:szCs w:val="24"/>
          <w:lang w:val="en-GB"/>
        </w:rPr>
        <w:t xml:space="preserve"> on the vehicle. The husband died and the </w:t>
      </w:r>
      <w:r w:rsidR="00E43220">
        <w:rPr>
          <w:rFonts w:ascii="Arial" w:hAnsi="Arial" w:cs="Arial"/>
          <w:sz w:val="24"/>
          <w:szCs w:val="24"/>
          <w:lang w:val="en-GB"/>
        </w:rPr>
        <w:t>s</w:t>
      </w:r>
      <w:r w:rsidR="00546CAE">
        <w:rPr>
          <w:rFonts w:ascii="Arial" w:hAnsi="Arial" w:cs="Arial"/>
          <w:sz w:val="24"/>
          <w:szCs w:val="24"/>
          <w:lang w:val="en-GB"/>
        </w:rPr>
        <w:t>econd</w:t>
      </w:r>
      <w:r w:rsidR="00C04F40">
        <w:rPr>
          <w:rFonts w:ascii="Arial" w:hAnsi="Arial" w:cs="Arial"/>
          <w:sz w:val="24"/>
          <w:szCs w:val="24"/>
          <w:lang w:val="en-GB"/>
        </w:rPr>
        <w:t xml:space="preserve"> defendant, who was the executor in the estate of her late husband, took possession of the vehicle, without her permission, and this vehicle formed part of the estate assets. The vehicle was part of the assets registered in the estate and that she lodged an objection, which was not </w:t>
      </w:r>
      <w:r w:rsidR="00E43220">
        <w:rPr>
          <w:rFonts w:ascii="Arial" w:hAnsi="Arial" w:cs="Arial"/>
          <w:sz w:val="24"/>
          <w:szCs w:val="24"/>
          <w:lang w:val="en-GB"/>
        </w:rPr>
        <w:t>considered by the f</w:t>
      </w:r>
      <w:r w:rsidR="00546CAE">
        <w:rPr>
          <w:rFonts w:ascii="Arial" w:hAnsi="Arial" w:cs="Arial"/>
          <w:sz w:val="24"/>
          <w:szCs w:val="24"/>
          <w:lang w:val="en-GB"/>
        </w:rPr>
        <w:t>irst defendant</w:t>
      </w:r>
      <w:r w:rsidR="00C04F40">
        <w:rPr>
          <w:rFonts w:ascii="Arial" w:hAnsi="Arial" w:cs="Arial"/>
          <w:sz w:val="24"/>
          <w:szCs w:val="24"/>
          <w:lang w:val="en-GB"/>
        </w:rPr>
        <w:t xml:space="preserve">. </w:t>
      </w:r>
      <w:r w:rsidR="00546CAE">
        <w:rPr>
          <w:rFonts w:ascii="Arial" w:hAnsi="Arial" w:cs="Arial"/>
          <w:sz w:val="24"/>
          <w:szCs w:val="24"/>
          <w:lang w:val="en-GB"/>
        </w:rPr>
        <w:t>The first defendant issued a letter of non-</w:t>
      </w:r>
      <w:r w:rsidR="0031273C">
        <w:rPr>
          <w:rFonts w:ascii="Arial" w:hAnsi="Arial" w:cs="Arial"/>
          <w:sz w:val="24"/>
          <w:szCs w:val="24"/>
          <w:lang w:val="en-GB"/>
        </w:rPr>
        <w:t>objection and on that basis,</w:t>
      </w:r>
      <w:r w:rsidR="00546CAE">
        <w:rPr>
          <w:rFonts w:ascii="Arial" w:hAnsi="Arial" w:cs="Arial"/>
          <w:sz w:val="24"/>
          <w:szCs w:val="24"/>
          <w:lang w:val="en-GB"/>
        </w:rPr>
        <w:t xml:space="preserve"> the second defendant dispose</w:t>
      </w:r>
      <w:r w:rsidR="0031273C">
        <w:rPr>
          <w:rFonts w:ascii="Arial" w:hAnsi="Arial" w:cs="Arial"/>
          <w:sz w:val="24"/>
          <w:szCs w:val="24"/>
          <w:lang w:val="en-GB"/>
        </w:rPr>
        <w:t>d</w:t>
      </w:r>
      <w:r w:rsidR="00546CAE">
        <w:rPr>
          <w:rFonts w:ascii="Arial" w:hAnsi="Arial" w:cs="Arial"/>
          <w:sz w:val="24"/>
          <w:szCs w:val="24"/>
          <w:lang w:val="en-GB"/>
        </w:rPr>
        <w:t xml:space="preserve"> of the estate and sold the vehicle. </w:t>
      </w:r>
      <w:r w:rsidR="00C04F40">
        <w:rPr>
          <w:rFonts w:ascii="Arial" w:hAnsi="Arial" w:cs="Arial"/>
          <w:sz w:val="24"/>
          <w:szCs w:val="24"/>
          <w:lang w:val="en-GB"/>
        </w:rPr>
        <w:t xml:space="preserve">The plaintiff has now approached the court for an order declaring the inclusion of the vehicle as wrongful and unlawful and that the defendants are liable to reimburse her for the vehicle in the amount of </w:t>
      </w:r>
      <w:r w:rsidR="0031273C">
        <w:rPr>
          <w:rFonts w:ascii="Arial" w:hAnsi="Arial" w:cs="Arial"/>
          <w:sz w:val="24"/>
          <w:szCs w:val="24"/>
          <w:lang w:val="en-GB"/>
        </w:rPr>
        <w:t>N$353,300.</w:t>
      </w:r>
    </w:p>
    <w:p w:rsidR="00A26DDC" w:rsidRDefault="00A26DDC" w:rsidP="00A26DDC">
      <w:pPr>
        <w:spacing w:after="0" w:line="360" w:lineRule="auto"/>
        <w:jc w:val="both"/>
        <w:rPr>
          <w:rFonts w:ascii="Arial" w:hAnsi="Arial" w:cs="Arial"/>
          <w:sz w:val="24"/>
          <w:szCs w:val="24"/>
          <w:lang w:val="en-GB"/>
        </w:rPr>
      </w:pPr>
    </w:p>
    <w:p w:rsidR="00DA08DA" w:rsidRDefault="00B433A1" w:rsidP="00A26DDC">
      <w:pPr>
        <w:spacing w:after="0" w:line="360" w:lineRule="auto"/>
        <w:jc w:val="both"/>
        <w:rPr>
          <w:rFonts w:ascii="Arial" w:hAnsi="Arial" w:cs="Arial"/>
          <w:sz w:val="24"/>
          <w:szCs w:val="24"/>
          <w:lang w:val="en-GB"/>
        </w:rPr>
      </w:pPr>
      <w:r>
        <w:rPr>
          <w:rFonts w:ascii="Arial" w:hAnsi="Arial" w:cs="Arial"/>
          <w:sz w:val="24"/>
          <w:szCs w:val="24"/>
          <w:lang w:val="en-GB"/>
        </w:rPr>
        <w:t>[</w:t>
      </w:r>
      <w:r w:rsidR="00097C4A">
        <w:rPr>
          <w:rFonts w:ascii="Arial" w:hAnsi="Arial" w:cs="Arial"/>
          <w:sz w:val="24"/>
          <w:szCs w:val="24"/>
          <w:lang w:val="en-GB"/>
        </w:rPr>
        <w:t>37</w:t>
      </w:r>
      <w:r w:rsidR="000160E5">
        <w:rPr>
          <w:rFonts w:ascii="Arial" w:hAnsi="Arial" w:cs="Arial"/>
          <w:sz w:val="24"/>
          <w:szCs w:val="24"/>
          <w:lang w:val="en-GB"/>
        </w:rPr>
        <w:t>]</w:t>
      </w:r>
      <w:r w:rsidR="000160E5">
        <w:rPr>
          <w:rFonts w:ascii="Arial" w:hAnsi="Arial" w:cs="Arial"/>
          <w:sz w:val="24"/>
          <w:szCs w:val="24"/>
          <w:lang w:val="en-GB"/>
        </w:rPr>
        <w:tab/>
      </w:r>
      <w:r w:rsidR="00546CAE">
        <w:rPr>
          <w:rFonts w:ascii="Arial" w:hAnsi="Arial" w:cs="Arial"/>
          <w:sz w:val="24"/>
          <w:szCs w:val="24"/>
          <w:lang w:val="en-GB"/>
        </w:rPr>
        <w:t>It is clear from the above legal principles</w:t>
      </w:r>
      <w:r w:rsidR="0025569D">
        <w:rPr>
          <w:rFonts w:ascii="Arial" w:hAnsi="Arial" w:cs="Arial"/>
          <w:sz w:val="24"/>
          <w:szCs w:val="24"/>
          <w:lang w:val="en-GB"/>
        </w:rPr>
        <w:t xml:space="preserve"> and the arguments advanced by counsel for the plaintiff and defendant that t</w:t>
      </w:r>
      <w:r w:rsidR="00546CAE">
        <w:rPr>
          <w:rFonts w:ascii="Arial" w:hAnsi="Arial" w:cs="Arial"/>
          <w:sz w:val="24"/>
          <w:szCs w:val="24"/>
          <w:lang w:val="en-GB"/>
        </w:rPr>
        <w:t>he decision by the Master was an administrative decision performed by her in the ambit of the provisions of th</w:t>
      </w:r>
      <w:r w:rsidR="0031273C">
        <w:rPr>
          <w:rFonts w:ascii="Arial" w:hAnsi="Arial" w:cs="Arial"/>
          <w:sz w:val="24"/>
          <w:szCs w:val="24"/>
          <w:lang w:val="en-GB"/>
        </w:rPr>
        <w:t>e Administration of Estates Act</w:t>
      </w:r>
      <w:r w:rsidR="00546CAE">
        <w:rPr>
          <w:rFonts w:ascii="Arial" w:hAnsi="Arial" w:cs="Arial"/>
          <w:sz w:val="24"/>
          <w:szCs w:val="24"/>
          <w:lang w:val="en-GB"/>
        </w:rPr>
        <w:t xml:space="preserve"> which guides the Master on how to deal with instances when an objection is lodged against a liquidation and distribution account. </w:t>
      </w:r>
      <w:r w:rsidR="00546CAE">
        <w:rPr>
          <w:rFonts w:ascii="Arial" w:hAnsi="Arial" w:cs="Arial"/>
          <w:i/>
          <w:sz w:val="24"/>
          <w:szCs w:val="24"/>
          <w:lang w:val="en-GB"/>
        </w:rPr>
        <w:t xml:space="preserve"> </w:t>
      </w:r>
      <w:r w:rsidR="00E43220">
        <w:rPr>
          <w:rFonts w:ascii="Arial" w:hAnsi="Arial" w:cs="Arial"/>
          <w:sz w:val="24"/>
          <w:szCs w:val="24"/>
          <w:lang w:val="en-GB"/>
        </w:rPr>
        <w:t>In terms of s</w:t>
      </w:r>
      <w:r w:rsidR="00546CAE" w:rsidRPr="00546CAE">
        <w:rPr>
          <w:rFonts w:ascii="Arial" w:hAnsi="Arial" w:cs="Arial"/>
          <w:sz w:val="24"/>
          <w:szCs w:val="24"/>
          <w:lang w:val="en-GB"/>
        </w:rPr>
        <w:t xml:space="preserve"> 35(7)</w:t>
      </w:r>
      <w:r w:rsidR="00546CAE">
        <w:rPr>
          <w:rFonts w:ascii="Arial" w:hAnsi="Arial" w:cs="Arial"/>
          <w:sz w:val="24"/>
          <w:szCs w:val="24"/>
          <w:lang w:val="en-GB"/>
        </w:rPr>
        <w:t xml:space="preserve"> of the Admi</w:t>
      </w:r>
      <w:r w:rsidR="00E43220">
        <w:rPr>
          <w:rFonts w:ascii="Arial" w:hAnsi="Arial" w:cs="Arial"/>
          <w:sz w:val="24"/>
          <w:szCs w:val="24"/>
          <w:lang w:val="en-GB"/>
        </w:rPr>
        <w:t>nistration of Estates Act, the p</w:t>
      </w:r>
      <w:r w:rsidR="00546CAE">
        <w:rPr>
          <w:rFonts w:ascii="Arial" w:hAnsi="Arial" w:cs="Arial"/>
          <w:sz w:val="24"/>
          <w:szCs w:val="24"/>
          <w:lang w:val="en-GB"/>
        </w:rPr>
        <w:t xml:space="preserve">laintiff was required to lodge her objection against the liquidation and distribution account within 21 days from the date it lied open for inspection. </w:t>
      </w:r>
    </w:p>
    <w:p w:rsidR="00DA08DA" w:rsidRDefault="00DA08DA" w:rsidP="00A26DDC">
      <w:pPr>
        <w:spacing w:after="0" w:line="360" w:lineRule="auto"/>
        <w:jc w:val="both"/>
        <w:rPr>
          <w:rFonts w:ascii="Arial" w:hAnsi="Arial" w:cs="Arial"/>
          <w:sz w:val="24"/>
          <w:szCs w:val="24"/>
          <w:lang w:val="en-GB"/>
        </w:rPr>
      </w:pPr>
    </w:p>
    <w:p w:rsidR="0025569D" w:rsidRDefault="00B57970" w:rsidP="00A26DDC">
      <w:pPr>
        <w:spacing w:after="0" w:line="360" w:lineRule="auto"/>
        <w:jc w:val="both"/>
        <w:rPr>
          <w:rFonts w:ascii="Arial" w:hAnsi="Arial" w:cs="Arial"/>
          <w:sz w:val="24"/>
          <w:szCs w:val="24"/>
          <w:lang w:val="en-GB"/>
        </w:rPr>
      </w:pPr>
      <w:r>
        <w:rPr>
          <w:rFonts w:ascii="Arial" w:hAnsi="Arial" w:cs="Arial"/>
          <w:sz w:val="24"/>
          <w:szCs w:val="24"/>
          <w:lang w:val="en-GB"/>
        </w:rPr>
        <w:t>[</w:t>
      </w:r>
      <w:r w:rsidR="00097C4A">
        <w:rPr>
          <w:rFonts w:ascii="Arial" w:hAnsi="Arial" w:cs="Arial"/>
          <w:sz w:val="24"/>
          <w:szCs w:val="24"/>
          <w:lang w:val="en-GB"/>
        </w:rPr>
        <w:t>38</w:t>
      </w:r>
      <w:r>
        <w:rPr>
          <w:rFonts w:ascii="Arial" w:hAnsi="Arial" w:cs="Arial"/>
          <w:sz w:val="24"/>
          <w:szCs w:val="24"/>
          <w:lang w:val="en-GB"/>
        </w:rPr>
        <w:t>]</w:t>
      </w:r>
      <w:r>
        <w:rPr>
          <w:rFonts w:ascii="Arial" w:hAnsi="Arial" w:cs="Arial"/>
          <w:sz w:val="24"/>
          <w:szCs w:val="24"/>
          <w:lang w:val="en-GB"/>
        </w:rPr>
        <w:tab/>
        <w:t xml:space="preserve">The plaintiff in </w:t>
      </w:r>
      <w:r w:rsidR="009273B7">
        <w:rPr>
          <w:rFonts w:ascii="Arial" w:hAnsi="Arial" w:cs="Arial"/>
          <w:sz w:val="24"/>
          <w:szCs w:val="24"/>
          <w:lang w:val="en-GB"/>
        </w:rPr>
        <w:t xml:space="preserve">her </w:t>
      </w:r>
      <w:r>
        <w:rPr>
          <w:rFonts w:ascii="Arial" w:hAnsi="Arial" w:cs="Arial"/>
          <w:sz w:val="24"/>
          <w:szCs w:val="24"/>
          <w:lang w:val="en-GB"/>
        </w:rPr>
        <w:t>particulars of claim</w:t>
      </w:r>
      <w:r w:rsidR="004048C8">
        <w:rPr>
          <w:rStyle w:val="FootnoteReference"/>
          <w:rFonts w:ascii="Arial" w:hAnsi="Arial"/>
          <w:sz w:val="24"/>
          <w:szCs w:val="24"/>
          <w:lang w:val="en-GB"/>
        </w:rPr>
        <w:footnoteReference w:id="13"/>
      </w:r>
      <w:r>
        <w:rPr>
          <w:rFonts w:ascii="Arial" w:hAnsi="Arial" w:cs="Arial"/>
          <w:sz w:val="24"/>
          <w:szCs w:val="24"/>
          <w:lang w:val="en-GB"/>
        </w:rPr>
        <w:t xml:space="preserve"> states that </w:t>
      </w:r>
      <w:r w:rsidR="0025569D">
        <w:rPr>
          <w:rFonts w:ascii="Arial" w:hAnsi="Arial" w:cs="Arial"/>
          <w:sz w:val="24"/>
          <w:szCs w:val="24"/>
          <w:lang w:val="en-GB"/>
        </w:rPr>
        <w:t xml:space="preserve">the </w:t>
      </w:r>
      <w:r>
        <w:rPr>
          <w:rFonts w:ascii="Arial" w:hAnsi="Arial" w:cs="Arial"/>
          <w:sz w:val="24"/>
          <w:szCs w:val="24"/>
          <w:lang w:val="en-GB"/>
        </w:rPr>
        <w:t>section 35 advertisement was published on 13 December 2019</w:t>
      </w:r>
      <w:r w:rsidR="004048C8">
        <w:rPr>
          <w:rFonts w:ascii="Arial" w:hAnsi="Arial" w:cs="Arial"/>
          <w:sz w:val="24"/>
          <w:szCs w:val="24"/>
          <w:lang w:val="en-GB"/>
        </w:rPr>
        <w:t>, and according to her evide</w:t>
      </w:r>
      <w:r w:rsidR="0031273C">
        <w:rPr>
          <w:rFonts w:ascii="Arial" w:hAnsi="Arial" w:cs="Arial"/>
          <w:sz w:val="24"/>
          <w:szCs w:val="24"/>
          <w:lang w:val="en-GB"/>
        </w:rPr>
        <w:t>nce this date lapsed on the 3</w:t>
      </w:r>
      <w:r w:rsidR="004048C8">
        <w:rPr>
          <w:rFonts w:ascii="Arial" w:hAnsi="Arial" w:cs="Arial"/>
          <w:sz w:val="24"/>
          <w:szCs w:val="24"/>
          <w:lang w:val="en-GB"/>
        </w:rPr>
        <w:t xml:space="preserve"> of January 2020. The </w:t>
      </w:r>
      <w:r w:rsidR="00E43220">
        <w:rPr>
          <w:rFonts w:ascii="Arial" w:hAnsi="Arial" w:cs="Arial"/>
          <w:sz w:val="24"/>
          <w:szCs w:val="24"/>
          <w:lang w:val="en-GB"/>
        </w:rPr>
        <w:t>p</w:t>
      </w:r>
      <w:r w:rsidR="004048C8">
        <w:rPr>
          <w:rFonts w:ascii="Arial" w:hAnsi="Arial" w:cs="Arial"/>
          <w:sz w:val="24"/>
          <w:szCs w:val="24"/>
          <w:lang w:val="en-GB"/>
        </w:rPr>
        <w:t>laintiff further states in her particulars of claim</w:t>
      </w:r>
      <w:r w:rsidR="0031273C">
        <w:rPr>
          <w:rFonts w:ascii="Arial" w:hAnsi="Arial" w:cs="Arial"/>
          <w:sz w:val="24"/>
          <w:szCs w:val="24"/>
          <w:lang w:val="en-GB"/>
        </w:rPr>
        <w:t>,</w:t>
      </w:r>
      <w:r w:rsidR="004048C8">
        <w:rPr>
          <w:rStyle w:val="FootnoteReference"/>
          <w:rFonts w:ascii="Arial" w:hAnsi="Arial"/>
          <w:sz w:val="24"/>
          <w:szCs w:val="24"/>
          <w:lang w:val="en-GB"/>
        </w:rPr>
        <w:footnoteReference w:id="14"/>
      </w:r>
      <w:r w:rsidR="004048C8">
        <w:rPr>
          <w:rFonts w:ascii="Arial" w:hAnsi="Arial" w:cs="Arial"/>
          <w:sz w:val="24"/>
          <w:szCs w:val="24"/>
          <w:lang w:val="en-GB"/>
        </w:rPr>
        <w:t xml:space="preserve"> that</w:t>
      </w:r>
      <w:r>
        <w:rPr>
          <w:rFonts w:ascii="Arial" w:hAnsi="Arial" w:cs="Arial"/>
          <w:sz w:val="24"/>
          <w:szCs w:val="24"/>
          <w:lang w:val="en-GB"/>
        </w:rPr>
        <w:t xml:space="preserve"> </w:t>
      </w:r>
      <w:r w:rsidR="004048C8">
        <w:rPr>
          <w:rFonts w:ascii="Arial" w:hAnsi="Arial" w:cs="Arial"/>
          <w:sz w:val="24"/>
          <w:szCs w:val="24"/>
          <w:lang w:val="en-GB"/>
        </w:rPr>
        <w:t>she lodged her objection on 10 January 2020.  The evidence reve</w:t>
      </w:r>
      <w:r w:rsidR="0031273C">
        <w:rPr>
          <w:rFonts w:ascii="Arial" w:hAnsi="Arial" w:cs="Arial"/>
          <w:sz w:val="24"/>
          <w:szCs w:val="24"/>
          <w:lang w:val="en-GB"/>
        </w:rPr>
        <w:t xml:space="preserve">als that the 21 days lapsed on </w:t>
      </w:r>
      <w:r w:rsidR="004048C8">
        <w:rPr>
          <w:rFonts w:ascii="Arial" w:hAnsi="Arial" w:cs="Arial"/>
          <w:sz w:val="24"/>
          <w:szCs w:val="24"/>
          <w:lang w:val="en-GB"/>
        </w:rPr>
        <w:t xml:space="preserve">3 January 2020. </w:t>
      </w:r>
      <w:r w:rsidR="009273B7" w:rsidRPr="009273B7">
        <w:rPr>
          <w:rFonts w:ascii="Arial" w:hAnsi="Arial" w:cs="Arial"/>
          <w:sz w:val="24"/>
          <w:szCs w:val="24"/>
          <w:lang w:val="en-GB"/>
        </w:rPr>
        <w:t xml:space="preserve">It is clear from the facts </w:t>
      </w:r>
      <w:r w:rsidR="009273B7" w:rsidRPr="009273B7">
        <w:rPr>
          <w:rFonts w:ascii="Arial" w:hAnsi="Arial" w:cs="Arial"/>
          <w:sz w:val="24"/>
          <w:szCs w:val="24"/>
          <w:lang w:val="en-GB"/>
        </w:rPr>
        <w:lastRenderedPageBreak/>
        <w:t xml:space="preserve">of the matter that the Master after considering the liquidation and distribution account issued a letter of non-objection to the Executor </w:t>
      </w:r>
      <w:r w:rsidR="0025569D">
        <w:rPr>
          <w:rFonts w:ascii="Arial" w:hAnsi="Arial" w:cs="Arial"/>
          <w:sz w:val="24"/>
          <w:szCs w:val="24"/>
          <w:lang w:val="en-GB"/>
        </w:rPr>
        <w:t>directing that he exercise</w:t>
      </w:r>
      <w:r w:rsidR="00E43220">
        <w:rPr>
          <w:rFonts w:ascii="Arial" w:hAnsi="Arial" w:cs="Arial"/>
          <w:sz w:val="24"/>
          <w:szCs w:val="24"/>
          <w:lang w:val="en-GB"/>
        </w:rPr>
        <w:t>s his powers in terms of s</w:t>
      </w:r>
      <w:r w:rsidR="0025569D">
        <w:rPr>
          <w:rFonts w:ascii="Arial" w:hAnsi="Arial" w:cs="Arial"/>
          <w:sz w:val="24"/>
          <w:szCs w:val="24"/>
          <w:lang w:val="en-GB"/>
        </w:rPr>
        <w:t xml:space="preserve"> 35(12) and section 35(13) of the Administration of Estates Act.</w:t>
      </w:r>
    </w:p>
    <w:p w:rsidR="0025569D" w:rsidRDefault="0025569D" w:rsidP="00A26DDC">
      <w:pPr>
        <w:spacing w:after="0" w:line="360" w:lineRule="auto"/>
        <w:jc w:val="both"/>
        <w:rPr>
          <w:rFonts w:ascii="Arial" w:hAnsi="Arial" w:cs="Arial"/>
          <w:sz w:val="24"/>
          <w:szCs w:val="24"/>
          <w:lang w:val="en-GB"/>
        </w:rPr>
      </w:pPr>
    </w:p>
    <w:p w:rsidR="009273B7" w:rsidRDefault="0025569D" w:rsidP="00A26DDC">
      <w:pPr>
        <w:spacing w:after="0" w:line="360" w:lineRule="auto"/>
        <w:jc w:val="both"/>
        <w:rPr>
          <w:rFonts w:ascii="Arial" w:hAnsi="Arial" w:cs="Arial"/>
          <w:sz w:val="24"/>
          <w:szCs w:val="24"/>
          <w:lang w:val="en-GB"/>
        </w:rPr>
      </w:pPr>
      <w:r>
        <w:rPr>
          <w:rFonts w:ascii="Arial" w:hAnsi="Arial" w:cs="Arial"/>
          <w:sz w:val="24"/>
          <w:szCs w:val="24"/>
          <w:lang w:val="en-GB"/>
        </w:rPr>
        <w:t>[</w:t>
      </w:r>
      <w:r w:rsidR="00097C4A">
        <w:rPr>
          <w:rFonts w:ascii="Arial" w:hAnsi="Arial" w:cs="Arial"/>
          <w:sz w:val="24"/>
          <w:szCs w:val="24"/>
          <w:lang w:val="en-GB"/>
        </w:rPr>
        <w:t>39</w:t>
      </w:r>
      <w:r>
        <w:rPr>
          <w:rFonts w:ascii="Arial" w:hAnsi="Arial" w:cs="Arial"/>
          <w:sz w:val="24"/>
          <w:szCs w:val="24"/>
          <w:lang w:val="en-GB"/>
        </w:rPr>
        <w:t>]</w:t>
      </w:r>
      <w:r>
        <w:rPr>
          <w:rFonts w:ascii="Arial" w:hAnsi="Arial" w:cs="Arial"/>
          <w:sz w:val="24"/>
          <w:szCs w:val="24"/>
          <w:lang w:val="en-GB"/>
        </w:rPr>
        <w:tab/>
      </w:r>
      <w:r w:rsidR="009273B7" w:rsidRPr="009273B7">
        <w:rPr>
          <w:rFonts w:ascii="Arial" w:hAnsi="Arial" w:cs="Arial"/>
          <w:sz w:val="24"/>
          <w:szCs w:val="24"/>
          <w:lang w:val="en-GB"/>
        </w:rPr>
        <w:t>The issuing of the non-objection letter by the Master constitutes an administrative action which remains valid until set aside and any act performed in terms of such letter remains valid until set aside. The decision made by the Master has legal consequences that affected the interest of an individual. The Executor acted in terms of the said letter and is therefore not the product of an unlawful act.  The non-objection provided the lawful basis upon which the Executor was directed to liquidate and distribute the estate.</w:t>
      </w:r>
    </w:p>
    <w:p w:rsidR="009273B7" w:rsidRDefault="009273B7" w:rsidP="00A26DDC">
      <w:pPr>
        <w:spacing w:after="0" w:line="360" w:lineRule="auto"/>
        <w:jc w:val="both"/>
        <w:rPr>
          <w:rFonts w:ascii="Arial" w:hAnsi="Arial" w:cs="Arial"/>
          <w:sz w:val="24"/>
          <w:szCs w:val="24"/>
          <w:lang w:val="en-GB"/>
        </w:rPr>
      </w:pPr>
    </w:p>
    <w:p w:rsidR="000B13C5" w:rsidRPr="000B13C5" w:rsidRDefault="009273B7" w:rsidP="000B13C5">
      <w:pPr>
        <w:spacing w:line="360" w:lineRule="auto"/>
        <w:jc w:val="both"/>
        <w:rPr>
          <w:rFonts w:ascii="Arial" w:hAnsi="Arial" w:cs="Arial"/>
          <w:sz w:val="24"/>
          <w:szCs w:val="24"/>
          <w:lang w:val="en-GB"/>
        </w:rPr>
      </w:pPr>
      <w:r>
        <w:rPr>
          <w:rFonts w:ascii="Arial" w:hAnsi="Arial" w:cs="Arial"/>
          <w:sz w:val="24"/>
          <w:szCs w:val="24"/>
          <w:lang w:val="en-GB"/>
        </w:rPr>
        <w:t>[</w:t>
      </w:r>
      <w:r w:rsidR="00097C4A">
        <w:rPr>
          <w:rFonts w:ascii="Arial" w:hAnsi="Arial" w:cs="Arial"/>
          <w:sz w:val="24"/>
          <w:szCs w:val="24"/>
          <w:lang w:val="en-GB"/>
        </w:rPr>
        <w:t>40</w:t>
      </w:r>
      <w:r>
        <w:rPr>
          <w:rFonts w:ascii="Arial" w:hAnsi="Arial" w:cs="Arial"/>
          <w:sz w:val="24"/>
          <w:szCs w:val="24"/>
          <w:lang w:val="en-GB"/>
        </w:rPr>
        <w:t>]</w:t>
      </w:r>
      <w:r>
        <w:rPr>
          <w:rFonts w:ascii="Arial" w:hAnsi="Arial" w:cs="Arial"/>
          <w:sz w:val="24"/>
          <w:szCs w:val="24"/>
          <w:lang w:val="en-GB"/>
        </w:rPr>
        <w:tab/>
        <w:t xml:space="preserve">The plaintiff proceeded and </w:t>
      </w:r>
      <w:r w:rsidR="00D0655C">
        <w:rPr>
          <w:rFonts w:ascii="Arial" w:hAnsi="Arial" w:cs="Arial"/>
          <w:sz w:val="24"/>
          <w:szCs w:val="24"/>
          <w:lang w:val="en-GB"/>
        </w:rPr>
        <w:t>enqui</w:t>
      </w:r>
      <w:r w:rsidR="00496DB1">
        <w:rPr>
          <w:rFonts w:ascii="Arial" w:hAnsi="Arial" w:cs="Arial"/>
          <w:sz w:val="24"/>
          <w:szCs w:val="24"/>
          <w:lang w:val="en-GB"/>
        </w:rPr>
        <w:t>red from the Master regarding the</w:t>
      </w:r>
      <w:r w:rsidR="00D0655C">
        <w:rPr>
          <w:rFonts w:ascii="Arial" w:hAnsi="Arial" w:cs="Arial"/>
          <w:sz w:val="24"/>
          <w:szCs w:val="24"/>
          <w:lang w:val="en-GB"/>
        </w:rPr>
        <w:t xml:space="preserve"> objection that she lodged and the non- objection letter that was issued and the Master responded by first, informing her that she erroneously issued the letter of non-objection </w:t>
      </w:r>
      <w:r w:rsidR="000B13C5">
        <w:rPr>
          <w:rFonts w:ascii="Arial" w:hAnsi="Arial" w:cs="Arial"/>
          <w:sz w:val="24"/>
          <w:szCs w:val="24"/>
          <w:lang w:val="en-GB"/>
        </w:rPr>
        <w:t xml:space="preserve">as she submitted a valid claim </w:t>
      </w:r>
      <w:r w:rsidR="00D0655C">
        <w:rPr>
          <w:rFonts w:ascii="Arial" w:hAnsi="Arial" w:cs="Arial"/>
          <w:sz w:val="24"/>
          <w:szCs w:val="24"/>
          <w:lang w:val="en-GB"/>
        </w:rPr>
        <w:t>and therefore directed the Executor that he amends the liquidation and distribution account</w:t>
      </w:r>
      <w:r w:rsidR="000B13C5">
        <w:rPr>
          <w:rFonts w:ascii="Arial" w:hAnsi="Arial" w:cs="Arial"/>
          <w:sz w:val="24"/>
          <w:szCs w:val="24"/>
          <w:lang w:val="en-GB"/>
        </w:rPr>
        <w:t xml:space="preserve"> making provision for the fact that the vehicle will be removed from the liquidation and distribution account</w:t>
      </w:r>
      <w:r w:rsidR="00D0655C">
        <w:rPr>
          <w:rFonts w:ascii="Arial" w:hAnsi="Arial" w:cs="Arial"/>
          <w:sz w:val="24"/>
          <w:szCs w:val="24"/>
          <w:lang w:val="en-GB"/>
        </w:rPr>
        <w:t>.</w:t>
      </w:r>
      <w:r w:rsidR="000B13C5">
        <w:rPr>
          <w:rFonts w:ascii="Arial" w:hAnsi="Arial" w:cs="Arial"/>
          <w:sz w:val="24"/>
          <w:szCs w:val="24"/>
          <w:lang w:val="en-GB"/>
        </w:rPr>
        <w:t xml:space="preserve">  The Master further informed the plaintiff that she has reques</w:t>
      </w:r>
      <w:r w:rsidR="00E43220">
        <w:rPr>
          <w:rFonts w:ascii="Arial" w:hAnsi="Arial" w:cs="Arial"/>
          <w:sz w:val="24"/>
          <w:szCs w:val="24"/>
          <w:lang w:val="en-GB"/>
        </w:rPr>
        <w:t xml:space="preserve">ted the return of the vehicle. </w:t>
      </w:r>
      <w:r w:rsidR="00496DB1">
        <w:rPr>
          <w:rFonts w:ascii="Arial" w:hAnsi="Arial" w:cs="Arial"/>
          <w:sz w:val="24"/>
          <w:szCs w:val="24"/>
          <w:lang w:val="en-GB"/>
        </w:rPr>
        <w:t>Secondly,</w:t>
      </w:r>
      <w:r w:rsidR="000B13C5">
        <w:rPr>
          <w:rFonts w:ascii="Arial" w:hAnsi="Arial" w:cs="Arial"/>
          <w:sz w:val="24"/>
          <w:szCs w:val="24"/>
          <w:lang w:val="en-GB"/>
        </w:rPr>
        <w:t xml:space="preserve"> the Master</w:t>
      </w:r>
      <w:r w:rsidR="00496DB1">
        <w:rPr>
          <w:rFonts w:ascii="Arial" w:hAnsi="Arial" w:cs="Arial"/>
          <w:sz w:val="24"/>
          <w:szCs w:val="24"/>
          <w:lang w:val="en-GB"/>
        </w:rPr>
        <w:t>,</w:t>
      </w:r>
      <w:r w:rsidR="000B13C5">
        <w:rPr>
          <w:rFonts w:ascii="Arial" w:hAnsi="Arial" w:cs="Arial"/>
          <w:sz w:val="24"/>
          <w:szCs w:val="24"/>
          <w:lang w:val="en-GB"/>
        </w:rPr>
        <w:t xml:space="preserve"> in another letter informs the plaintiff that the Executor informed her the vehicle was sold after the non-objection was issued and that the Master is </w:t>
      </w:r>
      <w:r w:rsidR="000B13C5" w:rsidRPr="000B13C5">
        <w:rPr>
          <w:rFonts w:ascii="Arial" w:hAnsi="Arial" w:cs="Arial"/>
          <w:i/>
          <w:sz w:val="24"/>
          <w:szCs w:val="24"/>
          <w:lang w:val="en-GB"/>
        </w:rPr>
        <w:t>functus officio</w:t>
      </w:r>
      <w:r w:rsidR="000B13C5">
        <w:rPr>
          <w:rFonts w:ascii="Arial" w:hAnsi="Arial" w:cs="Arial"/>
          <w:sz w:val="24"/>
          <w:szCs w:val="24"/>
          <w:lang w:val="en-GB"/>
        </w:rPr>
        <w:t xml:space="preserve"> and cannot be of further assistance with regard to recovering of the vehicle in question. </w:t>
      </w:r>
      <w:r w:rsidR="00D0655C">
        <w:rPr>
          <w:rFonts w:ascii="Arial" w:hAnsi="Arial" w:cs="Arial"/>
          <w:sz w:val="24"/>
          <w:szCs w:val="24"/>
          <w:lang w:val="en-GB"/>
        </w:rPr>
        <w:t xml:space="preserve"> The question that comes to mind is whether the Master could </w:t>
      </w:r>
      <w:r w:rsidR="000B13C5">
        <w:rPr>
          <w:rFonts w:ascii="Arial" w:hAnsi="Arial" w:cs="Arial"/>
          <w:sz w:val="24"/>
          <w:szCs w:val="24"/>
          <w:lang w:val="en-GB"/>
        </w:rPr>
        <w:t xml:space="preserve">revisit and re-open the issue after she </w:t>
      </w:r>
      <w:r w:rsidR="000B13C5" w:rsidRPr="000B13C5">
        <w:rPr>
          <w:rFonts w:ascii="Arial" w:hAnsi="Arial" w:cs="Arial"/>
          <w:sz w:val="24"/>
          <w:szCs w:val="24"/>
          <w:lang w:val="en-GB"/>
        </w:rPr>
        <w:t xml:space="preserve">had fully and finally exercised </w:t>
      </w:r>
      <w:r w:rsidR="000B13C5">
        <w:rPr>
          <w:rFonts w:ascii="Arial" w:hAnsi="Arial" w:cs="Arial"/>
          <w:sz w:val="24"/>
          <w:szCs w:val="24"/>
          <w:lang w:val="en-GB"/>
        </w:rPr>
        <w:t xml:space="preserve">her </w:t>
      </w:r>
      <w:r w:rsidR="000B13C5" w:rsidRPr="000B13C5">
        <w:rPr>
          <w:rFonts w:ascii="Arial" w:hAnsi="Arial" w:cs="Arial"/>
          <w:sz w:val="24"/>
          <w:szCs w:val="24"/>
          <w:lang w:val="en-GB"/>
        </w:rPr>
        <w:t>discretion</w:t>
      </w:r>
      <w:r w:rsidR="000B13C5">
        <w:rPr>
          <w:rFonts w:ascii="Arial" w:hAnsi="Arial" w:cs="Arial"/>
          <w:sz w:val="24"/>
          <w:szCs w:val="24"/>
          <w:lang w:val="en-GB"/>
        </w:rPr>
        <w:t xml:space="preserve">, by issuing the letter of non-objection, and thereafter claim that she is </w:t>
      </w:r>
      <w:r w:rsidR="000B13C5" w:rsidRPr="000B13C5">
        <w:rPr>
          <w:rFonts w:ascii="Arial" w:hAnsi="Arial" w:cs="Arial"/>
          <w:i/>
          <w:sz w:val="24"/>
          <w:szCs w:val="24"/>
          <w:lang w:val="en-GB"/>
        </w:rPr>
        <w:t>functus officio</w:t>
      </w:r>
      <w:r w:rsidR="000B13C5" w:rsidRPr="000B13C5">
        <w:rPr>
          <w:rFonts w:ascii="Arial" w:hAnsi="Arial" w:cs="Arial"/>
          <w:sz w:val="24"/>
          <w:szCs w:val="24"/>
          <w:lang w:val="en-GB"/>
        </w:rPr>
        <w:t xml:space="preserve">. </w:t>
      </w:r>
    </w:p>
    <w:p w:rsidR="009273B7" w:rsidRDefault="009273B7" w:rsidP="00A26DDC">
      <w:pPr>
        <w:spacing w:after="0" w:line="360" w:lineRule="auto"/>
        <w:jc w:val="both"/>
        <w:rPr>
          <w:rFonts w:ascii="Arial" w:hAnsi="Arial" w:cs="Arial"/>
          <w:sz w:val="24"/>
          <w:szCs w:val="24"/>
          <w:lang w:val="en-GB"/>
        </w:rPr>
      </w:pPr>
    </w:p>
    <w:p w:rsidR="000B13C5" w:rsidRDefault="000B13C5" w:rsidP="00A26DDC">
      <w:pPr>
        <w:spacing w:after="0" w:line="360" w:lineRule="auto"/>
        <w:jc w:val="both"/>
        <w:rPr>
          <w:rFonts w:ascii="Arial" w:hAnsi="Arial" w:cs="Arial"/>
          <w:sz w:val="24"/>
          <w:szCs w:val="24"/>
          <w:lang w:val="en-GB"/>
        </w:rPr>
      </w:pPr>
      <w:r>
        <w:rPr>
          <w:rFonts w:ascii="Arial" w:hAnsi="Arial" w:cs="Arial"/>
          <w:sz w:val="24"/>
          <w:szCs w:val="24"/>
          <w:lang w:val="en-GB"/>
        </w:rPr>
        <w:t>[</w:t>
      </w:r>
      <w:r w:rsidR="00097C4A">
        <w:rPr>
          <w:rFonts w:ascii="Arial" w:hAnsi="Arial" w:cs="Arial"/>
          <w:sz w:val="24"/>
          <w:szCs w:val="24"/>
          <w:lang w:val="en-GB"/>
        </w:rPr>
        <w:t>41</w:t>
      </w:r>
      <w:r>
        <w:rPr>
          <w:rFonts w:ascii="Arial" w:hAnsi="Arial" w:cs="Arial"/>
          <w:sz w:val="24"/>
          <w:szCs w:val="24"/>
          <w:lang w:val="en-GB"/>
        </w:rPr>
        <w:t>]</w:t>
      </w:r>
      <w:r>
        <w:rPr>
          <w:rFonts w:ascii="Arial" w:hAnsi="Arial" w:cs="Arial"/>
          <w:sz w:val="24"/>
          <w:szCs w:val="24"/>
          <w:lang w:val="en-GB"/>
        </w:rPr>
        <w:tab/>
      </w:r>
      <w:r w:rsidR="0003570A">
        <w:rPr>
          <w:rFonts w:ascii="Arial" w:hAnsi="Arial" w:cs="Arial"/>
          <w:sz w:val="24"/>
          <w:szCs w:val="24"/>
          <w:lang w:val="en-GB"/>
        </w:rPr>
        <w:t>On the above question, Mrs</w:t>
      </w:r>
      <w:r w:rsidR="007119B7">
        <w:rPr>
          <w:rFonts w:ascii="Arial" w:hAnsi="Arial" w:cs="Arial"/>
          <w:sz w:val="24"/>
          <w:szCs w:val="24"/>
          <w:lang w:val="en-GB"/>
        </w:rPr>
        <w:t xml:space="preserve"> Jankie</w:t>
      </w:r>
      <w:r w:rsidR="0003570A">
        <w:rPr>
          <w:rFonts w:ascii="Arial" w:hAnsi="Arial" w:cs="Arial"/>
          <w:sz w:val="24"/>
          <w:szCs w:val="24"/>
          <w:lang w:val="en-GB"/>
        </w:rPr>
        <w:t xml:space="preserve"> and Mr Namandje appearing for the plaintiff argued that there was an objection lodged by the plaintiff for the inclusion of the vehicle in the liquidation and distribution account of the deceased.  They further argued that the Master erroneously issued a letter of non-objection and instructed the Executor </w:t>
      </w:r>
      <w:r w:rsidR="00496DB1">
        <w:rPr>
          <w:rFonts w:ascii="Arial" w:hAnsi="Arial" w:cs="Arial"/>
          <w:sz w:val="24"/>
          <w:szCs w:val="24"/>
          <w:lang w:val="en-GB"/>
        </w:rPr>
        <w:t>(</w:t>
      </w:r>
      <w:r w:rsidR="0003570A">
        <w:rPr>
          <w:rFonts w:ascii="Arial" w:hAnsi="Arial" w:cs="Arial"/>
          <w:sz w:val="24"/>
          <w:szCs w:val="24"/>
          <w:lang w:val="en-GB"/>
        </w:rPr>
        <w:t>agent</w:t>
      </w:r>
      <w:r w:rsidR="00496DB1">
        <w:rPr>
          <w:rFonts w:ascii="Arial" w:hAnsi="Arial" w:cs="Arial"/>
          <w:sz w:val="24"/>
          <w:szCs w:val="24"/>
          <w:lang w:val="en-GB"/>
        </w:rPr>
        <w:t>)</w:t>
      </w:r>
      <w:r w:rsidR="0003570A">
        <w:rPr>
          <w:rFonts w:ascii="Arial" w:hAnsi="Arial" w:cs="Arial"/>
          <w:sz w:val="24"/>
          <w:szCs w:val="24"/>
          <w:lang w:val="en-GB"/>
        </w:rPr>
        <w:t xml:space="preserve"> to amend the liquidation and distribution account and that such directive is extant and operative and it was ignored by the Executor</w:t>
      </w:r>
      <w:r w:rsidR="00496DB1">
        <w:rPr>
          <w:rFonts w:ascii="Arial" w:hAnsi="Arial" w:cs="Arial"/>
          <w:sz w:val="24"/>
          <w:szCs w:val="24"/>
          <w:lang w:val="en-GB"/>
        </w:rPr>
        <w:t>’</w:t>
      </w:r>
      <w:r w:rsidR="0003570A">
        <w:rPr>
          <w:rFonts w:ascii="Arial" w:hAnsi="Arial" w:cs="Arial"/>
          <w:sz w:val="24"/>
          <w:szCs w:val="24"/>
          <w:lang w:val="en-GB"/>
        </w:rPr>
        <w:t>s agent. It was their conclusion that the Executor acted unlawfully and in defiance of a directive from the Master and is liable to</w:t>
      </w:r>
      <w:r w:rsidR="00496DB1">
        <w:rPr>
          <w:rFonts w:ascii="Arial" w:hAnsi="Arial" w:cs="Arial"/>
          <w:sz w:val="24"/>
          <w:szCs w:val="24"/>
          <w:lang w:val="en-GB"/>
        </w:rPr>
        <w:t xml:space="preserve"> pay the amount of N$ 353 300.</w:t>
      </w:r>
      <w:r w:rsidR="007119B7">
        <w:rPr>
          <w:rFonts w:ascii="Arial" w:hAnsi="Arial" w:cs="Arial"/>
          <w:sz w:val="24"/>
          <w:szCs w:val="24"/>
          <w:lang w:val="en-GB"/>
        </w:rPr>
        <w:t xml:space="preserve">  </w:t>
      </w:r>
    </w:p>
    <w:p w:rsidR="0003570A" w:rsidRDefault="0003570A" w:rsidP="00A26DDC">
      <w:pPr>
        <w:spacing w:after="0" w:line="360" w:lineRule="auto"/>
        <w:jc w:val="both"/>
        <w:rPr>
          <w:rFonts w:ascii="Arial" w:hAnsi="Arial" w:cs="Arial"/>
          <w:sz w:val="24"/>
          <w:szCs w:val="24"/>
          <w:lang w:val="en-GB"/>
        </w:rPr>
      </w:pPr>
    </w:p>
    <w:p w:rsidR="008A4D5E" w:rsidRDefault="0003570A" w:rsidP="00A26DDC">
      <w:pPr>
        <w:spacing w:after="0" w:line="360" w:lineRule="auto"/>
        <w:jc w:val="both"/>
        <w:rPr>
          <w:rFonts w:ascii="Arial" w:hAnsi="Arial" w:cs="Arial"/>
          <w:sz w:val="24"/>
          <w:szCs w:val="24"/>
          <w:lang w:val="en-GB"/>
        </w:rPr>
      </w:pPr>
      <w:r>
        <w:rPr>
          <w:rFonts w:ascii="Arial" w:hAnsi="Arial" w:cs="Arial"/>
          <w:sz w:val="24"/>
          <w:szCs w:val="24"/>
          <w:lang w:val="en-GB"/>
        </w:rPr>
        <w:lastRenderedPageBreak/>
        <w:t>[4</w:t>
      </w:r>
      <w:r w:rsidR="00097C4A">
        <w:rPr>
          <w:rFonts w:ascii="Arial" w:hAnsi="Arial" w:cs="Arial"/>
          <w:sz w:val="24"/>
          <w:szCs w:val="24"/>
          <w:lang w:val="en-GB"/>
        </w:rPr>
        <w:t>2</w:t>
      </w:r>
      <w:r>
        <w:rPr>
          <w:rFonts w:ascii="Arial" w:hAnsi="Arial" w:cs="Arial"/>
          <w:sz w:val="24"/>
          <w:szCs w:val="24"/>
          <w:lang w:val="en-GB"/>
        </w:rPr>
        <w:t>]</w:t>
      </w:r>
      <w:r>
        <w:rPr>
          <w:rFonts w:ascii="Arial" w:hAnsi="Arial" w:cs="Arial"/>
          <w:sz w:val="24"/>
          <w:szCs w:val="24"/>
          <w:lang w:val="en-GB"/>
        </w:rPr>
        <w:tab/>
        <w:t xml:space="preserve">Counsel for the second defendant on the other hand argued that the objection was lodged out of time, therefore a non-objection was issued, the  </w:t>
      </w:r>
      <w:r w:rsidR="00496DB1">
        <w:rPr>
          <w:rFonts w:ascii="Arial" w:hAnsi="Arial" w:cs="Arial"/>
          <w:sz w:val="24"/>
          <w:szCs w:val="24"/>
          <w:lang w:val="en-GB"/>
        </w:rPr>
        <w:t xml:space="preserve">vehicle </w:t>
      </w:r>
      <w:r>
        <w:rPr>
          <w:rFonts w:ascii="Arial" w:hAnsi="Arial" w:cs="Arial"/>
          <w:sz w:val="24"/>
          <w:szCs w:val="24"/>
          <w:lang w:val="en-GB"/>
        </w:rPr>
        <w:t xml:space="preserve">was sold on the basis of such non-objection.  It was further argued that there was no evidence that suggested that the vehicle was sold before for the non-objection letter was issued.  Mr. Diedericks argued that the Master was </w:t>
      </w:r>
      <w:r w:rsidRPr="008A4D5E">
        <w:rPr>
          <w:rFonts w:ascii="Arial" w:hAnsi="Arial" w:cs="Arial"/>
          <w:i/>
          <w:sz w:val="24"/>
          <w:szCs w:val="24"/>
          <w:lang w:val="en-GB"/>
        </w:rPr>
        <w:t>functus officio</w:t>
      </w:r>
      <w:r>
        <w:rPr>
          <w:rFonts w:ascii="Arial" w:hAnsi="Arial" w:cs="Arial"/>
          <w:sz w:val="24"/>
          <w:szCs w:val="24"/>
          <w:lang w:val="en-GB"/>
        </w:rPr>
        <w:t xml:space="preserve"> when she issued the second directive to the </w:t>
      </w:r>
      <w:r w:rsidR="008A4D5E">
        <w:rPr>
          <w:rFonts w:ascii="Arial" w:hAnsi="Arial" w:cs="Arial"/>
          <w:sz w:val="24"/>
          <w:szCs w:val="24"/>
          <w:lang w:val="en-GB"/>
        </w:rPr>
        <w:t xml:space="preserve">Executor, therefore the Masters letter of 15 February 2021 cannot be of any legal significance. </w:t>
      </w:r>
      <w:r w:rsidR="007119B7" w:rsidRPr="007119B7">
        <w:rPr>
          <w:rFonts w:ascii="Arial" w:hAnsi="Arial" w:cs="Arial"/>
          <w:sz w:val="24"/>
          <w:szCs w:val="24"/>
          <w:lang w:val="en-GB"/>
        </w:rPr>
        <w:t>Mr Died</w:t>
      </w:r>
      <w:r w:rsidR="007119B7">
        <w:rPr>
          <w:rFonts w:ascii="Arial" w:hAnsi="Arial" w:cs="Arial"/>
          <w:sz w:val="24"/>
          <w:szCs w:val="24"/>
          <w:lang w:val="en-GB"/>
        </w:rPr>
        <w:t>ericks</w:t>
      </w:r>
      <w:r w:rsidR="007119B7" w:rsidRPr="007119B7">
        <w:rPr>
          <w:rFonts w:ascii="Arial" w:hAnsi="Arial" w:cs="Arial"/>
          <w:sz w:val="24"/>
          <w:szCs w:val="24"/>
          <w:lang w:val="en-GB"/>
        </w:rPr>
        <w:t xml:space="preserve"> who appeared on behalf of the respondents submitted that the decision of the </w:t>
      </w:r>
      <w:r w:rsidR="007119B7">
        <w:rPr>
          <w:rFonts w:ascii="Arial" w:hAnsi="Arial" w:cs="Arial"/>
          <w:sz w:val="24"/>
          <w:szCs w:val="24"/>
          <w:lang w:val="en-GB"/>
        </w:rPr>
        <w:t>Master</w:t>
      </w:r>
      <w:r w:rsidR="007119B7" w:rsidRPr="007119B7">
        <w:rPr>
          <w:rFonts w:ascii="Arial" w:hAnsi="Arial" w:cs="Arial"/>
          <w:sz w:val="24"/>
          <w:szCs w:val="24"/>
          <w:lang w:val="en-GB"/>
        </w:rPr>
        <w:t xml:space="preserve"> would have to stand</w:t>
      </w:r>
      <w:r w:rsidR="007119B7">
        <w:rPr>
          <w:rFonts w:ascii="Arial" w:hAnsi="Arial" w:cs="Arial"/>
          <w:sz w:val="24"/>
          <w:szCs w:val="24"/>
          <w:lang w:val="en-GB"/>
        </w:rPr>
        <w:t xml:space="preserve"> and produces valid consequences</w:t>
      </w:r>
      <w:r w:rsidR="007119B7" w:rsidRPr="007119B7">
        <w:rPr>
          <w:rFonts w:ascii="Arial" w:hAnsi="Arial" w:cs="Arial"/>
          <w:sz w:val="24"/>
          <w:szCs w:val="24"/>
          <w:lang w:val="en-GB"/>
        </w:rPr>
        <w:t xml:space="preserve">, not only in view of the presumption pertaining to the validity of administrative acts and decisions until set aside, but also in view of the fact that the </w:t>
      </w:r>
      <w:r w:rsidR="007119B7">
        <w:rPr>
          <w:rFonts w:ascii="Arial" w:hAnsi="Arial" w:cs="Arial"/>
          <w:sz w:val="24"/>
          <w:szCs w:val="24"/>
          <w:lang w:val="en-GB"/>
        </w:rPr>
        <w:t>plaintiff</w:t>
      </w:r>
      <w:r w:rsidR="007119B7" w:rsidRPr="007119B7">
        <w:rPr>
          <w:rFonts w:ascii="Arial" w:hAnsi="Arial" w:cs="Arial"/>
          <w:sz w:val="24"/>
          <w:szCs w:val="24"/>
          <w:lang w:val="en-GB"/>
        </w:rPr>
        <w:t xml:space="preserve"> did not seek the review and setting aside of the decisions complained of.</w:t>
      </w:r>
      <w:r>
        <w:rPr>
          <w:rFonts w:ascii="Arial" w:hAnsi="Arial" w:cs="Arial"/>
          <w:sz w:val="24"/>
          <w:szCs w:val="24"/>
          <w:lang w:val="en-GB"/>
        </w:rPr>
        <w:t xml:space="preserve"> </w:t>
      </w:r>
    </w:p>
    <w:p w:rsidR="007119B7" w:rsidRDefault="007119B7" w:rsidP="00A26DDC">
      <w:pPr>
        <w:spacing w:after="0" w:line="360" w:lineRule="auto"/>
        <w:jc w:val="both"/>
        <w:rPr>
          <w:rFonts w:ascii="Arial" w:hAnsi="Arial" w:cs="Arial"/>
          <w:sz w:val="24"/>
          <w:szCs w:val="24"/>
          <w:lang w:val="en-GB"/>
        </w:rPr>
      </w:pPr>
    </w:p>
    <w:p w:rsidR="00A26DDC" w:rsidRPr="00A26DDC" w:rsidRDefault="008A4D5E" w:rsidP="00A26DDC">
      <w:pPr>
        <w:spacing w:after="0" w:line="360" w:lineRule="auto"/>
        <w:jc w:val="both"/>
        <w:rPr>
          <w:rFonts w:ascii="Arial" w:hAnsi="Arial" w:cs="Arial"/>
          <w:sz w:val="24"/>
          <w:szCs w:val="24"/>
          <w:lang w:val="en-GB"/>
        </w:rPr>
      </w:pPr>
      <w:r>
        <w:rPr>
          <w:rFonts w:ascii="Arial" w:hAnsi="Arial" w:cs="Arial"/>
          <w:sz w:val="24"/>
          <w:szCs w:val="24"/>
          <w:lang w:val="en-GB"/>
        </w:rPr>
        <w:t>[4</w:t>
      </w:r>
      <w:r w:rsidR="00097C4A">
        <w:rPr>
          <w:rFonts w:ascii="Arial" w:hAnsi="Arial" w:cs="Arial"/>
          <w:sz w:val="24"/>
          <w:szCs w:val="24"/>
          <w:lang w:val="en-GB"/>
        </w:rPr>
        <w:t>3</w:t>
      </w:r>
      <w:r>
        <w:rPr>
          <w:rFonts w:ascii="Arial" w:hAnsi="Arial" w:cs="Arial"/>
          <w:sz w:val="24"/>
          <w:szCs w:val="24"/>
          <w:lang w:val="en-GB"/>
        </w:rPr>
        <w:t>]</w:t>
      </w:r>
      <w:r>
        <w:rPr>
          <w:rFonts w:ascii="Arial" w:hAnsi="Arial" w:cs="Arial"/>
          <w:sz w:val="24"/>
          <w:szCs w:val="24"/>
          <w:lang w:val="en-GB"/>
        </w:rPr>
        <w:tab/>
      </w:r>
      <w:r w:rsidR="00A26DDC" w:rsidRPr="00A26DDC">
        <w:rPr>
          <w:rFonts w:ascii="Arial" w:hAnsi="Arial" w:cs="Arial"/>
          <w:sz w:val="24"/>
          <w:szCs w:val="24"/>
          <w:lang w:val="en-GB"/>
        </w:rPr>
        <w:t>Mr</w:t>
      </w:r>
      <w:r w:rsidR="00EB2269">
        <w:rPr>
          <w:rFonts w:ascii="Arial" w:hAnsi="Arial" w:cs="Arial"/>
          <w:sz w:val="24"/>
          <w:szCs w:val="24"/>
          <w:lang w:val="en-GB"/>
        </w:rPr>
        <w:t>s Jankie and Mr Namandje’s arguments</w:t>
      </w:r>
      <w:r w:rsidR="00A26DDC" w:rsidRPr="00A26DDC">
        <w:rPr>
          <w:rFonts w:ascii="Arial" w:hAnsi="Arial" w:cs="Arial"/>
          <w:sz w:val="24"/>
          <w:szCs w:val="24"/>
          <w:lang w:val="en-GB"/>
        </w:rPr>
        <w:t xml:space="preserve"> in this regard can however not be upheld in the face of considerable authority to the contrary.  I can do no</w:t>
      </w:r>
      <w:r w:rsidR="000B5986">
        <w:rPr>
          <w:rFonts w:ascii="Arial" w:hAnsi="Arial" w:cs="Arial"/>
          <w:sz w:val="24"/>
          <w:szCs w:val="24"/>
          <w:lang w:val="en-GB"/>
        </w:rPr>
        <w:t xml:space="preserve"> better than to refer </w:t>
      </w:r>
      <w:r w:rsidR="00FA6B40">
        <w:rPr>
          <w:rFonts w:ascii="Arial" w:hAnsi="Arial" w:cs="Arial"/>
          <w:sz w:val="24"/>
          <w:szCs w:val="24"/>
          <w:lang w:val="en-GB"/>
        </w:rPr>
        <w:t xml:space="preserve">to the above decisions in the matters of </w:t>
      </w:r>
      <w:r w:rsidR="00FA6B40" w:rsidRPr="00FA6B40">
        <w:rPr>
          <w:rFonts w:ascii="Arial" w:hAnsi="Arial" w:cs="Arial"/>
          <w:i/>
          <w:sz w:val="24"/>
          <w:szCs w:val="24"/>
          <w:lang w:val="en-GB"/>
        </w:rPr>
        <w:t>Witbooi, Pamo and Hashagen</w:t>
      </w:r>
      <w:r w:rsidR="00FA6B40">
        <w:rPr>
          <w:rStyle w:val="FootnoteReference"/>
          <w:rFonts w:ascii="Arial" w:hAnsi="Arial"/>
          <w:i/>
          <w:sz w:val="24"/>
          <w:szCs w:val="24"/>
          <w:lang w:val="en-GB"/>
        </w:rPr>
        <w:footnoteReference w:id="15"/>
      </w:r>
      <w:r w:rsidR="00FA6B40">
        <w:rPr>
          <w:rFonts w:ascii="Arial" w:hAnsi="Arial" w:cs="Arial"/>
          <w:sz w:val="24"/>
          <w:szCs w:val="24"/>
          <w:lang w:val="en-GB"/>
        </w:rPr>
        <w:t xml:space="preserve"> and </w:t>
      </w:r>
      <w:r w:rsidR="000B5986">
        <w:rPr>
          <w:rFonts w:ascii="Arial" w:hAnsi="Arial" w:cs="Arial"/>
          <w:sz w:val="24"/>
          <w:szCs w:val="24"/>
          <w:lang w:val="en-GB"/>
        </w:rPr>
        <w:t>again to the</w:t>
      </w:r>
      <w:r w:rsidR="00A26DDC" w:rsidRPr="00A26DDC">
        <w:rPr>
          <w:rFonts w:ascii="Arial" w:hAnsi="Arial" w:cs="Arial"/>
          <w:sz w:val="24"/>
          <w:szCs w:val="24"/>
          <w:lang w:val="en-GB"/>
        </w:rPr>
        <w:t xml:space="preserve"> South African Court of Appeal decisio</w:t>
      </w:r>
      <w:r w:rsidR="009A0454">
        <w:rPr>
          <w:rFonts w:ascii="Arial" w:hAnsi="Arial" w:cs="Arial"/>
          <w:sz w:val="24"/>
          <w:szCs w:val="24"/>
          <w:lang w:val="en-GB"/>
        </w:rPr>
        <w:t xml:space="preserve">n made in the </w:t>
      </w:r>
      <w:r w:rsidR="009A0454" w:rsidRPr="009A0454">
        <w:rPr>
          <w:rFonts w:ascii="Arial" w:hAnsi="Arial" w:cs="Arial"/>
          <w:i/>
          <w:sz w:val="24"/>
          <w:szCs w:val="24"/>
          <w:lang w:val="en-GB"/>
        </w:rPr>
        <w:t>Oudekraal</w:t>
      </w:r>
      <w:r w:rsidR="009A0454">
        <w:rPr>
          <w:rFonts w:ascii="Arial" w:hAnsi="Arial" w:cs="Arial"/>
          <w:sz w:val="24"/>
          <w:szCs w:val="24"/>
          <w:lang w:val="en-GB"/>
        </w:rPr>
        <w:t xml:space="preserve"> case</w:t>
      </w:r>
      <w:r w:rsidR="00496DB1">
        <w:rPr>
          <w:rFonts w:ascii="Arial" w:hAnsi="Arial" w:cs="Arial"/>
          <w:sz w:val="24"/>
          <w:szCs w:val="24"/>
          <w:lang w:val="en-GB"/>
        </w:rPr>
        <w:t>,</w:t>
      </w:r>
      <w:r w:rsidR="003079DF">
        <w:rPr>
          <w:rStyle w:val="FootnoteReference"/>
          <w:rFonts w:ascii="Arial" w:hAnsi="Arial"/>
          <w:sz w:val="24"/>
          <w:szCs w:val="24"/>
          <w:lang w:val="en-GB"/>
        </w:rPr>
        <w:footnoteReference w:id="16"/>
      </w:r>
      <w:r w:rsidR="00903FDC">
        <w:rPr>
          <w:rFonts w:ascii="Arial" w:hAnsi="Arial" w:cs="Arial"/>
          <w:sz w:val="24"/>
          <w:szCs w:val="24"/>
          <w:lang w:val="en-GB"/>
        </w:rPr>
        <w:t xml:space="preserve"> </w:t>
      </w:r>
      <w:r>
        <w:rPr>
          <w:rFonts w:ascii="Arial" w:hAnsi="Arial" w:cs="Arial"/>
          <w:sz w:val="24"/>
          <w:szCs w:val="24"/>
          <w:lang w:val="en-GB"/>
        </w:rPr>
        <w:t>ci</w:t>
      </w:r>
      <w:r w:rsidRPr="00A26DDC">
        <w:rPr>
          <w:rFonts w:ascii="Arial" w:hAnsi="Arial" w:cs="Arial"/>
          <w:sz w:val="24"/>
          <w:szCs w:val="24"/>
          <w:lang w:val="en-GB"/>
        </w:rPr>
        <w:t xml:space="preserve">ted </w:t>
      </w:r>
      <w:r>
        <w:rPr>
          <w:rFonts w:ascii="Arial" w:hAnsi="Arial" w:cs="Arial"/>
          <w:sz w:val="24"/>
          <w:szCs w:val="24"/>
          <w:lang w:val="en-GB"/>
        </w:rPr>
        <w:t>with</w:t>
      </w:r>
      <w:r w:rsidR="009A0454">
        <w:rPr>
          <w:rFonts w:ascii="Arial" w:hAnsi="Arial" w:cs="Arial"/>
          <w:sz w:val="24"/>
          <w:szCs w:val="24"/>
          <w:lang w:val="en-GB"/>
        </w:rPr>
        <w:t xml:space="preserve"> approval </w:t>
      </w:r>
      <w:r w:rsidR="00A26DDC" w:rsidRPr="00A26DDC">
        <w:rPr>
          <w:rFonts w:ascii="Arial" w:hAnsi="Arial" w:cs="Arial"/>
          <w:sz w:val="24"/>
          <w:szCs w:val="24"/>
          <w:lang w:val="en-GB"/>
        </w:rPr>
        <w:t>in</w:t>
      </w:r>
      <w:r w:rsidR="009A0454" w:rsidRPr="009A0454">
        <w:rPr>
          <w:rFonts w:ascii="Arial" w:hAnsi="Arial" w:cs="Arial"/>
          <w:i/>
          <w:sz w:val="24"/>
          <w:szCs w:val="24"/>
          <w:lang w:val="en-GB"/>
        </w:rPr>
        <w:t xml:space="preserve"> </w:t>
      </w:r>
      <w:r w:rsidR="009A0454">
        <w:rPr>
          <w:rFonts w:ascii="Arial" w:hAnsi="Arial" w:cs="Arial"/>
          <w:i/>
          <w:sz w:val="24"/>
          <w:szCs w:val="24"/>
          <w:lang w:val="en-GB"/>
        </w:rPr>
        <w:t>Member of the Executive Counci</w:t>
      </w:r>
      <w:r w:rsidR="009A0454" w:rsidRPr="000160E5">
        <w:rPr>
          <w:rFonts w:ascii="Arial" w:hAnsi="Arial" w:cs="Arial"/>
          <w:i/>
          <w:sz w:val="24"/>
          <w:szCs w:val="24"/>
          <w:lang w:val="en-GB"/>
        </w:rPr>
        <w:t>l for Health</w:t>
      </w:r>
      <w:r w:rsidR="009A0454">
        <w:rPr>
          <w:rFonts w:ascii="Arial" w:hAnsi="Arial" w:cs="Arial"/>
          <w:i/>
          <w:sz w:val="24"/>
          <w:szCs w:val="24"/>
          <w:lang w:val="en-GB"/>
        </w:rPr>
        <w:t xml:space="preserve"> – Province of the Eastern Cape NO &amp; Another </w:t>
      </w:r>
      <w:r>
        <w:rPr>
          <w:rFonts w:ascii="Arial" w:hAnsi="Arial" w:cs="Arial"/>
          <w:i/>
          <w:sz w:val="24"/>
          <w:szCs w:val="24"/>
          <w:lang w:val="en-GB"/>
        </w:rPr>
        <w:t>v Kirkland</w:t>
      </w:r>
      <w:r w:rsidR="009A0454">
        <w:rPr>
          <w:rFonts w:ascii="Arial" w:hAnsi="Arial" w:cs="Arial"/>
          <w:i/>
          <w:sz w:val="24"/>
          <w:szCs w:val="24"/>
          <w:lang w:val="en-GB"/>
        </w:rPr>
        <w:t xml:space="preserve"> Investments (Pty) Ltd t/a Eye &amp;</w:t>
      </w:r>
      <w:r w:rsidR="009A0454" w:rsidRPr="000160E5">
        <w:rPr>
          <w:rFonts w:ascii="Arial" w:hAnsi="Arial" w:cs="Arial"/>
          <w:i/>
          <w:sz w:val="24"/>
          <w:szCs w:val="24"/>
          <w:lang w:val="en-GB"/>
        </w:rPr>
        <w:t xml:space="preserve"> Laser Institute</w:t>
      </w:r>
      <w:r w:rsidR="009A0454">
        <w:rPr>
          <w:rFonts w:ascii="Arial" w:hAnsi="Arial" w:cs="Arial"/>
          <w:sz w:val="24"/>
          <w:szCs w:val="24"/>
          <w:lang w:val="en-GB"/>
        </w:rPr>
        <w:t xml:space="preserve"> and</w:t>
      </w:r>
      <w:r w:rsidR="00903FDC">
        <w:rPr>
          <w:rFonts w:ascii="Arial" w:hAnsi="Arial" w:cs="Arial"/>
          <w:sz w:val="24"/>
          <w:szCs w:val="24"/>
          <w:lang w:val="en-GB"/>
        </w:rPr>
        <w:t xml:space="preserve"> also</w:t>
      </w:r>
      <w:r w:rsidR="009A0454">
        <w:rPr>
          <w:rFonts w:ascii="Arial" w:hAnsi="Arial" w:cs="Arial"/>
          <w:sz w:val="24"/>
          <w:szCs w:val="24"/>
          <w:lang w:val="en-GB"/>
        </w:rPr>
        <w:t xml:space="preserve"> in a number of Namibian cases</w:t>
      </w:r>
      <w:r w:rsidR="009A0454">
        <w:rPr>
          <w:rStyle w:val="FootnoteReference"/>
          <w:rFonts w:ascii="Arial" w:hAnsi="Arial"/>
          <w:sz w:val="24"/>
          <w:szCs w:val="24"/>
          <w:lang w:val="en-GB"/>
        </w:rPr>
        <w:footnoteReference w:id="17"/>
      </w:r>
      <w:r w:rsidR="00671A34">
        <w:rPr>
          <w:rFonts w:ascii="Arial" w:hAnsi="Arial" w:cs="Arial"/>
          <w:sz w:val="24"/>
          <w:szCs w:val="24"/>
          <w:lang w:val="en-GB"/>
        </w:rPr>
        <w:t xml:space="preserve"> and where the court stated</w:t>
      </w:r>
      <w:r w:rsidR="000160E5">
        <w:rPr>
          <w:rFonts w:ascii="Arial" w:hAnsi="Arial" w:cs="Arial"/>
          <w:sz w:val="24"/>
          <w:szCs w:val="24"/>
          <w:lang w:val="en-GB"/>
        </w:rPr>
        <w:t>:</w:t>
      </w:r>
    </w:p>
    <w:p w:rsidR="00903FDC" w:rsidRDefault="00903FDC" w:rsidP="00903FDC">
      <w:pPr>
        <w:spacing w:after="0" w:line="360" w:lineRule="auto"/>
        <w:jc w:val="both"/>
        <w:rPr>
          <w:rFonts w:ascii="Arial" w:hAnsi="Arial" w:cs="Arial"/>
          <w:sz w:val="24"/>
          <w:szCs w:val="24"/>
          <w:lang w:val="en-GB"/>
        </w:rPr>
      </w:pPr>
    </w:p>
    <w:p w:rsidR="00A26DDC" w:rsidRPr="007119B7" w:rsidRDefault="00903FDC" w:rsidP="00903FDC">
      <w:pPr>
        <w:spacing w:after="0" w:line="360" w:lineRule="auto"/>
        <w:ind w:firstLine="720"/>
        <w:jc w:val="both"/>
        <w:rPr>
          <w:rFonts w:ascii="Arial" w:hAnsi="Arial" w:cs="Arial"/>
          <w:u w:val="single"/>
          <w:lang w:val="en-GB"/>
        </w:rPr>
      </w:pPr>
      <w:r>
        <w:rPr>
          <w:rFonts w:ascii="Arial" w:hAnsi="Arial" w:cs="Arial"/>
          <w:lang w:val="en-GB"/>
        </w:rPr>
        <w:t>‘</w:t>
      </w:r>
      <w:r w:rsidRPr="00903FDC">
        <w:rPr>
          <w:rFonts w:ascii="Arial" w:hAnsi="Arial" w:cs="Arial"/>
          <w:lang w:val="en-GB"/>
        </w:rPr>
        <w:t xml:space="preserve">[26] For those reasons it is clear, in our </w:t>
      </w:r>
      <w:r w:rsidR="007119B7" w:rsidRPr="00903FDC">
        <w:rPr>
          <w:rFonts w:ascii="Arial" w:hAnsi="Arial" w:cs="Arial"/>
          <w:lang w:val="en-GB"/>
        </w:rPr>
        <w:t>view that</w:t>
      </w:r>
      <w:r w:rsidRPr="00903FDC">
        <w:rPr>
          <w:rFonts w:ascii="Arial" w:hAnsi="Arial" w:cs="Arial"/>
          <w:lang w:val="en-GB"/>
        </w:rPr>
        <w:t xml:space="preserve"> the Administrator's permission was unlawful and invalid at the outset. Whether he thereafter also exceeded his powers in granting extensions for the lodgement of the general plan thus takes the matter no further. But the question that arises is what consequences follow from the conclusion that the Administrator acted unlawfully. Is the permission that was granted by the Administrator simply to be disregarded as if it had never existed? In other words, was</w:t>
      </w:r>
      <w:r w:rsidR="0035613D">
        <w:rPr>
          <w:rFonts w:ascii="Arial" w:hAnsi="Arial" w:cs="Arial"/>
          <w:lang w:val="en-GB"/>
        </w:rPr>
        <w:t xml:space="preserve"> the Cape Metropolitan Council </w:t>
      </w:r>
      <w:r w:rsidRPr="00903FDC">
        <w:rPr>
          <w:rFonts w:ascii="Arial" w:hAnsi="Arial" w:cs="Arial"/>
          <w:lang w:val="en-GB"/>
        </w:rPr>
        <w:t xml:space="preserve">entitled to disregard the Administrator's approval and all its consequences merely because it believed that they were invalid provided that its belief was correct? In our view, it was not. </w:t>
      </w:r>
      <w:r w:rsidRPr="007119B7">
        <w:rPr>
          <w:rFonts w:ascii="Arial" w:hAnsi="Arial" w:cs="Arial"/>
          <w:u w:val="single"/>
          <w:lang w:val="en-GB"/>
        </w:rPr>
        <w:t xml:space="preserve">Until the Administrator's approval (and thus also the consequences of the approval) is set aside by a court in proceedings for judicial review it exists in fact and it has legal consequences that cannot simply be overlooked. The proper </w:t>
      </w:r>
      <w:r w:rsidRPr="007119B7">
        <w:rPr>
          <w:rFonts w:ascii="Arial" w:hAnsi="Arial" w:cs="Arial"/>
          <w:u w:val="single"/>
          <w:lang w:val="en-GB"/>
        </w:rPr>
        <w:lastRenderedPageBreak/>
        <w:t>functioning of a modern State would be considerably compromised if all administrative acts could be given effect to or ignored depending upon the view the subject takes of the validity of the act in question. No doubt it is for this reason that our law has always recognised that even an unlawful administrative act is capable of producing legally valid consequences for so long as the unlawful act is not set aside.’</w:t>
      </w:r>
      <w:r w:rsidRPr="007119B7">
        <w:rPr>
          <w:rStyle w:val="FootnoteReference"/>
          <w:rFonts w:ascii="Arial" w:hAnsi="Arial"/>
          <w:u w:val="single"/>
          <w:lang w:val="en-GB"/>
        </w:rPr>
        <w:footnoteReference w:id="18"/>
      </w:r>
      <w:r w:rsidRPr="007119B7">
        <w:rPr>
          <w:rFonts w:ascii="Arial" w:hAnsi="Arial" w:cs="Arial"/>
          <w:u w:val="single"/>
          <w:lang w:val="en-GB"/>
        </w:rPr>
        <w:t xml:space="preserve">   </w:t>
      </w:r>
    </w:p>
    <w:p w:rsidR="00903FDC" w:rsidRDefault="00903FDC" w:rsidP="00A26DDC">
      <w:pPr>
        <w:spacing w:after="0" w:line="360" w:lineRule="auto"/>
        <w:jc w:val="both"/>
        <w:rPr>
          <w:rFonts w:ascii="Arial" w:hAnsi="Arial" w:cs="Arial"/>
          <w:sz w:val="24"/>
          <w:szCs w:val="24"/>
          <w:lang w:val="en-GB"/>
        </w:rPr>
      </w:pPr>
    </w:p>
    <w:p w:rsidR="00A26DDC" w:rsidRDefault="000160E5" w:rsidP="00A26DDC">
      <w:pPr>
        <w:spacing w:after="0" w:line="360" w:lineRule="auto"/>
        <w:jc w:val="both"/>
        <w:rPr>
          <w:rFonts w:ascii="Arial" w:hAnsi="Arial" w:cs="Arial"/>
          <w:sz w:val="24"/>
          <w:szCs w:val="24"/>
          <w:lang w:val="en-GB"/>
        </w:rPr>
      </w:pPr>
      <w:r>
        <w:rPr>
          <w:rFonts w:ascii="Arial" w:hAnsi="Arial" w:cs="Arial"/>
          <w:sz w:val="24"/>
          <w:szCs w:val="24"/>
          <w:lang w:val="en-GB"/>
        </w:rPr>
        <w:t>[</w:t>
      </w:r>
      <w:r w:rsidR="00097C4A">
        <w:rPr>
          <w:rFonts w:ascii="Arial" w:hAnsi="Arial" w:cs="Arial"/>
          <w:sz w:val="24"/>
          <w:szCs w:val="24"/>
          <w:lang w:val="en-GB"/>
        </w:rPr>
        <w:t>44</w:t>
      </w:r>
      <w:r w:rsidR="000264F9">
        <w:rPr>
          <w:rFonts w:ascii="Arial" w:hAnsi="Arial" w:cs="Arial"/>
          <w:sz w:val="24"/>
          <w:szCs w:val="24"/>
          <w:lang w:val="en-GB"/>
        </w:rPr>
        <w:t>]</w:t>
      </w:r>
      <w:r>
        <w:rPr>
          <w:rFonts w:ascii="Arial" w:hAnsi="Arial" w:cs="Arial"/>
          <w:sz w:val="24"/>
          <w:szCs w:val="24"/>
          <w:lang w:val="en-GB"/>
        </w:rPr>
        <w:tab/>
      </w:r>
      <w:r w:rsidR="00A26DDC" w:rsidRPr="00A26DDC">
        <w:rPr>
          <w:rFonts w:ascii="Arial" w:hAnsi="Arial" w:cs="Arial"/>
          <w:sz w:val="24"/>
          <w:szCs w:val="24"/>
          <w:lang w:val="en-GB"/>
        </w:rPr>
        <w:t xml:space="preserve">What the </w:t>
      </w:r>
      <w:r w:rsidR="007119B7">
        <w:rPr>
          <w:rFonts w:ascii="Arial" w:hAnsi="Arial" w:cs="Arial"/>
          <w:sz w:val="24"/>
          <w:szCs w:val="24"/>
          <w:lang w:val="en-GB"/>
        </w:rPr>
        <w:t>plaintiff</w:t>
      </w:r>
      <w:r w:rsidR="003B17CE">
        <w:rPr>
          <w:rFonts w:ascii="Arial" w:hAnsi="Arial" w:cs="Arial"/>
          <w:sz w:val="24"/>
          <w:szCs w:val="24"/>
          <w:lang w:val="en-GB"/>
        </w:rPr>
        <w:t>,</w:t>
      </w:r>
      <w:r w:rsidR="00A26DDC" w:rsidRPr="00A26DDC">
        <w:rPr>
          <w:rFonts w:ascii="Arial" w:hAnsi="Arial" w:cs="Arial"/>
          <w:sz w:val="24"/>
          <w:szCs w:val="24"/>
          <w:lang w:val="en-GB"/>
        </w:rPr>
        <w:t xml:space="preserve"> in its continued quest for relief</w:t>
      </w:r>
      <w:r w:rsidR="003B17CE">
        <w:rPr>
          <w:rFonts w:ascii="Arial" w:hAnsi="Arial" w:cs="Arial"/>
          <w:sz w:val="24"/>
          <w:szCs w:val="24"/>
          <w:lang w:val="en-GB"/>
        </w:rPr>
        <w:t>,</w:t>
      </w:r>
      <w:r w:rsidR="00A26DDC" w:rsidRPr="00A26DDC">
        <w:rPr>
          <w:rFonts w:ascii="Arial" w:hAnsi="Arial" w:cs="Arial"/>
          <w:sz w:val="24"/>
          <w:szCs w:val="24"/>
          <w:lang w:val="en-GB"/>
        </w:rPr>
        <w:t xml:space="preserve"> continues to overlook</w:t>
      </w:r>
      <w:r w:rsidR="00903FDC">
        <w:rPr>
          <w:rFonts w:ascii="Arial" w:hAnsi="Arial" w:cs="Arial"/>
          <w:sz w:val="24"/>
          <w:szCs w:val="24"/>
          <w:lang w:val="en-GB"/>
        </w:rPr>
        <w:t>,</w:t>
      </w:r>
      <w:r w:rsidR="00A26DDC" w:rsidRPr="00A26DDC">
        <w:rPr>
          <w:rFonts w:ascii="Arial" w:hAnsi="Arial" w:cs="Arial"/>
          <w:sz w:val="24"/>
          <w:szCs w:val="24"/>
          <w:lang w:val="en-GB"/>
        </w:rPr>
        <w:t xml:space="preserve"> in my view</w:t>
      </w:r>
      <w:r w:rsidR="00903FDC">
        <w:rPr>
          <w:rFonts w:ascii="Arial" w:hAnsi="Arial" w:cs="Arial"/>
          <w:sz w:val="24"/>
          <w:szCs w:val="24"/>
          <w:lang w:val="en-GB"/>
        </w:rPr>
        <w:t>,</w:t>
      </w:r>
      <w:r w:rsidR="00A26DDC" w:rsidRPr="00A26DDC">
        <w:rPr>
          <w:rFonts w:ascii="Arial" w:hAnsi="Arial" w:cs="Arial"/>
          <w:sz w:val="24"/>
          <w:szCs w:val="24"/>
          <w:lang w:val="en-GB"/>
        </w:rPr>
        <w:t xml:space="preserve"> is that </w:t>
      </w:r>
      <w:r w:rsidR="007119B7">
        <w:rPr>
          <w:rFonts w:ascii="Arial" w:hAnsi="Arial" w:cs="Arial"/>
          <w:sz w:val="24"/>
          <w:szCs w:val="24"/>
          <w:lang w:val="en-GB"/>
        </w:rPr>
        <w:t>the Master’s</w:t>
      </w:r>
      <w:r w:rsidR="00A26DDC" w:rsidRPr="00A26DDC">
        <w:rPr>
          <w:rFonts w:ascii="Arial" w:hAnsi="Arial" w:cs="Arial"/>
          <w:sz w:val="24"/>
          <w:szCs w:val="24"/>
          <w:lang w:val="en-GB"/>
        </w:rPr>
        <w:t xml:space="preserve"> decision</w:t>
      </w:r>
      <w:r w:rsidR="00903FDC">
        <w:rPr>
          <w:rFonts w:ascii="Arial" w:hAnsi="Arial" w:cs="Arial"/>
          <w:sz w:val="24"/>
          <w:szCs w:val="24"/>
          <w:lang w:val="en-GB"/>
        </w:rPr>
        <w:t>,</w:t>
      </w:r>
      <w:r w:rsidR="00A26DDC" w:rsidRPr="00A26DDC">
        <w:rPr>
          <w:rFonts w:ascii="Arial" w:hAnsi="Arial" w:cs="Arial"/>
          <w:sz w:val="24"/>
          <w:szCs w:val="24"/>
          <w:lang w:val="en-GB"/>
        </w:rPr>
        <w:t xml:space="preserve"> relating to the </w:t>
      </w:r>
      <w:r w:rsidR="007119B7">
        <w:rPr>
          <w:rFonts w:ascii="Arial" w:hAnsi="Arial" w:cs="Arial"/>
          <w:sz w:val="24"/>
          <w:szCs w:val="24"/>
          <w:lang w:val="en-GB"/>
        </w:rPr>
        <w:t>non-objection</w:t>
      </w:r>
      <w:r w:rsidR="00C901DB">
        <w:rPr>
          <w:rFonts w:ascii="Arial" w:hAnsi="Arial" w:cs="Arial"/>
          <w:sz w:val="24"/>
          <w:szCs w:val="24"/>
          <w:lang w:val="en-GB"/>
        </w:rPr>
        <w:t xml:space="preserve"> and the amendment of the liquidation and distribution account</w:t>
      </w:r>
      <w:r w:rsidR="007119B7" w:rsidRPr="00A26DDC">
        <w:rPr>
          <w:rFonts w:ascii="Arial" w:hAnsi="Arial" w:cs="Arial"/>
          <w:sz w:val="24"/>
          <w:szCs w:val="24"/>
          <w:lang w:val="en-GB"/>
        </w:rPr>
        <w:t xml:space="preserve">, </w:t>
      </w:r>
      <w:r w:rsidR="007119B7">
        <w:rPr>
          <w:rFonts w:ascii="Arial" w:hAnsi="Arial" w:cs="Arial"/>
          <w:sz w:val="24"/>
          <w:szCs w:val="24"/>
          <w:lang w:val="en-GB"/>
        </w:rPr>
        <w:t>is</w:t>
      </w:r>
      <w:r w:rsidR="003B17CE">
        <w:rPr>
          <w:rFonts w:ascii="Arial" w:hAnsi="Arial" w:cs="Arial"/>
          <w:sz w:val="24"/>
          <w:szCs w:val="24"/>
          <w:lang w:val="en-GB"/>
        </w:rPr>
        <w:t xml:space="preserve"> that</w:t>
      </w:r>
      <w:r w:rsidR="00A26DDC" w:rsidRPr="00A26DDC">
        <w:rPr>
          <w:rFonts w:ascii="Arial" w:hAnsi="Arial" w:cs="Arial"/>
          <w:sz w:val="24"/>
          <w:szCs w:val="24"/>
          <w:lang w:val="en-GB"/>
        </w:rPr>
        <w:t xml:space="preserve"> the perceived unlawf</w:t>
      </w:r>
      <w:r w:rsidR="003B17CE">
        <w:rPr>
          <w:rFonts w:ascii="Arial" w:hAnsi="Arial" w:cs="Arial"/>
          <w:sz w:val="24"/>
          <w:szCs w:val="24"/>
          <w:lang w:val="en-GB"/>
        </w:rPr>
        <w:t>ul administrative decision, taken</w:t>
      </w:r>
      <w:r w:rsidR="00A26DDC" w:rsidRPr="00A26DDC">
        <w:rPr>
          <w:rFonts w:ascii="Arial" w:hAnsi="Arial" w:cs="Arial"/>
          <w:sz w:val="24"/>
          <w:szCs w:val="24"/>
          <w:lang w:val="en-GB"/>
        </w:rPr>
        <w:t xml:space="preserve"> by the </w:t>
      </w:r>
      <w:r w:rsidR="007119B7">
        <w:rPr>
          <w:rFonts w:ascii="Arial" w:hAnsi="Arial" w:cs="Arial"/>
          <w:sz w:val="24"/>
          <w:szCs w:val="24"/>
          <w:lang w:val="en-GB"/>
        </w:rPr>
        <w:t>Master</w:t>
      </w:r>
      <w:r w:rsidR="003B17CE">
        <w:rPr>
          <w:rFonts w:ascii="Arial" w:hAnsi="Arial" w:cs="Arial"/>
          <w:sz w:val="24"/>
          <w:szCs w:val="24"/>
          <w:lang w:val="en-GB"/>
        </w:rPr>
        <w:t>,</w:t>
      </w:r>
      <w:r w:rsidR="00A26DDC" w:rsidRPr="00A26DDC">
        <w:rPr>
          <w:rFonts w:ascii="Arial" w:hAnsi="Arial" w:cs="Arial"/>
          <w:sz w:val="24"/>
          <w:szCs w:val="24"/>
          <w:lang w:val="en-GB"/>
        </w:rPr>
        <w:t xml:space="preserve"> </w:t>
      </w:r>
      <w:r w:rsidR="00EB2269">
        <w:rPr>
          <w:rFonts w:ascii="Arial" w:hAnsi="Arial" w:cs="Arial"/>
          <w:sz w:val="24"/>
          <w:szCs w:val="24"/>
          <w:lang w:val="en-GB"/>
        </w:rPr>
        <w:t>is</w:t>
      </w:r>
      <w:r w:rsidR="00A26DDC" w:rsidRPr="00A26DDC">
        <w:rPr>
          <w:rFonts w:ascii="Arial" w:hAnsi="Arial" w:cs="Arial"/>
          <w:sz w:val="24"/>
          <w:szCs w:val="24"/>
          <w:lang w:val="en-GB"/>
        </w:rPr>
        <w:t xml:space="preserve"> producing legally valid consequences</w:t>
      </w:r>
      <w:r w:rsidR="003B17CE">
        <w:rPr>
          <w:rFonts w:ascii="Arial" w:hAnsi="Arial" w:cs="Arial"/>
          <w:sz w:val="24"/>
          <w:szCs w:val="24"/>
          <w:lang w:val="en-GB"/>
        </w:rPr>
        <w:t>,</w:t>
      </w:r>
      <w:r w:rsidR="00496DB1">
        <w:rPr>
          <w:rFonts w:ascii="Arial" w:hAnsi="Arial" w:cs="Arial"/>
          <w:sz w:val="24"/>
          <w:szCs w:val="24"/>
          <w:lang w:val="en-GB"/>
        </w:rPr>
        <w:t xml:space="preserve"> for as long as that decision</w:t>
      </w:r>
      <w:r w:rsidR="00A26DDC" w:rsidRPr="00A26DDC">
        <w:rPr>
          <w:rFonts w:ascii="Arial" w:hAnsi="Arial" w:cs="Arial"/>
          <w:sz w:val="24"/>
          <w:szCs w:val="24"/>
          <w:lang w:val="en-GB"/>
        </w:rPr>
        <w:t xml:space="preserve"> have not been set aside on review.</w:t>
      </w:r>
      <w:r w:rsidR="00FA6B40" w:rsidRPr="00FA6B40">
        <w:t xml:space="preserve"> </w:t>
      </w:r>
      <w:r w:rsidR="00FA6B40" w:rsidRPr="00FA6B40">
        <w:rPr>
          <w:rFonts w:ascii="Arial" w:hAnsi="Arial" w:cs="Arial"/>
          <w:sz w:val="24"/>
          <w:szCs w:val="24"/>
          <w:lang w:val="en-GB"/>
        </w:rPr>
        <w:t>It is furthermore clear from</w:t>
      </w:r>
      <w:r w:rsidR="00496DB1">
        <w:rPr>
          <w:rFonts w:ascii="Arial" w:hAnsi="Arial" w:cs="Arial"/>
          <w:sz w:val="24"/>
          <w:szCs w:val="24"/>
          <w:lang w:val="en-GB"/>
        </w:rPr>
        <w:t xml:space="preserve"> the cited authorities that</w:t>
      </w:r>
      <w:r w:rsidR="00FA6B40" w:rsidRPr="00FA6B40">
        <w:rPr>
          <w:rFonts w:ascii="Arial" w:hAnsi="Arial" w:cs="Arial"/>
          <w:sz w:val="24"/>
          <w:szCs w:val="24"/>
          <w:lang w:val="en-GB"/>
        </w:rPr>
        <w:t xml:space="preserve"> the Executor and his agent cannot just second- guess those decisions simply because he may take the view that the Mast</w:t>
      </w:r>
      <w:r w:rsidR="00496DB1">
        <w:rPr>
          <w:rFonts w:ascii="Arial" w:hAnsi="Arial" w:cs="Arial"/>
          <w:sz w:val="24"/>
          <w:szCs w:val="24"/>
          <w:lang w:val="en-GB"/>
        </w:rPr>
        <w:t>er’s decision in this regard was</w:t>
      </w:r>
      <w:r w:rsidR="00FA6B40" w:rsidRPr="00FA6B40">
        <w:rPr>
          <w:rFonts w:ascii="Arial" w:hAnsi="Arial" w:cs="Arial"/>
          <w:sz w:val="24"/>
          <w:szCs w:val="24"/>
          <w:lang w:val="en-GB"/>
        </w:rPr>
        <w:t xml:space="preserve"> wrong and simply through the stroke of the pen correct them according to his perceptions.</w:t>
      </w:r>
    </w:p>
    <w:p w:rsidR="00C901DB" w:rsidRDefault="00C901DB" w:rsidP="00A26DDC">
      <w:pPr>
        <w:spacing w:after="0" w:line="360" w:lineRule="auto"/>
        <w:jc w:val="both"/>
        <w:rPr>
          <w:rFonts w:ascii="Arial" w:hAnsi="Arial" w:cs="Arial"/>
          <w:sz w:val="24"/>
          <w:szCs w:val="24"/>
          <w:lang w:val="en-GB"/>
        </w:rPr>
      </w:pPr>
    </w:p>
    <w:p w:rsidR="00A26DDC" w:rsidRDefault="00C901DB" w:rsidP="00A26DDC">
      <w:pPr>
        <w:spacing w:after="0" w:line="360" w:lineRule="auto"/>
        <w:jc w:val="both"/>
        <w:rPr>
          <w:rFonts w:ascii="Arial" w:hAnsi="Arial" w:cs="Arial"/>
          <w:sz w:val="24"/>
          <w:szCs w:val="24"/>
          <w:lang w:val="en-GB"/>
        </w:rPr>
      </w:pPr>
      <w:r>
        <w:rPr>
          <w:rFonts w:ascii="Arial" w:hAnsi="Arial" w:cs="Arial"/>
          <w:sz w:val="24"/>
          <w:szCs w:val="24"/>
          <w:lang w:val="en-GB"/>
        </w:rPr>
        <w:t>[45]</w:t>
      </w:r>
      <w:r>
        <w:rPr>
          <w:rFonts w:ascii="Arial" w:hAnsi="Arial" w:cs="Arial"/>
          <w:sz w:val="24"/>
          <w:szCs w:val="24"/>
          <w:lang w:val="en-GB"/>
        </w:rPr>
        <w:tab/>
      </w:r>
      <w:r w:rsidR="00666789">
        <w:rPr>
          <w:rFonts w:ascii="Arial" w:hAnsi="Arial" w:cs="Arial"/>
          <w:sz w:val="24"/>
          <w:szCs w:val="24"/>
          <w:lang w:val="en-GB"/>
        </w:rPr>
        <w:t xml:space="preserve">It is my considered view that the Master could not </w:t>
      </w:r>
      <w:r w:rsidR="00666789" w:rsidRPr="00666789">
        <w:rPr>
          <w:rFonts w:ascii="Arial" w:hAnsi="Arial" w:cs="Arial"/>
          <w:sz w:val="24"/>
          <w:szCs w:val="24"/>
          <w:lang w:val="en-GB"/>
        </w:rPr>
        <w:t>revisit and re-open the issue after she had fully and finally exercised her discretion, by issuing the letter of non-objection</w:t>
      </w:r>
      <w:r w:rsidR="00666789">
        <w:rPr>
          <w:rFonts w:ascii="Arial" w:hAnsi="Arial" w:cs="Arial"/>
          <w:sz w:val="24"/>
          <w:szCs w:val="24"/>
          <w:lang w:val="en-GB"/>
        </w:rPr>
        <w:t xml:space="preserve"> and issue a conflicting directive which was contrary to an earlier decision that she has taken, that surely would amount to a review and setting aside of her own decision, in which she was </w:t>
      </w:r>
      <w:r w:rsidR="00666789" w:rsidRPr="00666789">
        <w:rPr>
          <w:rFonts w:ascii="Arial" w:hAnsi="Arial" w:cs="Arial"/>
          <w:i/>
          <w:sz w:val="24"/>
          <w:szCs w:val="24"/>
          <w:lang w:val="en-GB"/>
        </w:rPr>
        <w:t>functus officio</w:t>
      </w:r>
      <w:r w:rsidR="00666789">
        <w:rPr>
          <w:rFonts w:ascii="Arial" w:hAnsi="Arial" w:cs="Arial"/>
          <w:sz w:val="24"/>
          <w:szCs w:val="24"/>
          <w:lang w:val="en-GB"/>
        </w:rPr>
        <w:t>.</w:t>
      </w:r>
      <w:r>
        <w:rPr>
          <w:rFonts w:ascii="Arial" w:hAnsi="Arial" w:cs="Arial"/>
          <w:sz w:val="24"/>
          <w:szCs w:val="24"/>
          <w:lang w:val="en-GB"/>
        </w:rPr>
        <w:t xml:space="preserve"> </w:t>
      </w:r>
      <w:r w:rsidR="00666789">
        <w:rPr>
          <w:rFonts w:ascii="Arial" w:hAnsi="Arial" w:cs="Arial"/>
          <w:sz w:val="24"/>
          <w:szCs w:val="24"/>
          <w:lang w:val="en-GB"/>
        </w:rPr>
        <w:t>The</w:t>
      </w:r>
      <w:r>
        <w:rPr>
          <w:rFonts w:ascii="Arial" w:hAnsi="Arial" w:cs="Arial"/>
          <w:sz w:val="24"/>
          <w:szCs w:val="24"/>
          <w:lang w:val="en-GB"/>
        </w:rPr>
        <w:t xml:space="preserve"> Master </w:t>
      </w:r>
      <w:r w:rsidR="00666789">
        <w:rPr>
          <w:rFonts w:ascii="Arial" w:hAnsi="Arial" w:cs="Arial"/>
          <w:sz w:val="24"/>
          <w:szCs w:val="24"/>
          <w:lang w:val="en-GB"/>
        </w:rPr>
        <w:t xml:space="preserve">should have done what is suggested in the </w:t>
      </w:r>
      <w:r w:rsidR="00666789" w:rsidRPr="00666789">
        <w:rPr>
          <w:rFonts w:ascii="Arial" w:hAnsi="Arial" w:cs="Arial"/>
          <w:i/>
          <w:sz w:val="24"/>
          <w:szCs w:val="24"/>
          <w:lang w:val="en-GB"/>
        </w:rPr>
        <w:t xml:space="preserve">Oudekraal </w:t>
      </w:r>
      <w:r w:rsidR="00666789">
        <w:rPr>
          <w:rFonts w:ascii="Arial" w:hAnsi="Arial" w:cs="Arial"/>
          <w:sz w:val="24"/>
          <w:szCs w:val="24"/>
          <w:lang w:val="en-GB"/>
        </w:rPr>
        <w:t xml:space="preserve">matter, and that is to </w:t>
      </w:r>
      <w:r w:rsidR="00666789" w:rsidRPr="00C901DB">
        <w:rPr>
          <w:rFonts w:ascii="Arial" w:hAnsi="Arial" w:cs="Arial"/>
          <w:sz w:val="24"/>
          <w:szCs w:val="24"/>
          <w:lang w:val="en-GB"/>
        </w:rPr>
        <w:t>apply</w:t>
      </w:r>
      <w:r w:rsidRPr="00C901DB">
        <w:rPr>
          <w:rFonts w:ascii="Arial" w:hAnsi="Arial" w:cs="Arial"/>
          <w:sz w:val="24"/>
          <w:szCs w:val="24"/>
          <w:lang w:val="en-GB"/>
        </w:rPr>
        <w:t xml:space="preserve"> for the review and setting aside of their own erroneous decisions upon learning of them</w:t>
      </w:r>
      <w:r w:rsidR="00666789">
        <w:rPr>
          <w:rFonts w:ascii="Arial" w:hAnsi="Arial" w:cs="Arial"/>
          <w:sz w:val="24"/>
          <w:szCs w:val="24"/>
          <w:lang w:val="en-GB"/>
        </w:rPr>
        <w:t>.  This was not done and therefore</w:t>
      </w:r>
      <w:r w:rsidRPr="00C901DB">
        <w:rPr>
          <w:rFonts w:ascii="Arial" w:hAnsi="Arial" w:cs="Arial"/>
          <w:sz w:val="24"/>
          <w:szCs w:val="24"/>
          <w:lang w:val="en-GB"/>
        </w:rPr>
        <w:t xml:space="preserve"> </w:t>
      </w:r>
      <w:r w:rsidR="00666789">
        <w:rPr>
          <w:rFonts w:ascii="Arial" w:hAnsi="Arial" w:cs="Arial"/>
          <w:sz w:val="24"/>
          <w:szCs w:val="24"/>
          <w:lang w:val="en-GB"/>
        </w:rPr>
        <w:t>it is my considered view that</w:t>
      </w:r>
      <w:r>
        <w:rPr>
          <w:rFonts w:ascii="Arial" w:hAnsi="Arial" w:cs="Arial"/>
          <w:sz w:val="24"/>
          <w:szCs w:val="24"/>
          <w:lang w:val="en-GB"/>
        </w:rPr>
        <w:t xml:space="preserve"> </w:t>
      </w:r>
      <w:r w:rsidR="00666789">
        <w:rPr>
          <w:rFonts w:ascii="Arial" w:hAnsi="Arial" w:cs="Arial"/>
          <w:sz w:val="24"/>
          <w:szCs w:val="24"/>
          <w:lang w:val="en-GB"/>
        </w:rPr>
        <w:t xml:space="preserve">best possible remedy that was available to the plaintiff was what is provided for by the provisions of section 35(10) for the Administration of Estates Act.  Section 35(10) allows any person </w:t>
      </w:r>
      <w:r w:rsidR="00666789" w:rsidRPr="00666789">
        <w:rPr>
          <w:rFonts w:ascii="Arial" w:hAnsi="Arial" w:cs="Arial"/>
          <w:sz w:val="24"/>
          <w:szCs w:val="24"/>
          <w:lang w:val="en-GB"/>
        </w:rPr>
        <w:t>aggrieved by any direction of the Master or by a refusal of the Master to sustain an objection so lodged</w:t>
      </w:r>
      <w:r w:rsidR="00666789">
        <w:rPr>
          <w:rFonts w:ascii="Arial" w:hAnsi="Arial" w:cs="Arial"/>
          <w:sz w:val="24"/>
          <w:szCs w:val="24"/>
          <w:lang w:val="en-GB"/>
        </w:rPr>
        <w:t>, to</w:t>
      </w:r>
      <w:r w:rsidR="00666789" w:rsidRPr="00666789">
        <w:rPr>
          <w:rFonts w:ascii="Arial" w:hAnsi="Arial" w:cs="Arial"/>
          <w:sz w:val="24"/>
          <w:szCs w:val="24"/>
          <w:lang w:val="en-GB"/>
        </w:rPr>
        <w:t xml:space="preserve"> apply by motion to the Court within thirty days after the date of such direction or refusal or within such further period as the Court may allow, for an order to set aside the Master’s decision and the Court may make such order as it may think fit.'</w:t>
      </w:r>
    </w:p>
    <w:p w:rsidR="00666789" w:rsidRDefault="00666789" w:rsidP="00A26DDC">
      <w:pPr>
        <w:spacing w:after="0" w:line="360" w:lineRule="auto"/>
        <w:jc w:val="both"/>
        <w:rPr>
          <w:rFonts w:ascii="Arial" w:hAnsi="Arial" w:cs="Arial"/>
          <w:sz w:val="24"/>
          <w:szCs w:val="24"/>
          <w:lang w:val="en-GB"/>
        </w:rPr>
      </w:pPr>
    </w:p>
    <w:p w:rsidR="008749CE" w:rsidRDefault="008749CE" w:rsidP="00A26DDC">
      <w:pPr>
        <w:spacing w:after="0" w:line="360" w:lineRule="auto"/>
        <w:jc w:val="both"/>
        <w:rPr>
          <w:rFonts w:ascii="Arial" w:hAnsi="Arial" w:cs="Arial"/>
          <w:sz w:val="24"/>
          <w:szCs w:val="24"/>
          <w:lang w:val="en-GB"/>
        </w:rPr>
      </w:pPr>
    </w:p>
    <w:p w:rsidR="008749CE" w:rsidRDefault="008749CE" w:rsidP="00A26DDC">
      <w:pPr>
        <w:spacing w:after="0" w:line="360" w:lineRule="auto"/>
        <w:jc w:val="both"/>
        <w:rPr>
          <w:rFonts w:ascii="Arial" w:hAnsi="Arial" w:cs="Arial"/>
          <w:sz w:val="24"/>
          <w:szCs w:val="24"/>
          <w:lang w:val="en-GB"/>
        </w:rPr>
      </w:pPr>
    </w:p>
    <w:p w:rsidR="00146984" w:rsidRPr="00146984" w:rsidRDefault="00146984" w:rsidP="00A26DDC">
      <w:pPr>
        <w:spacing w:after="0" w:line="360" w:lineRule="auto"/>
        <w:jc w:val="both"/>
        <w:rPr>
          <w:rFonts w:ascii="Arial" w:hAnsi="Arial" w:cs="Arial"/>
          <w:i/>
          <w:sz w:val="24"/>
          <w:szCs w:val="24"/>
          <w:lang w:val="en-GB"/>
        </w:rPr>
      </w:pPr>
      <w:r w:rsidRPr="00146984">
        <w:rPr>
          <w:rFonts w:ascii="Arial" w:hAnsi="Arial" w:cs="Arial"/>
          <w:i/>
          <w:sz w:val="24"/>
          <w:szCs w:val="24"/>
          <w:lang w:val="en-GB"/>
        </w:rPr>
        <w:lastRenderedPageBreak/>
        <w:t>Conclusion</w:t>
      </w:r>
    </w:p>
    <w:p w:rsidR="00146984" w:rsidRDefault="00146984" w:rsidP="00A26DDC">
      <w:pPr>
        <w:spacing w:after="0" w:line="360" w:lineRule="auto"/>
        <w:jc w:val="both"/>
        <w:rPr>
          <w:rFonts w:ascii="Arial" w:hAnsi="Arial" w:cs="Arial"/>
          <w:sz w:val="24"/>
          <w:szCs w:val="24"/>
          <w:lang w:val="en-GB"/>
        </w:rPr>
      </w:pPr>
    </w:p>
    <w:p w:rsidR="003B17CE" w:rsidRDefault="000160E5" w:rsidP="00A26DDC">
      <w:pPr>
        <w:spacing w:after="0" w:line="360" w:lineRule="auto"/>
        <w:jc w:val="both"/>
        <w:rPr>
          <w:rFonts w:ascii="Arial" w:hAnsi="Arial" w:cs="Arial"/>
          <w:sz w:val="24"/>
          <w:szCs w:val="24"/>
          <w:lang w:val="en-GB"/>
        </w:rPr>
      </w:pPr>
      <w:r>
        <w:rPr>
          <w:rFonts w:ascii="Arial" w:hAnsi="Arial" w:cs="Arial"/>
          <w:sz w:val="24"/>
          <w:szCs w:val="24"/>
          <w:lang w:val="en-GB"/>
        </w:rPr>
        <w:t>[</w:t>
      </w:r>
      <w:r w:rsidR="00097C4A">
        <w:rPr>
          <w:rFonts w:ascii="Arial" w:hAnsi="Arial" w:cs="Arial"/>
          <w:sz w:val="24"/>
          <w:szCs w:val="24"/>
          <w:lang w:val="en-GB"/>
        </w:rPr>
        <w:t>4</w:t>
      </w:r>
      <w:r w:rsidR="00666789">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r>
      <w:r w:rsidR="00FA6B40">
        <w:rPr>
          <w:rFonts w:ascii="Arial" w:hAnsi="Arial" w:cs="Arial"/>
          <w:sz w:val="24"/>
          <w:szCs w:val="24"/>
          <w:lang w:val="en-GB"/>
        </w:rPr>
        <w:t xml:space="preserve">After addressing the above questions the court must deal with the question of whether the relief asked by the plaintiff is relief that can be granted eventually by the court.  </w:t>
      </w:r>
      <w:r w:rsidR="00FA6B40" w:rsidRPr="00FA6B40">
        <w:rPr>
          <w:rFonts w:ascii="Arial" w:hAnsi="Arial" w:cs="Arial"/>
          <w:sz w:val="24"/>
          <w:szCs w:val="24"/>
          <w:lang w:val="en-GB"/>
        </w:rPr>
        <w:t>The result of the determination of the above issues is that the court finds that the matter is indeed one that merit</w:t>
      </w:r>
      <w:r w:rsidR="00496DB1">
        <w:rPr>
          <w:rFonts w:ascii="Arial" w:hAnsi="Arial" w:cs="Arial"/>
          <w:sz w:val="24"/>
          <w:szCs w:val="24"/>
          <w:lang w:val="en-GB"/>
        </w:rPr>
        <w:t>s</w:t>
      </w:r>
      <w:r w:rsidR="00FA6B40" w:rsidRPr="00FA6B40">
        <w:rPr>
          <w:rFonts w:ascii="Arial" w:hAnsi="Arial" w:cs="Arial"/>
          <w:sz w:val="24"/>
          <w:szCs w:val="24"/>
          <w:lang w:val="en-GB"/>
        </w:rPr>
        <w:t xml:space="preserve"> a review</w:t>
      </w:r>
      <w:r w:rsidR="00FA6B40">
        <w:rPr>
          <w:rFonts w:ascii="Arial" w:hAnsi="Arial" w:cs="Arial"/>
          <w:sz w:val="24"/>
          <w:szCs w:val="24"/>
          <w:lang w:val="en-GB"/>
        </w:rPr>
        <w:t xml:space="preserve"> and that the relief sought by the plaintiff in thi</w:t>
      </w:r>
      <w:r w:rsidR="00496DB1">
        <w:rPr>
          <w:rFonts w:ascii="Arial" w:hAnsi="Arial" w:cs="Arial"/>
          <w:sz w:val="24"/>
          <w:szCs w:val="24"/>
          <w:lang w:val="en-GB"/>
        </w:rPr>
        <w:t>s matter is unattainable and</w:t>
      </w:r>
      <w:r w:rsidR="00FA6B40">
        <w:rPr>
          <w:rFonts w:ascii="Arial" w:hAnsi="Arial" w:cs="Arial"/>
          <w:sz w:val="24"/>
          <w:szCs w:val="24"/>
          <w:lang w:val="en-GB"/>
        </w:rPr>
        <w:t xml:space="preserve"> granting the</w:t>
      </w:r>
      <w:r w:rsidR="003B17CE">
        <w:rPr>
          <w:rFonts w:ascii="Arial" w:hAnsi="Arial" w:cs="Arial"/>
          <w:sz w:val="24"/>
          <w:szCs w:val="24"/>
          <w:lang w:val="en-GB"/>
        </w:rPr>
        <w:t xml:space="preserve"> o</w:t>
      </w:r>
      <w:r w:rsidR="00A26DDC" w:rsidRPr="00A26DDC">
        <w:rPr>
          <w:rFonts w:ascii="Arial" w:hAnsi="Arial" w:cs="Arial"/>
          <w:sz w:val="24"/>
          <w:szCs w:val="24"/>
          <w:lang w:val="en-GB"/>
        </w:rPr>
        <w:t>rders sought, would transgre</w:t>
      </w:r>
      <w:r w:rsidR="003B17CE">
        <w:rPr>
          <w:rFonts w:ascii="Arial" w:hAnsi="Arial" w:cs="Arial"/>
          <w:sz w:val="24"/>
          <w:szCs w:val="24"/>
          <w:lang w:val="en-GB"/>
        </w:rPr>
        <w:t>ss these fundamental principles.</w:t>
      </w:r>
      <w:r w:rsidR="00A26DDC" w:rsidRPr="00A26DDC">
        <w:rPr>
          <w:rFonts w:ascii="Arial" w:hAnsi="Arial" w:cs="Arial"/>
          <w:sz w:val="24"/>
          <w:szCs w:val="24"/>
          <w:lang w:val="en-GB"/>
        </w:rPr>
        <w:t xml:space="preserve"> </w:t>
      </w:r>
    </w:p>
    <w:p w:rsidR="003B17CE" w:rsidRDefault="003B17CE" w:rsidP="00A26DDC">
      <w:pPr>
        <w:spacing w:after="0" w:line="360" w:lineRule="auto"/>
        <w:jc w:val="both"/>
        <w:rPr>
          <w:rFonts w:ascii="Arial" w:hAnsi="Arial" w:cs="Arial"/>
          <w:sz w:val="24"/>
          <w:szCs w:val="24"/>
          <w:lang w:val="en-GB"/>
        </w:rPr>
      </w:pPr>
    </w:p>
    <w:p w:rsidR="00A26DDC" w:rsidRPr="00A26DDC" w:rsidRDefault="003B17CE" w:rsidP="003B17CE">
      <w:pPr>
        <w:spacing w:after="0" w:line="360" w:lineRule="auto"/>
        <w:jc w:val="both"/>
        <w:rPr>
          <w:rFonts w:ascii="Arial" w:hAnsi="Arial" w:cs="Arial"/>
          <w:sz w:val="24"/>
          <w:szCs w:val="24"/>
          <w:lang w:val="en-GB"/>
        </w:rPr>
      </w:pPr>
      <w:r>
        <w:rPr>
          <w:rFonts w:ascii="Arial" w:hAnsi="Arial" w:cs="Arial"/>
          <w:sz w:val="24"/>
          <w:szCs w:val="24"/>
          <w:lang w:val="en-GB"/>
        </w:rPr>
        <w:t>[</w:t>
      </w:r>
      <w:r w:rsidR="00097C4A">
        <w:rPr>
          <w:rFonts w:ascii="Arial" w:hAnsi="Arial" w:cs="Arial"/>
          <w:sz w:val="24"/>
          <w:szCs w:val="24"/>
          <w:lang w:val="en-GB"/>
        </w:rPr>
        <w:t>4</w:t>
      </w:r>
      <w:r w:rsidR="00666789">
        <w:rPr>
          <w:rFonts w:ascii="Arial" w:hAnsi="Arial" w:cs="Arial"/>
          <w:sz w:val="24"/>
          <w:szCs w:val="24"/>
          <w:lang w:val="en-GB"/>
        </w:rPr>
        <w:t>7</w:t>
      </w:r>
      <w:r>
        <w:rPr>
          <w:rFonts w:ascii="Arial" w:hAnsi="Arial" w:cs="Arial"/>
          <w:sz w:val="24"/>
          <w:szCs w:val="24"/>
          <w:lang w:val="en-GB"/>
        </w:rPr>
        <w:t>]</w:t>
      </w:r>
      <w:r>
        <w:rPr>
          <w:rFonts w:ascii="Arial" w:hAnsi="Arial" w:cs="Arial"/>
          <w:sz w:val="24"/>
          <w:szCs w:val="24"/>
          <w:lang w:val="en-GB"/>
        </w:rPr>
        <w:tab/>
        <w:t>G</w:t>
      </w:r>
      <w:r w:rsidR="00A26DDC" w:rsidRPr="00A26DDC">
        <w:rPr>
          <w:rFonts w:ascii="Arial" w:hAnsi="Arial" w:cs="Arial"/>
          <w:sz w:val="24"/>
          <w:szCs w:val="24"/>
          <w:lang w:val="en-GB"/>
        </w:rPr>
        <w:t>iven the circumstances</w:t>
      </w:r>
      <w:r>
        <w:rPr>
          <w:rFonts w:ascii="Arial" w:hAnsi="Arial" w:cs="Arial"/>
          <w:sz w:val="24"/>
          <w:szCs w:val="24"/>
          <w:lang w:val="en-GB"/>
        </w:rPr>
        <w:t xml:space="preserve"> - and where</w:t>
      </w:r>
      <w:r w:rsidR="00A26DDC" w:rsidRPr="00A26DDC">
        <w:rPr>
          <w:rFonts w:ascii="Arial" w:hAnsi="Arial" w:cs="Arial"/>
          <w:sz w:val="24"/>
          <w:szCs w:val="24"/>
          <w:lang w:val="en-GB"/>
        </w:rPr>
        <w:t xml:space="preserve"> the decision regardin</w:t>
      </w:r>
      <w:r>
        <w:rPr>
          <w:rFonts w:ascii="Arial" w:hAnsi="Arial" w:cs="Arial"/>
          <w:sz w:val="24"/>
          <w:szCs w:val="24"/>
          <w:lang w:val="en-GB"/>
        </w:rPr>
        <w:t xml:space="preserve">g the </w:t>
      </w:r>
      <w:r w:rsidR="007119B7">
        <w:rPr>
          <w:rFonts w:ascii="Arial" w:hAnsi="Arial" w:cs="Arial"/>
          <w:sz w:val="24"/>
          <w:szCs w:val="24"/>
          <w:lang w:val="en-GB"/>
        </w:rPr>
        <w:t xml:space="preserve">non-objection  </w:t>
      </w:r>
      <w:r w:rsidR="00FA6B40">
        <w:rPr>
          <w:rFonts w:ascii="Arial" w:hAnsi="Arial" w:cs="Arial"/>
          <w:sz w:val="24"/>
          <w:szCs w:val="24"/>
          <w:lang w:val="en-GB"/>
        </w:rPr>
        <w:t xml:space="preserve">and the amendment of the liquidation and distribution of the account </w:t>
      </w:r>
      <w:r w:rsidR="00A26DDC" w:rsidRPr="00A26DDC">
        <w:rPr>
          <w:rFonts w:ascii="Arial" w:hAnsi="Arial" w:cs="Arial"/>
          <w:sz w:val="24"/>
          <w:szCs w:val="24"/>
          <w:lang w:val="en-GB"/>
        </w:rPr>
        <w:t>continue to stand</w:t>
      </w:r>
      <w:r>
        <w:rPr>
          <w:rFonts w:ascii="Arial" w:hAnsi="Arial" w:cs="Arial"/>
          <w:sz w:val="24"/>
          <w:szCs w:val="24"/>
          <w:lang w:val="en-GB"/>
        </w:rPr>
        <w:t xml:space="preserve"> -</w:t>
      </w:r>
      <w:r w:rsidR="00A26DDC" w:rsidRPr="00A26DDC">
        <w:rPr>
          <w:rFonts w:ascii="Arial" w:hAnsi="Arial" w:cs="Arial"/>
          <w:sz w:val="24"/>
          <w:szCs w:val="24"/>
          <w:lang w:val="en-GB"/>
        </w:rPr>
        <w:t xml:space="preserve"> and are to be regarded as legally valid </w:t>
      </w:r>
      <w:r>
        <w:rPr>
          <w:rFonts w:ascii="Arial" w:hAnsi="Arial" w:cs="Arial"/>
          <w:sz w:val="24"/>
          <w:szCs w:val="24"/>
          <w:lang w:val="en-GB"/>
        </w:rPr>
        <w:t>-</w:t>
      </w:r>
      <w:r w:rsidR="00A26DDC" w:rsidRPr="00A26DDC">
        <w:rPr>
          <w:rFonts w:ascii="Arial" w:hAnsi="Arial" w:cs="Arial"/>
          <w:sz w:val="24"/>
          <w:szCs w:val="24"/>
          <w:lang w:val="en-GB"/>
        </w:rPr>
        <w:t xml:space="preserve"> in the absence of any review challenging these decisions</w:t>
      </w:r>
      <w:r>
        <w:rPr>
          <w:rFonts w:ascii="Arial" w:hAnsi="Arial" w:cs="Arial"/>
          <w:sz w:val="24"/>
          <w:szCs w:val="24"/>
          <w:lang w:val="en-GB"/>
        </w:rPr>
        <w:t xml:space="preserve"> -</w:t>
      </w:r>
      <w:r w:rsidR="00A26DDC" w:rsidRPr="00A26DDC">
        <w:rPr>
          <w:rFonts w:ascii="Arial" w:hAnsi="Arial" w:cs="Arial"/>
          <w:sz w:val="24"/>
          <w:szCs w:val="24"/>
          <w:lang w:val="en-GB"/>
        </w:rPr>
        <w:t xml:space="preserve"> I</w:t>
      </w:r>
      <w:r>
        <w:rPr>
          <w:rFonts w:ascii="Arial" w:hAnsi="Arial" w:cs="Arial"/>
          <w:sz w:val="24"/>
          <w:szCs w:val="24"/>
          <w:lang w:val="en-GB"/>
        </w:rPr>
        <w:t xml:space="preserve"> cannot see my way clear to acc</w:t>
      </w:r>
      <w:r w:rsidR="00A26DDC" w:rsidRPr="00A26DDC">
        <w:rPr>
          <w:rFonts w:ascii="Arial" w:hAnsi="Arial" w:cs="Arial"/>
          <w:sz w:val="24"/>
          <w:szCs w:val="24"/>
          <w:lang w:val="en-GB"/>
        </w:rPr>
        <w:t>ed</w:t>
      </w:r>
      <w:r>
        <w:rPr>
          <w:rFonts w:ascii="Arial" w:hAnsi="Arial" w:cs="Arial"/>
          <w:sz w:val="24"/>
          <w:szCs w:val="24"/>
          <w:lang w:val="en-GB"/>
        </w:rPr>
        <w:t>e</w:t>
      </w:r>
      <w:r w:rsidR="00A26DDC" w:rsidRPr="00A26DDC">
        <w:rPr>
          <w:rFonts w:ascii="Arial" w:hAnsi="Arial" w:cs="Arial"/>
          <w:sz w:val="24"/>
          <w:szCs w:val="24"/>
          <w:lang w:val="en-GB"/>
        </w:rPr>
        <w:t xml:space="preserve"> to the relief that is sought by the </w:t>
      </w:r>
      <w:r w:rsidR="00666789">
        <w:rPr>
          <w:rFonts w:ascii="Arial" w:hAnsi="Arial" w:cs="Arial"/>
          <w:sz w:val="24"/>
          <w:szCs w:val="24"/>
          <w:lang w:val="en-GB"/>
        </w:rPr>
        <w:t>plaintiff</w:t>
      </w:r>
      <w:r w:rsidR="00A26DDC" w:rsidRPr="00A26DDC">
        <w:rPr>
          <w:rFonts w:ascii="Arial" w:hAnsi="Arial" w:cs="Arial"/>
          <w:sz w:val="24"/>
          <w:szCs w:val="24"/>
          <w:lang w:val="en-GB"/>
        </w:rPr>
        <w:t>.</w:t>
      </w:r>
    </w:p>
    <w:p w:rsidR="00146984" w:rsidRDefault="00146984" w:rsidP="00A26DDC">
      <w:pPr>
        <w:spacing w:after="0" w:line="360" w:lineRule="auto"/>
        <w:jc w:val="both"/>
        <w:rPr>
          <w:rFonts w:ascii="Arial" w:hAnsi="Arial" w:cs="Arial"/>
          <w:sz w:val="24"/>
          <w:szCs w:val="24"/>
          <w:lang w:val="en-GB"/>
        </w:rPr>
      </w:pPr>
    </w:p>
    <w:p w:rsidR="00097C4A" w:rsidRDefault="00097C4A" w:rsidP="00097C4A">
      <w:pPr>
        <w:spacing w:after="0" w:line="360" w:lineRule="auto"/>
        <w:jc w:val="both"/>
        <w:rPr>
          <w:rFonts w:ascii="Arial" w:hAnsi="Arial" w:cs="Arial"/>
          <w:i/>
          <w:sz w:val="24"/>
          <w:szCs w:val="24"/>
          <w:lang w:val="en-GB"/>
        </w:rPr>
      </w:pPr>
      <w:r w:rsidRPr="00097C4A">
        <w:rPr>
          <w:rFonts w:ascii="Arial" w:hAnsi="Arial" w:cs="Arial"/>
          <w:i/>
          <w:sz w:val="24"/>
          <w:szCs w:val="24"/>
          <w:lang w:val="en-GB"/>
        </w:rPr>
        <w:t>Costs</w:t>
      </w:r>
    </w:p>
    <w:p w:rsidR="00097C4A" w:rsidRPr="00097C4A" w:rsidRDefault="00097C4A" w:rsidP="00097C4A">
      <w:pPr>
        <w:spacing w:after="0" w:line="360" w:lineRule="auto"/>
        <w:jc w:val="both"/>
        <w:rPr>
          <w:rFonts w:ascii="Arial" w:hAnsi="Arial" w:cs="Arial"/>
          <w:i/>
          <w:sz w:val="24"/>
          <w:szCs w:val="24"/>
          <w:lang w:val="en-GB"/>
        </w:rPr>
      </w:pPr>
    </w:p>
    <w:p w:rsidR="00A26DDC" w:rsidRPr="00097C4A" w:rsidRDefault="00496DB1" w:rsidP="00097C4A">
      <w:pPr>
        <w:spacing w:after="0" w:line="360" w:lineRule="auto"/>
        <w:jc w:val="both"/>
        <w:rPr>
          <w:rFonts w:ascii="Arial" w:hAnsi="Arial" w:cs="Arial"/>
          <w:sz w:val="24"/>
          <w:szCs w:val="24"/>
          <w:lang w:val="en-GB"/>
        </w:rPr>
      </w:pPr>
      <w:r w:rsidRPr="00496DB1">
        <w:rPr>
          <w:rFonts w:ascii="Arial" w:hAnsi="Arial" w:cs="Arial"/>
          <w:sz w:val="24"/>
          <w:szCs w:val="24"/>
          <w:lang w:val="en-GB"/>
        </w:rPr>
        <w:t>[</w:t>
      </w:r>
      <w:r w:rsidR="00097C4A">
        <w:rPr>
          <w:rFonts w:ascii="Arial" w:hAnsi="Arial" w:cs="Arial"/>
          <w:sz w:val="24"/>
          <w:szCs w:val="24"/>
          <w:lang w:val="en-GB"/>
        </w:rPr>
        <w:t>4</w:t>
      </w:r>
      <w:r w:rsidR="00666789">
        <w:rPr>
          <w:rFonts w:ascii="Arial" w:hAnsi="Arial" w:cs="Arial"/>
          <w:sz w:val="24"/>
          <w:szCs w:val="24"/>
          <w:lang w:val="en-GB"/>
        </w:rPr>
        <w:t>8</w:t>
      </w:r>
      <w:r w:rsidR="00097C4A" w:rsidRPr="00097C4A">
        <w:rPr>
          <w:rFonts w:ascii="Arial" w:hAnsi="Arial" w:cs="Arial"/>
          <w:sz w:val="24"/>
          <w:szCs w:val="24"/>
          <w:lang w:val="en-GB"/>
        </w:rPr>
        <w:t xml:space="preserve">] No reasons were placed before this court why </w:t>
      </w:r>
      <w:r w:rsidR="00097C4A">
        <w:rPr>
          <w:rFonts w:ascii="Arial" w:hAnsi="Arial" w:cs="Arial"/>
          <w:sz w:val="24"/>
          <w:szCs w:val="24"/>
          <w:lang w:val="en-GB"/>
        </w:rPr>
        <w:t>the well-established principle that</w:t>
      </w:r>
      <w:r w:rsidR="00097C4A" w:rsidRPr="00097C4A">
        <w:rPr>
          <w:rFonts w:ascii="Arial" w:hAnsi="Arial" w:cs="Arial"/>
          <w:sz w:val="24"/>
          <w:szCs w:val="24"/>
          <w:lang w:val="en-GB"/>
        </w:rPr>
        <w:t xml:space="preserve"> costs should follow the event should not be endo</w:t>
      </w:r>
      <w:r w:rsidR="00097C4A">
        <w:rPr>
          <w:rFonts w:ascii="Arial" w:hAnsi="Arial" w:cs="Arial"/>
          <w:sz w:val="24"/>
          <w:szCs w:val="24"/>
          <w:lang w:val="en-GB"/>
        </w:rPr>
        <w:t>rsed in this matter. The court could</w:t>
      </w:r>
      <w:r w:rsidR="00097C4A" w:rsidRPr="00097C4A">
        <w:rPr>
          <w:rFonts w:ascii="Arial" w:hAnsi="Arial" w:cs="Arial"/>
          <w:sz w:val="24"/>
          <w:szCs w:val="24"/>
          <w:lang w:val="en-GB"/>
        </w:rPr>
        <w:t xml:space="preserve"> also not find compelling reasons to depart from such principle.</w:t>
      </w:r>
    </w:p>
    <w:p w:rsidR="000B5986" w:rsidRDefault="000B5986" w:rsidP="00A26DDC">
      <w:pPr>
        <w:spacing w:after="0" w:line="360" w:lineRule="auto"/>
        <w:jc w:val="both"/>
        <w:rPr>
          <w:rFonts w:ascii="Arial" w:hAnsi="Arial" w:cs="Arial"/>
          <w:sz w:val="24"/>
          <w:szCs w:val="24"/>
          <w:lang w:val="en-GB"/>
        </w:rPr>
      </w:pPr>
    </w:p>
    <w:p w:rsidR="00097C4A" w:rsidRDefault="00097C4A" w:rsidP="00A26DDC">
      <w:pPr>
        <w:spacing w:after="0" w:line="360" w:lineRule="auto"/>
        <w:jc w:val="both"/>
        <w:rPr>
          <w:rFonts w:ascii="Arial" w:hAnsi="Arial" w:cs="Arial"/>
          <w:sz w:val="24"/>
          <w:szCs w:val="24"/>
          <w:lang w:val="en-GB"/>
        </w:rPr>
      </w:pPr>
      <w:r>
        <w:rPr>
          <w:rFonts w:ascii="Arial" w:hAnsi="Arial" w:cs="Arial"/>
          <w:sz w:val="24"/>
          <w:szCs w:val="24"/>
          <w:lang w:val="en-GB"/>
        </w:rPr>
        <w:t>Order</w:t>
      </w:r>
    </w:p>
    <w:p w:rsidR="00097C4A" w:rsidRPr="00A26DDC" w:rsidRDefault="00097C4A" w:rsidP="00A26DDC">
      <w:pPr>
        <w:spacing w:after="0" w:line="360" w:lineRule="auto"/>
        <w:jc w:val="both"/>
        <w:rPr>
          <w:rFonts w:ascii="Arial" w:hAnsi="Arial" w:cs="Arial"/>
          <w:sz w:val="24"/>
          <w:szCs w:val="24"/>
          <w:lang w:val="en-GB"/>
        </w:rPr>
      </w:pPr>
    </w:p>
    <w:p w:rsidR="00097C4A" w:rsidRDefault="000160E5" w:rsidP="00A26DDC">
      <w:pPr>
        <w:spacing w:after="0" w:line="360" w:lineRule="auto"/>
        <w:jc w:val="both"/>
        <w:rPr>
          <w:rFonts w:ascii="Arial" w:hAnsi="Arial" w:cs="Arial"/>
          <w:sz w:val="24"/>
          <w:szCs w:val="24"/>
          <w:lang w:val="en-GB"/>
        </w:rPr>
      </w:pPr>
      <w:r>
        <w:rPr>
          <w:rFonts w:ascii="Arial" w:hAnsi="Arial" w:cs="Arial"/>
          <w:sz w:val="24"/>
          <w:szCs w:val="24"/>
          <w:lang w:val="en-GB"/>
        </w:rPr>
        <w:t>[</w:t>
      </w:r>
      <w:r w:rsidR="00097C4A">
        <w:rPr>
          <w:rFonts w:ascii="Arial" w:hAnsi="Arial" w:cs="Arial"/>
          <w:sz w:val="24"/>
          <w:szCs w:val="24"/>
          <w:lang w:val="en-GB"/>
        </w:rPr>
        <w:t>4</w:t>
      </w:r>
      <w:r w:rsidR="00666789">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r>
      <w:r w:rsidR="00097C4A">
        <w:rPr>
          <w:rFonts w:ascii="Arial" w:hAnsi="Arial" w:cs="Arial"/>
          <w:sz w:val="24"/>
          <w:szCs w:val="24"/>
          <w:lang w:val="en-GB"/>
        </w:rPr>
        <w:t>It is therefore ordered as follows:</w:t>
      </w:r>
    </w:p>
    <w:p w:rsidR="00097C4A" w:rsidRDefault="00097C4A" w:rsidP="00A26DDC">
      <w:pPr>
        <w:spacing w:after="0" w:line="360" w:lineRule="auto"/>
        <w:jc w:val="both"/>
        <w:rPr>
          <w:rFonts w:ascii="Arial" w:hAnsi="Arial" w:cs="Arial"/>
          <w:sz w:val="24"/>
          <w:szCs w:val="24"/>
          <w:lang w:val="en-GB"/>
        </w:rPr>
      </w:pPr>
    </w:p>
    <w:p w:rsidR="00097C4A" w:rsidRPr="00097C4A" w:rsidRDefault="00097C4A" w:rsidP="00097C4A">
      <w:pPr>
        <w:spacing w:after="0" w:line="360" w:lineRule="auto"/>
        <w:ind w:left="720" w:hanging="720"/>
        <w:jc w:val="both"/>
        <w:rPr>
          <w:rFonts w:ascii="Arial" w:hAnsi="Arial" w:cs="Arial"/>
          <w:sz w:val="24"/>
          <w:szCs w:val="24"/>
          <w:lang w:val="en-GB"/>
        </w:rPr>
      </w:pPr>
      <w:r w:rsidRPr="00097C4A">
        <w:rPr>
          <w:rFonts w:ascii="Arial" w:hAnsi="Arial" w:cs="Arial"/>
          <w:sz w:val="24"/>
          <w:szCs w:val="24"/>
          <w:lang w:val="en-GB"/>
        </w:rPr>
        <w:t>1.</w:t>
      </w:r>
      <w:r w:rsidRPr="00097C4A">
        <w:rPr>
          <w:rFonts w:ascii="Arial" w:hAnsi="Arial" w:cs="Arial"/>
          <w:sz w:val="24"/>
          <w:szCs w:val="24"/>
          <w:lang w:val="en-GB"/>
        </w:rPr>
        <w:tab/>
        <w:t>The application is dismissed with costs, such costs are to</w:t>
      </w:r>
      <w:r w:rsidR="00496DB1">
        <w:rPr>
          <w:rFonts w:ascii="Arial" w:hAnsi="Arial" w:cs="Arial"/>
          <w:sz w:val="24"/>
          <w:szCs w:val="24"/>
          <w:lang w:val="en-GB"/>
        </w:rPr>
        <w:t xml:space="preserve"> include the costs consequent upon the employment one instructing and one instructed counsel</w:t>
      </w:r>
      <w:r w:rsidRPr="00097C4A">
        <w:rPr>
          <w:rFonts w:ascii="Arial" w:hAnsi="Arial" w:cs="Arial"/>
          <w:sz w:val="24"/>
          <w:szCs w:val="24"/>
          <w:lang w:val="en-GB"/>
        </w:rPr>
        <w:t xml:space="preserve">. </w:t>
      </w:r>
    </w:p>
    <w:p w:rsidR="00097C4A" w:rsidRDefault="00097C4A" w:rsidP="00097C4A">
      <w:pPr>
        <w:spacing w:after="0" w:line="360" w:lineRule="auto"/>
        <w:jc w:val="both"/>
        <w:rPr>
          <w:rFonts w:ascii="Arial" w:hAnsi="Arial" w:cs="Arial"/>
          <w:sz w:val="24"/>
          <w:szCs w:val="24"/>
          <w:lang w:val="en-GB"/>
        </w:rPr>
      </w:pPr>
      <w:r w:rsidRPr="00097C4A">
        <w:rPr>
          <w:rFonts w:ascii="Arial" w:hAnsi="Arial" w:cs="Arial"/>
          <w:sz w:val="24"/>
          <w:szCs w:val="24"/>
          <w:lang w:val="en-GB"/>
        </w:rPr>
        <w:t>2.</w:t>
      </w:r>
      <w:r w:rsidRPr="00097C4A">
        <w:rPr>
          <w:rFonts w:ascii="Arial" w:hAnsi="Arial" w:cs="Arial"/>
          <w:sz w:val="24"/>
          <w:szCs w:val="24"/>
          <w:lang w:val="en-GB"/>
        </w:rPr>
        <w:tab/>
        <w:t>The matter is removed from the roll and regarded as finalised.</w:t>
      </w:r>
    </w:p>
    <w:p w:rsidR="00097C4A" w:rsidRDefault="00097C4A" w:rsidP="00A26DDC">
      <w:pPr>
        <w:spacing w:after="0" w:line="360" w:lineRule="auto"/>
        <w:jc w:val="both"/>
        <w:rPr>
          <w:rFonts w:ascii="Arial" w:hAnsi="Arial" w:cs="Arial"/>
          <w:sz w:val="24"/>
          <w:szCs w:val="24"/>
          <w:lang w:val="en-GB"/>
        </w:rPr>
      </w:pPr>
    </w:p>
    <w:p w:rsidR="000B5986" w:rsidRDefault="000B5986" w:rsidP="000B5986">
      <w:pPr>
        <w:spacing w:after="0" w:line="360" w:lineRule="auto"/>
        <w:rPr>
          <w:rFonts w:ascii="Arial" w:hAnsi="Arial" w:cs="Arial"/>
          <w:sz w:val="24"/>
          <w:szCs w:val="24"/>
        </w:rPr>
      </w:pPr>
    </w:p>
    <w:p w:rsidR="000B5986" w:rsidRDefault="000B5986" w:rsidP="000B5986">
      <w:pPr>
        <w:spacing w:after="0" w:line="360" w:lineRule="auto"/>
        <w:rPr>
          <w:rFonts w:ascii="Arial" w:hAnsi="Arial" w:cs="Arial"/>
          <w:sz w:val="24"/>
          <w:szCs w:val="24"/>
        </w:rPr>
      </w:pPr>
    </w:p>
    <w:p w:rsidR="00E24BC4" w:rsidRDefault="00E24BC4"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D60A52" w:rsidP="001B7E1F">
      <w:pPr>
        <w:spacing w:after="0" w:line="360" w:lineRule="auto"/>
        <w:jc w:val="right"/>
        <w:rPr>
          <w:rFonts w:ascii="Arial" w:hAnsi="Arial" w:cs="Arial"/>
          <w:sz w:val="24"/>
          <w:szCs w:val="24"/>
        </w:rPr>
      </w:pPr>
      <w:r>
        <w:rPr>
          <w:rFonts w:ascii="Arial" w:hAnsi="Arial" w:cs="Arial"/>
          <w:sz w:val="24"/>
          <w:szCs w:val="24"/>
        </w:rPr>
        <w:t>CHRISTIAAN P</w:t>
      </w:r>
    </w:p>
    <w:p w:rsidR="001B7E1F" w:rsidRPr="006E026B" w:rsidRDefault="00D60A52" w:rsidP="001B7E1F">
      <w:pPr>
        <w:spacing w:after="0" w:line="360" w:lineRule="auto"/>
        <w:jc w:val="right"/>
        <w:rPr>
          <w:rFonts w:ascii="Arial" w:hAnsi="Arial" w:cs="Arial"/>
          <w:sz w:val="24"/>
          <w:szCs w:val="24"/>
        </w:rPr>
      </w:pPr>
      <w:r>
        <w:rPr>
          <w:rFonts w:ascii="Arial" w:hAnsi="Arial" w:cs="Arial"/>
          <w:sz w:val="24"/>
          <w:szCs w:val="24"/>
        </w:rPr>
        <w:t xml:space="preserve"> Acting </w:t>
      </w:r>
      <w:r w:rsidR="00741B0B">
        <w:rPr>
          <w:rFonts w:ascii="Arial" w:hAnsi="Arial" w:cs="Arial"/>
          <w:sz w:val="24"/>
          <w:szCs w:val="24"/>
        </w:rPr>
        <w:t>Judge</w:t>
      </w:r>
    </w:p>
    <w:p w:rsidR="00325791" w:rsidRDefault="00325791" w:rsidP="001B7E1F">
      <w:pPr>
        <w:pStyle w:val="BodyText"/>
        <w:autoSpaceDE w:val="0"/>
        <w:autoSpaceDN w:val="0"/>
        <w:adjustRightInd w:val="0"/>
        <w:spacing w:line="360" w:lineRule="auto"/>
        <w:jc w:val="both"/>
        <w:rPr>
          <w:rFonts w:ascii="Arial" w:hAnsi="Arial" w:cs="Arial"/>
        </w:rPr>
      </w:pPr>
    </w:p>
    <w:p w:rsidR="000B5986" w:rsidRDefault="000B5986" w:rsidP="001B7E1F">
      <w:pPr>
        <w:pStyle w:val="BodyText"/>
        <w:autoSpaceDE w:val="0"/>
        <w:autoSpaceDN w:val="0"/>
        <w:adjustRightInd w:val="0"/>
        <w:spacing w:line="360" w:lineRule="auto"/>
        <w:jc w:val="both"/>
        <w:rPr>
          <w:rFonts w:ascii="Arial" w:hAnsi="Arial" w:cs="Arial"/>
        </w:rPr>
      </w:pPr>
    </w:p>
    <w:p w:rsidR="000B5986" w:rsidRDefault="000B5986"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1B7E1F" w:rsidRDefault="001B7E1F" w:rsidP="001B7E1F">
      <w:pPr>
        <w:pStyle w:val="BodyText"/>
        <w:autoSpaceDE w:val="0"/>
        <w:autoSpaceDN w:val="0"/>
        <w:adjustRightInd w:val="0"/>
        <w:spacing w:line="360" w:lineRule="auto"/>
        <w:jc w:val="both"/>
        <w:rPr>
          <w:rFonts w:ascii="Arial" w:hAnsi="Arial" w:cs="Arial"/>
        </w:rPr>
      </w:pPr>
    </w:p>
    <w:p w:rsidR="00671A34" w:rsidRPr="000E7777" w:rsidRDefault="00671A34" w:rsidP="001B7E1F">
      <w:pPr>
        <w:pStyle w:val="BodyText"/>
        <w:autoSpaceDE w:val="0"/>
        <w:autoSpaceDN w:val="0"/>
        <w:adjustRightInd w:val="0"/>
        <w:spacing w:line="360" w:lineRule="auto"/>
        <w:jc w:val="both"/>
        <w:rPr>
          <w:rFonts w:ascii="Arial" w:hAnsi="Arial" w:cs="Arial"/>
        </w:rPr>
      </w:pPr>
    </w:p>
    <w:p w:rsidR="00142094" w:rsidRPr="00142094" w:rsidRDefault="00097C4A" w:rsidP="00142094">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PLAINTIFF</w:t>
      </w:r>
      <w:r w:rsidR="005F473C">
        <w:rPr>
          <w:rFonts w:ascii="Arial" w:hAnsi="Arial" w:cs="Arial"/>
          <w:sz w:val="24"/>
          <w:szCs w:val="24"/>
        </w:rPr>
        <w:t>:</w:t>
      </w:r>
      <w:r w:rsidR="001B7E1F" w:rsidRPr="000E7777">
        <w:rPr>
          <w:rFonts w:ascii="Arial" w:hAnsi="Arial" w:cs="Arial"/>
          <w:sz w:val="24"/>
          <w:szCs w:val="24"/>
        </w:rPr>
        <w:t xml:space="preserve"> </w:t>
      </w:r>
      <w:r w:rsidR="00204C96">
        <w:rPr>
          <w:rFonts w:ascii="Arial" w:hAnsi="Arial" w:cs="Arial"/>
          <w:sz w:val="24"/>
          <w:szCs w:val="24"/>
        </w:rPr>
        <w:tab/>
      </w:r>
      <w:r w:rsidR="001B7E1F" w:rsidRPr="000E7777">
        <w:rPr>
          <w:rFonts w:ascii="Arial" w:hAnsi="Arial" w:cs="Arial"/>
          <w:sz w:val="24"/>
          <w:szCs w:val="24"/>
        </w:rPr>
        <w:t xml:space="preserve">               </w:t>
      </w:r>
      <w:r w:rsidR="001B7E1F" w:rsidRPr="000E7777">
        <w:rPr>
          <w:rFonts w:ascii="Arial" w:hAnsi="Arial" w:cs="Arial"/>
          <w:sz w:val="24"/>
          <w:szCs w:val="24"/>
        </w:rPr>
        <w:tab/>
      </w:r>
      <w:r>
        <w:rPr>
          <w:rFonts w:ascii="Arial" w:hAnsi="Arial" w:cs="Arial"/>
          <w:sz w:val="24"/>
          <w:szCs w:val="24"/>
        </w:rPr>
        <w:tab/>
      </w:r>
      <w:r w:rsidR="00142094" w:rsidRPr="00142094">
        <w:rPr>
          <w:rFonts w:ascii="Arial" w:hAnsi="Arial" w:cs="Arial"/>
          <w:sz w:val="24"/>
          <w:szCs w:val="24"/>
        </w:rPr>
        <w:t xml:space="preserve">S Namandje (assisted by </w:t>
      </w:r>
      <w:r w:rsidR="00142094">
        <w:rPr>
          <w:rFonts w:ascii="Arial" w:hAnsi="Arial" w:cs="Arial"/>
          <w:sz w:val="24"/>
          <w:szCs w:val="24"/>
        </w:rPr>
        <w:t>M Jankie</w:t>
      </w:r>
      <w:r w:rsidR="00142094" w:rsidRPr="00142094">
        <w:rPr>
          <w:rFonts w:ascii="Arial" w:hAnsi="Arial" w:cs="Arial"/>
          <w:sz w:val="24"/>
          <w:szCs w:val="24"/>
        </w:rPr>
        <w:t>)</w:t>
      </w:r>
    </w:p>
    <w:p w:rsidR="00142094" w:rsidRDefault="00142094" w:rsidP="00142094">
      <w:pPr>
        <w:tabs>
          <w:tab w:val="left" w:pos="1394"/>
          <w:tab w:val="left" w:pos="2528"/>
          <w:tab w:val="left" w:pos="3780"/>
        </w:tabs>
        <w:spacing w:after="0" w:line="360" w:lineRule="auto"/>
        <w:jc w:val="both"/>
        <w:rPr>
          <w:rFonts w:ascii="Arial" w:hAnsi="Arial" w:cs="Arial"/>
          <w:sz w:val="24"/>
          <w:szCs w:val="24"/>
        </w:rPr>
      </w:pPr>
      <w:r w:rsidRPr="00142094">
        <w:rPr>
          <w:rFonts w:ascii="Arial" w:hAnsi="Arial" w:cs="Arial"/>
          <w:sz w:val="24"/>
          <w:szCs w:val="24"/>
        </w:rPr>
        <w:tab/>
      </w:r>
      <w:r w:rsidRPr="00142094">
        <w:rPr>
          <w:rFonts w:ascii="Arial" w:hAnsi="Arial" w:cs="Arial"/>
          <w:sz w:val="24"/>
          <w:szCs w:val="24"/>
        </w:rPr>
        <w:tab/>
        <w:t xml:space="preserve"> </w:t>
      </w:r>
      <w:r>
        <w:rPr>
          <w:rFonts w:ascii="Arial" w:hAnsi="Arial" w:cs="Arial"/>
          <w:sz w:val="24"/>
          <w:szCs w:val="24"/>
        </w:rPr>
        <w:tab/>
      </w:r>
      <w:r w:rsidRPr="00142094">
        <w:rPr>
          <w:rFonts w:ascii="Arial" w:hAnsi="Arial" w:cs="Arial"/>
          <w:sz w:val="24"/>
          <w:szCs w:val="24"/>
        </w:rPr>
        <w:t xml:space="preserve">Of Sisa Namandje &amp; Co. Inc, </w:t>
      </w:r>
    </w:p>
    <w:p w:rsidR="001B7E1F" w:rsidRPr="000E7777" w:rsidRDefault="00142094" w:rsidP="00142094">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142094">
        <w:rPr>
          <w:rFonts w:ascii="Arial" w:hAnsi="Arial" w:cs="Arial"/>
          <w:sz w:val="24"/>
          <w:szCs w:val="24"/>
        </w:rPr>
        <w:t>Windhoek</w:t>
      </w:r>
      <w:r w:rsidR="001B7E1F" w:rsidRPr="000E7777">
        <w:rPr>
          <w:rFonts w:ascii="Arial" w:hAnsi="Arial" w:cs="Arial"/>
          <w:sz w:val="24"/>
          <w:szCs w:val="24"/>
        </w:rPr>
        <w:t>.</w:t>
      </w:r>
    </w:p>
    <w:p w:rsidR="001B7E1F" w:rsidRDefault="001B7E1F" w:rsidP="001B7E1F">
      <w:pPr>
        <w:autoSpaceDE w:val="0"/>
        <w:autoSpaceDN w:val="0"/>
        <w:adjustRightInd w:val="0"/>
        <w:spacing w:after="0" w:line="360" w:lineRule="auto"/>
        <w:ind w:left="3780" w:hanging="3780"/>
        <w:jc w:val="both"/>
        <w:rPr>
          <w:rFonts w:ascii="Arial" w:hAnsi="Arial" w:cs="Arial"/>
          <w:sz w:val="24"/>
          <w:szCs w:val="24"/>
        </w:rPr>
      </w:pPr>
    </w:p>
    <w:p w:rsidR="00671A34" w:rsidRPr="000E7777" w:rsidRDefault="00671A34" w:rsidP="001B7E1F">
      <w:pPr>
        <w:autoSpaceDE w:val="0"/>
        <w:autoSpaceDN w:val="0"/>
        <w:adjustRightInd w:val="0"/>
        <w:spacing w:after="0" w:line="360" w:lineRule="auto"/>
        <w:ind w:left="3780" w:hanging="3780"/>
        <w:jc w:val="both"/>
        <w:rPr>
          <w:rFonts w:ascii="Arial" w:hAnsi="Arial" w:cs="Arial"/>
          <w:sz w:val="24"/>
          <w:szCs w:val="24"/>
        </w:rPr>
      </w:pPr>
    </w:p>
    <w:p w:rsidR="00142094" w:rsidRPr="00142094" w:rsidRDefault="00097C4A" w:rsidP="00142094">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DEFENDANTS</w:t>
      </w:r>
      <w:r w:rsidR="001B7E1F" w:rsidRPr="000E7777">
        <w:rPr>
          <w:rFonts w:ascii="Arial" w:hAnsi="Arial" w:cs="Arial"/>
          <w:sz w:val="24"/>
          <w:szCs w:val="24"/>
        </w:rPr>
        <w:t>:</w:t>
      </w:r>
      <w:r w:rsidR="001B7E1F" w:rsidRPr="000E7777">
        <w:rPr>
          <w:rFonts w:ascii="Arial" w:hAnsi="Arial" w:cs="Arial"/>
          <w:sz w:val="24"/>
          <w:szCs w:val="24"/>
        </w:rPr>
        <w:tab/>
      </w:r>
      <w:r w:rsidR="00142094">
        <w:rPr>
          <w:rFonts w:ascii="Arial" w:hAnsi="Arial" w:cs="Arial"/>
          <w:sz w:val="24"/>
          <w:szCs w:val="24"/>
        </w:rPr>
        <w:t xml:space="preserve">J Diedericks </w:t>
      </w:r>
      <w:r w:rsidR="00142094" w:rsidRPr="00142094">
        <w:rPr>
          <w:rFonts w:ascii="Arial" w:hAnsi="Arial" w:cs="Arial"/>
          <w:sz w:val="24"/>
          <w:szCs w:val="24"/>
        </w:rPr>
        <w:t xml:space="preserve">(assisted by </w:t>
      </w:r>
      <w:r w:rsidR="00142094">
        <w:rPr>
          <w:rFonts w:ascii="Arial" w:hAnsi="Arial" w:cs="Arial"/>
          <w:sz w:val="24"/>
          <w:szCs w:val="24"/>
        </w:rPr>
        <w:t>B J Viljoen</w:t>
      </w:r>
      <w:r w:rsidR="00142094" w:rsidRPr="00142094">
        <w:rPr>
          <w:rFonts w:ascii="Arial" w:hAnsi="Arial" w:cs="Arial"/>
          <w:sz w:val="24"/>
          <w:szCs w:val="24"/>
        </w:rPr>
        <w:t>)</w:t>
      </w:r>
    </w:p>
    <w:p w:rsidR="005F1286" w:rsidRDefault="0049341A" w:rsidP="00142094">
      <w:pPr>
        <w:autoSpaceDE w:val="0"/>
        <w:autoSpaceDN w:val="0"/>
        <w:adjustRightInd w:val="0"/>
        <w:spacing w:after="0" w:line="360" w:lineRule="auto"/>
        <w:ind w:left="3780" w:hanging="3780"/>
        <w:jc w:val="both"/>
        <w:rPr>
          <w:rFonts w:ascii="Arial" w:hAnsi="Arial" w:cs="Arial"/>
        </w:rPr>
      </w:pPr>
      <w:r>
        <w:rPr>
          <w:rFonts w:ascii="Arial" w:hAnsi="Arial" w:cs="Arial"/>
          <w:sz w:val="24"/>
          <w:szCs w:val="24"/>
        </w:rPr>
        <w:t xml:space="preserve">                                                         </w:t>
      </w:r>
      <w:r w:rsidR="00142094" w:rsidRPr="00142094">
        <w:rPr>
          <w:rFonts w:ascii="Arial" w:hAnsi="Arial" w:cs="Arial"/>
          <w:sz w:val="24"/>
          <w:szCs w:val="24"/>
        </w:rPr>
        <w:t xml:space="preserve">Of </w:t>
      </w:r>
      <w:r w:rsidR="00142094">
        <w:rPr>
          <w:rFonts w:ascii="Arial" w:hAnsi="Arial" w:cs="Arial"/>
          <w:sz w:val="24"/>
          <w:szCs w:val="24"/>
        </w:rPr>
        <w:t>Brockerhoff &amp; Associates</w:t>
      </w:r>
      <w:r w:rsidR="00142094" w:rsidRPr="00142094">
        <w:rPr>
          <w:rFonts w:ascii="Arial" w:hAnsi="Arial" w:cs="Arial"/>
          <w:sz w:val="24"/>
          <w:szCs w:val="24"/>
        </w:rPr>
        <w:t>, Windhoek</w:t>
      </w:r>
    </w:p>
    <w:p w:rsidR="005F1286" w:rsidRPr="000E7777" w:rsidRDefault="005F1286" w:rsidP="005F1286">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p>
    <w:p w:rsidR="001B7E1F" w:rsidRDefault="001B7E1F" w:rsidP="001B7E1F">
      <w:pPr>
        <w:spacing w:after="0" w:line="360" w:lineRule="auto"/>
        <w:jc w:val="both"/>
        <w:rPr>
          <w:rFonts w:ascii="Arial" w:hAnsi="Arial" w:cs="Arial"/>
        </w:rPr>
      </w:pPr>
    </w:p>
    <w:p w:rsidR="001B7E1F" w:rsidRPr="00FA01DB" w:rsidRDefault="001B7E1F" w:rsidP="001B7E1F">
      <w:pPr>
        <w:spacing w:after="0" w:line="360" w:lineRule="auto"/>
        <w:jc w:val="both"/>
        <w:rPr>
          <w:rFonts w:ascii="Arial" w:hAnsi="Arial" w:cs="Arial"/>
          <w:sz w:val="24"/>
          <w:szCs w:val="24"/>
        </w:rPr>
      </w:pPr>
    </w:p>
    <w:p w:rsidR="001B7E1F" w:rsidRPr="00FA01DB" w:rsidRDefault="001B7E1F" w:rsidP="001B7E1F">
      <w:pPr>
        <w:spacing w:after="0" w:line="360" w:lineRule="auto"/>
        <w:rPr>
          <w:sz w:val="24"/>
          <w:szCs w:val="24"/>
        </w:rPr>
      </w:pPr>
    </w:p>
    <w:p w:rsidR="00945DCE" w:rsidRPr="00FA01DB" w:rsidRDefault="00945DCE">
      <w:pPr>
        <w:rPr>
          <w:sz w:val="24"/>
          <w:szCs w:val="24"/>
        </w:rPr>
      </w:pPr>
    </w:p>
    <w:sectPr w:rsidR="00945DCE" w:rsidRPr="00FA01DB" w:rsidSect="00741B0B">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FA2" w:rsidRDefault="00CA7FA2" w:rsidP="00741B0B">
      <w:pPr>
        <w:spacing w:after="0" w:line="240" w:lineRule="auto"/>
      </w:pPr>
      <w:r>
        <w:separator/>
      </w:r>
    </w:p>
  </w:endnote>
  <w:endnote w:type="continuationSeparator" w:id="0">
    <w:p w:rsidR="00CA7FA2" w:rsidRDefault="00CA7FA2"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FA2" w:rsidRDefault="00CA7FA2" w:rsidP="00741B0B">
      <w:pPr>
        <w:spacing w:after="0" w:line="240" w:lineRule="auto"/>
      </w:pPr>
      <w:r>
        <w:separator/>
      </w:r>
    </w:p>
  </w:footnote>
  <w:footnote w:type="continuationSeparator" w:id="0">
    <w:p w:rsidR="00CA7FA2" w:rsidRDefault="00CA7FA2" w:rsidP="00741B0B">
      <w:pPr>
        <w:spacing w:after="0" w:line="240" w:lineRule="auto"/>
      </w:pPr>
      <w:r>
        <w:continuationSeparator/>
      </w:r>
    </w:p>
  </w:footnote>
  <w:footnote w:id="1">
    <w:p w:rsidR="00BB5B09" w:rsidRPr="00F97EE2" w:rsidRDefault="00DA08DA">
      <w:pPr>
        <w:pStyle w:val="FootnoteText"/>
        <w:rPr>
          <w:sz w:val="20"/>
          <w:szCs w:val="20"/>
        </w:rPr>
      </w:pPr>
      <w:r w:rsidRPr="00F97EE2">
        <w:rPr>
          <w:rStyle w:val="FootnoteReference"/>
          <w:sz w:val="20"/>
          <w:szCs w:val="20"/>
        </w:rPr>
        <w:footnoteRef/>
      </w:r>
      <w:r w:rsidR="000B0DA9" w:rsidRPr="00F97EE2">
        <w:rPr>
          <w:sz w:val="20"/>
          <w:szCs w:val="20"/>
        </w:rPr>
        <w:t xml:space="preserve"> Annexure </w:t>
      </w:r>
      <w:r w:rsidRPr="00F97EE2">
        <w:rPr>
          <w:sz w:val="20"/>
          <w:szCs w:val="20"/>
        </w:rPr>
        <w:t>CIA 3</w:t>
      </w:r>
      <w:r w:rsidR="000B0DA9" w:rsidRPr="00F97EE2">
        <w:rPr>
          <w:sz w:val="20"/>
          <w:szCs w:val="20"/>
        </w:rPr>
        <w:t>.</w:t>
      </w:r>
    </w:p>
  </w:footnote>
  <w:footnote w:id="2">
    <w:p w:rsidR="00BB5B09" w:rsidRDefault="00DA08DA">
      <w:pPr>
        <w:pStyle w:val="FootnoteText"/>
      </w:pPr>
      <w:r>
        <w:rPr>
          <w:rStyle w:val="FootnoteReference"/>
        </w:rPr>
        <w:footnoteRef/>
      </w:r>
      <w:r>
        <w:t xml:space="preserve"> </w:t>
      </w:r>
      <w:r w:rsidRPr="00525884">
        <w:rPr>
          <w:sz w:val="20"/>
          <w:lang w:val="en-GB"/>
        </w:rPr>
        <w:t>Annexure CIA 5</w:t>
      </w:r>
      <w:r w:rsidR="000B0DA9">
        <w:rPr>
          <w:sz w:val="20"/>
          <w:lang w:val="en-GB"/>
        </w:rPr>
        <w:t>.</w:t>
      </w:r>
    </w:p>
  </w:footnote>
  <w:footnote w:id="3">
    <w:p w:rsidR="00BB5B09" w:rsidRDefault="00DA08DA">
      <w:pPr>
        <w:pStyle w:val="FootnoteText"/>
      </w:pPr>
      <w:r w:rsidRPr="00525884">
        <w:rPr>
          <w:rStyle w:val="FootnoteReference"/>
          <w:sz w:val="20"/>
        </w:rPr>
        <w:footnoteRef/>
      </w:r>
      <w:r w:rsidRPr="00525884">
        <w:rPr>
          <w:sz w:val="20"/>
        </w:rPr>
        <w:t xml:space="preserve"> Administration of Estates Act  66 of 1965</w:t>
      </w:r>
      <w:r w:rsidR="000B0DA9">
        <w:rPr>
          <w:sz w:val="20"/>
        </w:rPr>
        <w:t>.</w:t>
      </w:r>
    </w:p>
  </w:footnote>
  <w:footnote w:id="4">
    <w:p w:rsidR="00BB5B09" w:rsidRDefault="00DA08DA">
      <w:pPr>
        <w:pStyle w:val="FootnoteText"/>
      </w:pPr>
      <w:r>
        <w:rPr>
          <w:rStyle w:val="FootnoteReference"/>
        </w:rPr>
        <w:footnoteRef/>
      </w:r>
      <w:r>
        <w:t xml:space="preserve"> </w:t>
      </w:r>
      <w:r w:rsidRPr="00C95BD9">
        <w:rPr>
          <w:sz w:val="20"/>
        </w:rPr>
        <w:t>Section 35(7) of the Administration of Estates Act 66 of 1965</w:t>
      </w:r>
      <w:r w:rsidR="000B0DA9">
        <w:rPr>
          <w:sz w:val="20"/>
        </w:rPr>
        <w:t>.</w:t>
      </w:r>
    </w:p>
  </w:footnote>
  <w:footnote w:id="5">
    <w:p w:rsidR="00BB5B09" w:rsidRDefault="00DA08DA">
      <w:pPr>
        <w:pStyle w:val="FootnoteText"/>
      </w:pPr>
      <w:r w:rsidRPr="00C95BD9">
        <w:rPr>
          <w:rStyle w:val="FootnoteReference"/>
          <w:sz w:val="20"/>
        </w:rPr>
        <w:footnoteRef/>
      </w:r>
      <w:r w:rsidRPr="00C95BD9">
        <w:rPr>
          <w:sz w:val="20"/>
        </w:rPr>
        <w:t xml:space="preserve"> Section 35(8) of the Administration of Estates Act 66 of 1965</w:t>
      </w:r>
      <w:r w:rsidR="000B0DA9">
        <w:rPr>
          <w:sz w:val="20"/>
        </w:rPr>
        <w:t>.</w:t>
      </w:r>
    </w:p>
  </w:footnote>
  <w:footnote w:id="6">
    <w:p w:rsidR="00BB5B09" w:rsidRDefault="00DA08DA">
      <w:pPr>
        <w:pStyle w:val="FootnoteText"/>
      </w:pPr>
      <w:r w:rsidRPr="00C95BD9">
        <w:rPr>
          <w:rStyle w:val="FootnoteReference"/>
          <w:sz w:val="20"/>
        </w:rPr>
        <w:footnoteRef/>
      </w:r>
      <w:r w:rsidRPr="00C95BD9">
        <w:rPr>
          <w:sz w:val="20"/>
        </w:rPr>
        <w:t xml:space="preserve"> Section 35(9) of the Administration of Estates Act 66 of 1965</w:t>
      </w:r>
      <w:r w:rsidR="000B0DA9">
        <w:rPr>
          <w:sz w:val="20"/>
        </w:rPr>
        <w:t>.</w:t>
      </w:r>
    </w:p>
  </w:footnote>
  <w:footnote w:id="7">
    <w:p w:rsidR="00BB5B09" w:rsidRDefault="00DA08DA">
      <w:pPr>
        <w:pStyle w:val="FootnoteText"/>
      </w:pPr>
      <w:r w:rsidRPr="00C95BD9">
        <w:rPr>
          <w:rStyle w:val="FootnoteReference"/>
          <w:sz w:val="20"/>
        </w:rPr>
        <w:footnoteRef/>
      </w:r>
      <w:r w:rsidRPr="00C95BD9">
        <w:rPr>
          <w:sz w:val="20"/>
        </w:rPr>
        <w:t xml:space="preserve"> Kamahunga v Master of the High Court (SA44-2013) [2015] NASC (13 November 2015)</w:t>
      </w:r>
      <w:r w:rsidR="000B0DA9">
        <w:rPr>
          <w:sz w:val="20"/>
        </w:rPr>
        <w:t>.</w:t>
      </w:r>
    </w:p>
  </w:footnote>
  <w:footnote w:id="8">
    <w:p w:rsidR="00BB5B09" w:rsidRDefault="00DA08DA">
      <w:pPr>
        <w:pStyle w:val="FootnoteText"/>
      </w:pPr>
      <w:r>
        <w:rPr>
          <w:rStyle w:val="FootnoteReference"/>
        </w:rPr>
        <w:footnoteRef/>
      </w:r>
      <w:r>
        <w:t xml:space="preserve"> </w:t>
      </w:r>
      <w:r w:rsidR="00C901DB" w:rsidRPr="000B0DA9">
        <w:rPr>
          <w:i/>
          <w:sz w:val="20"/>
        </w:rPr>
        <w:t xml:space="preserve">Witbooi </w:t>
      </w:r>
      <w:r w:rsidR="000B0DA9" w:rsidRPr="000B0DA9">
        <w:rPr>
          <w:i/>
          <w:sz w:val="20"/>
        </w:rPr>
        <w:t xml:space="preserve">and Others </w:t>
      </w:r>
      <w:r w:rsidR="00C901DB" w:rsidRPr="000B0DA9">
        <w:rPr>
          <w:i/>
          <w:sz w:val="20"/>
        </w:rPr>
        <w:t>v Minister of Urban and Rural Development</w:t>
      </w:r>
      <w:r w:rsidR="000B0DA9" w:rsidRPr="000B0DA9">
        <w:rPr>
          <w:i/>
          <w:sz w:val="20"/>
        </w:rPr>
        <w:t xml:space="preserve"> and Others</w:t>
      </w:r>
      <w:r w:rsidR="000B0DA9">
        <w:rPr>
          <w:sz w:val="20"/>
        </w:rPr>
        <w:t xml:space="preserve"> (HC-MD-CIV-MOT-REV-2022/2019) [2022] NAHCMD.</w:t>
      </w:r>
    </w:p>
  </w:footnote>
  <w:footnote w:id="9">
    <w:p w:rsidR="00BB5B09" w:rsidRDefault="00DA08DA">
      <w:pPr>
        <w:pStyle w:val="FootnoteText"/>
      </w:pPr>
      <w:r w:rsidRPr="00C901DB">
        <w:rPr>
          <w:rStyle w:val="FootnoteReference"/>
          <w:sz w:val="20"/>
        </w:rPr>
        <w:footnoteRef/>
      </w:r>
      <w:r w:rsidRPr="00C901DB">
        <w:rPr>
          <w:sz w:val="20"/>
        </w:rPr>
        <w:t xml:space="preserve"> </w:t>
      </w:r>
      <w:r w:rsidR="00C901DB" w:rsidRPr="000B0DA9">
        <w:rPr>
          <w:i/>
          <w:sz w:val="20"/>
        </w:rPr>
        <w:t xml:space="preserve">Pamo Trading Enterprises CC and Another v Chairperson of the Tender Board of Namibia and Others </w:t>
      </w:r>
      <w:r w:rsidR="00C901DB">
        <w:rPr>
          <w:sz w:val="20"/>
        </w:rPr>
        <w:t>2019 (3) 834 (SC)</w:t>
      </w:r>
      <w:r w:rsidR="0031273C">
        <w:rPr>
          <w:sz w:val="20"/>
        </w:rPr>
        <w:t>.</w:t>
      </w:r>
    </w:p>
  </w:footnote>
  <w:footnote w:id="10">
    <w:p w:rsidR="00BB5B09" w:rsidRDefault="00DA08DA">
      <w:pPr>
        <w:pStyle w:val="FootnoteText"/>
      </w:pPr>
      <w:r w:rsidRPr="00C901DB">
        <w:rPr>
          <w:rStyle w:val="FootnoteReference"/>
          <w:sz w:val="20"/>
        </w:rPr>
        <w:footnoteRef/>
      </w:r>
      <w:r w:rsidRPr="00C901DB">
        <w:rPr>
          <w:sz w:val="20"/>
        </w:rPr>
        <w:t xml:space="preserve"> </w:t>
      </w:r>
      <w:r w:rsidR="00C901DB" w:rsidRPr="000B0DA9">
        <w:rPr>
          <w:i/>
          <w:sz w:val="20"/>
        </w:rPr>
        <w:t>Hashagen v Public Accountants and Auditors Board</w:t>
      </w:r>
      <w:r w:rsidR="000B0DA9">
        <w:rPr>
          <w:sz w:val="20"/>
        </w:rPr>
        <w:t xml:space="preserve"> </w:t>
      </w:r>
      <w:r w:rsidR="0031273C">
        <w:rPr>
          <w:sz w:val="20"/>
        </w:rPr>
        <w:t>(</w:t>
      </w:r>
      <w:r w:rsidR="000B0DA9">
        <w:rPr>
          <w:sz w:val="20"/>
        </w:rPr>
        <w:t>SA 57/2019</w:t>
      </w:r>
      <w:r w:rsidR="0031273C">
        <w:rPr>
          <w:sz w:val="20"/>
        </w:rPr>
        <w:t>) (2021) NASC</w:t>
      </w:r>
      <w:r w:rsidR="000B0DA9">
        <w:rPr>
          <w:sz w:val="20"/>
        </w:rPr>
        <w:t xml:space="preserve"> (</w:t>
      </w:r>
      <w:r w:rsidR="00C901DB">
        <w:rPr>
          <w:sz w:val="20"/>
        </w:rPr>
        <w:t>5 August 2021).</w:t>
      </w:r>
    </w:p>
  </w:footnote>
  <w:footnote w:id="11">
    <w:p w:rsidR="00BB5B09" w:rsidRDefault="00DA08DA">
      <w:pPr>
        <w:pStyle w:val="FootnoteText"/>
      </w:pPr>
      <w:r>
        <w:rPr>
          <w:rStyle w:val="FootnoteReference"/>
        </w:rPr>
        <w:footnoteRef/>
      </w:r>
      <w:r>
        <w:t xml:space="preserve"> </w:t>
      </w:r>
      <w:r w:rsidR="0031273C" w:rsidRPr="0031273C">
        <w:rPr>
          <w:i/>
          <w:sz w:val="20"/>
          <w:szCs w:val="20"/>
        </w:rPr>
        <w:t>Oudekraal Estates (Pty) Ltd v City of Cape Town &amp;</w:t>
      </w:r>
      <w:r w:rsidR="0031273C" w:rsidRPr="0031273C">
        <w:rPr>
          <w:sz w:val="20"/>
          <w:szCs w:val="20"/>
        </w:rPr>
        <w:t xml:space="preserve"> Others</w:t>
      </w:r>
      <w:r w:rsidR="0031273C">
        <w:t xml:space="preserve"> </w:t>
      </w:r>
      <w:r w:rsidRPr="002F4194">
        <w:rPr>
          <w:sz w:val="20"/>
        </w:rPr>
        <w:t>2004 (6) SA 222 (SCA)</w:t>
      </w:r>
      <w:r w:rsidR="0031273C">
        <w:rPr>
          <w:sz w:val="20"/>
        </w:rPr>
        <w:t>.</w:t>
      </w:r>
    </w:p>
  </w:footnote>
  <w:footnote w:id="12">
    <w:p w:rsidR="00BB5B09" w:rsidRDefault="00DA08DA">
      <w:pPr>
        <w:pStyle w:val="FootnoteText"/>
      </w:pPr>
      <w:r>
        <w:rPr>
          <w:rStyle w:val="FootnoteReference"/>
        </w:rPr>
        <w:footnoteRef/>
      </w:r>
      <w:r>
        <w:t xml:space="preserve"> </w:t>
      </w:r>
      <w:r w:rsidRPr="002F4194">
        <w:rPr>
          <w:sz w:val="20"/>
        </w:rPr>
        <w:t>Minister of Finance v Mer</w:t>
      </w:r>
      <w:r w:rsidR="0031273C">
        <w:rPr>
          <w:sz w:val="20"/>
        </w:rPr>
        <w:t>lus Seafood Processors (Pty) Ltd</w:t>
      </w:r>
      <w:r w:rsidRPr="002F4194">
        <w:rPr>
          <w:sz w:val="20"/>
        </w:rPr>
        <w:t xml:space="preserve">  2016(4) NR 1042 (SC)</w:t>
      </w:r>
      <w:r w:rsidR="0031273C">
        <w:rPr>
          <w:sz w:val="20"/>
        </w:rPr>
        <w:t>.</w:t>
      </w:r>
    </w:p>
  </w:footnote>
  <w:footnote w:id="13">
    <w:p w:rsidR="00BB5B09" w:rsidRDefault="004048C8">
      <w:pPr>
        <w:pStyle w:val="FootnoteText"/>
      </w:pPr>
      <w:r>
        <w:rPr>
          <w:rStyle w:val="FootnoteReference"/>
        </w:rPr>
        <w:footnoteRef/>
      </w:r>
      <w:r>
        <w:t xml:space="preserve"> </w:t>
      </w:r>
      <w:r w:rsidRPr="004048C8">
        <w:rPr>
          <w:sz w:val="20"/>
          <w:lang w:val="en-ZA"/>
        </w:rPr>
        <w:t>Paragraph 5</w:t>
      </w:r>
      <w:r w:rsidR="00C901DB">
        <w:rPr>
          <w:sz w:val="20"/>
          <w:lang w:val="en-ZA"/>
        </w:rPr>
        <w:t xml:space="preserve"> of the plaintiffs particulars of claim</w:t>
      </w:r>
      <w:r w:rsidR="0031273C">
        <w:rPr>
          <w:sz w:val="20"/>
          <w:lang w:val="en-ZA"/>
        </w:rPr>
        <w:t>.</w:t>
      </w:r>
    </w:p>
  </w:footnote>
  <w:footnote w:id="14">
    <w:p w:rsidR="00BB5B09" w:rsidRDefault="004048C8">
      <w:pPr>
        <w:pStyle w:val="FootnoteText"/>
      </w:pPr>
      <w:r>
        <w:rPr>
          <w:rStyle w:val="FootnoteReference"/>
        </w:rPr>
        <w:footnoteRef/>
      </w:r>
      <w:r>
        <w:t xml:space="preserve"> </w:t>
      </w:r>
      <w:r w:rsidRPr="004048C8">
        <w:rPr>
          <w:sz w:val="20"/>
          <w:lang w:val="en-ZA"/>
        </w:rPr>
        <w:t>Paragraph 6</w:t>
      </w:r>
      <w:r w:rsidR="00C901DB">
        <w:rPr>
          <w:sz w:val="20"/>
          <w:lang w:val="en-ZA"/>
        </w:rPr>
        <w:t xml:space="preserve"> of the plaintiffs particulars of claim</w:t>
      </w:r>
      <w:r w:rsidR="0031273C">
        <w:rPr>
          <w:sz w:val="20"/>
          <w:lang w:val="en-ZA"/>
        </w:rPr>
        <w:t>.</w:t>
      </w:r>
    </w:p>
  </w:footnote>
  <w:footnote w:id="15">
    <w:p w:rsidR="00BB5B09" w:rsidRDefault="00FA6B40">
      <w:pPr>
        <w:pStyle w:val="FootnoteText"/>
      </w:pPr>
      <w:r>
        <w:rPr>
          <w:rStyle w:val="FootnoteReference"/>
        </w:rPr>
        <w:footnoteRef/>
      </w:r>
      <w:r>
        <w:t xml:space="preserve"> </w:t>
      </w:r>
      <w:r w:rsidRPr="00097C4A">
        <w:rPr>
          <w:sz w:val="20"/>
          <w:lang w:val="en-ZA"/>
        </w:rPr>
        <w:t>Paragraph supra</w:t>
      </w:r>
      <w:r w:rsidR="00496DB1">
        <w:rPr>
          <w:sz w:val="20"/>
          <w:lang w:val="en-ZA"/>
        </w:rPr>
        <w:t>.</w:t>
      </w:r>
    </w:p>
  </w:footnote>
  <w:footnote w:id="16">
    <w:p w:rsidR="00BB5B09" w:rsidRDefault="00DA08DA">
      <w:pPr>
        <w:pStyle w:val="FootnoteText"/>
      </w:pPr>
      <w:r w:rsidRPr="003079DF">
        <w:rPr>
          <w:rStyle w:val="FootnoteReference"/>
          <w:sz w:val="20"/>
          <w:szCs w:val="20"/>
        </w:rPr>
        <w:footnoteRef/>
      </w:r>
      <w:r w:rsidRPr="003079DF">
        <w:rPr>
          <w:sz w:val="20"/>
          <w:szCs w:val="20"/>
        </w:rPr>
        <w:t xml:space="preserve"> </w:t>
      </w:r>
      <w:r w:rsidRPr="00496DB1">
        <w:rPr>
          <w:i/>
          <w:sz w:val="20"/>
          <w:szCs w:val="20"/>
        </w:rPr>
        <w:t>Oudekraal Estates v City of Cape Town and Others</w:t>
      </w:r>
      <w:r w:rsidRPr="003079DF">
        <w:rPr>
          <w:sz w:val="20"/>
          <w:szCs w:val="20"/>
        </w:rPr>
        <w:t xml:space="preserve"> 2004 (6) SA 222 (SCA) ([2004] 3 All SA 1)</w:t>
      </w:r>
      <w:r w:rsidR="00496DB1">
        <w:rPr>
          <w:sz w:val="20"/>
          <w:szCs w:val="20"/>
        </w:rPr>
        <w:t>.</w:t>
      </w:r>
    </w:p>
  </w:footnote>
  <w:footnote w:id="17">
    <w:p w:rsidR="00BB5B09" w:rsidRDefault="00DA08DA" w:rsidP="00035414">
      <w:pPr>
        <w:pStyle w:val="FootnoteText"/>
        <w:jc w:val="both"/>
      </w:pPr>
      <w:r w:rsidRPr="009A0454">
        <w:rPr>
          <w:rStyle w:val="FootnoteReference"/>
          <w:sz w:val="20"/>
          <w:szCs w:val="20"/>
        </w:rPr>
        <w:footnoteRef/>
      </w:r>
      <w:r w:rsidRPr="009A0454">
        <w:rPr>
          <w:sz w:val="20"/>
          <w:szCs w:val="20"/>
        </w:rPr>
        <w:t xml:space="preserve"> </w:t>
      </w:r>
      <w:r>
        <w:rPr>
          <w:sz w:val="20"/>
          <w:szCs w:val="20"/>
          <w:lang w:val="en-GB" w:eastAsia="x-none"/>
        </w:rPr>
        <w:t xml:space="preserve">See for instance : </w:t>
      </w:r>
      <w:r w:rsidRPr="009A0454">
        <w:rPr>
          <w:i/>
          <w:sz w:val="20"/>
          <w:szCs w:val="20"/>
        </w:rPr>
        <w:t>Auas Diamond Co (Pty) Ltd v Minister of Mines and Energy</w:t>
      </w:r>
      <w:r w:rsidRPr="009A0454">
        <w:rPr>
          <w:sz w:val="20"/>
          <w:szCs w:val="20"/>
        </w:rPr>
        <w:t xml:space="preserve"> 2006 (2) NR 406 (HC)</w:t>
      </w:r>
      <w:r>
        <w:rPr>
          <w:sz w:val="20"/>
          <w:szCs w:val="20"/>
          <w:lang w:val="en-GB" w:eastAsia="x-none"/>
        </w:rPr>
        <w:t xml:space="preserve"> at 413, </w:t>
      </w:r>
      <w:r w:rsidRPr="00035414">
        <w:rPr>
          <w:i/>
          <w:sz w:val="20"/>
          <w:szCs w:val="20"/>
          <w:lang w:val="en-GB" w:eastAsia="x-none"/>
        </w:rPr>
        <w:t>Rally for Democracy and Progress and Others v Electoral Commission of Namibia and Others</w:t>
      </w:r>
      <w:r w:rsidRPr="00035414">
        <w:rPr>
          <w:sz w:val="20"/>
          <w:szCs w:val="20"/>
          <w:lang w:val="en-GB" w:eastAsia="x-none"/>
        </w:rPr>
        <w:t xml:space="preserve"> 2010 (2) NR 487 (SC)</w:t>
      </w:r>
      <w:r>
        <w:rPr>
          <w:sz w:val="20"/>
          <w:szCs w:val="20"/>
          <w:lang w:val="en-GB" w:eastAsia="x-none"/>
        </w:rPr>
        <w:t xml:space="preserve"> at 529 or </w:t>
      </w:r>
      <w:r w:rsidRPr="00035414">
        <w:rPr>
          <w:i/>
          <w:sz w:val="20"/>
          <w:szCs w:val="20"/>
          <w:lang w:val="en-GB" w:eastAsia="x-none"/>
        </w:rPr>
        <w:t>Black Range Mining (Pty) Ltd, Minister of Mines and Energy and Another</w:t>
      </w:r>
      <w:r w:rsidRPr="00035414">
        <w:rPr>
          <w:sz w:val="20"/>
          <w:szCs w:val="20"/>
          <w:lang w:val="en-GB" w:eastAsia="x-none"/>
        </w:rPr>
        <w:t xml:space="preserve"> v 2011 (1) NR 31 (SC)</w:t>
      </w:r>
      <w:r w:rsidR="00496DB1">
        <w:rPr>
          <w:sz w:val="20"/>
          <w:szCs w:val="20"/>
          <w:lang w:val="en-GB" w:eastAsia="x-none"/>
        </w:rPr>
        <w:t xml:space="preserve"> at paras [21] – [22].</w:t>
      </w:r>
    </w:p>
  </w:footnote>
  <w:footnote w:id="18">
    <w:p w:rsidR="00BB5B09" w:rsidRDefault="00DA08DA">
      <w:pPr>
        <w:pStyle w:val="FootnoteText"/>
      </w:pPr>
      <w:r>
        <w:rPr>
          <w:rStyle w:val="FootnoteReference"/>
        </w:rPr>
        <w:footnoteRef/>
      </w:r>
      <w:r>
        <w:t xml:space="preserve"> </w:t>
      </w:r>
      <w:r w:rsidRPr="003079DF">
        <w:rPr>
          <w:i/>
          <w:sz w:val="20"/>
          <w:szCs w:val="20"/>
        </w:rPr>
        <w:t>Oudekraal Estates v City of Cape Town and Others</w:t>
      </w:r>
      <w:r>
        <w:rPr>
          <w:i/>
          <w:sz w:val="20"/>
          <w:szCs w:val="20"/>
          <w:lang w:val="en-GB" w:eastAsia="x-none"/>
        </w:rPr>
        <w:t xml:space="preserve"> </w:t>
      </w:r>
      <w:r w:rsidRPr="00903FDC">
        <w:rPr>
          <w:sz w:val="20"/>
          <w:szCs w:val="20"/>
          <w:lang w:val="en-GB" w:eastAsia="x-none"/>
        </w:rPr>
        <w:t>at</w:t>
      </w:r>
      <w:r w:rsidR="00496DB1">
        <w:rPr>
          <w:sz w:val="20"/>
          <w:szCs w:val="20"/>
          <w:lang w:val="en-GB" w:eastAsia="x-none"/>
        </w:rPr>
        <w:t xml:space="preserve"> 24</w:t>
      </w:r>
      <w:r>
        <w:rPr>
          <w:sz w:val="20"/>
          <w:szCs w:val="20"/>
          <w:lang w:val="en-GB" w:eastAsia="x-none"/>
        </w:rPr>
        <w:t xml:space="preserve"> -242</w:t>
      </w:r>
      <w:r w:rsidR="00496DB1">
        <w:rPr>
          <w:sz w:val="20"/>
          <w:szCs w:val="20"/>
          <w:lang w:val="en-GB" w:eastAsia="x-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8DA" w:rsidRDefault="00DA08DA">
    <w:pPr>
      <w:pStyle w:val="Header"/>
      <w:jc w:val="right"/>
    </w:pPr>
    <w:r>
      <w:fldChar w:fldCharType="begin"/>
    </w:r>
    <w:r>
      <w:instrText xml:space="preserve"> PAGE   \* MERGEFORMAT </w:instrText>
    </w:r>
    <w:r>
      <w:fldChar w:fldCharType="separate"/>
    </w:r>
    <w:r w:rsidR="00F97EE2">
      <w:rPr>
        <w:noProof/>
      </w:rPr>
      <w:t>8</w:t>
    </w:r>
    <w:r>
      <w:fldChar w:fldCharType="end"/>
    </w:r>
  </w:p>
  <w:p w:rsidR="00DA08DA" w:rsidRDefault="00DA0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A4BAD"/>
    <w:multiLevelType w:val="hybridMultilevel"/>
    <w:tmpl w:val="FFFFFFFF"/>
    <w:lvl w:ilvl="0" w:tplc="D36A02B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226688F"/>
    <w:multiLevelType w:val="hybridMultilevel"/>
    <w:tmpl w:val="FFFFFFFF"/>
    <w:lvl w:ilvl="0" w:tplc="8CF8AC2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25630F2"/>
    <w:multiLevelType w:val="hybridMultilevel"/>
    <w:tmpl w:val="FFFFFFFF"/>
    <w:lvl w:ilvl="0" w:tplc="2E4A4B3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4AC2F67"/>
    <w:multiLevelType w:val="hybridMultilevel"/>
    <w:tmpl w:val="FFFFFFFF"/>
    <w:lvl w:ilvl="0" w:tplc="50DECA6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4AE10E4"/>
    <w:multiLevelType w:val="hybridMultilevel"/>
    <w:tmpl w:val="FFFFFFFF"/>
    <w:lvl w:ilvl="0" w:tplc="64AC8F3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B887746"/>
    <w:multiLevelType w:val="hybridMultilevel"/>
    <w:tmpl w:val="FFFFFFFF"/>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802DE4"/>
    <w:multiLevelType w:val="hybridMultilevel"/>
    <w:tmpl w:val="FFFFFFFF"/>
    <w:lvl w:ilvl="0" w:tplc="1A2437E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094081D"/>
    <w:multiLevelType w:val="hybridMultilevel"/>
    <w:tmpl w:val="FFFFFFFF"/>
    <w:lvl w:ilvl="0" w:tplc="E27AE11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2F69A9"/>
    <w:multiLevelType w:val="hybridMultilevel"/>
    <w:tmpl w:val="FFFFFFFF"/>
    <w:lvl w:ilvl="0" w:tplc="27263CF4">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9">
    <w:nsid w:val="3CFC4F6A"/>
    <w:multiLevelType w:val="hybridMultilevel"/>
    <w:tmpl w:val="FFFFFFFF"/>
    <w:lvl w:ilvl="0" w:tplc="B4ACD67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D650C4D"/>
    <w:multiLevelType w:val="hybridMultilevel"/>
    <w:tmpl w:val="FFFFFFFF"/>
    <w:lvl w:ilvl="0" w:tplc="67A229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D9B20B9"/>
    <w:multiLevelType w:val="hybridMultilevel"/>
    <w:tmpl w:val="FFFFFFFF"/>
    <w:lvl w:ilvl="0" w:tplc="67FCCB6A">
      <w:start w:val="1"/>
      <w:numFmt w:val="lowerRoman"/>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
    <w:nsid w:val="41E2361B"/>
    <w:multiLevelType w:val="hybridMultilevel"/>
    <w:tmpl w:val="FFFFFFFF"/>
    <w:lvl w:ilvl="0" w:tplc="9BA484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1F04D95"/>
    <w:multiLevelType w:val="hybridMultilevel"/>
    <w:tmpl w:val="FFFFFFFF"/>
    <w:lvl w:ilvl="0" w:tplc="9872EF3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71D6DBB"/>
    <w:multiLevelType w:val="hybridMultilevel"/>
    <w:tmpl w:val="FFFFFFFF"/>
    <w:lvl w:ilvl="0" w:tplc="6A0489D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A8C2254"/>
    <w:multiLevelType w:val="hybridMultilevel"/>
    <w:tmpl w:val="FFFFFFFF"/>
    <w:lvl w:ilvl="0" w:tplc="82BA7B20">
      <w:start w:val="1"/>
      <w:numFmt w:val="low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F2C1A79"/>
    <w:multiLevelType w:val="hybridMultilevel"/>
    <w:tmpl w:val="FFFFFFFF"/>
    <w:lvl w:ilvl="0" w:tplc="50788F1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nsid w:val="5634621D"/>
    <w:multiLevelType w:val="hybridMultilevel"/>
    <w:tmpl w:val="FFFFFFFF"/>
    <w:lvl w:ilvl="0" w:tplc="0E366D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6361759"/>
    <w:multiLevelType w:val="hybridMultilevel"/>
    <w:tmpl w:val="FFFFFFFF"/>
    <w:lvl w:ilvl="0" w:tplc="5ACE0E8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59C47924"/>
    <w:multiLevelType w:val="hybridMultilevel"/>
    <w:tmpl w:val="FFFFFFFF"/>
    <w:lvl w:ilvl="0" w:tplc="44E8E6D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34D4528"/>
    <w:multiLevelType w:val="hybridMultilevel"/>
    <w:tmpl w:val="FFFFFFFF"/>
    <w:lvl w:ilvl="0" w:tplc="89B2D13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4997C15"/>
    <w:multiLevelType w:val="hybridMultilevel"/>
    <w:tmpl w:val="FFFFFFFF"/>
    <w:lvl w:ilvl="0" w:tplc="E63AF3D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651A5B32"/>
    <w:multiLevelType w:val="hybridMultilevel"/>
    <w:tmpl w:val="FFFFFFFF"/>
    <w:lvl w:ilvl="0" w:tplc="5EDA3A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FC4145F"/>
    <w:multiLevelType w:val="hybridMultilevel"/>
    <w:tmpl w:val="FFFFFFFF"/>
    <w:lvl w:ilvl="0" w:tplc="2B98EE3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0860B5A"/>
    <w:multiLevelType w:val="hybridMultilevel"/>
    <w:tmpl w:val="FFFFFFFF"/>
    <w:lvl w:ilvl="0" w:tplc="1812B2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2672456"/>
    <w:multiLevelType w:val="hybridMultilevel"/>
    <w:tmpl w:val="FFFFFFFF"/>
    <w:lvl w:ilvl="0" w:tplc="39980804">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763643C7"/>
    <w:multiLevelType w:val="hybridMultilevel"/>
    <w:tmpl w:val="FFFFFFFF"/>
    <w:lvl w:ilvl="0" w:tplc="BCDAA87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nsid w:val="76BD7691"/>
    <w:multiLevelType w:val="hybridMultilevel"/>
    <w:tmpl w:val="FFFFFFFF"/>
    <w:lvl w:ilvl="0" w:tplc="F4ECAAAC">
      <w:start w:val="1"/>
      <w:numFmt w:val="lowerLetter"/>
      <w:lvlText w:val="%1)"/>
      <w:lvlJc w:val="left"/>
      <w:pPr>
        <w:ind w:left="1080" w:hanging="360"/>
      </w:pPr>
      <w:rPr>
        <w:rFonts w:cs="Times New Roman" w:hint="default"/>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99C224C"/>
    <w:multiLevelType w:val="hybridMultilevel"/>
    <w:tmpl w:val="FFFFFFFF"/>
    <w:lvl w:ilvl="0" w:tplc="77EE7D8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B5E17FF"/>
    <w:multiLevelType w:val="hybridMultilevel"/>
    <w:tmpl w:val="D25E1B52"/>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0">
    <w:nsid w:val="7D9B64C8"/>
    <w:multiLevelType w:val="hybridMultilevel"/>
    <w:tmpl w:val="FFFFFFFF"/>
    <w:lvl w:ilvl="0" w:tplc="E5CEA5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7"/>
  </w:num>
  <w:num w:numId="3">
    <w:abstractNumId w:val="2"/>
  </w:num>
  <w:num w:numId="4">
    <w:abstractNumId w:val="22"/>
  </w:num>
  <w:num w:numId="5">
    <w:abstractNumId w:val="1"/>
  </w:num>
  <w:num w:numId="6">
    <w:abstractNumId w:val="13"/>
  </w:num>
  <w:num w:numId="7">
    <w:abstractNumId w:val="4"/>
  </w:num>
  <w:num w:numId="8">
    <w:abstractNumId w:val="12"/>
  </w:num>
  <w:num w:numId="9">
    <w:abstractNumId w:val="30"/>
  </w:num>
  <w:num w:numId="10">
    <w:abstractNumId w:val="27"/>
  </w:num>
  <w:num w:numId="11">
    <w:abstractNumId w:val="15"/>
  </w:num>
  <w:num w:numId="12">
    <w:abstractNumId w:val="5"/>
  </w:num>
  <w:num w:numId="13">
    <w:abstractNumId w:val="25"/>
  </w:num>
  <w:num w:numId="14">
    <w:abstractNumId w:val="19"/>
  </w:num>
  <w:num w:numId="15">
    <w:abstractNumId w:val="0"/>
  </w:num>
  <w:num w:numId="16">
    <w:abstractNumId w:val="6"/>
  </w:num>
  <w:num w:numId="17">
    <w:abstractNumId w:val="9"/>
  </w:num>
  <w:num w:numId="18">
    <w:abstractNumId w:val="18"/>
  </w:num>
  <w:num w:numId="19">
    <w:abstractNumId w:val="14"/>
  </w:num>
  <w:num w:numId="20">
    <w:abstractNumId w:val="26"/>
  </w:num>
  <w:num w:numId="21">
    <w:abstractNumId w:val="21"/>
  </w:num>
  <w:num w:numId="22">
    <w:abstractNumId w:val="28"/>
  </w:num>
  <w:num w:numId="23">
    <w:abstractNumId w:val="20"/>
  </w:num>
  <w:num w:numId="24">
    <w:abstractNumId w:val="23"/>
  </w:num>
  <w:num w:numId="25">
    <w:abstractNumId w:val="3"/>
  </w:num>
  <w:num w:numId="26">
    <w:abstractNumId w:val="17"/>
  </w:num>
  <w:num w:numId="27">
    <w:abstractNumId w:val="11"/>
  </w:num>
  <w:num w:numId="28">
    <w:abstractNumId w:val="24"/>
  </w:num>
  <w:num w:numId="29">
    <w:abstractNumId w:val="10"/>
  </w:num>
  <w:num w:numId="30">
    <w:abstractNumId w:val="16"/>
  </w:num>
  <w:num w:numId="31">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67"/>
    <w:rsid w:val="00001951"/>
    <w:rsid w:val="00015CE0"/>
    <w:rsid w:val="000160E5"/>
    <w:rsid w:val="00023709"/>
    <w:rsid w:val="000241F7"/>
    <w:rsid w:val="00024DDA"/>
    <w:rsid w:val="000264F9"/>
    <w:rsid w:val="00033F21"/>
    <w:rsid w:val="00035414"/>
    <w:rsid w:val="0003570A"/>
    <w:rsid w:val="00037142"/>
    <w:rsid w:val="0004602C"/>
    <w:rsid w:val="000501BF"/>
    <w:rsid w:val="00052051"/>
    <w:rsid w:val="0006107C"/>
    <w:rsid w:val="00061653"/>
    <w:rsid w:val="00074F70"/>
    <w:rsid w:val="00076AA9"/>
    <w:rsid w:val="00076B5D"/>
    <w:rsid w:val="000802B9"/>
    <w:rsid w:val="000857B0"/>
    <w:rsid w:val="000911CB"/>
    <w:rsid w:val="00092146"/>
    <w:rsid w:val="000929FA"/>
    <w:rsid w:val="00097C4A"/>
    <w:rsid w:val="000A24ED"/>
    <w:rsid w:val="000A46D0"/>
    <w:rsid w:val="000B0DA9"/>
    <w:rsid w:val="000B13C5"/>
    <w:rsid w:val="000B5986"/>
    <w:rsid w:val="000B6624"/>
    <w:rsid w:val="000D6AAC"/>
    <w:rsid w:val="000D7100"/>
    <w:rsid w:val="000E242E"/>
    <w:rsid w:val="000E7777"/>
    <w:rsid w:val="000F2018"/>
    <w:rsid w:val="00101576"/>
    <w:rsid w:val="0010166B"/>
    <w:rsid w:val="00104E63"/>
    <w:rsid w:val="001116E6"/>
    <w:rsid w:val="00112BDD"/>
    <w:rsid w:val="00116727"/>
    <w:rsid w:val="00130F62"/>
    <w:rsid w:val="00131B0E"/>
    <w:rsid w:val="001327A3"/>
    <w:rsid w:val="00142094"/>
    <w:rsid w:val="00142724"/>
    <w:rsid w:val="0014605E"/>
    <w:rsid w:val="00146968"/>
    <w:rsid w:val="00146984"/>
    <w:rsid w:val="0015486A"/>
    <w:rsid w:val="00155CA0"/>
    <w:rsid w:val="00156EDE"/>
    <w:rsid w:val="00161310"/>
    <w:rsid w:val="001647FC"/>
    <w:rsid w:val="00170661"/>
    <w:rsid w:val="001726A5"/>
    <w:rsid w:val="00172708"/>
    <w:rsid w:val="00173AAF"/>
    <w:rsid w:val="0017646C"/>
    <w:rsid w:val="00180199"/>
    <w:rsid w:val="00184830"/>
    <w:rsid w:val="0018593B"/>
    <w:rsid w:val="00186893"/>
    <w:rsid w:val="00186B46"/>
    <w:rsid w:val="001A33D3"/>
    <w:rsid w:val="001B22A1"/>
    <w:rsid w:val="001B7E1F"/>
    <w:rsid w:val="001C1912"/>
    <w:rsid w:val="001C7916"/>
    <w:rsid w:val="001D1C4C"/>
    <w:rsid w:val="001E1B81"/>
    <w:rsid w:val="001E320C"/>
    <w:rsid w:val="001E5488"/>
    <w:rsid w:val="001F4140"/>
    <w:rsid w:val="001F4EF8"/>
    <w:rsid w:val="001F60AD"/>
    <w:rsid w:val="00204C96"/>
    <w:rsid w:val="00204FA7"/>
    <w:rsid w:val="00213D43"/>
    <w:rsid w:val="00220241"/>
    <w:rsid w:val="00220A91"/>
    <w:rsid w:val="0022151F"/>
    <w:rsid w:val="002226C7"/>
    <w:rsid w:val="002234F9"/>
    <w:rsid w:val="0022434E"/>
    <w:rsid w:val="00224DF3"/>
    <w:rsid w:val="00227529"/>
    <w:rsid w:val="00231B58"/>
    <w:rsid w:val="00231E0D"/>
    <w:rsid w:val="00232E1A"/>
    <w:rsid w:val="00246361"/>
    <w:rsid w:val="00247DCD"/>
    <w:rsid w:val="0025533E"/>
    <w:rsid w:val="0025569D"/>
    <w:rsid w:val="00257BA7"/>
    <w:rsid w:val="00261313"/>
    <w:rsid w:val="00265377"/>
    <w:rsid w:val="00274BEC"/>
    <w:rsid w:val="00274FDB"/>
    <w:rsid w:val="00275052"/>
    <w:rsid w:val="00276370"/>
    <w:rsid w:val="0028505B"/>
    <w:rsid w:val="00291E38"/>
    <w:rsid w:val="00294350"/>
    <w:rsid w:val="0029705A"/>
    <w:rsid w:val="002A149E"/>
    <w:rsid w:val="002A4034"/>
    <w:rsid w:val="002A4686"/>
    <w:rsid w:val="002A4E11"/>
    <w:rsid w:val="002A62DC"/>
    <w:rsid w:val="002B0CF7"/>
    <w:rsid w:val="002B3444"/>
    <w:rsid w:val="002B5342"/>
    <w:rsid w:val="002C3CA2"/>
    <w:rsid w:val="002C7628"/>
    <w:rsid w:val="002D64AF"/>
    <w:rsid w:val="002E1259"/>
    <w:rsid w:val="002E1446"/>
    <w:rsid w:val="002E6299"/>
    <w:rsid w:val="002E6E4C"/>
    <w:rsid w:val="002F0953"/>
    <w:rsid w:val="002F1E0D"/>
    <w:rsid w:val="002F4194"/>
    <w:rsid w:val="002F57FE"/>
    <w:rsid w:val="002F642C"/>
    <w:rsid w:val="002F6B09"/>
    <w:rsid w:val="00301C6D"/>
    <w:rsid w:val="0030437B"/>
    <w:rsid w:val="003079DF"/>
    <w:rsid w:val="0031273C"/>
    <w:rsid w:val="00312FD2"/>
    <w:rsid w:val="00314774"/>
    <w:rsid w:val="003204AA"/>
    <w:rsid w:val="00325791"/>
    <w:rsid w:val="0033230A"/>
    <w:rsid w:val="003337F1"/>
    <w:rsid w:val="003341EB"/>
    <w:rsid w:val="00334F7F"/>
    <w:rsid w:val="00341024"/>
    <w:rsid w:val="00342374"/>
    <w:rsid w:val="00346036"/>
    <w:rsid w:val="0035148D"/>
    <w:rsid w:val="00352B3A"/>
    <w:rsid w:val="0035613D"/>
    <w:rsid w:val="00362E29"/>
    <w:rsid w:val="00363AD6"/>
    <w:rsid w:val="0037543C"/>
    <w:rsid w:val="00376B8D"/>
    <w:rsid w:val="003779B1"/>
    <w:rsid w:val="00377DF6"/>
    <w:rsid w:val="00383B08"/>
    <w:rsid w:val="00391FEE"/>
    <w:rsid w:val="00394E9E"/>
    <w:rsid w:val="00397FD3"/>
    <w:rsid w:val="003A147D"/>
    <w:rsid w:val="003A152B"/>
    <w:rsid w:val="003A1571"/>
    <w:rsid w:val="003A1E54"/>
    <w:rsid w:val="003A74E8"/>
    <w:rsid w:val="003A7CAB"/>
    <w:rsid w:val="003B17CE"/>
    <w:rsid w:val="003B3A1B"/>
    <w:rsid w:val="003B3B1A"/>
    <w:rsid w:val="003C2517"/>
    <w:rsid w:val="003C2BC3"/>
    <w:rsid w:val="003D692F"/>
    <w:rsid w:val="003E07D2"/>
    <w:rsid w:val="003E348D"/>
    <w:rsid w:val="003E64B0"/>
    <w:rsid w:val="003F0439"/>
    <w:rsid w:val="003F0C0B"/>
    <w:rsid w:val="003F1E66"/>
    <w:rsid w:val="004048C8"/>
    <w:rsid w:val="00406659"/>
    <w:rsid w:val="004074E9"/>
    <w:rsid w:val="00415566"/>
    <w:rsid w:val="00417DBA"/>
    <w:rsid w:val="00420261"/>
    <w:rsid w:val="00422C2A"/>
    <w:rsid w:val="0043005E"/>
    <w:rsid w:val="00430069"/>
    <w:rsid w:val="004659BE"/>
    <w:rsid w:val="0047000B"/>
    <w:rsid w:val="0047675E"/>
    <w:rsid w:val="00483760"/>
    <w:rsid w:val="0049341A"/>
    <w:rsid w:val="00496DB1"/>
    <w:rsid w:val="004A2319"/>
    <w:rsid w:val="004B1A29"/>
    <w:rsid w:val="004B3402"/>
    <w:rsid w:val="004B37F7"/>
    <w:rsid w:val="004B57A9"/>
    <w:rsid w:val="004C245A"/>
    <w:rsid w:val="004D2689"/>
    <w:rsid w:val="004D3C25"/>
    <w:rsid w:val="004D43A4"/>
    <w:rsid w:val="004D4516"/>
    <w:rsid w:val="004F2271"/>
    <w:rsid w:val="004F7672"/>
    <w:rsid w:val="004F78F8"/>
    <w:rsid w:val="0050008A"/>
    <w:rsid w:val="005014FD"/>
    <w:rsid w:val="00502818"/>
    <w:rsid w:val="00502C37"/>
    <w:rsid w:val="005042E6"/>
    <w:rsid w:val="005140E0"/>
    <w:rsid w:val="0051464E"/>
    <w:rsid w:val="005152D1"/>
    <w:rsid w:val="005214BB"/>
    <w:rsid w:val="00525884"/>
    <w:rsid w:val="00530CF6"/>
    <w:rsid w:val="005315BB"/>
    <w:rsid w:val="005322DA"/>
    <w:rsid w:val="0053245E"/>
    <w:rsid w:val="00532EE4"/>
    <w:rsid w:val="0053428B"/>
    <w:rsid w:val="00537FE1"/>
    <w:rsid w:val="00543D59"/>
    <w:rsid w:val="00545A6C"/>
    <w:rsid w:val="00546928"/>
    <w:rsid w:val="00546CAE"/>
    <w:rsid w:val="0056429B"/>
    <w:rsid w:val="005650ED"/>
    <w:rsid w:val="00566892"/>
    <w:rsid w:val="00572A14"/>
    <w:rsid w:val="00577ECA"/>
    <w:rsid w:val="00582487"/>
    <w:rsid w:val="00583F10"/>
    <w:rsid w:val="0058401A"/>
    <w:rsid w:val="005928F0"/>
    <w:rsid w:val="005946AC"/>
    <w:rsid w:val="005979C2"/>
    <w:rsid w:val="005A7EE2"/>
    <w:rsid w:val="005B2724"/>
    <w:rsid w:val="005C2105"/>
    <w:rsid w:val="005C5CAC"/>
    <w:rsid w:val="005D5F50"/>
    <w:rsid w:val="005D6C92"/>
    <w:rsid w:val="005F1286"/>
    <w:rsid w:val="005F1C9C"/>
    <w:rsid w:val="005F473C"/>
    <w:rsid w:val="005F559D"/>
    <w:rsid w:val="00600AEB"/>
    <w:rsid w:val="0060418F"/>
    <w:rsid w:val="00613EB3"/>
    <w:rsid w:val="006348D7"/>
    <w:rsid w:val="0063737E"/>
    <w:rsid w:val="006373F0"/>
    <w:rsid w:val="006471FB"/>
    <w:rsid w:val="00647233"/>
    <w:rsid w:val="00650DFB"/>
    <w:rsid w:val="006621E6"/>
    <w:rsid w:val="00666789"/>
    <w:rsid w:val="00667CB5"/>
    <w:rsid w:val="00671A34"/>
    <w:rsid w:val="006724C3"/>
    <w:rsid w:val="00674060"/>
    <w:rsid w:val="0068620B"/>
    <w:rsid w:val="00686864"/>
    <w:rsid w:val="006932F7"/>
    <w:rsid w:val="006951FF"/>
    <w:rsid w:val="00696BDC"/>
    <w:rsid w:val="006B01D3"/>
    <w:rsid w:val="006B0AB9"/>
    <w:rsid w:val="006B17DC"/>
    <w:rsid w:val="006B2733"/>
    <w:rsid w:val="006B2F4E"/>
    <w:rsid w:val="006B400C"/>
    <w:rsid w:val="006C031F"/>
    <w:rsid w:val="006C16CE"/>
    <w:rsid w:val="006C6CC9"/>
    <w:rsid w:val="006E026B"/>
    <w:rsid w:val="006E0395"/>
    <w:rsid w:val="006E3CC4"/>
    <w:rsid w:val="006F427F"/>
    <w:rsid w:val="007119B7"/>
    <w:rsid w:val="00715174"/>
    <w:rsid w:val="00715F1B"/>
    <w:rsid w:val="0071685A"/>
    <w:rsid w:val="00723F0B"/>
    <w:rsid w:val="007252DE"/>
    <w:rsid w:val="00730887"/>
    <w:rsid w:val="00733F7A"/>
    <w:rsid w:val="007362A2"/>
    <w:rsid w:val="00736B69"/>
    <w:rsid w:val="00741B0B"/>
    <w:rsid w:val="00742A87"/>
    <w:rsid w:val="00742C1D"/>
    <w:rsid w:val="00743420"/>
    <w:rsid w:val="007552A2"/>
    <w:rsid w:val="00755935"/>
    <w:rsid w:val="00757684"/>
    <w:rsid w:val="00766293"/>
    <w:rsid w:val="00783BDF"/>
    <w:rsid w:val="0078561B"/>
    <w:rsid w:val="00792D49"/>
    <w:rsid w:val="007A2F09"/>
    <w:rsid w:val="007A78F2"/>
    <w:rsid w:val="007B344C"/>
    <w:rsid w:val="007B34C8"/>
    <w:rsid w:val="007B3D03"/>
    <w:rsid w:val="007B45B5"/>
    <w:rsid w:val="007B6C0A"/>
    <w:rsid w:val="007B70B0"/>
    <w:rsid w:val="007E578C"/>
    <w:rsid w:val="007E588C"/>
    <w:rsid w:val="007F382A"/>
    <w:rsid w:val="008018D6"/>
    <w:rsid w:val="00802911"/>
    <w:rsid w:val="00805D07"/>
    <w:rsid w:val="008072D5"/>
    <w:rsid w:val="008106F1"/>
    <w:rsid w:val="008139BD"/>
    <w:rsid w:val="008203F4"/>
    <w:rsid w:val="008204C3"/>
    <w:rsid w:val="00823031"/>
    <w:rsid w:val="00832622"/>
    <w:rsid w:val="00834D1D"/>
    <w:rsid w:val="008447A7"/>
    <w:rsid w:val="00844B03"/>
    <w:rsid w:val="00845DE2"/>
    <w:rsid w:val="0084654D"/>
    <w:rsid w:val="00855A29"/>
    <w:rsid w:val="00855EA2"/>
    <w:rsid w:val="008562E6"/>
    <w:rsid w:val="00864D81"/>
    <w:rsid w:val="0086569C"/>
    <w:rsid w:val="008749CE"/>
    <w:rsid w:val="008764D3"/>
    <w:rsid w:val="00892DD2"/>
    <w:rsid w:val="00896CCE"/>
    <w:rsid w:val="008A0E96"/>
    <w:rsid w:val="008A4D5E"/>
    <w:rsid w:val="008B0572"/>
    <w:rsid w:val="008B11A0"/>
    <w:rsid w:val="008B271A"/>
    <w:rsid w:val="008C08CF"/>
    <w:rsid w:val="008C2812"/>
    <w:rsid w:val="008D18A9"/>
    <w:rsid w:val="008D3D10"/>
    <w:rsid w:val="008D5B63"/>
    <w:rsid w:val="008E11AC"/>
    <w:rsid w:val="008E644E"/>
    <w:rsid w:val="008E6AAA"/>
    <w:rsid w:val="008F578C"/>
    <w:rsid w:val="008F5DAF"/>
    <w:rsid w:val="00902ED4"/>
    <w:rsid w:val="00903FDC"/>
    <w:rsid w:val="009066DA"/>
    <w:rsid w:val="00906C61"/>
    <w:rsid w:val="009203D7"/>
    <w:rsid w:val="0092145C"/>
    <w:rsid w:val="00922DC0"/>
    <w:rsid w:val="00925E87"/>
    <w:rsid w:val="009273B7"/>
    <w:rsid w:val="00930638"/>
    <w:rsid w:val="00932434"/>
    <w:rsid w:val="00934952"/>
    <w:rsid w:val="00936A1C"/>
    <w:rsid w:val="0093730E"/>
    <w:rsid w:val="009432D9"/>
    <w:rsid w:val="00945DCE"/>
    <w:rsid w:val="009503D6"/>
    <w:rsid w:val="009506FF"/>
    <w:rsid w:val="009511A7"/>
    <w:rsid w:val="00956A9F"/>
    <w:rsid w:val="00957A24"/>
    <w:rsid w:val="009711E1"/>
    <w:rsid w:val="0097241C"/>
    <w:rsid w:val="00973902"/>
    <w:rsid w:val="00976B76"/>
    <w:rsid w:val="009817D1"/>
    <w:rsid w:val="0098666B"/>
    <w:rsid w:val="009A0454"/>
    <w:rsid w:val="009A0B26"/>
    <w:rsid w:val="009A6EBF"/>
    <w:rsid w:val="009B5AE3"/>
    <w:rsid w:val="009B5CF8"/>
    <w:rsid w:val="009B5F95"/>
    <w:rsid w:val="009C2BE8"/>
    <w:rsid w:val="009C5B96"/>
    <w:rsid w:val="009D1498"/>
    <w:rsid w:val="009D695E"/>
    <w:rsid w:val="009D732E"/>
    <w:rsid w:val="009E544F"/>
    <w:rsid w:val="009E74DB"/>
    <w:rsid w:val="009E7A1C"/>
    <w:rsid w:val="009F3100"/>
    <w:rsid w:val="009F68E3"/>
    <w:rsid w:val="00A11954"/>
    <w:rsid w:val="00A132E1"/>
    <w:rsid w:val="00A224E1"/>
    <w:rsid w:val="00A26DDC"/>
    <w:rsid w:val="00A30618"/>
    <w:rsid w:val="00A3382A"/>
    <w:rsid w:val="00A34292"/>
    <w:rsid w:val="00A356A6"/>
    <w:rsid w:val="00A36F20"/>
    <w:rsid w:val="00A3720F"/>
    <w:rsid w:val="00A403DD"/>
    <w:rsid w:val="00A44DA9"/>
    <w:rsid w:val="00A462AA"/>
    <w:rsid w:val="00A47015"/>
    <w:rsid w:val="00A538AF"/>
    <w:rsid w:val="00A53F54"/>
    <w:rsid w:val="00A63DC4"/>
    <w:rsid w:val="00A65474"/>
    <w:rsid w:val="00A84C6F"/>
    <w:rsid w:val="00A95C73"/>
    <w:rsid w:val="00AA4071"/>
    <w:rsid w:val="00AA47AC"/>
    <w:rsid w:val="00AA51B6"/>
    <w:rsid w:val="00AA5AD8"/>
    <w:rsid w:val="00AB1FF2"/>
    <w:rsid w:val="00AB3FA6"/>
    <w:rsid w:val="00AB42DE"/>
    <w:rsid w:val="00AB5259"/>
    <w:rsid w:val="00AD1B69"/>
    <w:rsid w:val="00AD3CB0"/>
    <w:rsid w:val="00AD4F40"/>
    <w:rsid w:val="00AE0A48"/>
    <w:rsid w:val="00AF0BF5"/>
    <w:rsid w:val="00AF41B5"/>
    <w:rsid w:val="00AF7580"/>
    <w:rsid w:val="00B0666C"/>
    <w:rsid w:val="00B1171D"/>
    <w:rsid w:val="00B11A8F"/>
    <w:rsid w:val="00B16F4D"/>
    <w:rsid w:val="00B265AE"/>
    <w:rsid w:val="00B30346"/>
    <w:rsid w:val="00B30FAF"/>
    <w:rsid w:val="00B335F2"/>
    <w:rsid w:val="00B35A70"/>
    <w:rsid w:val="00B40805"/>
    <w:rsid w:val="00B433A1"/>
    <w:rsid w:val="00B4467D"/>
    <w:rsid w:val="00B523C6"/>
    <w:rsid w:val="00B55EE7"/>
    <w:rsid w:val="00B57970"/>
    <w:rsid w:val="00B66420"/>
    <w:rsid w:val="00B66966"/>
    <w:rsid w:val="00B74A1A"/>
    <w:rsid w:val="00B8620E"/>
    <w:rsid w:val="00B9299C"/>
    <w:rsid w:val="00B936A9"/>
    <w:rsid w:val="00B96A67"/>
    <w:rsid w:val="00BA3982"/>
    <w:rsid w:val="00BA56DD"/>
    <w:rsid w:val="00BB5B09"/>
    <w:rsid w:val="00BC1D92"/>
    <w:rsid w:val="00BC7684"/>
    <w:rsid w:val="00BE04FF"/>
    <w:rsid w:val="00BE3AC8"/>
    <w:rsid w:val="00BE5271"/>
    <w:rsid w:val="00BE66B4"/>
    <w:rsid w:val="00BF1D9A"/>
    <w:rsid w:val="00BF3060"/>
    <w:rsid w:val="00C002AE"/>
    <w:rsid w:val="00C04D05"/>
    <w:rsid w:val="00C04F40"/>
    <w:rsid w:val="00C169F8"/>
    <w:rsid w:val="00C20AC3"/>
    <w:rsid w:val="00C265E5"/>
    <w:rsid w:val="00C3533D"/>
    <w:rsid w:val="00C43141"/>
    <w:rsid w:val="00C503DC"/>
    <w:rsid w:val="00C52AF5"/>
    <w:rsid w:val="00C63605"/>
    <w:rsid w:val="00C6495E"/>
    <w:rsid w:val="00C65BB7"/>
    <w:rsid w:val="00C72099"/>
    <w:rsid w:val="00C80E65"/>
    <w:rsid w:val="00C85EB3"/>
    <w:rsid w:val="00C901DB"/>
    <w:rsid w:val="00C92F93"/>
    <w:rsid w:val="00C93D7F"/>
    <w:rsid w:val="00C94C2C"/>
    <w:rsid w:val="00C9570B"/>
    <w:rsid w:val="00C95BD9"/>
    <w:rsid w:val="00CA173F"/>
    <w:rsid w:val="00CA3980"/>
    <w:rsid w:val="00CA578E"/>
    <w:rsid w:val="00CA7FA2"/>
    <w:rsid w:val="00CB1B60"/>
    <w:rsid w:val="00CB3DC4"/>
    <w:rsid w:val="00CB5ED3"/>
    <w:rsid w:val="00CC1A6C"/>
    <w:rsid w:val="00CC5BB0"/>
    <w:rsid w:val="00CC7FC1"/>
    <w:rsid w:val="00CD010F"/>
    <w:rsid w:val="00CD638A"/>
    <w:rsid w:val="00CF25F6"/>
    <w:rsid w:val="00CF5A35"/>
    <w:rsid w:val="00CF6A8D"/>
    <w:rsid w:val="00D002C2"/>
    <w:rsid w:val="00D0655C"/>
    <w:rsid w:val="00D215C5"/>
    <w:rsid w:val="00D23CE7"/>
    <w:rsid w:val="00D244E4"/>
    <w:rsid w:val="00D24875"/>
    <w:rsid w:val="00D254AF"/>
    <w:rsid w:val="00D358BD"/>
    <w:rsid w:val="00D40855"/>
    <w:rsid w:val="00D44C2F"/>
    <w:rsid w:val="00D47B91"/>
    <w:rsid w:val="00D60A52"/>
    <w:rsid w:val="00D7339A"/>
    <w:rsid w:val="00D7344B"/>
    <w:rsid w:val="00D74677"/>
    <w:rsid w:val="00D76AB2"/>
    <w:rsid w:val="00D76BD3"/>
    <w:rsid w:val="00D777E8"/>
    <w:rsid w:val="00D77F24"/>
    <w:rsid w:val="00D82866"/>
    <w:rsid w:val="00D91E3D"/>
    <w:rsid w:val="00D96EBA"/>
    <w:rsid w:val="00D97708"/>
    <w:rsid w:val="00DA08DA"/>
    <w:rsid w:val="00DA79BF"/>
    <w:rsid w:val="00DC1C74"/>
    <w:rsid w:val="00DE0863"/>
    <w:rsid w:val="00DE4DA8"/>
    <w:rsid w:val="00DE5C57"/>
    <w:rsid w:val="00DE5E76"/>
    <w:rsid w:val="00DF296A"/>
    <w:rsid w:val="00DF5A78"/>
    <w:rsid w:val="00E01248"/>
    <w:rsid w:val="00E02920"/>
    <w:rsid w:val="00E02946"/>
    <w:rsid w:val="00E11C67"/>
    <w:rsid w:val="00E24BC4"/>
    <w:rsid w:val="00E25361"/>
    <w:rsid w:val="00E30EE3"/>
    <w:rsid w:val="00E31576"/>
    <w:rsid w:val="00E360B9"/>
    <w:rsid w:val="00E41D12"/>
    <w:rsid w:val="00E41D3E"/>
    <w:rsid w:val="00E43220"/>
    <w:rsid w:val="00E437A1"/>
    <w:rsid w:val="00E47A2C"/>
    <w:rsid w:val="00E47E64"/>
    <w:rsid w:val="00E50A9F"/>
    <w:rsid w:val="00E50C5D"/>
    <w:rsid w:val="00E52D29"/>
    <w:rsid w:val="00E7247A"/>
    <w:rsid w:val="00E7626D"/>
    <w:rsid w:val="00E7630F"/>
    <w:rsid w:val="00E8099A"/>
    <w:rsid w:val="00E84F77"/>
    <w:rsid w:val="00EA10A2"/>
    <w:rsid w:val="00EB2269"/>
    <w:rsid w:val="00EB4F8A"/>
    <w:rsid w:val="00EC26A5"/>
    <w:rsid w:val="00EC49F2"/>
    <w:rsid w:val="00EC5E0B"/>
    <w:rsid w:val="00ED1ACE"/>
    <w:rsid w:val="00ED74A4"/>
    <w:rsid w:val="00EE1CF1"/>
    <w:rsid w:val="00EE2188"/>
    <w:rsid w:val="00F05A2D"/>
    <w:rsid w:val="00F1361D"/>
    <w:rsid w:val="00F3246B"/>
    <w:rsid w:val="00F36D8F"/>
    <w:rsid w:val="00F51344"/>
    <w:rsid w:val="00F51BE3"/>
    <w:rsid w:val="00F53F02"/>
    <w:rsid w:val="00F643E7"/>
    <w:rsid w:val="00F65D22"/>
    <w:rsid w:val="00F72348"/>
    <w:rsid w:val="00F76909"/>
    <w:rsid w:val="00F81822"/>
    <w:rsid w:val="00F86675"/>
    <w:rsid w:val="00F86890"/>
    <w:rsid w:val="00F90002"/>
    <w:rsid w:val="00F963B3"/>
    <w:rsid w:val="00F97EE2"/>
    <w:rsid w:val="00FA01DB"/>
    <w:rsid w:val="00FA080A"/>
    <w:rsid w:val="00FA253C"/>
    <w:rsid w:val="00FA40D2"/>
    <w:rsid w:val="00FA5634"/>
    <w:rsid w:val="00FA6B40"/>
    <w:rsid w:val="00FB3DC8"/>
    <w:rsid w:val="00FB5A3C"/>
    <w:rsid w:val="00FC0C27"/>
    <w:rsid w:val="00FC3A94"/>
    <w:rsid w:val="00FD2A0F"/>
    <w:rsid w:val="00FD692F"/>
    <w:rsid w:val="00FE1242"/>
    <w:rsid w:val="00FE12AC"/>
    <w:rsid w:val="00FE207C"/>
    <w:rsid w:val="00FE48EE"/>
    <w:rsid w:val="00FE7EFA"/>
    <w:rsid w:val="00FF3E1A"/>
    <w:rsid w:val="00FF50D8"/>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A8B195-12C9-46DB-9B7A-74B74799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48376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b/>
      <w:bCs/>
      <w:i/>
      <w:iCs/>
      <w:sz w:val="28"/>
      <w:szCs w:val="28"/>
    </w:rPr>
  </w:style>
  <w:style w:type="paragraph" w:styleId="Heading3">
    <w:name w:val="heading 3"/>
    <w:basedOn w:val="Normal"/>
    <w:next w:val="Normal"/>
    <w:link w:val="Heading3Char"/>
    <w:uiPriority w:val="9"/>
    <w:qFormat/>
    <w:rsid w:val="003337F1"/>
    <w:pPr>
      <w:widowControl w:val="0"/>
      <w:autoSpaceDE w:val="0"/>
      <w:autoSpaceDN w:val="0"/>
      <w:adjustRightInd w:val="0"/>
      <w:spacing w:after="0" w:line="240" w:lineRule="auto"/>
      <w:outlineLvl w:val="2"/>
    </w:pPr>
    <w:rPr>
      <w:b/>
      <w:bCs/>
      <w:sz w:val="26"/>
      <w:szCs w:val="26"/>
    </w:rPr>
  </w:style>
  <w:style w:type="paragraph" w:styleId="Heading4">
    <w:name w:val="heading 4"/>
    <w:basedOn w:val="Normal"/>
    <w:next w:val="Normal"/>
    <w:link w:val="Heading4Char"/>
    <w:uiPriority w:val="9"/>
    <w:qFormat/>
    <w:rsid w:val="001B7E1F"/>
    <w:pPr>
      <w:keepNext/>
      <w:spacing w:after="0" w:line="240" w:lineRule="auto"/>
      <w:outlineLvl w:val="3"/>
    </w:pPr>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83760"/>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
    <w:locked/>
    <w:rsid w:val="003337F1"/>
    <w:rPr>
      <w:rFonts w:eastAsia="Times New Roman" w:cs="Times New Roman"/>
      <w:b/>
      <w:i/>
      <w:sz w:val="28"/>
    </w:rPr>
  </w:style>
  <w:style w:type="character" w:customStyle="1" w:styleId="Heading3Char">
    <w:name w:val="Heading 3 Char"/>
    <w:basedOn w:val="DefaultParagraphFont"/>
    <w:link w:val="Heading3"/>
    <w:uiPriority w:val="9"/>
    <w:locked/>
    <w:rsid w:val="003337F1"/>
    <w:rPr>
      <w:rFonts w:eastAsia="Times New Roman" w:cs="Times New Roman"/>
      <w:b/>
      <w:sz w:val="26"/>
    </w:rPr>
  </w:style>
  <w:style w:type="character" w:customStyle="1" w:styleId="Heading4Char">
    <w:name w:val="Heading 4 Char"/>
    <w:basedOn w:val="DefaultParagraphFont"/>
    <w:link w:val="Heading4"/>
    <w:uiPriority w:val="9"/>
    <w:locked/>
    <w:rsid w:val="001B7E1F"/>
    <w:rPr>
      <w:rFonts w:ascii="Arial" w:hAnsi="Arial" w:cs="Times New Roman"/>
      <w:sz w:val="24"/>
      <w:lang w:val="en-GB" w:eastAsia="x-none"/>
    </w:rPr>
  </w:style>
  <w:style w:type="paragraph" w:styleId="BodyText">
    <w:name w:val="Body Text"/>
    <w:basedOn w:val="Normal"/>
    <w:link w:val="BodyTextChar"/>
    <w:uiPriority w:val="99"/>
    <w:rsid w:val="001B7E1F"/>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1B7E1F"/>
    <w:rPr>
      <w:rFonts w:ascii="Times New Roman" w:hAnsi="Times New Roman" w:cs="Times New Roman"/>
      <w:sz w:val="24"/>
      <w:lang w:val="en-GB" w:eastAsia="x-none"/>
    </w:rPr>
  </w:style>
  <w:style w:type="paragraph" w:styleId="BodyTextIndent">
    <w:name w:val="Body Text Indent"/>
    <w:basedOn w:val="Normal"/>
    <w:link w:val="BodyTextIndentChar"/>
    <w:uiPriority w:val="99"/>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1B7E1F"/>
    <w:rPr>
      <w:rFonts w:ascii="Times New Roman" w:hAnsi="Times New Roman" w:cs="Times New Roman"/>
      <w:sz w:val="24"/>
      <w:lang w:val="en-GB" w:eastAsia="x-none"/>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7E1F"/>
    <w:rPr>
      <w:rFonts w:cs="Times New Roman"/>
    </w:rPr>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B7E1F"/>
    <w:rPr>
      <w:rFonts w:ascii="Tahoma" w:hAnsi="Tahoma" w:cs="Times New Roman"/>
      <w:sz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1B0B"/>
    <w:rPr>
      <w:rFonts w:cs="Times New Roman"/>
    </w:rPr>
  </w:style>
  <w:style w:type="paragraph" w:styleId="FootnoteText">
    <w:name w:val="footnote text"/>
    <w:basedOn w:val="Normal"/>
    <w:link w:val="FootnoteTextChar"/>
    <w:uiPriority w:val="99"/>
    <w:unhideWhenUsed/>
    <w:rsid w:val="009506FF"/>
    <w:pPr>
      <w:widowControl w:val="0"/>
      <w:autoSpaceDE w:val="0"/>
      <w:autoSpaceDN w:val="0"/>
      <w:adjustRightInd w:val="0"/>
      <w:spacing w:after="0" w:line="240" w:lineRule="auto"/>
    </w:pPr>
    <w:rPr>
      <w:rFonts w:ascii="Arial" w:hAnsi="Arial"/>
      <w:sz w:val="24"/>
      <w:szCs w:val="24"/>
    </w:rPr>
  </w:style>
  <w:style w:type="character" w:customStyle="1" w:styleId="FootnoteTextChar">
    <w:name w:val="Footnote Text Char"/>
    <w:basedOn w:val="DefaultParagraphFont"/>
    <w:link w:val="FootnoteText"/>
    <w:uiPriority w:val="99"/>
    <w:locked/>
    <w:rsid w:val="009506FF"/>
    <w:rPr>
      <w:rFonts w:ascii="Arial" w:hAnsi="Arial" w:cs="Times New Roman"/>
      <w:sz w:val="24"/>
    </w:rPr>
  </w:style>
  <w:style w:type="character" w:styleId="FootnoteReference">
    <w:name w:val="footnote reference"/>
    <w:basedOn w:val="DefaultParagraphFont"/>
    <w:uiPriority w:val="99"/>
    <w:unhideWhenUsed/>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hAnsi="Arial"/>
      <w:sz w:val="24"/>
      <w:szCs w:val="24"/>
    </w:rPr>
  </w:style>
  <w:style w:type="character" w:styleId="Hyperlink">
    <w:name w:val="Hyperlink"/>
    <w:basedOn w:val="DefaultParagraphFont"/>
    <w:uiPriority w:val="99"/>
    <w:unhideWhenUsed/>
    <w:rsid w:val="009506FF"/>
    <w:rPr>
      <w:rFonts w:cs="Times New Roman"/>
      <w:color w:val="0000FF"/>
      <w:u w:val="single"/>
    </w:rPr>
  </w:style>
  <w:style w:type="paragraph" w:styleId="NoSpacing">
    <w:name w:val="No Spacing"/>
    <w:uiPriority w:val="1"/>
    <w:qFormat/>
    <w:rsid w:val="00415566"/>
    <w:rPr>
      <w:rFonts w:cs="Times New Roman"/>
      <w:sz w:val="22"/>
      <w:szCs w:val="22"/>
      <w:lang w:val="en-US" w:eastAsia="en-US"/>
    </w:rPr>
  </w:style>
  <w:style w:type="character" w:styleId="PageNumber">
    <w:name w:val="page number"/>
    <w:basedOn w:val="DefaultParagraphFont"/>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locked/>
    <w:rsid w:val="003337F1"/>
    <w:rPr>
      <w:rFonts w:ascii="Lucida Grande" w:hAnsi="Lucida Grande" w:cs="Times New Roman"/>
      <w:sz w:val="24"/>
    </w:rPr>
  </w:style>
  <w:style w:type="paragraph" w:customStyle="1" w:styleId="Style1">
    <w:name w:val="Style1"/>
    <w:basedOn w:val="Normal"/>
    <w:rsid w:val="003337F1"/>
    <w:pPr>
      <w:spacing w:after="0" w:line="360" w:lineRule="auto"/>
      <w:jc w:val="both"/>
    </w:pPr>
    <w:rPr>
      <w:rFonts w:ascii="Arial" w:hAnsi="Arial"/>
      <w:sz w:val="24"/>
      <w:szCs w:val="20"/>
    </w:rPr>
  </w:style>
  <w:style w:type="paragraph" w:styleId="EndnoteText">
    <w:name w:val="endnote text"/>
    <w:basedOn w:val="Normal"/>
    <w:link w:val="EndnoteTextChar"/>
    <w:uiPriority w:val="99"/>
    <w:semiHidden/>
    <w:unhideWhenUsed/>
    <w:rsid w:val="00A11954"/>
    <w:rPr>
      <w:sz w:val="20"/>
      <w:szCs w:val="20"/>
    </w:rPr>
  </w:style>
  <w:style w:type="character" w:customStyle="1" w:styleId="EndnoteTextChar">
    <w:name w:val="Endnote Text Char"/>
    <w:basedOn w:val="DefaultParagraphFont"/>
    <w:link w:val="EndnoteText"/>
    <w:uiPriority w:val="99"/>
    <w:semiHidden/>
    <w:locked/>
    <w:rsid w:val="00A11954"/>
    <w:rPr>
      <w:rFonts w:cs="Times New Roman"/>
    </w:rPr>
  </w:style>
  <w:style w:type="character" w:styleId="EndnoteReference">
    <w:name w:val="endnote reference"/>
    <w:basedOn w:val="DefaultParagraphFont"/>
    <w:uiPriority w:val="99"/>
    <w:semiHidden/>
    <w:unhideWhenUsed/>
    <w:rsid w:val="00A1195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2023-03-16T18:30:00+00:00</Judgment_x0020_Date>
    <Year xmlns="c1afb1bd-f2fb-40fd-9abb-aea55b4d7662">2023</Year>
  </documentManagement>
</p:properties>
</file>

<file path=customXml/itemProps1.xml><?xml version="1.0" encoding="utf-8"?>
<ds:datastoreItem xmlns:ds="http://schemas.openxmlformats.org/officeDocument/2006/customXml" ds:itemID="{5013DE26-8AE6-4A77-84E8-86599025B8D8}"/>
</file>

<file path=customXml/itemProps2.xml><?xml version="1.0" encoding="utf-8"?>
<ds:datastoreItem xmlns:ds="http://schemas.openxmlformats.org/officeDocument/2006/customXml" ds:itemID="{62DEC2AF-953F-4F51-A68C-D094139EC7DC}"/>
</file>

<file path=customXml/itemProps3.xml><?xml version="1.0" encoding="utf-8"?>
<ds:datastoreItem xmlns:ds="http://schemas.openxmlformats.org/officeDocument/2006/customXml" ds:itemID="{77594878-FEF1-4874-86D3-2AC71D344F9E}"/>
</file>

<file path=customXml/itemProps4.xml><?xml version="1.0" encoding="utf-8"?>
<ds:datastoreItem xmlns:ds="http://schemas.openxmlformats.org/officeDocument/2006/customXml" ds:itemID="{94CED15C-DD3F-4BC8-8B11-6B44FF6E4293}"/>
</file>

<file path=docProps/app.xml><?xml version="1.0" encoding="utf-8"?>
<Properties xmlns="http://schemas.openxmlformats.org/officeDocument/2006/extended-properties" xmlns:vt="http://schemas.openxmlformats.org/officeDocument/2006/docPropsVTypes">
  <Template>JUDGMENT TEMPLATE</Template>
  <TotalTime>1091</TotalTime>
  <Pages>1</Pages>
  <Words>5448</Words>
  <Characters>31058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Adler v The Master of the High Court (HC-MD-CIV-ACT- OTH-2021/03237) [2023] NAHCMD 128 (17 March 2022)</dc:title>
  <dc:creator>High Court Judge 5</dc:creator>
  <cp:lastModifiedBy>Collins Omalu</cp:lastModifiedBy>
  <cp:revision>14</cp:revision>
  <cp:lastPrinted>2023-03-20T09:49:00Z</cp:lastPrinted>
  <dcterms:created xsi:type="dcterms:W3CDTF">2023-03-10T13:40:00Z</dcterms:created>
  <dcterms:modified xsi:type="dcterms:W3CDTF">2023-03-22T07:06:00Z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