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8" w:rsidRPr="00515BD3" w:rsidRDefault="009E6F08" w:rsidP="009E6F08">
      <w:pPr>
        <w:spacing w:after="0" w:line="360" w:lineRule="auto"/>
        <w:jc w:val="center"/>
        <w:rPr>
          <w:rFonts w:ascii="Arial" w:hAnsi="Arial" w:cs="Arial"/>
          <w:b/>
          <w:sz w:val="24"/>
          <w:szCs w:val="24"/>
        </w:rPr>
      </w:pPr>
      <w:r>
        <w:rPr>
          <w:rFonts w:ascii="Arial" w:hAnsi="Arial" w:cs="Arial"/>
          <w:b/>
          <w:sz w:val="24"/>
          <w:szCs w:val="24"/>
        </w:rPr>
        <w:t>REPUBLIC OF NAMIBIA</w:t>
      </w: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Pr="00707B80" w:rsidRDefault="009E6F08" w:rsidP="009E6F08">
      <w:pPr>
        <w:spacing w:after="0" w:line="360" w:lineRule="auto"/>
        <w:rPr>
          <w:rFonts w:ascii="Arial" w:hAnsi="Arial" w:cs="Arial"/>
          <w:sz w:val="24"/>
          <w:szCs w:val="24"/>
        </w:rPr>
      </w:pPr>
      <w:r w:rsidRPr="00707B80">
        <w:rPr>
          <w:rFonts w:ascii="Arial" w:hAnsi="Arial" w:cs="Arial"/>
          <w:noProof/>
          <w:sz w:val="24"/>
          <w:szCs w:val="24"/>
          <w:lang w:eastAsia="en-ZA"/>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F08" w:rsidRPr="00707B80" w:rsidRDefault="009E6F08" w:rsidP="009E6F08">
      <w:pPr>
        <w:spacing w:after="0" w:line="360" w:lineRule="auto"/>
        <w:jc w:val="center"/>
        <w:rPr>
          <w:rFonts w:ascii="Arial" w:hAnsi="Arial" w:cs="Arial"/>
          <w:sz w:val="24"/>
          <w:szCs w:val="24"/>
        </w:rPr>
      </w:pPr>
    </w:p>
    <w:p w:rsidR="009E6F08" w:rsidRPr="00707B80" w:rsidRDefault="009E6F08" w:rsidP="009E6F08">
      <w:pPr>
        <w:spacing w:after="0" w:line="360" w:lineRule="auto"/>
        <w:jc w:val="center"/>
        <w:rPr>
          <w:rFonts w:ascii="Arial" w:hAnsi="Arial" w:cs="Arial"/>
          <w:sz w:val="24"/>
          <w:szCs w:val="24"/>
        </w:rPr>
      </w:pPr>
    </w:p>
    <w:p w:rsidR="009E6F08" w:rsidRDefault="009E6F08" w:rsidP="009E6F08">
      <w:pPr>
        <w:spacing w:after="0" w:line="360" w:lineRule="auto"/>
        <w:jc w:val="center"/>
        <w:rPr>
          <w:rFonts w:ascii="Arial" w:hAnsi="Arial" w:cs="Arial"/>
          <w:b/>
          <w:sz w:val="24"/>
          <w:szCs w:val="24"/>
        </w:rPr>
      </w:pPr>
      <w:r w:rsidRPr="00515BD3">
        <w:rPr>
          <w:rFonts w:ascii="Arial" w:hAnsi="Arial" w:cs="Arial"/>
          <w:b/>
          <w:sz w:val="24"/>
          <w:szCs w:val="24"/>
        </w:rPr>
        <w:t>IN THE HIGH COURT OF NAMIBIA</w:t>
      </w:r>
      <w:r>
        <w:rPr>
          <w:rFonts w:ascii="Arial" w:hAnsi="Arial" w:cs="Arial"/>
          <w:b/>
          <w:sz w:val="24"/>
          <w:szCs w:val="24"/>
        </w:rPr>
        <w:t xml:space="preserve">, MAIN DIVISION, WINDHOEK </w:t>
      </w:r>
    </w:p>
    <w:p w:rsidR="009E6F08" w:rsidRDefault="009E6F08" w:rsidP="009E6F08">
      <w:pPr>
        <w:spacing w:after="0" w:line="360" w:lineRule="auto"/>
        <w:jc w:val="center"/>
        <w:rPr>
          <w:rFonts w:ascii="Arial" w:hAnsi="Arial" w:cs="Arial"/>
          <w:b/>
          <w:sz w:val="24"/>
          <w:szCs w:val="24"/>
        </w:rPr>
      </w:pPr>
    </w:p>
    <w:p w:rsidR="009E6F08" w:rsidRDefault="009E6F08" w:rsidP="009E6F08">
      <w:pPr>
        <w:spacing w:after="0" w:line="360" w:lineRule="auto"/>
        <w:jc w:val="center"/>
        <w:rPr>
          <w:rFonts w:ascii="Arial" w:hAnsi="Arial" w:cs="Arial"/>
          <w:b/>
          <w:sz w:val="24"/>
          <w:szCs w:val="24"/>
        </w:rPr>
      </w:pPr>
      <w:r>
        <w:rPr>
          <w:rFonts w:ascii="Arial" w:hAnsi="Arial" w:cs="Arial"/>
          <w:b/>
          <w:sz w:val="24"/>
          <w:szCs w:val="24"/>
        </w:rPr>
        <w:t>JUDGMENT</w:t>
      </w:r>
    </w:p>
    <w:p w:rsidR="009E6F08" w:rsidRDefault="009E6F08" w:rsidP="009E6F08">
      <w:pPr>
        <w:spacing w:after="0" w:line="360" w:lineRule="auto"/>
        <w:jc w:val="center"/>
        <w:rPr>
          <w:rFonts w:ascii="Arial" w:hAnsi="Arial" w:cs="Arial"/>
          <w:b/>
          <w:sz w:val="24"/>
          <w:szCs w:val="24"/>
        </w:rPr>
      </w:pPr>
    </w:p>
    <w:p w:rsidR="009E6F08" w:rsidRPr="001B0EC5" w:rsidRDefault="009E6F08" w:rsidP="009E6F08">
      <w:pPr>
        <w:spacing w:after="0" w:line="360" w:lineRule="auto"/>
        <w:jc w:val="center"/>
        <w:rPr>
          <w:rFonts w:ascii="Arial" w:hAnsi="Arial" w:cs="Arial"/>
          <w:b/>
          <w:sz w:val="24"/>
          <w:szCs w:val="24"/>
        </w:rPr>
      </w:pPr>
      <w:r>
        <w:rPr>
          <w:rFonts w:ascii="Arial" w:hAnsi="Arial" w:cs="Arial"/>
          <w:b/>
          <w:sz w:val="24"/>
          <w:szCs w:val="24"/>
        </w:rPr>
        <w:t>PRACTICE DIRECTIVE 61</w:t>
      </w:r>
    </w:p>
    <w:p w:rsidR="009E6F08" w:rsidRPr="00B14D24" w:rsidRDefault="009E6F08" w:rsidP="009E6F08">
      <w:pPr>
        <w:spacing w:after="0" w:line="360" w:lineRule="auto"/>
        <w:jc w:val="center"/>
        <w:rPr>
          <w:rFonts w:ascii="Arial"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0"/>
        <w:gridCol w:w="537"/>
        <w:gridCol w:w="4323"/>
      </w:tblGrid>
      <w:tr w:rsidR="007D7CFB" w:rsidRPr="00707B80" w:rsidTr="00DE2A6D">
        <w:trPr>
          <w:trHeight w:val="972"/>
        </w:trPr>
        <w:tc>
          <w:tcPr>
            <w:tcW w:w="5397" w:type="dxa"/>
            <w:gridSpan w:val="3"/>
            <w:vMerge w:val="restart"/>
            <w:tcBorders>
              <w:top w:val="single" w:sz="4" w:space="0" w:color="auto"/>
              <w:left w:val="single" w:sz="4" w:space="0" w:color="auto"/>
              <w:right w:val="single" w:sz="4" w:space="0" w:color="auto"/>
            </w:tcBorders>
            <w:shd w:val="clear" w:color="auto" w:fill="auto"/>
          </w:tcPr>
          <w:p w:rsidR="007D7CFB" w:rsidRPr="00707B80" w:rsidRDefault="007D7CFB" w:rsidP="00806CB3">
            <w:pPr>
              <w:spacing w:after="0" w:line="360" w:lineRule="auto"/>
              <w:jc w:val="both"/>
              <w:rPr>
                <w:rFonts w:ascii="Arial" w:hAnsi="Arial" w:cs="Arial"/>
                <w:b/>
                <w:sz w:val="24"/>
                <w:szCs w:val="24"/>
              </w:rPr>
            </w:pPr>
            <w:r w:rsidRPr="00707B80">
              <w:rPr>
                <w:rFonts w:ascii="Arial" w:hAnsi="Arial" w:cs="Arial"/>
                <w:b/>
                <w:sz w:val="24"/>
                <w:szCs w:val="24"/>
              </w:rPr>
              <w:t>Case Title:</w:t>
            </w:r>
          </w:p>
          <w:p w:rsidR="007D7CFB" w:rsidRPr="005E1384" w:rsidRDefault="007D7CFB" w:rsidP="00806CB3">
            <w:pPr>
              <w:spacing w:after="0" w:line="360" w:lineRule="auto"/>
              <w:rPr>
                <w:rFonts w:ascii="Arial" w:hAnsi="Arial" w:cs="Arial"/>
                <w:sz w:val="24"/>
                <w:szCs w:val="24"/>
              </w:rPr>
            </w:pPr>
          </w:p>
          <w:p w:rsidR="007D7CFB" w:rsidRPr="0093049D" w:rsidRDefault="0093049D" w:rsidP="001C6BAC">
            <w:pPr>
              <w:spacing w:after="0" w:line="360" w:lineRule="auto"/>
              <w:rPr>
                <w:rFonts w:ascii="Arial" w:hAnsi="Arial" w:cs="Arial"/>
                <w:sz w:val="24"/>
                <w:szCs w:val="24"/>
              </w:rPr>
            </w:pPr>
            <w:r w:rsidRPr="0093049D">
              <w:rPr>
                <w:rFonts w:ascii="Arial" w:hAnsi="Arial" w:cs="Arial"/>
                <w:sz w:val="24"/>
                <w:szCs w:val="24"/>
              </w:rPr>
              <w:t>ELLIOT ELLIS PHILANDER</w:t>
            </w:r>
            <w:r w:rsidR="00DE2A6D" w:rsidRPr="0093049D">
              <w:rPr>
                <w:rFonts w:ascii="Arial" w:hAnsi="Arial" w:cs="Arial"/>
                <w:sz w:val="24"/>
                <w:szCs w:val="24"/>
              </w:rPr>
              <w:t xml:space="preserve"> v </w:t>
            </w:r>
            <w:r w:rsidRPr="0093049D">
              <w:rPr>
                <w:rFonts w:ascii="Arial" w:hAnsi="Arial" w:cs="Arial"/>
                <w:sz w:val="24"/>
                <w:szCs w:val="24"/>
              </w:rPr>
              <w:t>GOVERNMENT OF THE REPUBLIC OF NAMIBIA &amp; OTHERS</w:t>
            </w:r>
          </w:p>
        </w:tc>
        <w:tc>
          <w:tcPr>
            <w:tcW w:w="4323" w:type="dxa"/>
            <w:tcBorders>
              <w:top w:val="single" w:sz="4" w:space="0" w:color="auto"/>
              <w:left w:val="single" w:sz="4" w:space="0" w:color="auto"/>
              <w:right w:val="single" w:sz="4" w:space="0" w:color="auto"/>
            </w:tcBorders>
            <w:shd w:val="clear" w:color="auto" w:fill="auto"/>
            <w:hideMark/>
          </w:tcPr>
          <w:p w:rsidR="007D7CFB" w:rsidRDefault="007D7CFB" w:rsidP="00DE2A6D">
            <w:pPr>
              <w:spacing w:after="0" w:line="360" w:lineRule="auto"/>
              <w:jc w:val="both"/>
              <w:rPr>
                <w:rFonts w:ascii="Arial" w:hAnsi="Arial" w:cs="Arial"/>
                <w:b/>
                <w:sz w:val="24"/>
                <w:szCs w:val="24"/>
              </w:rPr>
            </w:pPr>
            <w:r w:rsidRPr="00707B80">
              <w:rPr>
                <w:rFonts w:ascii="Arial" w:hAnsi="Arial" w:cs="Arial"/>
                <w:b/>
                <w:sz w:val="24"/>
                <w:szCs w:val="24"/>
              </w:rPr>
              <w:t>Case No:</w:t>
            </w:r>
            <w:r>
              <w:rPr>
                <w:rFonts w:ascii="Arial" w:hAnsi="Arial" w:cs="Arial"/>
                <w:b/>
                <w:sz w:val="24"/>
                <w:szCs w:val="24"/>
              </w:rPr>
              <w:t xml:space="preserve"> </w:t>
            </w:r>
          </w:p>
          <w:p w:rsidR="00DE2A6D" w:rsidRPr="009E6F08" w:rsidRDefault="0093049D" w:rsidP="00DE2A6D">
            <w:pPr>
              <w:spacing w:after="0" w:line="360" w:lineRule="auto"/>
              <w:jc w:val="both"/>
              <w:rPr>
                <w:rFonts w:ascii="Arial" w:hAnsi="Arial" w:cs="Arial"/>
                <w:b/>
                <w:sz w:val="24"/>
                <w:szCs w:val="24"/>
              </w:rPr>
            </w:pPr>
            <w:r w:rsidRPr="001A6C39">
              <w:rPr>
                <w:rFonts w:ascii="Arial" w:hAnsi="Arial" w:cs="Arial"/>
              </w:rPr>
              <w:t>HC-MD-CIV-ACT-DEL-2022/00984</w:t>
            </w:r>
          </w:p>
        </w:tc>
      </w:tr>
      <w:tr w:rsidR="007D7CFB" w:rsidRPr="00707B80" w:rsidTr="00DE2A6D">
        <w:trPr>
          <w:trHeight w:val="1000"/>
        </w:trPr>
        <w:tc>
          <w:tcPr>
            <w:tcW w:w="0" w:type="auto"/>
            <w:gridSpan w:val="3"/>
            <w:vMerge/>
            <w:tcBorders>
              <w:left w:val="single" w:sz="4" w:space="0" w:color="auto"/>
              <w:right w:val="single" w:sz="4" w:space="0" w:color="auto"/>
            </w:tcBorders>
            <w:shd w:val="clear" w:color="auto" w:fill="auto"/>
            <w:vAlign w:val="center"/>
          </w:tcPr>
          <w:p w:rsidR="007D7CFB" w:rsidRPr="00707B80" w:rsidRDefault="007D7CFB" w:rsidP="007D7CFB">
            <w:pPr>
              <w:spacing w:after="0" w:line="360" w:lineRule="auto"/>
              <w:jc w:val="both"/>
              <w:rPr>
                <w:rFonts w:ascii="Arial"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7D7CFB" w:rsidRPr="00707B80" w:rsidRDefault="007D7CFB" w:rsidP="009E6F08">
            <w:pPr>
              <w:spacing w:after="0" w:line="360" w:lineRule="auto"/>
              <w:jc w:val="both"/>
              <w:rPr>
                <w:rFonts w:ascii="Arial" w:hAnsi="Arial" w:cs="Arial"/>
                <w:sz w:val="24"/>
                <w:szCs w:val="24"/>
              </w:rPr>
            </w:pPr>
            <w:r w:rsidRPr="00707B80">
              <w:rPr>
                <w:rFonts w:ascii="Arial" w:hAnsi="Arial" w:cs="Arial"/>
                <w:b/>
                <w:sz w:val="24"/>
                <w:szCs w:val="24"/>
              </w:rPr>
              <w:t>Division of Court:</w:t>
            </w:r>
          </w:p>
          <w:p w:rsidR="007D7CFB" w:rsidRPr="00707B80" w:rsidRDefault="007D7CFB" w:rsidP="009E6F08">
            <w:pPr>
              <w:spacing w:after="0" w:line="360" w:lineRule="auto"/>
              <w:jc w:val="both"/>
              <w:rPr>
                <w:rFonts w:ascii="Arial" w:hAnsi="Arial" w:cs="Arial"/>
                <w:sz w:val="24"/>
                <w:szCs w:val="24"/>
              </w:rPr>
            </w:pPr>
            <w:r w:rsidRPr="00707B80">
              <w:rPr>
                <w:rFonts w:ascii="Arial" w:hAnsi="Arial" w:cs="Arial"/>
                <w:sz w:val="24"/>
                <w:szCs w:val="24"/>
              </w:rPr>
              <w:t>High Court</w:t>
            </w:r>
            <w:r>
              <w:rPr>
                <w:rFonts w:ascii="Arial" w:hAnsi="Arial" w:cs="Arial"/>
                <w:sz w:val="24"/>
                <w:szCs w:val="24"/>
              </w:rPr>
              <w:t xml:space="preserve">, </w:t>
            </w:r>
            <w:r w:rsidRPr="00707B80">
              <w:rPr>
                <w:rFonts w:ascii="Arial" w:hAnsi="Arial" w:cs="Arial"/>
                <w:sz w:val="24"/>
                <w:szCs w:val="24"/>
              </w:rPr>
              <w:t>Main Division</w:t>
            </w:r>
          </w:p>
        </w:tc>
      </w:tr>
      <w:tr w:rsidR="009E6F08" w:rsidRPr="00707B80" w:rsidTr="00DE2A6D">
        <w:trPr>
          <w:trHeight w:val="972"/>
        </w:trPr>
        <w:tc>
          <w:tcPr>
            <w:tcW w:w="0" w:type="auto"/>
            <w:gridSpan w:val="3"/>
            <w:tcBorders>
              <w:top w:val="single" w:sz="4" w:space="0" w:color="auto"/>
              <w:left w:val="single" w:sz="4" w:space="0" w:color="auto"/>
              <w:bottom w:val="nil"/>
              <w:right w:val="single" w:sz="4" w:space="0" w:color="auto"/>
            </w:tcBorders>
            <w:shd w:val="clear" w:color="auto" w:fill="auto"/>
            <w:vAlign w:val="center"/>
          </w:tcPr>
          <w:p w:rsidR="009E6F08" w:rsidRPr="00707B80" w:rsidRDefault="009E6F08" w:rsidP="0093049D">
            <w:pPr>
              <w:spacing w:after="0" w:line="360" w:lineRule="auto"/>
              <w:rPr>
                <w:rFonts w:ascii="Arial" w:hAnsi="Arial" w:cs="Arial"/>
                <w:sz w:val="24"/>
                <w:szCs w:val="24"/>
              </w:rPr>
            </w:pPr>
            <w:r w:rsidRPr="009E6F08">
              <w:rPr>
                <w:rFonts w:ascii="Arial" w:hAnsi="Arial" w:cs="Arial"/>
                <w:b/>
                <w:sz w:val="24"/>
                <w:szCs w:val="24"/>
              </w:rPr>
              <w:t>Coram:</w:t>
            </w:r>
            <w:r w:rsidR="004233DA">
              <w:rPr>
                <w:rFonts w:ascii="Arial" w:hAnsi="Arial" w:cs="Arial"/>
                <w:sz w:val="24"/>
                <w:szCs w:val="24"/>
              </w:rPr>
              <w:t xml:space="preserve"> Miller A</w:t>
            </w:r>
            <w:r>
              <w:rPr>
                <w:rFonts w:ascii="Arial" w:hAnsi="Arial" w:cs="Arial"/>
                <w:sz w:val="24"/>
                <w:szCs w:val="24"/>
              </w:rPr>
              <w:t>J</w:t>
            </w:r>
            <w:r w:rsidR="0013779E">
              <w:rPr>
                <w:rFonts w:ascii="Arial" w:hAnsi="Arial" w:cs="Arial"/>
                <w:sz w:val="24"/>
                <w:szCs w:val="24"/>
              </w:rPr>
              <w:t xml:space="preserve"> </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9E6F08" w:rsidRDefault="00B86258" w:rsidP="007A0F30">
            <w:pPr>
              <w:spacing w:after="0" w:line="360" w:lineRule="auto"/>
              <w:jc w:val="both"/>
              <w:rPr>
                <w:rFonts w:ascii="Arial" w:hAnsi="Arial" w:cs="Arial"/>
                <w:sz w:val="24"/>
                <w:szCs w:val="24"/>
              </w:rPr>
            </w:pPr>
            <w:r>
              <w:rPr>
                <w:rFonts w:ascii="Arial" w:hAnsi="Arial" w:cs="Arial"/>
                <w:b/>
                <w:sz w:val="24"/>
                <w:szCs w:val="24"/>
              </w:rPr>
              <w:t>Heard</w:t>
            </w:r>
            <w:r w:rsidR="009E6F08" w:rsidRPr="00707B80">
              <w:rPr>
                <w:rFonts w:ascii="Arial" w:hAnsi="Arial" w:cs="Arial"/>
                <w:b/>
                <w:sz w:val="24"/>
                <w:szCs w:val="24"/>
              </w:rPr>
              <w:t xml:space="preserve"> on:</w:t>
            </w:r>
            <w:r w:rsidR="001A7B7D">
              <w:rPr>
                <w:rFonts w:ascii="Arial" w:hAnsi="Arial" w:cs="Arial"/>
                <w:b/>
                <w:sz w:val="24"/>
                <w:szCs w:val="24"/>
              </w:rPr>
              <w:t xml:space="preserve"> </w:t>
            </w:r>
            <w:r>
              <w:rPr>
                <w:rFonts w:ascii="Arial" w:hAnsi="Arial" w:cs="Arial"/>
                <w:sz w:val="24"/>
                <w:szCs w:val="24"/>
              </w:rPr>
              <w:t>6</w:t>
            </w:r>
            <w:r w:rsidR="004233DA">
              <w:rPr>
                <w:rFonts w:ascii="Arial" w:hAnsi="Arial" w:cs="Arial"/>
                <w:sz w:val="24"/>
                <w:szCs w:val="24"/>
              </w:rPr>
              <w:t xml:space="preserve"> </w:t>
            </w:r>
            <w:r w:rsidR="007A0F30">
              <w:rPr>
                <w:rFonts w:ascii="Arial" w:hAnsi="Arial" w:cs="Arial"/>
                <w:sz w:val="24"/>
                <w:szCs w:val="24"/>
              </w:rPr>
              <w:t>March</w:t>
            </w:r>
            <w:r w:rsidR="004233DA">
              <w:rPr>
                <w:rFonts w:ascii="Arial" w:hAnsi="Arial" w:cs="Arial"/>
                <w:sz w:val="24"/>
                <w:szCs w:val="24"/>
              </w:rPr>
              <w:t xml:space="preserve"> </w:t>
            </w:r>
            <w:r w:rsidR="007C6DB1">
              <w:rPr>
                <w:rFonts w:ascii="Arial" w:hAnsi="Arial" w:cs="Arial"/>
                <w:sz w:val="24"/>
                <w:szCs w:val="24"/>
              </w:rPr>
              <w:t>2023</w:t>
            </w:r>
          </w:p>
          <w:p w:rsidR="00B86258" w:rsidRDefault="00B86258" w:rsidP="007A0F30">
            <w:pPr>
              <w:spacing w:after="0" w:line="360" w:lineRule="auto"/>
              <w:jc w:val="both"/>
              <w:rPr>
                <w:rFonts w:ascii="Arial" w:hAnsi="Arial" w:cs="Arial"/>
                <w:sz w:val="24"/>
                <w:szCs w:val="24"/>
              </w:rPr>
            </w:pPr>
            <w:r w:rsidRPr="00707B80">
              <w:rPr>
                <w:rFonts w:ascii="Arial" w:hAnsi="Arial" w:cs="Arial"/>
                <w:b/>
                <w:sz w:val="24"/>
                <w:szCs w:val="24"/>
              </w:rPr>
              <w:t>Delivered on:</w:t>
            </w:r>
            <w:r w:rsidR="001A7B7D">
              <w:rPr>
                <w:rFonts w:ascii="Arial" w:hAnsi="Arial" w:cs="Arial"/>
                <w:b/>
                <w:sz w:val="24"/>
                <w:szCs w:val="24"/>
              </w:rPr>
              <w:t xml:space="preserve"> </w:t>
            </w:r>
            <w:r>
              <w:rPr>
                <w:rFonts w:ascii="Arial" w:hAnsi="Arial" w:cs="Arial"/>
                <w:sz w:val="24"/>
                <w:szCs w:val="24"/>
              </w:rPr>
              <w:t>7 March 2023</w:t>
            </w:r>
          </w:p>
          <w:p w:rsidR="001A7B7D" w:rsidRPr="001A7B7D" w:rsidRDefault="001A7B7D" w:rsidP="007A0F30">
            <w:pPr>
              <w:spacing w:after="0" w:line="360" w:lineRule="auto"/>
              <w:jc w:val="both"/>
              <w:rPr>
                <w:rFonts w:ascii="Arial" w:hAnsi="Arial" w:cs="Arial"/>
                <w:sz w:val="24"/>
                <w:szCs w:val="24"/>
              </w:rPr>
            </w:pPr>
            <w:r>
              <w:rPr>
                <w:rFonts w:ascii="Arial" w:hAnsi="Arial" w:cs="Arial"/>
                <w:b/>
                <w:sz w:val="24"/>
                <w:szCs w:val="24"/>
              </w:rPr>
              <w:t>Released</w:t>
            </w:r>
            <w:r>
              <w:rPr>
                <w:rFonts w:ascii="Arial" w:hAnsi="Arial" w:cs="Arial"/>
                <w:sz w:val="24"/>
                <w:szCs w:val="24"/>
              </w:rPr>
              <w:t>: 22 March 2023</w:t>
            </w:r>
          </w:p>
        </w:tc>
      </w:tr>
      <w:tr w:rsidR="009E6F08" w:rsidRPr="00707B80" w:rsidTr="00D86DF3">
        <w:trPr>
          <w:trHeight w:val="985"/>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9E6F08" w:rsidRPr="00B86258" w:rsidRDefault="00ED3C53" w:rsidP="001A7B7D">
            <w:pPr>
              <w:spacing w:after="0" w:line="360" w:lineRule="auto"/>
              <w:ind w:left="2005" w:hanging="2005"/>
              <w:jc w:val="both"/>
              <w:rPr>
                <w:rFonts w:ascii="Arial" w:hAnsi="Arial" w:cs="Arial"/>
                <w:sz w:val="24"/>
                <w:szCs w:val="24"/>
              </w:rPr>
            </w:pPr>
            <w:r>
              <w:rPr>
                <w:rFonts w:ascii="Arial" w:hAnsi="Arial" w:cs="Arial"/>
                <w:b/>
                <w:sz w:val="24"/>
                <w:szCs w:val="24"/>
              </w:rPr>
              <w:t xml:space="preserve">Neutral citation:  </w:t>
            </w:r>
            <w:r w:rsidR="00B86258">
              <w:rPr>
                <w:rFonts w:ascii="Arial" w:hAnsi="Arial" w:cs="Arial"/>
                <w:i/>
                <w:sz w:val="24"/>
                <w:szCs w:val="24"/>
              </w:rPr>
              <w:t>Philander v Government of the Republic of Namibia</w:t>
            </w:r>
            <w:r w:rsidR="00B86258" w:rsidRPr="00466C0D">
              <w:rPr>
                <w:rFonts w:ascii="Arial" w:hAnsi="Arial" w:cs="Arial"/>
                <w:sz w:val="24"/>
                <w:szCs w:val="24"/>
              </w:rPr>
              <w:t xml:space="preserve"> (</w:t>
            </w:r>
            <w:r w:rsidR="00B86258" w:rsidRPr="001A6C39">
              <w:rPr>
                <w:rFonts w:ascii="Arial" w:hAnsi="Arial" w:cs="Arial"/>
              </w:rPr>
              <w:t>HC-MD-CIV-ACT-DEL-2022/00984</w:t>
            </w:r>
            <w:r w:rsidR="00B86258" w:rsidRPr="005D6C92">
              <w:rPr>
                <w:rFonts w:ascii="Arial" w:hAnsi="Arial" w:cs="Arial"/>
                <w:sz w:val="24"/>
                <w:szCs w:val="24"/>
              </w:rPr>
              <w:t>) [20</w:t>
            </w:r>
            <w:r w:rsidR="00B86258">
              <w:rPr>
                <w:rFonts w:ascii="Arial" w:hAnsi="Arial" w:cs="Arial"/>
                <w:sz w:val="24"/>
                <w:szCs w:val="24"/>
              </w:rPr>
              <w:t>23</w:t>
            </w:r>
            <w:r w:rsidR="00B86258" w:rsidRPr="005D6C92">
              <w:rPr>
                <w:rFonts w:ascii="Arial" w:hAnsi="Arial" w:cs="Arial"/>
                <w:sz w:val="24"/>
                <w:szCs w:val="24"/>
              </w:rPr>
              <w:t>] NAHC</w:t>
            </w:r>
            <w:r w:rsidR="00B86258">
              <w:rPr>
                <w:rFonts w:ascii="Arial" w:hAnsi="Arial" w:cs="Arial"/>
                <w:sz w:val="24"/>
                <w:szCs w:val="24"/>
              </w:rPr>
              <w:t>M</w:t>
            </w:r>
            <w:r w:rsidR="00B86258" w:rsidRPr="005D6C92">
              <w:rPr>
                <w:rFonts w:ascii="Arial" w:hAnsi="Arial" w:cs="Arial"/>
                <w:sz w:val="24"/>
                <w:szCs w:val="24"/>
              </w:rPr>
              <w:t xml:space="preserve">D </w:t>
            </w:r>
            <w:r w:rsidR="001A7B7D">
              <w:rPr>
                <w:rFonts w:ascii="Arial" w:hAnsi="Arial" w:cs="Arial"/>
                <w:sz w:val="24"/>
                <w:szCs w:val="24"/>
              </w:rPr>
              <w:t>138</w:t>
            </w:r>
            <w:r w:rsidR="00B86258" w:rsidRPr="005D6C92">
              <w:rPr>
                <w:rFonts w:ascii="Arial" w:hAnsi="Arial" w:cs="Arial"/>
                <w:sz w:val="24"/>
                <w:szCs w:val="24"/>
              </w:rPr>
              <w:t xml:space="preserve"> (</w:t>
            </w:r>
            <w:r w:rsidR="00B86258">
              <w:rPr>
                <w:rFonts w:ascii="Arial" w:hAnsi="Arial" w:cs="Arial"/>
                <w:sz w:val="24"/>
                <w:szCs w:val="24"/>
              </w:rPr>
              <w:t xml:space="preserve">7 March </w:t>
            </w:r>
            <w:r w:rsidR="00B86258" w:rsidRPr="005D6C92">
              <w:rPr>
                <w:rFonts w:ascii="Arial" w:hAnsi="Arial" w:cs="Arial"/>
                <w:sz w:val="24"/>
                <w:szCs w:val="24"/>
              </w:rPr>
              <w:t>20</w:t>
            </w:r>
            <w:r w:rsidR="00B86258">
              <w:rPr>
                <w:rFonts w:ascii="Arial" w:hAnsi="Arial" w:cs="Arial"/>
                <w:sz w:val="24"/>
                <w:szCs w:val="24"/>
              </w:rPr>
              <w:t>23</w:t>
            </w:r>
            <w:r w:rsidR="00B86258" w:rsidRPr="005D6C92">
              <w:rPr>
                <w:rFonts w:ascii="Arial" w:hAnsi="Arial" w:cs="Arial"/>
                <w:sz w:val="24"/>
                <w:szCs w:val="24"/>
              </w:rPr>
              <w:t>)</w:t>
            </w:r>
          </w:p>
        </w:tc>
      </w:tr>
      <w:tr w:rsidR="009E6F08" w:rsidRPr="00707B80" w:rsidTr="00B86258">
        <w:trPr>
          <w:trHeight w:val="841"/>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9E6F08" w:rsidRPr="00644B2C" w:rsidRDefault="009E6F08" w:rsidP="002B1515">
            <w:pPr>
              <w:spacing w:after="0" w:line="360" w:lineRule="auto"/>
              <w:jc w:val="both"/>
              <w:rPr>
                <w:rFonts w:ascii="Arial" w:hAnsi="Arial" w:cs="Arial"/>
                <w:b/>
                <w:sz w:val="24"/>
                <w:szCs w:val="24"/>
              </w:rPr>
            </w:pPr>
            <w:r w:rsidRPr="00644B2C">
              <w:rPr>
                <w:rFonts w:ascii="Arial" w:hAnsi="Arial" w:cs="Arial"/>
                <w:b/>
                <w:sz w:val="24"/>
                <w:szCs w:val="24"/>
              </w:rPr>
              <w:t>ORDER:</w:t>
            </w:r>
          </w:p>
          <w:p w:rsidR="009E6F08" w:rsidRDefault="009E6F08" w:rsidP="002B1515">
            <w:pPr>
              <w:spacing w:after="0" w:line="360" w:lineRule="auto"/>
              <w:jc w:val="both"/>
              <w:rPr>
                <w:rFonts w:ascii="Arial" w:hAnsi="Arial" w:cs="Arial"/>
                <w:sz w:val="24"/>
                <w:szCs w:val="24"/>
              </w:rPr>
            </w:pPr>
          </w:p>
          <w:p w:rsidR="00B86258" w:rsidRPr="00CC298D" w:rsidRDefault="00B86258" w:rsidP="00B86258">
            <w:pPr>
              <w:pStyle w:val="ListParagraph"/>
              <w:numPr>
                <w:ilvl w:val="0"/>
                <w:numId w:val="2"/>
              </w:numPr>
              <w:spacing w:line="360" w:lineRule="auto"/>
              <w:ind w:hanging="720"/>
              <w:jc w:val="both"/>
              <w:rPr>
                <w:rFonts w:cs="Arial"/>
                <w:lang w:eastAsia="en-GB"/>
              </w:rPr>
            </w:pPr>
            <w:r>
              <w:t>The application for absolution from the instance is refused.</w:t>
            </w:r>
          </w:p>
          <w:p w:rsidR="00B86258" w:rsidRPr="00072860" w:rsidRDefault="00B86258" w:rsidP="00B86258">
            <w:pPr>
              <w:pStyle w:val="ListParagraph"/>
              <w:spacing w:line="360" w:lineRule="auto"/>
              <w:jc w:val="both"/>
              <w:rPr>
                <w:rFonts w:cs="Arial"/>
                <w:lang w:eastAsia="en-GB"/>
              </w:rPr>
            </w:pPr>
          </w:p>
          <w:p w:rsidR="00B86258" w:rsidRPr="00072860" w:rsidRDefault="00B86258" w:rsidP="00B86258">
            <w:pPr>
              <w:pStyle w:val="ListParagraph"/>
              <w:numPr>
                <w:ilvl w:val="0"/>
                <w:numId w:val="2"/>
              </w:numPr>
              <w:spacing w:line="360" w:lineRule="auto"/>
              <w:ind w:hanging="720"/>
              <w:jc w:val="both"/>
              <w:rPr>
                <w:rFonts w:cs="Arial"/>
                <w:lang w:eastAsia="en-GB"/>
              </w:rPr>
            </w:pPr>
            <w:r>
              <w:t>The respondents are ordered</w:t>
            </w:r>
            <w:r w:rsidR="006A0A81">
              <w:t>,</w:t>
            </w:r>
            <w:r>
              <w:t xml:space="preserve"> jointly and severally</w:t>
            </w:r>
            <w:r w:rsidR="006A0A81">
              <w:t>,</w:t>
            </w:r>
            <w:r>
              <w:t xml:space="preserve"> to pay the plaintiff’s costs relating to the application for absolution.</w:t>
            </w:r>
          </w:p>
          <w:p w:rsidR="00B86258" w:rsidRPr="00072860" w:rsidRDefault="00B86258" w:rsidP="00B86258">
            <w:pPr>
              <w:pStyle w:val="ListParagraph"/>
              <w:spacing w:line="360" w:lineRule="auto"/>
              <w:jc w:val="both"/>
              <w:rPr>
                <w:rFonts w:cs="Arial"/>
                <w:lang w:eastAsia="en-GB"/>
              </w:rPr>
            </w:pPr>
          </w:p>
          <w:p w:rsidR="00D36722" w:rsidRPr="00714E70" w:rsidRDefault="00B86258" w:rsidP="00714E70">
            <w:pPr>
              <w:pStyle w:val="ListParagraph"/>
              <w:numPr>
                <w:ilvl w:val="0"/>
                <w:numId w:val="2"/>
              </w:numPr>
              <w:spacing w:line="360" w:lineRule="auto"/>
              <w:ind w:hanging="720"/>
              <w:rPr>
                <w:rFonts w:cs="Arial"/>
                <w:lang w:eastAsia="en-GB"/>
              </w:rPr>
            </w:pPr>
            <w:r>
              <w:t xml:space="preserve">The matter is </w:t>
            </w:r>
            <w:r w:rsidR="006A0A81">
              <w:t>postponed to 3 April 2023 at 10h</w:t>
            </w:r>
            <w:r>
              <w:t xml:space="preserve">00 for continuation of trial. </w:t>
            </w:r>
          </w:p>
        </w:tc>
      </w:tr>
      <w:tr w:rsidR="009E6F08" w:rsidRPr="00707B80" w:rsidTr="00ED3C53">
        <w:trPr>
          <w:trHeight w:val="563"/>
        </w:trPr>
        <w:tc>
          <w:tcPr>
            <w:tcW w:w="97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E6F08" w:rsidRPr="00707B80" w:rsidRDefault="009E6F08" w:rsidP="00DE2A6D">
            <w:pPr>
              <w:spacing w:after="0" w:line="360" w:lineRule="auto"/>
              <w:rPr>
                <w:rFonts w:ascii="Arial" w:hAnsi="Arial" w:cs="Arial"/>
                <w:b/>
                <w:sz w:val="24"/>
                <w:szCs w:val="24"/>
              </w:rPr>
            </w:pPr>
            <w:r w:rsidRPr="00707B80">
              <w:rPr>
                <w:rFonts w:ascii="Arial" w:hAnsi="Arial" w:cs="Arial"/>
                <w:b/>
                <w:sz w:val="24"/>
                <w:szCs w:val="24"/>
              </w:rPr>
              <w:lastRenderedPageBreak/>
              <w:t>REASONS FOR ORDERS:</w:t>
            </w:r>
          </w:p>
        </w:tc>
      </w:tr>
      <w:tr w:rsidR="009E6F08" w:rsidRPr="00707B80" w:rsidTr="00487023">
        <w:trPr>
          <w:trHeight w:val="9062"/>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D36722" w:rsidRDefault="00D36722" w:rsidP="00D36722">
            <w:pPr>
              <w:spacing w:after="0" w:line="360" w:lineRule="auto"/>
              <w:jc w:val="both"/>
              <w:rPr>
                <w:rFonts w:ascii="Arial" w:eastAsia="Times New Roman" w:hAnsi="Arial" w:cs="Arial"/>
                <w:sz w:val="24"/>
                <w:szCs w:val="24"/>
                <w:lang w:val="en-GB"/>
              </w:rPr>
            </w:pPr>
          </w:p>
          <w:p w:rsidR="00867C86" w:rsidRPr="00D36722" w:rsidRDefault="004233DA" w:rsidP="00D36722">
            <w:pPr>
              <w:spacing w:after="0" w:line="360" w:lineRule="auto"/>
              <w:jc w:val="both"/>
              <w:rPr>
                <w:rFonts w:ascii="Arial" w:hAnsi="Arial" w:cs="Arial"/>
                <w:sz w:val="24"/>
                <w:szCs w:val="24"/>
              </w:rPr>
            </w:pPr>
            <w:r>
              <w:rPr>
                <w:rFonts w:ascii="Arial" w:eastAsia="Times New Roman" w:hAnsi="Arial" w:cs="Arial"/>
                <w:sz w:val="24"/>
                <w:szCs w:val="24"/>
                <w:lang w:val="en-GB"/>
              </w:rPr>
              <w:t xml:space="preserve">MILLER AJ: </w:t>
            </w:r>
          </w:p>
          <w:p w:rsidR="001124FF" w:rsidRDefault="001124FF" w:rsidP="009E6F08">
            <w:pPr>
              <w:tabs>
                <w:tab w:val="left" w:pos="720"/>
                <w:tab w:val="left" w:pos="2268"/>
              </w:tabs>
              <w:spacing w:after="0" w:line="360" w:lineRule="auto"/>
              <w:jc w:val="both"/>
              <w:rPr>
                <w:rFonts w:ascii="Arial" w:eastAsia="Times New Roman"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This judgment concerns an application for absolution from the instance brought by the counsel for the defendants following the close of the plaintiff’s case.  The plaintiff instituted action against the defendants for damages arising from what he alleges to be an assault upon him by members of the Namibian Police Force and members of the National Defence Force.  The assault is alleged to have happened on the 19</w:t>
            </w:r>
            <w:r w:rsidRPr="001022DE">
              <w:rPr>
                <w:rFonts w:ascii="Arial" w:hAnsi="Arial" w:cs="Arial"/>
                <w:sz w:val="24"/>
                <w:szCs w:val="24"/>
                <w:vertAlign w:val="superscript"/>
                <w:lang w:val="en-GB"/>
              </w:rPr>
              <w:t>th</w:t>
            </w:r>
            <w:r>
              <w:rPr>
                <w:rFonts w:ascii="Arial" w:hAnsi="Arial" w:cs="Arial"/>
                <w:sz w:val="24"/>
                <w:szCs w:val="24"/>
                <w:lang w:val="en-GB"/>
              </w:rPr>
              <w:t xml:space="preserve"> of March 2021.  </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Three witnesses testified on behalf of the plaintiff.  In sum</w:t>
            </w:r>
            <w:r w:rsidR="006C0542">
              <w:rPr>
                <w:rFonts w:ascii="Arial" w:hAnsi="Arial" w:cs="Arial"/>
                <w:sz w:val="24"/>
                <w:szCs w:val="24"/>
                <w:lang w:val="en-GB"/>
              </w:rPr>
              <w:t>,</w:t>
            </w:r>
            <w:r>
              <w:rPr>
                <w:rFonts w:ascii="Arial" w:hAnsi="Arial" w:cs="Arial"/>
                <w:sz w:val="24"/>
                <w:szCs w:val="24"/>
                <w:lang w:val="en-GB"/>
              </w:rPr>
              <w:t xml:space="preserve"> what the evidence established is that the plaintiff and another person, the second witness</w:t>
            </w:r>
            <w:r w:rsidR="006C0542">
              <w:rPr>
                <w:rFonts w:ascii="Arial" w:hAnsi="Arial" w:cs="Arial"/>
                <w:sz w:val="24"/>
                <w:szCs w:val="24"/>
                <w:lang w:val="en-GB"/>
              </w:rPr>
              <w:t>,</w:t>
            </w:r>
            <w:r>
              <w:rPr>
                <w:rFonts w:ascii="Arial" w:hAnsi="Arial" w:cs="Arial"/>
                <w:sz w:val="24"/>
                <w:szCs w:val="24"/>
                <w:lang w:val="en-GB"/>
              </w:rPr>
              <w:t xml:space="preserve"> were sitting outside a bar when two vehicles arrived.  One was said to be a vehicle with a Namibian Police registration number and what the witnesses referred to as a </w:t>
            </w:r>
            <w:r w:rsidR="006C0542">
              <w:rPr>
                <w:rFonts w:ascii="Arial" w:hAnsi="Arial" w:cs="Arial"/>
                <w:sz w:val="24"/>
                <w:szCs w:val="24"/>
                <w:lang w:val="en-GB"/>
              </w:rPr>
              <w:t>J</w:t>
            </w:r>
            <w:r>
              <w:rPr>
                <w:rFonts w:ascii="Arial" w:hAnsi="Arial" w:cs="Arial"/>
                <w:sz w:val="24"/>
                <w:szCs w:val="24"/>
                <w:lang w:val="en-GB"/>
              </w:rPr>
              <w:t xml:space="preserve">eep occupied by members of the Namibian Defence force. Several persons </w:t>
            </w:r>
            <w:r w:rsidRPr="00A25174">
              <w:rPr>
                <w:rFonts w:ascii="Arial" w:hAnsi="Arial" w:cs="Arial"/>
                <w:sz w:val="24"/>
                <w:szCs w:val="24"/>
                <w:lang w:val="en-GB"/>
              </w:rPr>
              <w:t>alighted</w:t>
            </w:r>
            <w:r>
              <w:rPr>
                <w:rFonts w:ascii="Arial" w:hAnsi="Arial" w:cs="Arial"/>
                <w:sz w:val="24"/>
                <w:szCs w:val="24"/>
                <w:lang w:val="en-GB"/>
              </w:rPr>
              <w:t xml:space="preserve"> fr</w:t>
            </w:r>
            <w:r w:rsidR="006C0542">
              <w:rPr>
                <w:rFonts w:ascii="Arial" w:hAnsi="Arial" w:cs="Arial"/>
                <w:sz w:val="24"/>
                <w:szCs w:val="24"/>
                <w:lang w:val="en-GB"/>
              </w:rPr>
              <w:t>o</w:t>
            </w:r>
            <w:r>
              <w:rPr>
                <w:rFonts w:ascii="Arial" w:hAnsi="Arial" w:cs="Arial"/>
                <w:sz w:val="24"/>
                <w:szCs w:val="24"/>
                <w:lang w:val="en-GB"/>
              </w:rPr>
              <w:t>m the police vehicle and searched the plaintiff.  Upon the search on the plaintiff, a pistol was found in his possession for which the plaintiff says he had a valid licence.  The evidence is that the plaintiff was thereafter assaulted by various members of the defendants who were present and conducted the search upon him.</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plaintiff testifies that he was injured and subsequently received treatment for the injuries he had.</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In arguing that the plaintiff has </w:t>
            </w:r>
            <w:r w:rsidR="002B00CA">
              <w:rPr>
                <w:rFonts w:ascii="Arial" w:hAnsi="Arial" w:cs="Arial"/>
                <w:sz w:val="24"/>
                <w:szCs w:val="24"/>
                <w:lang w:val="en-GB"/>
              </w:rPr>
              <w:t>failed</w:t>
            </w:r>
            <w:r>
              <w:rPr>
                <w:rFonts w:ascii="Arial" w:hAnsi="Arial" w:cs="Arial"/>
                <w:sz w:val="24"/>
                <w:szCs w:val="24"/>
                <w:lang w:val="en-GB"/>
              </w:rPr>
              <w:t xml:space="preserve"> to make out a case to answer, counsel for t</w:t>
            </w:r>
            <w:r w:rsidR="002B00CA">
              <w:rPr>
                <w:rFonts w:ascii="Arial" w:hAnsi="Arial" w:cs="Arial"/>
                <w:sz w:val="24"/>
                <w:szCs w:val="24"/>
                <w:lang w:val="en-GB"/>
              </w:rPr>
              <w:t>he defendants relied on various</w:t>
            </w:r>
            <w:r>
              <w:rPr>
                <w:rFonts w:ascii="Arial" w:hAnsi="Arial" w:cs="Arial"/>
                <w:sz w:val="24"/>
                <w:szCs w:val="24"/>
                <w:lang w:val="en-GB"/>
              </w:rPr>
              <w:t xml:space="preserve"> what he termed</w:t>
            </w:r>
            <w:r w:rsidR="002B00CA">
              <w:rPr>
                <w:rFonts w:ascii="Arial" w:hAnsi="Arial" w:cs="Arial"/>
                <w:sz w:val="24"/>
                <w:szCs w:val="24"/>
                <w:lang w:val="en-GB"/>
              </w:rPr>
              <w:t>,</w:t>
            </w:r>
            <w:r>
              <w:rPr>
                <w:rFonts w:ascii="Arial" w:hAnsi="Arial" w:cs="Arial"/>
                <w:sz w:val="24"/>
                <w:szCs w:val="24"/>
                <w:lang w:val="en-GB"/>
              </w:rPr>
              <w:t xml:space="preserve"> contradictions in the evidence of the plaintiff and his witnesses, as well as the fact that the plaintiff and the second witness were drinking and were drunk at the time </w:t>
            </w:r>
            <w:r w:rsidR="005A02B3">
              <w:rPr>
                <w:rFonts w:ascii="Arial" w:hAnsi="Arial" w:cs="Arial"/>
                <w:sz w:val="24"/>
                <w:szCs w:val="24"/>
                <w:lang w:val="en-GB"/>
              </w:rPr>
              <w:t xml:space="preserve">of the </w:t>
            </w:r>
            <w:r>
              <w:rPr>
                <w:rFonts w:ascii="Arial" w:hAnsi="Arial" w:cs="Arial"/>
                <w:sz w:val="24"/>
                <w:szCs w:val="24"/>
                <w:lang w:val="en-GB"/>
              </w:rPr>
              <w:t>incident.</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Generally speaking, our law is that an application for absolution at the close of the plaintiff’s case, is not readily granted.  In this regard I refer to the judgment in </w:t>
            </w:r>
            <w:proofErr w:type="spellStart"/>
            <w:r w:rsidRPr="00A939DA">
              <w:rPr>
                <w:rFonts w:ascii="Arial" w:hAnsi="Arial" w:cs="Arial"/>
                <w:i/>
                <w:sz w:val="24"/>
                <w:szCs w:val="24"/>
                <w:lang w:val="en-GB"/>
              </w:rPr>
              <w:t>Stier</w:t>
            </w:r>
            <w:proofErr w:type="spellEnd"/>
            <w:r w:rsidRPr="00A939DA">
              <w:rPr>
                <w:rFonts w:ascii="Arial" w:hAnsi="Arial" w:cs="Arial"/>
                <w:i/>
                <w:sz w:val="24"/>
                <w:szCs w:val="24"/>
                <w:lang w:val="en-GB"/>
              </w:rPr>
              <w:t xml:space="preserve"> and </w:t>
            </w:r>
            <w:r w:rsidRPr="00A939DA">
              <w:rPr>
                <w:rFonts w:ascii="Arial" w:hAnsi="Arial" w:cs="Arial"/>
                <w:i/>
                <w:sz w:val="24"/>
                <w:szCs w:val="24"/>
                <w:lang w:val="en-GB"/>
              </w:rPr>
              <w:lastRenderedPageBreak/>
              <w:t>Another v Henke</w:t>
            </w:r>
            <w:r>
              <w:rPr>
                <w:rFonts w:ascii="Arial" w:hAnsi="Arial" w:cs="Arial"/>
                <w:sz w:val="24"/>
                <w:szCs w:val="24"/>
                <w:lang w:val="en-GB"/>
              </w:rPr>
              <w:t xml:space="preserve"> SA 53/2008</w:t>
            </w:r>
            <w:r w:rsidR="000178F4">
              <w:rPr>
                <w:rFonts w:ascii="Arial" w:hAnsi="Arial" w:cs="Arial"/>
                <w:sz w:val="24"/>
                <w:szCs w:val="24"/>
                <w:lang w:val="en-GB"/>
              </w:rPr>
              <w:t xml:space="preserve"> [2012] NASC 2 (03 April 2012)</w:t>
            </w:r>
            <w:r>
              <w:rPr>
                <w:rFonts w:ascii="Arial" w:hAnsi="Arial" w:cs="Arial"/>
                <w:sz w:val="24"/>
                <w:szCs w:val="24"/>
                <w:lang w:val="en-GB"/>
              </w:rPr>
              <w:t xml:space="preserve"> para 4, where his Lordship Mr Justice </w:t>
            </w:r>
            <w:proofErr w:type="spellStart"/>
            <w:r>
              <w:rPr>
                <w:rFonts w:ascii="Arial" w:hAnsi="Arial" w:cs="Arial"/>
                <w:sz w:val="24"/>
                <w:szCs w:val="24"/>
                <w:lang w:val="en-GB"/>
              </w:rPr>
              <w:t>Mtambanengwe</w:t>
            </w:r>
            <w:proofErr w:type="spellEnd"/>
            <w:r>
              <w:rPr>
                <w:rFonts w:ascii="Arial" w:hAnsi="Arial" w:cs="Arial"/>
                <w:sz w:val="24"/>
                <w:szCs w:val="24"/>
                <w:lang w:val="en-GB"/>
              </w:rPr>
              <w:t xml:space="preserve"> stated the following and I quote from paragraph 4 at 92F:</w:t>
            </w:r>
          </w:p>
          <w:p w:rsidR="00B86258" w:rsidRDefault="00B86258" w:rsidP="00B86258">
            <w:pPr>
              <w:spacing w:after="0" w:line="360" w:lineRule="auto"/>
              <w:jc w:val="both"/>
              <w:rPr>
                <w:rFonts w:ascii="Arial" w:hAnsi="Arial" w:cs="Arial"/>
                <w:sz w:val="24"/>
                <w:szCs w:val="24"/>
                <w:lang w:val="en-GB"/>
              </w:rPr>
            </w:pPr>
          </w:p>
          <w:p w:rsidR="00B86258" w:rsidRPr="007B7EF4" w:rsidRDefault="00B86258" w:rsidP="00B86258">
            <w:pPr>
              <w:spacing w:after="0" w:line="360" w:lineRule="auto"/>
              <w:jc w:val="both"/>
              <w:rPr>
                <w:rFonts w:ascii="Arial" w:hAnsi="Arial" w:cs="Arial"/>
              </w:rPr>
            </w:pPr>
            <w:r>
              <w:rPr>
                <w:rFonts w:ascii="Arial" w:hAnsi="Arial" w:cs="Arial"/>
                <w:sz w:val="24"/>
                <w:szCs w:val="24"/>
                <w:lang w:val="en-GB"/>
              </w:rPr>
              <w:tab/>
            </w:r>
            <w:r w:rsidRPr="007B7EF4">
              <w:rPr>
                <w:rFonts w:ascii="Arial" w:hAnsi="Arial" w:cs="Arial"/>
                <w:lang w:val="en-GB"/>
              </w:rPr>
              <w:t>‘</w:t>
            </w:r>
            <w:r w:rsidRPr="007B7EF4">
              <w:rPr>
                <w:rFonts w:ascii="Arial" w:hAnsi="Arial" w:cs="Arial"/>
              </w:rPr>
              <w:t>[4]</w:t>
            </w:r>
            <w:r w:rsidRPr="007B7EF4">
              <w:rPr>
                <w:rFonts w:ascii="Arial" w:hAnsi="Arial" w:cs="Arial"/>
              </w:rPr>
              <w:tab/>
              <w:t xml:space="preserve">At 92F-G Harms JA </w:t>
            </w:r>
            <w:r w:rsidRPr="007B7EF4">
              <w:rPr>
                <w:rFonts w:ascii="Arial" w:hAnsi="Arial" w:cs="Arial"/>
                <w:i/>
              </w:rPr>
              <w:t>in Gordon Lloyd Page &amp; Associates v Rivera and</w:t>
            </w:r>
            <w:r w:rsidRPr="007B7EF4">
              <w:rPr>
                <w:rFonts w:ascii="Arial" w:hAnsi="Arial" w:cs="Arial"/>
              </w:rPr>
              <w:t xml:space="preserve"> </w:t>
            </w:r>
            <w:r w:rsidRPr="007B7EF4">
              <w:rPr>
                <w:rFonts w:ascii="Arial" w:hAnsi="Arial" w:cs="Arial"/>
                <w:i/>
              </w:rPr>
              <w:t xml:space="preserve">Another </w:t>
            </w:r>
            <w:r w:rsidRPr="007B7EF4">
              <w:rPr>
                <w:rFonts w:ascii="Arial" w:hAnsi="Arial" w:cs="Arial"/>
              </w:rPr>
              <w:t xml:space="preserve">2001(1) SA 88 referred to the formulation of the test to be applied by a trial court when absolution is applied at the end of a appellant’s case as appears in </w:t>
            </w:r>
            <w:r w:rsidRPr="007B7EF4">
              <w:rPr>
                <w:rFonts w:ascii="Arial" w:hAnsi="Arial" w:cs="Arial"/>
                <w:i/>
              </w:rPr>
              <w:t xml:space="preserve">Claude Neon Lights (SA) Ltd v Daniel </w:t>
            </w:r>
            <w:r w:rsidRPr="007B7EF4">
              <w:rPr>
                <w:rFonts w:ascii="Arial" w:hAnsi="Arial" w:cs="Arial"/>
              </w:rPr>
              <w:t xml:space="preserve">1976(4) SA 403 (A) at 409G-H: </w:t>
            </w:r>
          </w:p>
          <w:p w:rsidR="00B86258" w:rsidRPr="007B7EF4" w:rsidRDefault="00B86258" w:rsidP="00B86258">
            <w:pPr>
              <w:spacing w:after="0" w:line="360" w:lineRule="auto"/>
              <w:jc w:val="both"/>
              <w:rPr>
                <w:rFonts w:ascii="Arial" w:hAnsi="Arial" w:cs="Arial"/>
              </w:rPr>
            </w:pPr>
          </w:p>
          <w:p w:rsidR="00B86258" w:rsidRPr="007B7EF4" w:rsidRDefault="00B86258" w:rsidP="00B86258">
            <w:pPr>
              <w:spacing w:after="0" w:line="360" w:lineRule="auto"/>
              <w:ind w:left="709"/>
              <w:jc w:val="both"/>
              <w:rPr>
                <w:rFonts w:ascii="Arial" w:hAnsi="Arial" w:cs="Arial"/>
              </w:rPr>
            </w:pPr>
            <w:proofErr w:type="gramStart"/>
            <w:r w:rsidRPr="007B7EF4">
              <w:rPr>
                <w:rFonts w:ascii="Arial" w:hAnsi="Arial" w:cs="Arial"/>
              </w:rPr>
              <w:t>“…(</w:t>
            </w:r>
            <w:proofErr w:type="gramEnd"/>
            <w:r w:rsidRPr="007B7EF4">
              <w:rPr>
                <w:rFonts w:ascii="Arial" w:hAnsi="Arial" w:cs="Arial"/>
              </w:rPr>
              <w:t xml:space="preserve">W)hen absolution from the instance is sought at the close of plaintiff’s case, the test to be applied </w:t>
            </w:r>
            <w:r w:rsidRPr="007B7EF4">
              <w:rPr>
                <w:rFonts w:ascii="Arial" w:hAnsi="Arial" w:cs="Arial"/>
                <w:u w:val="single"/>
              </w:rPr>
              <w:t>is not whether the evidence led by the plaintiff establishes what would finally be required to be established,</w:t>
            </w:r>
            <w:r w:rsidRPr="007B7EF4">
              <w:rPr>
                <w:rFonts w:ascii="Arial" w:hAnsi="Arial" w:cs="Arial"/>
              </w:rPr>
              <w:t xml:space="preserve"> but whether there is evidence upon which a Court, applying its mind reasonably to such evidence, </w:t>
            </w:r>
            <w:r w:rsidRPr="007B7EF4">
              <w:rPr>
                <w:rFonts w:ascii="Arial" w:hAnsi="Arial" w:cs="Arial"/>
                <w:u w:val="single"/>
              </w:rPr>
              <w:t>could or might (not should, nor ought to)</w:t>
            </w:r>
            <w:r w:rsidRPr="007B7EF4">
              <w:rPr>
                <w:rFonts w:ascii="Arial" w:hAnsi="Arial" w:cs="Arial"/>
              </w:rPr>
              <w:t xml:space="preserve"> </w:t>
            </w:r>
            <w:r w:rsidRPr="007B7EF4">
              <w:rPr>
                <w:rFonts w:ascii="Arial" w:hAnsi="Arial" w:cs="Arial"/>
                <w:u w:val="single"/>
              </w:rPr>
              <w:t>find for the plaintiff</w:t>
            </w:r>
            <w:r>
              <w:rPr>
                <w:rFonts w:ascii="Arial" w:hAnsi="Arial" w:cs="Arial"/>
              </w:rPr>
              <w:t>. …</w:t>
            </w:r>
            <w:r w:rsidRPr="007B7EF4">
              <w:rPr>
                <w:rFonts w:ascii="Arial" w:hAnsi="Arial" w:cs="Arial"/>
              </w:rPr>
              <w:t xml:space="preserve">  </w:t>
            </w:r>
          </w:p>
          <w:p w:rsidR="00B86258" w:rsidRPr="007B7EF4" w:rsidRDefault="00B86258" w:rsidP="00B86258">
            <w:pPr>
              <w:spacing w:after="0" w:line="360" w:lineRule="auto"/>
              <w:jc w:val="both"/>
              <w:rPr>
                <w:rFonts w:ascii="Arial" w:hAnsi="Arial" w:cs="Arial"/>
                <w:lang w:val="en-GB"/>
              </w:rPr>
            </w:pPr>
          </w:p>
          <w:p w:rsidR="00B86258" w:rsidRPr="007B7EF4" w:rsidRDefault="00B86258" w:rsidP="00B86258">
            <w:pPr>
              <w:spacing w:after="0" w:line="360" w:lineRule="auto"/>
              <w:jc w:val="both"/>
              <w:rPr>
                <w:rFonts w:ascii="Arial" w:hAnsi="Arial" w:cs="Arial"/>
              </w:rPr>
            </w:pPr>
            <w:r w:rsidRPr="007B7EF4">
              <w:rPr>
                <w:rFonts w:ascii="Arial" w:hAnsi="Arial" w:cs="Arial"/>
              </w:rPr>
              <w:t>Harms JA went on to explain at 92H- 93A:</w:t>
            </w:r>
          </w:p>
          <w:p w:rsidR="00B86258" w:rsidRPr="007B7EF4" w:rsidRDefault="00B86258" w:rsidP="00B86258">
            <w:pPr>
              <w:spacing w:after="0" w:line="360" w:lineRule="auto"/>
              <w:jc w:val="both"/>
              <w:rPr>
                <w:rFonts w:ascii="Arial" w:hAnsi="Arial" w:cs="Arial"/>
              </w:rPr>
            </w:pPr>
          </w:p>
          <w:p w:rsidR="00B86258" w:rsidRPr="007B7EF4" w:rsidRDefault="00B86258" w:rsidP="00B86258">
            <w:pPr>
              <w:spacing w:after="0" w:line="360" w:lineRule="auto"/>
              <w:ind w:left="709"/>
              <w:jc w:val="both"/>
              <w:rPr>
                <w:rFonts w:ascii="Arial" w:hAnsi="Arial" w:cs="Arial"/>
              </w:rPr>
            </w:pPr>
            <w:r w:rsidRPr="007B7EF4">
              <w:rPr>
                <w:rFonts w:ascii="Arial" w:hAnsi="Arial" w:cs="Arial"/>
              </w:rPr>
              <w:t xml:space="preserve">“This implies that a plaintiff has to make out a </w:t>
            </w:r>
            <w:r w:rsidRPr="007B7EF4">
              <w:rPr>
                <w:rFonts w:ascii="Arial" w:hAnsi="Arial" w:cs="Arial"/>
                <w:i/>
              </w:rPr>
              <w:t xml:space="preserve">prima facie </w:t>
            </w:r>
            <w:r w:rsidRPr="007B7EF4">
              <w:rPr>
                <w:rFonts w:ascii="Arial" w:hAnsi="Arial" w:cs="Arial"/>
              </w:rPr>
              <w:t xml:space="preserve">case – in the sense that there is evidence relating to all the elements of the claim – to survive absolution because without such evidence no court could find for the plaintiff </w:t>
            </w:r>
            <w:r>
              <w:rPr>
                <w:rFonts w:ascii="Arial" w:hAnsi="Arial" w:cs="Arial"/>
              </w:rPr>
              <w:t>…</w:t>
            </w:r>
            <w:r w:rsidRPr="007B7EF4">
              <w:rPr>
                <w:rFonts w:ascii="Arial" w:hAnsi="Arial" w:cs="Arial"/>
              </w:rPr>
              <w:t xml:space="preserve"> As far as inferences from the evidence are concerned, the inference relied upon by the plaintiff must be a reasonable one, not the only reasonable one.  The test has from time to time been formulated in different terms, especially it has been said that the court must consider whether there is ‘evidence upon which a reasonable man might find for the plaintiff’ – a test which had its origin in jury trials when the ‘reasonable man’ was a reasonable member of the jury.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r w:rsidR="00484446">
              <w:rPr>
                <w:rFonts w:ascii="Arial" w:hAnsi="Arial" w:cs="Arial"/>
              </w:rPr>
              <w:t>’</w:t>
            </w:r>
          </w:p>
          <w:p w:rsidR="00B86258" w:rsidRDefault="00B86258" w:rsidP="00B86258">
            <w:pPr>
              <w:spacing w:after="0" w:line="360" w:lineRule="auto"/>
              <w:jc w:val="both"/>
              <w:rPr>
                <w:rFonts w:ascii="Arial" w:hAnsi="Arial" w:cs="Arial"/>
                <w:sz w:val="24"/>
                <w:szCs w:val="24"/>
                <w:lang w:val="en-GB"/>
              </w:rPr>
            </w:pPr>
          </w:p>
          <w:p w:rsidR="00B86258" w:rsidRPr="00525BB9"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484446">
              <w:rPr>
                <w:rFonts w:ascii="Arial" w:hAnsi="Arial" w:cs="Arial"/>
                <w:sz w:val="24"/>
                <w:szCs w:val="24"/>
                <w:lang w:val="en-GB"/>
              </w:rPr>
              <w:t>I</w:t>
            </w:r>
            <w:r>
              <w:rPr>
                <w:rFonts w:ascii="Arial" w:hAnsi="Arial" w:cs="Arial"/>
                <w:sz w:val="24"/>
                <w:szCs w:val="24"/>
                <w:lang w:val="en-GB"/>
              </w:rPr>
              <w:t>ssues of credibility play a limited role in an application for absolution at the close of the State’s case.  Generally speaking</w:t>
            </w:r>
            <w:r w:rsidR="003C3CBF">
              <w:rPr>
                <w:rFonts w:ascii="Arial" w:hAnsi="Arial" w:cs="Arial"/>
                <w:sz w:val="24"/>
                <w:szCs w:val="24"/>
                <w:lang w:val="en-GB"/>
              </w:rPr>
              <w:t>,</w:t>
            </w:r>
            <w:r>
              <w:rPr>
                <w:rFonts w:ascii="Arial" w:hAnsi="Arial" w:cs="Arial"/>
                <w:sz w:val="24"/>
                <w:szCs w:val="24"/>
                <w:lang w:val="en-GB"/>
              </w:rPr>
              <w:t xml:space="preserve"> the court will not concern itself with issues of </w:t>
            </w:r>
            <w:r>
              <w:rPr>
                <w:rFonts w:ascii="Arial" w:hAnsi="Arial" w:cs="Arial"/>
                <w:sz w:val="24"/>
                <w:szCs w:val="24"/>
                <w:lang w:val="en-GB"/>
              </w:rPr>
              <w:lastRenderedPageBreak/>
              <w:t>credibility except in cases where the evidence tendered by the plaintiff is so lacking in credibility or so improbable to the extent that no court would place any reliance upon it.</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In the instant case there is direct evidence that the plaintiff was assaulted at the time. There is no evidence to contradict the allegation that he was so assaulted.  The evidence is further that the persons who assaulted him alighted from a vehicle bearing a registration number peculiar to the Namibian Police.  The evidence also establishes as far as the third witness is concerned</w:t>
            </w:r>
            <w:r w:rsidR="003C3CBF">
              <w:rPr>
                <w:rFonts w:ascii="Arial" w:hAnsi="Arial" w:cs="Arial"/>
                <w:sz w:val="24"/>
                <w:szCs w:val="24"/>
                <w:lang w:val="en-GB"/>
              </w:rPr>
              <w:t>,</w:t>
            </w:r>
            <w:r>
              <w:rPr>
                <w:rFonts w:ascii="Arial" w:hAnsi="Arial" w:cs="Arial"/>
                <w:sz w:val="24"/>
                <w:szCs w:val="24"/>
                <w:lang w:val="en-GB"/>
              </w:rPr>
              <w:t xml:space="preserve"> that one of the officers who was talking to the plaintiff was dressed in reflective clothing bearing a distinctive Namibian Police sign.  </w:t>
            </w:r>
          </w:p>
          <w:p w:rsidR="00B86258" w:rsidRDefault="00B86258" w:rsidP="00B86258">
            <w:pPr>
              <w:spacing w:after="0" w:line="360" w:lineRule="auto"/>
              <w:jc w:val="both"/>
              <w:rPr>
                <w:rFonts w:ascii="Arial" w:hAnsi="Arial" w:cs="Arial"/>
                <w:sz w:val="24"/>
                <w:szCs w:val="24"/>
                <w:lang w:val="en-GB"/>
              </w:rPr>
            </w:pPr>
          </w:p>
          <w:p w:rsidR="00B86258" w:rsidRDefault="00B86258" w:rsidP="00B86258">
            <w:pPr>
              <w:spacing w:after="0" w:line="360" w:lineRule="auto"/>
              <w:jc w:val="both"/>
              <w:rPr>
                <w:rFonts w:ascii="Arial" w:hAnsi="Arial" w:cs="Arial"/>
                <w:lang w:val="en-GB"/>
              </w:rPr>
            </w:pPr>
            <w:r>
              <w:rPr>
                <w:rFonts w:ascii="Arial" w:hAnsi="Arial" w:cs="Arial"/>
                <w:sz w:val="24"/>
                <w:szCs w:val="24"/>
                <w:lang w:val="en-GB"/>
              </w:rPr>
              <w:t>[8]</w:t>
            </w:r>
            <w:r>
              <w:rPr>
                <w:rFonts w:ascii="Arial" w:hAnsi="Arial" w:cs="Arial"/>
                <w:sz w:val="24"/>
                <w:szCs w:val="24"/>
                <w:lang w:val="en-GB"/>
              </w:rPr>
              <w:tab/>
              <w:t xml:space="preserve">To my mind if I were to apply the correct test as formulated in the judgments which I have referred to and which have generally </w:t>
            </w:r>
            <w:r w:rsidR="00C11822">
              <w:rPr>
                <w:rFonts w:ascii="Arial" w:hAnsi="Arial" w:cs="Arial"/>
                <w:sz w:val="24"/>
                <w:szCs w:val="24"/>
                <w:lang w:val="en-GB"/>
              </w:rPr>
              <w:t xml:space="preserve">been </w:t>
            </w:r>
            <w:r>
              <w:rPr>
                <w:rFonts w:ascii="Arial" w:hAnsi="Arial" w:cs="Arial"/>
                <w:sz w:val="24"/>
                <w:szCs w:val="24"/>
                <w:lang w:val="en-GB"/>
              </w:rPr>
              <w:t>accepted by our courts, the application for absolution from the instance must</w:t>
            </w:r>
            <w:r w:rsidR="00C11822">
              <w:rPr>
                <w:rFonts w:ascii="Arial" w:hAnsi="Arial" w:cs="Arial"/>
                <w:sz w:val="24"/>
                <w:szCs w:val="24"/>
                <w:lang w:val="en-GB"/>
              </w:rPr>
              <w:t>,</w:t>
            </w:r>
            <w:r>
              <w:rPr>
                <w:rFonts w:ascii="Arial" w:hAnsi="Arial" w:cs="Arial"/>
                <w:sz w:val="24"/>
                <w:szCs w:val="24"/>
                <w:lang w:val="en-GB"/>
              </w:rPr>
              <w:t xml:space="preserve"> at this stage be refused.  I accordingly make the following orders:</w:t>
            </w:r>
          </w:p>
          <w:p w:rsidR="00B86258" w:rsidRDefault="00B86258" w:rsidP="00B86258">
            <w:pPr>
              <w:spacing w:after="0" w:line="360" w:lineRule="auto"/>
              <w:jc w:val="both"/>
              <w:rPr>
                <w:rFonts w:ascii="Arial" w:hAnsi="Arial" w:cs="Arial"/>
                <w:lang w:val="en-GB"/>
              </w:rPr>
            </w:pPr>
          </w:p>
          <w:p w:rsidR="00B86258" w:rsidRPr="00CC298D" w:rsidRDefault="00B86258" w:rsidP="00B86258">
            <w:pPr>
              <w:pStyle w:val="ListParagraph"/>
              <w:numPr>
                <w:ilvl w:val="0"/>
                <w:numId w:val="3"/>
              </w:numPr>
              <w:spacing w:line="360" w:lineRule="auto"/>
              <w:ind w:hanging="720"/>
              <w:jc w:val="both"/>
              <w:rPr>
                <w:rFonts w:cs="Arial"/>
                <w:lang w:eastAsia="en-GB"/>
              </w:rPr>
            </w:pPr>
            <w:r>
              <w:t>The application for absolution from the instance is refused.</w:t>
            </w:r>
          </w:p>
          <w:p w:rsidR="00B86258" w:rsidRPr="00072860" w:rsidRDefault="00B86258" w:rsidP="00B86258">
            <w:pPr>
              <w:pStyle w:val="ListParagraph"/>
              <w:spacing w:line="360" w:lineRule="auto"/>
              <w:jc w:val="both"/>
              <w:rPr>
                <w:rFonts w:cs="Arial"/>
                <w:lang w:eastAsia="en-GB"/>
              </w:rPr>
            </w:pPr>
          </w:p>
          <w:p w:rsidR="00B86258" w:rsidRPr="00072860" w:rsidRDefault="00B86258" w:rsidP="00B86258">
            <w:pPr>
              <w:pStyle w:val="ListParagraph"/>
              <w:numPr>
                <w:ilvl w:val="0"/>
                <w:numId w:val="3"/>
              </w:numPr>
              <w:spacing w:line="360" w:lineRule="auto"/>
              <w:ind w:hanging="720"/>
              <w:jc w:val="both"/>
              <w:rPr>
                <w:rFonts w:cs="Arial"/>
                <w:lang w:eastAsia="en-GB"/>
              </w:rPr>
            </w:pPr>
            <w:r>
              <w:t xml:space="preserve">The </w:t>
            </w:r>
            <w:r w:rsidR="008308C1">
              <w:t>defendants</w:t>
            </w:r>
            <w:r>
              <w:t xml:space="preserve"> are ordered</w:t>
            </w:r>
            <w:r w:rsidR="00C11822">
              <w:t>,</w:t>
            </w:r>
            <w:r>
              <w:t xml:space="preserve"> jointly and severally</w:t>
            </w:r>
            <w:r w:rsidR="00C11822">
              <w:t>,</w:t>
            </w:r>
            <w:r>
              <w:t xml:space="preserve"> to pay the plaintiff’s costs relating to the application for absolution.</w:t>
            </w:r>
          </w:p>
          <w:p w:rsidR="00B86258" w:rsidRPr="00072860" w:rsidRDefault="00B86258" w:rsidP="00B86258">
            <w:pPr>
              <w:pStyle w:val="ListParagraph"/>
              <w:spacing w:line="360" w:lineRule="auto"/>
              <w:jc w:val="both"/>
              <w:rPr>
                <w:rFonts w:cs="Arial"/>
                <w:lang w:eastAsia="en-GB"/>
              </w:rPr>
            </w:pPr>
          </w:p>
          <w:p w:rsidR="00B86258" w:rsidRPr="00072860" w:rsidRDefault="00B86258" w:rsidP="00B86258">
            <w:pPr>
              <w:pStyle w:val="ListParagraph"/>
              <w:numPr>
                <w:ilvl w:val="0"/>
                <w:numId w:val="3"/>
              </w:numPr>
              <w:spacing w:line="360" w:lineRule="auto"/>
              <w:ind w:hanging="720"/>
              <w:rPr>
                <w:rFonts w:cs="Arial"/>
                <w:lang w:eastAsia="en-GB"/>
              </w:rPr>
            </w:pPr>
            <w:r>
              <w:t xml:space="preserve">The matter is postponed to 3 April 2023 at 10h00 for continuation of trial. </w:t>
            </w:r>
          </w:p>
          <w:p w:rsidR="007D7CFB" w:rsidRPr="008A0834" w:rsidRDefault="007D7CFB" w:rsidP="008C58B4">
            <w:pPr>
              <w:tabs>
                <w:tab w:val="left" w:pos="720"/>
                <w:tab w:val="left" w:pos="2268"/>
              </w:tabs>
              <w:spacing w:after="0" w:line="360" w:lineRule="auto"/>
              <w:jc w:val="both"/>
              <w:rPr>
                <w:rFonts w:ascii="Arial" w:hAnsi="Arial" w:cs="Arial"/>
                <w:sz w:val="24"/>
                <w:szCs w:val="24"/>
              </w:rPr>
            </w:pPr>
          </w:p>
        </w:tc>
      </w:tr>
      <w:tr w:rsidR="009E6F08" w:rsidRPr="00707B80" w:rsidTr="00806CB3">
        <w:tc>
          <w:tcPr>
            <w:tcW w:w="4770" w:type="dxa"/>
            <w:tcBorders>
              <w:top w:val="single" w:sz="4" w:space="0" w:color="auto"/>
              <w:left w:val="single" w:sz="4" w:space="0" w:color="auto"/>
              <w:bottom w:val="single" w:sz="4" w:space="0" w:color="auto"/>
              <w:right w:val="single" w:sz="4" w:space="0" w:color="auto"/>
            </w:tcBorders>
            <w:shd w:val="clear" w:color="auto" w:fill="auto"/>
          </w:tcPr>
          <w:p w:rsidR="009E6F08" w:rsidRDefault="006511E0" w:rsidP="009E6F08">
            <w:pPr>
              <w:spacing w:after="0" w:line="360" w:lineRule="auto"/>
              <w:jc w:val="center"/>
              <w:rPr>
                <w:rFonts w:ascii="Arial" w:hAnsi="Arial" w:cs="Arial"/>
                <w:b/>
                <w:sz w:val="24"/>
                <w:szCs w:val="24"/>
              </w:rPr>
            </w:pPr>
            <w:r>
              <w:rPr>
                <w:rFonts w:ascii="Arial Narrow" w:hAnsi="Arial Narrow" w:cs="Arial"/>
                <w:b/>
                <w:sz w:val="24"/>
                <w:szCs w:val="24"/>
              </w:rPr>
              <w:lastRenderedPageBreak/>
              <w:t>Judge’s signature</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tcPr>
          <w:p w:rsidR="009E6F08" w:rsidRDefault="006511E0" w:rsidP="009E6F08">
            <w:pPr>
              <w:spacing w:after="0" w:line="360" w:lineRule="auto"/>
              <w:jc w:val="center"/>
              <w:rPr>
                <w:rFonts w:ascii="Arial" w:hAnsi="Arial" w:cs="Arial"/>
                <w:b/>
                <w:sz w:val="24"/>
                <w:szCs w:val="24"/>
              </w:rPr>
            </w:pPr>
            <w:r w:rsidRPr="00E757E9">
              <w:rPr>
                <w:rFonts w:ascii="Arial Narrow" w:hAnsi="Arial Narrow" w:cs="Arial"/>
                <w:b/>
                <w:sz w:val="24"/>
                <w:szCs w:val="24"/>
              </w:rPr>
              <w:t>Note to the parties:</w:t>
            </w:r>
          </w:p>
        </w:tc>
      </w:tr>
      <w:tr w:rsidR="006511E0" w:rsidRPr="00707B80" w:rsidTr="00487023">
        <w:trPr>
          <w:trHeight w:val="566"/>
        </w:trPr>
        <w:tc>
          <w:tcPr>
            <w:tcW w:w="4770" w:type="dxa"/>
            <w:tcBorders>
              <w:top w:val="single" w:sz="4" w:space="0" w:color="auto"/>
              <w:left w:val="single" w:sz="4" w:space="0" w:color="auto"/>
              <w:bottom w:val="single" w:sz="4" w:space="0" w:color="auto"/>
              <w:right w:val="single" w:sz="4" w:space="0" w:color="auto"/>
            </w:tcBorders>
            <w:shd w:val="clear" w:color="auto" w:fill="auto"/>
          </w:tcPr>
          <w:p w:rsidR="006511E0" w:rsidRDefault="006511E0" w:rsidP="009E6F08">
            <w:pPr>
              <w:spacing w:after="0" w:line="360" w:lineRule="auto"/>
              <w:jc w:val="center"/>
              <w:rPr>
                <w:rFonts w:ascii="Arial Narrow" w:hAnsi="Arial Narrow" w:cs="Arial"/>
                <w:b/>
                <w:sz w:val="24"/>
                <w:szCs w:val="24"/>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tcPr>
          <w:p w:rsidR="006511E0" w:rsidRDefault="006511E0" w:rsidP="006511E0">
            <w:pPr>
              <w:spacing w:after="0" w:line="360" w:lineRule="auto"/>
              <w:rPr>
                <w:rFonts w:ascii="Arial Narrow" w:hAnsi="Arial Narrow" w:cs="Arial"/>
                <w:sz w:val="24"/>
                <w:szCs w:val="24"/>
              </w:rPr>
            </w:pPr>
            <w:r w:rsidRPr="00E757E9">
              <w:rPr>
                <w:rFonts w:ascii="Arial Narrow" w:hAnsi="Arial Narrow" w:cs="Arial"/>
                <w:sz w:val="24"/>
                <w:szCs w:val="24"/>
              </w:rPr>
              <w:t>Not applicable.</w:t>
            </w:r>
          </w:p>
          <w:p w:rsidR="006511E0" w:rsidRPr="00E757E9" w:rsidRDefault="006511E0" w:rsidP="006511E0">
            <w:pPr>
              <w:spacing w:after="0" w:line="360" w:lineRule="auto"/>
              <w:rPr>
                <w:rFonts w:ascii="Arial Narrow" w:hAnsi="Arial Narrow" w:cs="Arial"/>
                <w:b/>
                <w:sz w:val="24"/>
                <w:szCs w:val="24"/>
              </w:rPr>
            </w:pPr>
          </w:p>
        </w:tc>
      </w:tr>
      <w:tr w:rsidR="00CA3690" w:rsidRPr="00707B80" w:rsidTr="00DE3674">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CA3690" w:rsidRPr="00E757E9" w:rsidRDefault="00CA3690" w:rsidP="00CA3690">
            <w:pPr>
              <w:spacing w:after="0" w:line="360" w:lineRule="auto"/>
              <w:jc w:val="center"/>
              <w:rPr>
                <w:rFonts w:ascii="Arial Narrow" w:hAnsi="Arial Narrow" w:cs="Arial"/>
                <w:sz w:val="24"/>
                <w:szCs w:val="24"/>
              </w:rPr>
            </w:pPr>
            <w:r w:rsidRPr="006E49A3">
              <w:rPr>
                <w:rFonts w:ascii="Arial" w:hAnsi="Arial" w:cs="Arial"/>
                <w:b/>
              </w:rPr>
              <w:t>Counsel:</w:t>
            </w:r>
          </w:p>
        </w:tc>
      </w:tr>
      <w:tr w:rsidR="00CA3690" w:rsidRPr="00707B80" w:rsidTr="00172631">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CA3690" w:rsidRPr="006E49A3" w:rsidRDefault="00CA3690" w:rsidP="008308C1">
            <w:pPr>
              <w:spacing w:after="0" w:line="360" w:lineRule="auto"/>
              <w:jc w:val="center"/>
              <w:rPr>
                <w:rFonts w:ascii="Arial" w:hAnsi="Arial" w:cs="Arial"/>
                <w:b/>
              </w:rPr>
            </w:pPr>
            <w:r>
              <w:rPr>
                <w:rFonts w:ascii="Arial" w:hAnsi="Arial" w:cs="Arial"/>
                <w:b/>
              </w:rPr>
              <w:t>Plaintiff</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CA3690" w:rsidRPr="006E49A3" w:rsidRDefault="00CA3690" w:rsidP="008308C1">
            <w:pPr>
              <w:spacing w:after="0" w:line="360" w:lineRule="auto"/>
              <w:jc w:val="center"/>
              <w:rPr>
                <w:rFonts w:ascii="Arial" w:hAnsi="Arial" w:cs="Arial"/>
                <w:b/>
              </w:rPr>
            </w:pPr>
            <w:r>
              <w:rPr>
                <w:rFonts w:ascii="Arial" w:hAnsi="Arial" w:cs="Arial"/>
                <w:b/>
              </w:rPr>
              <w:t>Defendant</w:t>
            </w:r>
            <w:r w:rsidR="008308C1">
              <w:rPr>
                <w:rFonts w:ascii="Arial" w:hAnsi="Arial" w:cs="Arial"/>
                <w:b/>
              </w:rPr>
              <w:t>s</w:t>
            </w:r>
          </w:p>
        </w:tc>
      </w:tr>
      <w:tr w:rsidR="00CA3690" w:rsidRPr="00707B80" w:rsidTr="00487023">
        <w:trPr>
          <w:trHeight w:val="1497"/>
        </w:trPr>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8308C1" w:rsidRDefault="00487023" w:rsidP="00487023">
            <w:pPr>
              <w:spacing w:after="0" w:line="360" w:lineRule="auto"/>
              <w:jc w:val="center"/>
              <w:rPr>
                <w:rFonts w:ascii="Arial" w:hAnsi="Arial" w:cs="Arial"/>
                <w:i/>
              </w:rPr>
            </w:pPr>
            <w:r>
              <w:rPr>
                <w:rFonts w:ascii="Arial" w:hAnsi="Arial" w:cs="Arial"/>
              </w:rPr>
              <w:t xml:space="preserve">L </w:t>
            </w:r>
            <w:r w:rsidR="008308C1">
              <w:rPr>
                <w:rFonts w:ascii="Arial" w:hAnsi="Arial" w:cs="Arial"/>
                <w:sz w:val="24"/>
                <w:szCs w:val="24"/>
              </w:rPr>
              <w:t>C</w:t>
            </w:r>
            <w:r w:rsidR="008308C1" w:rsidRPr="00002109">
              <w:rPr>
                <w:rFonts w:ascii="Arial" w:hAnsi="Arial" w:cs="Arial"/>
                <w:sz w:val="24"/>
                <w:szCs w:val="24"/>
              </w:rPr>
              <w:t>loete</w:t>
            </w:r>
            <w:r w:rsidR="008308C1">
              <w:rPr>
                <w:rFonts w:ascii="Arial" w:hAnsi="Arial" w:cs="Arial"/>
                <w:i/>
              </w:rPr>
              <w:t xml:space="preserve"> </w:t>
            </w:r>
          </w:p>
          <w:p w:rsidR="00CA3690" w:rsidRPr="008308C1" w:rsidRDefault="00CA3690" w:rsidP="00487023">
            <w:pPr>
              <w:spacing w:after="0" w:line="360" w:lineRule="auto"/>
              <w:jc w:val="center"/>
              <w:rPr>
                <w:rFonts w:ascii="Arial" w:hAnsi="Arial" w:cs="Arial"/>
              </w:rPr>
            </w:pPr>
            <w:r w:rsidRPr="008308C1">
              <w:rPr>
                <w:rFonts w:ascii="Arial" w:hAnsi="Arial" w:cs="Arial"/>
              </w:rPr>
              <w:t>of</w:t>
            </w:r>
          </w:p>
          <w:p w:rsidR="00CA3690" w:rsidRDefault="008308C1" w:rsidP="00487023">
            <w:pPr>
              <w:spacing w:after="0" w:line="360" w:lineRule="auto"/>
              <w:jc w:val="center"/>
              <w:rPr>
                <w:rFonts w:ascii="Arial" w:hAnsi="Arial" w:cs="Arial"/>
                <w:b/>
              </w:rPr>
            </w:pPr>
            <w:r>
              <w:rPr>
                <w:rFonts w:ascii="Arial" w:hAnsi="Arial" w:cs="Arial"/>
                <w:sz w:val="24"/>
                <w:szCs w:val="24"/>
              </w:rPr>
              <w:t>FB</w:t>
            </w:r>
            <w:r w:rsidRPr="00002109">
              <w:rPr>
                <w:rFonts w:ascii="Arial" w:hAnsi="Arial" w:cs="Arial"/>
                <w:sz w:val="24"/>
                <w:szCs w:val="24"/>
              </w:rPr>
              <w:t xml:space="preserve"> </w:t>
            </w:r>
            <w:r>
              <w:rPr>
                <w:rFonts w:ascii="Arial" w:hAnsi="Arial" w:cs="Arial"/>
                <w:sz w:val="24"/>
                <w:szCs w:val="24"/>
              </w:rPr>
              <w:t>L</w:t>
            </w:r>
            <w:r w:rsidRPr="00002109">
              <w:rPr>
                <w:rFonts w:ascii="Arial" w:hAnsi="Arial" w:cs="Arial"/>
                <w:sz w:val="24"/>
                <w:szCs w:val="24"/>
              </w:rPr>
              <w:t xml:space="preserve">aw </w:t>
            </w:r>
            <w:r>
              <w:rPr>
                <w:rFonts w:ascii="Arial" w:hAnsi="Arial" w:cs="Arial"/>
                <w:sz w:val="24"/>
                <w:szCs w:val="24"/>
              </w:rPr>
              <w:t>C</w:t>
            </w:r>
            <w:r w:rsidRPr="00002109">
              <w:rPr>
                <w:rFonts w:ascii="Arial" w:hAnsi="Arial" w:cs="Arial"/>
                <w:sz w:val="24"/>
                <w:szCs w:val="24"/>
              </w:rPr>
              <w:t>hambers</w:t>
            </w:r>
            <w:r w:rsidRPr="00002109">
              <w:rPr>
                <w:rFonts w:ascii="Arial" w:eastAsia="Arial" w:hAnsi="Arial" w:cs="Arial"/>
                <w:sz w:val="24"/>
                <w:szCs w:val="24"/>
              </w:rPr>
              <w:t>, Windhoek</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8308C1" w:rsidRDefault="008308C1" w:rsidP="00487023">
            <w:pPr>
              <w:spacing w:after="0" w:line="360" w:lineRule="auto"/>
              <w:jc w:val="center"/>
              <w:rPr>
                <w:rFonts w:ascii="Arial" w:hAnsi="Arial" w:cs="Arial"/>
              </w:rPr>
            </w:pPr>
            <w:r>
              <w:rPr>
                <w:rFonts w:ascii="Arial" w:hAnsi="Arial" w:cs="Arial"/>
                <w:sz w:val="24"/>
                <w:szCs w:val="24"/>
              </w:rPr>
              <w:t>W</w:t>
            </w:r>
            <w:r w:rsidRPr="00002109">
              <w:rPr>
                <w:rFonts w:ascii="Arial" w:hAnsi="Arial" w:cs="Arial"/>
                <w:sz w:val="24"/>
                <w:szCs w:val="24"/>
              </w:rPr>
              <w:t xml:space="preserve"> </w:t>
            </w:r>
            <w:proofErr w:type="spellStart"/>
            <w:r>
              <w:rPr>
                <w:rFonts w:ascii="Arial" w:hAnsi="Arial" w:cs="Arial"/>
                <w:sz w:val="24"/>
                <w:szCs w:val="24"/>
              </w:rPr>
              <w:t>A</w:t>
            </w:r>
            <w:r w:rsidRPr="00002109">
              <w:rPr>
                <w:rFonts w:ascii="Arial" w:hAnsi="Arial" w:cs="Arial"/>
                <w:sz w:val="24"/>
                <w:szCs w:val="24"/>
              </w:rPr>
              <w:t>mukoto</w:t>
            </w:r>
            <w:proofErr w:type="spellEnd"/>
            <w:r w:rsidRPr="008308C1">
              <w:rPr>
                <w:rFonts w:ascii="Arial" w:hAnsi="Arial" w:cs="Arial"/>
              </w:rPr>
              <w:t xml:space="preserve"> </w:t>
            </w:r>
          </w:p>
          <w:p w:rsidR="00CA3690" w:rsidRPr="008308C1" w:rsidRDefault="00CA3690" w:rsidP="00487023">
            <w:pPr>
              <w:spacing w:after="0" w:line="360" w:lineRule="auto"/>
              <w:jc w:val="center"/>
              <w:rPr>
                <w:rFonts w:ascii="Arial" w:hAnsi="Arial" w:cs="Arial"/>
              </w:rPr>
            </w:pPr>
            <w:r w:rsidRPr="008308C1">
              <w:rPr>
                <w:rFonts w:ascii="Arial" w:hAnsi="Arial" w:cs="Arial"/>
              </w:rPr>
              <w:t>of</w:t>
            </w:r>
          </w:p>
          <w:p w:rsidR="00CA3690" w:rsidRDefault="008308C1" w:rsidP="00487023">
            <w:pPr>
              <w:spacing w:after="0" w:line="240" w:lineRule="auto"/>
              <w:jc w:val="center"/>
              <w:rPr>
                <w:rFonts w:ascii="Arial" w:hAnsi="Arial" w:cs="Arial"/>
                <w:b/>
              </w:rPr>
            </w:pPr>
            <w:r w:rsidRPr="00666748">
              <w:rPr>
                <w:rFonts w:ascii="Arial" w:hAnsi="Arial" w:cs="Arial"/>
                <w:sz w:val="24"/>
                <w:szCs w:val="24"/>
              </w:rPr>
              <w:t>Office of the Government Attorney</w:t>
            </w:r>
            <w:r w:rsidR="00CA3690" w:rsidRPr="00053235">
              <w:rPr>
                <w:rFonts w:ascii="Arial" w:hAnsi="Arial" w:cs="Arial"/>
              </w:rPr>
              <w:t>,</w:t>
            </w:r>
            <w:r w:rsidR="00CA3690">
              <w:rPr>
                <w:rFonts w:ascii="Arial" w:hAnsi="Arial" w:cs="Arial"/>
              </w:rPr>
              <w:t xml:space="preserve"> Windhoek</w:t>
            </w:r>
          </w:p>
        </w:tc>
      </w:tr>
    </w:tbl>
    <w:p w:rsidR="00546EE4" w:rsidRDefault="00546EE4" w:rsidP="00487023">
      <w:bookmarkStart w:id="0" w:name="_GoBack"/>
      <w:bookmarkEnd w:id="0"/>
    </w:p>
    <w:sectPr w:rsidR="00546EE4" w:rsidSect="006511E0">
      <w:head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28" w:rsidRDefault="00816328" w:rsidP="009E6F08">
      <w:pPr>
        <w:spacing w:after="0" w:line="240" w:lineRule="auto"/>
      </w:pPr>
      <w:r>
        <w:separator/>
      </w:r>
    </w:p>
  </w:endnote>
  <w:endnote w:type="continuationSeparator" w:id="0">
    <w:p w:rsidR="00816328" w:rsidRDefault="00816328" w:rsidP="009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28" w:rsidRDefault="00816328" w:rsidP="009E6F08">
      <w:pPr>
        <w:spacing w:after="0" w:line="240" w:lineRule="auto"/>
      </w:pPr>
      <w:r>
        <w:separator/>
      </w:r>
    </w:p>
  </w:footnote>
  <w:footnote w:type="continuationSeparator" w:id="0">
    <w:p w:rsidR="00816328" w:rsidRDefault="00816328" w:rsidP="009E6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92986"/>
      <w:docPartObj>
        <w:docPartGallery w:val="Page Numbers (Top of Page)"/>
        <w:docPartUnique/>
      </w:docPartObj>
    </w:sdtPr>
    <w:sdtEndPr>
      <w:rPr>
        <w:noProof/>
      </w:rPr>
    </w:sdtEndPr>
    <w:sdtContent>
      <w:p w:rsidR="003D15A3" w:rsidRDefault="003D15A3">
        <w:pPr>
          <w:pStyle w:val="Header"/>
          <w:jc w:val="right"/>
        </w:pPr>
        <w:r>
          <w:fldChar w:fldCharType="begin"/>
        </w:r>
        <w:r>
          <w:instrText xml:space="preserve"> PAGE   \* MERGEFORMAT </w:instrText>
        </w:r>
        <w:r>
          <w:fldChar w:fldCharType="separate"/>
        </w:r>
        <w:r w:rsidR="00487023">
          <w:rPr>
            <w:noProof/>
          </w:rPr>
          <w:t>3</w:t>
        </w:r>
        <w:r>
          <w:rPr>
            <w:noProof/>
          </w:rPr>
          <w:fldChar w:fldCharType="end"/>
        </w:r>
      </w:p>
    </w:sdtContent>
  </w:sdt>
  <w:p w:rsidR="003D15A3" w:rsidRDefault="003D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A3B"/>
    <w:multiLevelType w:val="hybridMultilevel"/>
    <w:tmpl w:val="66E84A9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4169BB"/>
    <w:multiLevelType w:val="hybridMultilevel"/>
    <w:tmpl w:val="CF5EF2E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77E6FEC"/>
    <w:multiLevelType w:val="hybridMultilevel"/>
    <w:tmpl w:val="09F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8"/>
    <w:rsid w:val="0000737D"/>
    <w:rsid w:val="00012657"/>
    <w:rsid w:val="00012877"/>
    <w:rsid w:val="00014715"/>
    <w:rsid w:val="000178F4"/>
    <w:rsid w:val="00024254"/>
    <w:rsid w:val="00094362"/>
    <w:rsid w:val="000B2368"/>
    <w:rsid w:val="000B4DAC"/>
    <w:rsid w:val="000D1165"/>
    <w:rsid w:val="000E3995"/>
    <w:rsid w:val="000F5244"/>
    <w:rsid w:val="000F5D3D"/>
    <w:rsid w:val="000F6342"/>
    <w:rsid w:val="00102193"/>
    <w:rsid w:val="001124FF"/>
    <w:rsid w:val="0011591F"/>
    <w:rsid w:val="0012699F"/>
    <w:rsid w:val="0013779E"/>
    <w:rsid w:val="00145408"/>
    <w:rsid w:val="00163264"/>
    <w:rsid w:val="001A7B7D"/>
    <w:rsid w:val="001C6BAC"/>
    <w:rsid w:val="002423E7"/>
    <w:rsid w:val="00280E8B"/>
    <w:rsid w:val="00287842"/>
    <w:rsid w:val="002B00CA"/>
    <w:rsid w:val="002B1515"/>
    <w:rsid w:val="002F0BF0"/>
    <w:rsid w:val="002F34B6"/>
    <w:rsid w:val="002F464E"/>
    <w:rsid w:val="0031692C"/>
    <w:rsid w:val="00344A63"/>
    <w:rsid w:val="0036116F"/>
    <w:rsid w:val="003C3CBF"/>
    <w:rsid w:val="003D15A3"/>
    <w:rsid w:val="004233DA"/>
    <w:rsid w:val="00440859"/>
    <w:rsid w:val="00447DA3"/>
    <w:rsid w:val="004805EF"/>
    <w:rsid w:val="00483900"/>
    <w:rsid w:val="00484446"/>
    <w:rsid w:val="00487023"/>
    <w:rsid w:val="004B27F2"/>
    <w:rsid w:val="00527719"/>
    <w:rsid w:val="005414E8"/>
    <w:rsid w:val="00546EE4"/>
    <w:rsid w:val="00551948"/>
    <w:rsid w:val="005A02B3"/>
    <w:rsid w:val="005A4365"/>
    <w:rsid w:val="005E2698"/>
    <w:rsid w:val="00613D42"/>
    <w:rsid w:val="006511E0"/>
    <w:rsid w:val="00651995"/>
    <w:rsid w:val="006A0A81"/>
    <w:rsid w:val="006C0542"/>
    <w:rsid w:val="00714E70"/>
    <w:rsid w:val="007611CD"/>
    <w:rsid w:val="00795726"/>
    <w:rsid w:val="00796422"/>
    <w:rsid w:val="007A0F30"/>
    <w:rsid w:val="007A1C92"/>
    <w:rsid w:val="007C6DB1"/>
    <w:rsid w:val="007D7CFB"/>
    <w:rsid w:val="007F7281"/>
    <w:rsid w:val="008025CC"/>
    <w:rsid w:val="00816207"/>
    <w:rsid w:val="00816328"/>
    <w:rsid w:val="00823EC4"/>
    <w:rsid w:val="00825BCB"/>
    <w:rsid w:val="008308C1"/>
    <w:rsid w:val="008556CC"/>
    <w:rsid w:val="00867C86"/>
    <w:rsid w:val="008A0834"/>
    <w:rsid w:val="008C2124"/>
    <w:rsid w:val="008C58B4"/>
    <w:rsid w:val="008D20A3"/>
    <w:rsid w:val="009169EC"/>
    <w:rsid w:val="0093049D"/>
    <w:rsid w:val="009517B5"/>
    <w:rsid w:val="009517D4"/>
    <w:rsid w:val="009565A9"/>
    <w:rsid w:val="00980C6F"/>
    <w:rsid w:val="0099174D"/>
    <w:rsid w:val="009D7C8E"/>
    <w:rsid w:val="009E6F08"/>
    <w:rsid w:val="009F24A8"/>
    <w:rsid w:val="00A36291"/>
    <w:rsid w:val="00A41EA7"/>
    <w:rsid w:val="00A84099"/>
    <w:rsid w:val="00AF0A92"/>
    <w:rsid w:val="00B46628"/>
    <w:rsid w:val="00B672FE"/>
    <w:rsid w:val="00B673B6"/>
    <w:rsid w:val="00B8046C"/>
    <w:rsid w:val="00B86258"/>
    <w:rsid w:val="00BC44F8"/>
    <w:rsid w:val="00BD16E3"/>
    <w:rsid w:val="00BE7F36"/>
    <w:rsid w:val="00C11822"/>
    <w:rsid w:val="00C25E05"/>
    <w:rsid w:val="00C50A9C"/>
    <w:rsid w:val="00CA3690"/>
    <w:rsid w:val="00CF528E"/>
    <w:rsid w:val="00D01DAD"/>
    <w:rsid w:val="00D076F2"/>
    <w:rsid w:val="00D36722"/>
    <w:rsid w:val="00D83B8B"/>
    <w:rsid w:val="00D86DF3"/>
    <w:rsid w:val="00DB79E5"/>
    <w:rsid w:val="00DC3FBE"/>
    <w:rsid w:val="00DE2A6D"/>
    <w:rsid w:val="00DE6F70"/>
    <w:rsid w:val="00E05DC8"/>
    <w:rsid w:val="00E239B3"/>
    <w:rsid w:val="00E27858"/>
    <w:rsid w:val="00E31981"/>
    <w:rsid w:val="00E50D91"/>
    <w:rsid w:val="00E67830"/>
    <w:rsid w:val="00E76973"/>
    <w:rsid w:val="00ED3C53"/>
    <w:rsid w:val="00EF4BC7"/>
    <w:rsid w:val="00F036C7"/>
    <w:rsid w:val="00F56168"/>
    <w:rsid w:val="00F678AB"/>
    <w:rsid w:val="00F85F11"/>
    <w:rsid w:val="00FA7061"/>
    <w:rsid w:val="00FB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AA9E-2CA8-4271-A35C-0BBB8F4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8"/>
    <w:pPr>
      <w:spacing w:line="25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08"/>
    <w:rPr>
      <w:rFonts w:ascii="Calibri" w:eastAsia="Calibri" w:hAnsi="Calibri" w:cs="Times New Roman"/>
      <w:sz w:val="20"/>
      <w:szCs w:val="20"/>
      <w:lang w:val="en-ZA"/>
    </w:rPr>
  </w:style>
  <w:style w:type="character" w:styleId="FootnoteReference">
    <w:name w:val="footnote reference"/>
    <w:uiPriority w:val="99"/>
    <w:semiHidden/>
    <w:unhideWhenUsed/>
    <w:rsid w:val="009E6F08"/>
    <w:rPr>
      <w:vertAlign w:val="superscript"/>
    </w:rPr>
  </w:style>
  <w:style w:type="paragraph" w:styleId="BalloonText">
    <w:name w:val="Balloon Text"/>
    <w:basedOn w:val="Normal"/>
    <w:link w:val="BalloonTextChar"/>
    <w:uiPriority w:val="99"/>
    <w:semiHidden/>
    <w:unhideWhenUsed/>
    <w:rsid w:val="0011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FF"/>
    <w:rPr>
      <w:rFonts w:ascii="Segoe UI" w:eastAsia="Calibri" w:hAnsi="Segoe UI" w:cs="Segoe UI"/>
      <w:sz w:val="18"/>
      <w:szCs w:val="18"/>
      <w:lang w:val="en-ZA"/>
    </w:rPr>
  </w:style>
  <w:style w:type="paragraph" w:styleId="Header">
    <w:name w:val="header"/>
    <w:basedOn w:val="Normal"/>
    <w:link w:val="HeaderChar"/>
    <w:uiPriority w:val="99"/>
    <w:unhideWhenUsed/>
    <w:rsid w:val="003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A3"/>
    <w:rPr>
      <w:rFonts w:ascii="Calibri" w:eastAsia="Calibri" w:hAnsi="Calibri" w:cs="Times New Roman"/>
      <w:lang w:val="en-ZA"/>
    </w:rPr>
  </w:style>
  <w:style w:type="paragraph" w:styleId="Footer">
    <w:name w:val="footer"/>
    <w:basedOn w:val="Normal"/>
    <w:link w:val="FooterChar"/>
    <w:uiPriority w:val="99"/>
    <w:unhideWhenUsed/>
    <w:rsid w:val="003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A3"/>
    <w:rPr>
      <w:rFonts w:ascii="Calibri" w:eastAsia="Calibri" w:hAnsi="Calibri" w:cs="Times New Roman"/>
      <w:lang w:val="en-ZA"/>
    </w:rPr>
  </w:style>
  <w:style w:type="paragraph" w:styleId="ListParagraph">
    <w:name w:val="List Paragraph"/>
    <w:basedOn w:val="Normal"/>
    <w:uiPriority w:val="34"/>
    <w:qFormat/>
    <w:rsid w:val="00B86258"/>
    <w:pPr>
      <w:widowControl w:val="0"/>
      <w:autoSpaceDE w:val="0"/>
      <w:autoSpaceDN w:val="0"/>
      <w:adjustRightInd w:val="0"/>
      <w:spacing w:after="0" w:line="240" w:lineRule="auto"/>
      <w:ind w:left="720"/>
    </w:pPr>
    <w:rPr>
      <w:rFonts w:ascii="Arial" w:eastAsia="Times New Roman"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2023-03-16T18:30:00+00:00</Judgment_x0020_Date>
    <Year xmlns="c1afb1bd-f2fb-40fd-9abb-aea55b4d7662">2023</Year>
  </documentManagement>
</p:properties>
</file>

<file path=customXml/itemProps1.xml><?xml version="1.0" encoding="utf-8"?>
<ds:datastoreItem xmlns:ds="http://schemas.openxmlformats.org/officeDocument/2006/customXml" ds:itemID="{264A15AA-2CE5-40B1-ACEB-1F0701E7194D}"/>
</file>

<file path=customXml/itemProps2.xml><?xml version="1.0" encoding="utf-8"?>
<ds:datastoreItem xmlns:ds="http://schemas.openxmlformats.org/officeDocument/2006/customXml" ds:itemID="{3311F404-0D19-4195-A07C-DAC5331859D0}"/>
</file>

<file path=customXml/itemProps3.xml><?xml version="1.0" encoding="utf-8"?>
<ds:datastoreItem xmlns:ds="http://schemas.openxmlformats.org/officeDocument/2006/customXml" ds:itemID="{D165F74A-53DB-4769-B016-970EA7AEBDCE}"/>
</file>

<file path=customXml/itemProps4.xml><?xml version="1.0" encoding="utf-8"?>
<ds:datastoreItem xmlns:ds="http://schemas.openxmlformats.org/officeDocument/2006/customXml" ds:itemID="{B5142718-D1C8-4B9B-9478-301C1684B3A9}"/>
</file>

<file path=docProps/app.xml><?xml version="1.0" encoding="utf-8"?>
<Properties xmlns="http://schemas.openxmlformats.org/officeDocument/2006/extended-properties" xmlns:vt="http://schemas.openxmlformats.org/officeDocument/2006/docPropsVTypes">
  <Template>Normal</Template>
  <TotalTime>69</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Philander v Government of the Republic of Namibia (HC-MD-CIV-ACT-DEL-202200984) [2023] NAHCMD 138 (7 March 2023)</dc:title>
  <dc:subject/>
  <dc:creator>Charlet Mokomele</dc:creator>
  <cp:keywords/>
  <dc:description/>
  <cp:lastModifiedBy>Lusia Simon</cp:lastModifiedBy>
  <cp:revision>20</cp:revision>
  <cp:lastPrinted>2023-03-10T07:46:00Z</cp:lastPrinted>
  <dcterms:created xsi:type="dcterms:W3CDTF">2023-03-10T10:09:00Z</dcterms:created>
  <dcterms:modified xsi:type="dcterms:W3CDTF">2023-03-22T08:29:00Z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