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2" w:rsidRPr="00155841" w:rsidRDefault="00EB31E2" w:rsidP="00EB31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55841">
        <w:rPr>
          <w:rFonts w:ascii="Arial" w:eastAsia="Times New Roman" w:hAnsi="Arial" w:cs="Arial"/>
          <w:b/>
          <w:sz w:val="24"/>
          <w:szCs w:val="24"/>
          <w:lang w:val="en-GB"/>
        </w:rPr>
        <w:t>REPUBLIC OF NAMIBIA</w:t>
      </w:r>
    </w:p>
    <w:p w:rsidR="00EB31E2" w:rsidRPr="00155841" w:rsidRDefault="00EB31E2" w:rsidP="00EB31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15584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3ECC82A" wp14:editId="6DC7D962">
            <wp:extent cx="809625" cy="819150"/>
            <wp:effectExtent l="0" t="0" r="9525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E2" w:rsidRPr="00155841" w:rsidRDefault="00EB31E2" w:rsidP="00EB31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EB31E2" w:rsidRPr="00155841" w:rsidRDefault="00EB31E2" w:rsidP="00EB31E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55841">
        <w:rPr>
          <w:rFonts w:ascii="Arial" w:eastAsia="Times New Roman" w:hAnsi="Arial" w:cs="Arial"/>
          <w:b/>
          <w:sz w:val="24"/>
          <w:szCs w:val="24"/>
          <w:lang w:val="en-GB"/>
        </w:rPr>
        <w:t>IN THE HIGH COURT OF NAMIBIA, MAIN DIVISION, WINDHOEK</w:t>
      </w:r>
    </w:p>
    <w:p w:rsidR="00EB31E2" w:rsidRPr="00155841" w:rsidRDefault="00EB31E2" w:rsidP="00EB31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155841">
        <w:rPr>
          <w:rFonts w:ascii="Arial" w:eastAsia="Times New Roman" w:hAnsi="Arial" w:cs="Arial"/>
          <w:b/>
          <w:sz w:val="24"/>
          <w:szCs w:val="24"/>
          <w:lang w:val="en-GB"/>
        </w:rPr>
        <w:t>REVIEW JUDGMENT</w:t>
      </w:r>
    </w:p>
    <w:p w:rsidR="00EB31E2" w:rsidRPr="00155841" w:rsidRDefault="00EB31E2" w:rsidP="00EB31E2">
      <w:pPr>
        <w:spacing w:line="256" w:lineRule="auto"/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EB31E2" w:rsidRPr="00155841" w:rsidTr="000B79D8">
        <w:trPr>
          <w:trHeight w:val="744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  <w:t>Case Title:</w:t>
            </w:r>
          </w:p>
          <w:p w:rsidR="00EB31E2" w:rsidRPr="00957368" w:rsidRDefault="00EB31E2" w:rsidP="00EB31E2">
            <w:pPr>
              <w:spacing w:line="360" w:lineRule="auto"/>
              <w:jc w:val="both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957368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The State v Clarence Cedrick Gariseb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  <w:t>Case No:</w:t>
            </w:r>
          </w:p>
          <w:p w:rsidR="00EB31E2" w:rsidRPr="00155841" w:rsidRDefault="0084553D" w:rsidP="000B79D8">
            <w:pPr>
              <w:spacing w:line="360" w:lineRule="auto"/>
              <w:jc w:val="both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CR 135</w:t>
            </w:r>
            <w:r w:rsidR="00EB31E2" w:rsidRPr="00155841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/2022</w:t>
            </w:r>
          </w:p>
        </w:tc>
      </w:tr>
      <w:tr w:rsidR="00EB31E2" w:rsidRPr="00155841" w:rsidTr="000B79D8">
        <w:trPr>
          <w:trHeight w:val="844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High Court MD Review No:</w:t>
            </w: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1917</w:t>
            </w:r>
            <w:r w:rsidRPr="00155841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EB31E2" w:rsidRPr="00155841" w:rsidTr="000B79D8">
        <w:trPr>
          <w:trHeight w:val="796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EB31E2" w:rsidRPr="00155841" w:rsidRDefault="00EB31E2" w:rsidP="00EB31E2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Judge </w:t>
            </w:r>
            <w:r w:rsidR="00277848">
              <w:rPr>
                <w:rFonts w:ascii="Arial" w:hAnsi="Arial" w:cs="Arial"/>
                <w:sz w:val="24"/>
                <w:szCs w:val="24"/>
              </w:rPr>
              <w:t>January</w:t>
            </w:r>
            <w:r w:rsidRPr="00155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41">
              <w:rPr>
                <w:rFonts w:ascii="Arial" w:hAnsi="Arial" w:cs="Arial"/>
                <w:i/>
                <w:sz w:val="24"/>
                <w:szCs w:val="24"/>
              </w:rPr>
              <w:t>et</w:t>
            </w:r>
            <w:r w:rsidR="00EB7CC7">
              <w:rPr>
                <w:rFonts w:ascii="Arial" w:hAnsi="Arial" w:cs="Arial"/>
                <w:sz w:val="24"/>
                <w:szCs w:val="24"/>
              </w:rPr>
              <w:t xml:space="preserve"> Judge </w:t>
            </w:r>
            <w:r w:rsidR="00277848">
              <w:rPr>
                <w:rFonts w:ascii="Arial" w:hAnsi="Arial" w:cs="Arial"/>
                <w:sz w:val="24"/>
                <w:szCs w:val="24"/>
              </w:rPr>
              <w:t>Usiku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EB31E2" w:rsidRPr="00155841" w:rsidRDefault="00420E1D" w:rsidP="000B79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8751E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1662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53D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EB31E2" w:rsidRPr="00155841" w:rsidRDefault="00EB31E2" w:rsidP="000B79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1E2" w:rsidRPr="00155841" w:rsidTr="000B79D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Neutral citation: </w:t>
            </w:r>
            <w:r w:rsidR="00957368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S v G</w:t>
            </w:r>
            <w:r w:rsidR="00114760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ariseb</w:t>
            </w:r>
            <w:r w:rsidRPr="00155841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="008455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(CR 135</w:t>
            </w:r>
            <w:r w:rsidR="008E1F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-</w:t>
            </w:r>
            <w:r w:rsidR="008E345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2022) [2022] NAHCMD </w:t>
            </w:r>
            <w:r w:rsidR="00446E9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139</w:t>
            </w:r>
            <w:r w:rsidR="008E345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</w:t>
            </w:r>
            <w:r w:rsidR="00420E1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13</w:t>
            </w:r>
            <w:r w:rsidR="0088751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April</w:t>
            </w:r>
            <w:r w:rsidR="008E1F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2023</w:t>
            </w:r>
            <w:r w:rsidRPr="001558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</w:t>
            </w: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EB31E2" w:rsidRPr="00155841" w:rsidTr="000B79D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1E2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88751E" w:rsidRPr="00155841" w:rsidRDefault="0088751E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A77" w:rsidRDefault="002C5A77" w:rsidP="002C5A77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en-ZA"/>
              </w:rPr>
            </w:pPr>
            <w:r>
              <w:rPr>
                <w:rFonts w:cs="Arial"/>
                <w:szCs w:val="24"/>
                <w:lang w:val="en-ZA"/>
              </w:rPr>
              <w:t xml:space="preserve">Both </w:t>
            </w:r>
            <w:r w:rsidRPr="00224D39">
              <w:rPr>
                <w:rFonts w:cs="Arial"/>
                <w:szCs w:val="24"/>
                <w:lang w:val="en-ZA"/>
              </w:rPr>
              <w:t>conviction</w:t>
            </w:r>
            <w:r>
              <w:rPr>
                <w:rFonts w:cs="Arial"/>
                <w:szCs w:val="24"/>
                <w:lang w:val="en-ZA"/>
              </w:rPr>
              <w:t>s</w:t>
            </w:r>
            <w:r w:rsidRPr="00224D39">
              <w:rPr>
                <w:rFonts w:cs="Arial"/>
                <w:szCs w:val="24"/>
                <w:lang w:val="en-ZA"/>
              </w:rPr>
              <w:t xml:space="preserve"> </w:t>
            </w:r>
            <w:r>
              <w:rPr>
                <w:rFonts w:cs="Arial"/>
                <w:szCs w:val="24"/>
                <w:lang w:val="en-ZA"/>
              </w:rPr>
              <w:t>are</w:t>
            </w:r>
            <w:r w:rsidRPr="00224D39">
              <w:rPr>
                <w:rFonts w:cs="Arial"/>
                <w:szCs w:val="24"/>
                <w:lang w:val="en-ZA"/>
              </w:rPr>
              <w:t xml:space="preserve"> confirmed.</w:t>
            </w:r>
          </w:p>
          <w:p w:rsidR="002C5A77" w:rsidRDefault="008B3623" w:rsidP="002C5A77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en-ZA"/>
              </w:rPr>
            </w:pPr>
            <w:r>
              <w:rPr>
                <w:rFonts w:cs="Arial"/>
                <w:szCs w:val="24"/>
                <w:lang w:val="en-ZA"/>
              </w:rPr>
              <w:t>Both sentences are confirmed but the condition of suspension in the sentence on count two is amended by inserting the words; ‘committed during the period of suspension’.</w:t>
            </w:r>
          </w:p>
          <w:p w:rsidR="002C5A77" w:rsidRPr="0096327C" w:rsidRDefault="002C5A77" w:rsidP="002C5A77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ZA"/>
              </w:rPr>
              <w:t xml:space="preserve">The sentence in count 2 thus reads; </w:t>
            </w:r>
            <w:r w:rsidRPr="00155841">
              <w:rPr>
                <w:rFonts w:cs="Arial"/>
                <w:szCs w:val="24"/>
                <w:lang w:val="en-ZA"/>
              </w:rPr>
              <w:t>the</w:t>
            </w:r>
            <w:r>
              <w:rPr>
                <w:rFonts w:cs="Arial"/>
                <w:szCs w:val="24"/>
                <w:lang w:val="en-US"/>
              </w:rPr>
              <w:t xml:space="preserve"> accused is</w:t>
            </w:r>
            <w:r w:rsidRPr="0096327C">
              <w:rPr>
                <w:rFonts w:cs="Arial"/>
                <w:szCs w:val="24"/>
                <w:lang w:val="en-US"/>
              </w:rPr>
              <w:t xml:space="preserve"> sentenced to N$1000 or 3 months’ imprisonment wholly suspended for a period of 4 years on condition that the accused is not convicted of contravening section 71(1</w:t>
            </w:r>
            <w:proofErr w:type="gramStart"/>
            <w:r w:rsidRPr="0096327C">
              <w:rPr>
                <w:rFonts w:cs="Arial"/>
                <w:szCs w:val="24"/>
                <w:lang w:val="en-US"/>
              </w:rPr>
              <w:t>)(</w:t>
            </w:r>
            <w:proofErr w:type="gramEnd"/>
            <w:r w:rsidRPr="00E1272D">
              <w:rPr>
                <w:rFonts w:cs="Arial"/>
                <w:i/>
                <w:szCs w:val="24"/>
                <w:lang w:val="en-US"/>
              </w:rPr>
              <w:t>h</w:t>
            </w:r>
            <w:r w:rsidRPr="0096327C">
              <w:rPr>
                <w:rFonts w:cs="Arial"/>
                <w:szCs w:val="24"/>
                <w:lang w:val="en-US"/>
              </w:rPr>
              <w:t>) and (</w:t>
            </w:r>
            <w:proofErr w:type="spellStart"/>
            <w:r w:rsidRPr="00E1272D">
              <w:rPr>
                <w:rFonts w:cs="Arial"/>
                <w:i/>
                <w:szCs w:val="24"/>
                <w:lang w:val="en-US"/>
              </w:rPr>
              <w:t>i</w:t>
            </w:r>
            <w:proofErr w:type="spellEnd"/>
            <w:r w:rsidRPr="0096327C">
              <w:rPr>
                <w:rFonts w:cs="Arial"/>
                <w:szCs w:val="24"/>
                <w:lang w:val="en-US"/>
              </w:rPr>
              <w:t>) read with sections 1, 57, 71(2) and 72 of the Liquor Act 6 of 1998</w:t>
            </w:r>
            <w:r>
              <w:rPr>
                <w:rFonts w:cs="Arial"/>
                <w:szCs w:val="24"/>
                <w:lang w:val="en-US"/>
              </w:rPr>
              <w:t>, committed during the period of suspension.</w:t>
            </w:r>
          </w:p>
          <w:p w:rsidR="00EB31E2" w:rsidRPr="00155841" w:rsidRDefault="00EB31E2" w:rsidP="00B76D39">
            <w:pPr>
              <w:pStyle w:val="ListParagraph"/>
              <w:rPr>
                <w:rFonts w:cs="Arial"/>
                <w:szCs w:val="24"/>
                <w:lang w:val="en-ZA"/>
              </w:rPr>
            </w:pPr>
          </w:p>
        </w:tc>
      </w:tr>
      <w:tr w:rsidR="00EB31E2" w:rsidRPr="00155841" w:rsidTr="000B79D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51E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EB31E2" w:rsidRPr="00155841" w:rsidTr="000B79D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lastRenderedPageBreak/>
              <w:t xml:space="preserve">January J ( concurring </w:t>
            </w:r>
            <w:r w:rsidR="00166240">
              <w:rPr>
                <w:rFonts w:ascii="Arial" w:hAnsi="Arial" w:cs="Arial"/>
                <w:sz w:val="24"/>
                <w:szCs w:val="24"/>
              </w:rPr>
              <w:t>Usiku</w:t>
            </w:r>
            <w:r w:rsidR="00B76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41">
              <w:rPr>
                <w:rFonts w:ascii="Arial" w:hAnsi="Arial" w:cs="Arial"/>
                <w:sz w:val="24"/>
                <w:szCs w:val="24"/>
              </w:rPr>
              <w:t>J)</w:t>
            </w: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[1]      The case was submitted from the </w:t>
            </w:r>
            <w:r>
              <w:rPr>
                <w:rFonts w:ascii="Arial" w:hAnsi="Arial" w:cs="Arial"/>
                <w:sz w:val="24"/>
                <w:szCs w:val="24"/>
              </w:rPr>
              <w:t xml:space="preserve">Usakos </w:t>
            </w:r>
            <w:r w:rsidRPr="00155841">
              <w:rPr>
                <w:rFonts w:ascii="Arial" w:hAnsi="Arial" w:cs="Arial"/>
                <w:sz w:val="24"/>
                <w:szCs w:val="24"/>
              </w:rPr>
              <w:t>Magistrate’s Court for automatic review pursuant to s 302(1) of the Criminal Procedure Act 51 of 1977 (the CPA</w:t>
            </w:r>
            <w:bookmarkStart w:id="0" w:name="_GoBack"/>
            <w:bookmarkEnd w:id="0"/>
            <w:r w:rsidRPr="0015584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166240" w:rsidRPr="00155841" w:rsidRDefault="00166240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240" w:rsidRDefault="00EB31E2" w:rsidP="000B79D8">
            <w:pPr>
              <w:tabs>
                <w:tab w:val="left" w:pos="851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[2]    </w:t>
            </w:r>
            <w:r>
              <w:rPr>
                <w:rFonts w:ascii="Arial" w:hAnsi="Arial" w:cs="Arial"/>
                <w:sz w:val="24"/>
                <w:szCs w:val="24"/>
              </w:rPr>
              <w:t>The accused was charged with malicious damage to property and drunk and disorderly con</w:t>
            </w:r>
            <w:r w:rsidR="00166240">
              <w:rPr>
                <w:rFonts w:ascii="Arial" w:hAnsi="Arial" w:cs="Arial"/>
                <w:sz w:val="24"/>
                <w:szCs w:val="24"/>
              </w:rPr>
              <w:t>duct in contravention of s</w:t>
            </w:r>
            <w:r>
              <w:rPr>
                <w:rFonts w:ascii="Arial" w:hAnsi="Arial" w:cs="Arial"/>
                <w:sz w:val="24"/>
                <w:szCs w:val="24"/>
              </w:rPr>
              <w:t xml:space="preserve"> 71(1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Pr="00957368">
              <w:rPr>
                <w:rFonts w:ascii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) and (</w:t>
            </w:r>
            <w:proofErr w:type="spellStart"/>
            <w:r w:rsidRPr="00957368">
              <w:rPr>
                <w:rFonts w:ascii="Arial" w:hAnsi="Arial" w:cs="Arial"/>
                <w:i/>
                <w:sz w:val="24"/>
                <w:szCs w:val="24"/>
              </w:rPr>
              <w:t>i</w:t>
            </w:r>
            <w:proofErr w:type="spellEnd"/>
            <w:r w:rsidRPr="00957368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read with sections 1, 57, 71(2) and 72 of the Liquor Act 6 of 1998.</w:t>
            </w:r>
          </w:p>
          <w:p w:rsidR="0088751E" w:rsidRPr="00155841" w:rsidRDefault="0088751E" w:rsidP="000B79D8">
            <w:pPr>
              <w:tabs>
                <w:tab w:val="left" w:pos="851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Default="00EB31E2" w:rsidP="0088751E">
            <w:pPr>
              <w:tabs>
                <w:tab w:val="left" w:pos="851"/>
              </w:tabs>
              <w:spacing w:line="360" w:lineRule="auto"/>
              <w:ind w:left="-18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[3]   The accused pleaded </w:t>
            </w:r>
            <w:r w:rsidR="00357EBA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Pr="00155841">
              <w:rPr>
                <w:rFonts w:ascii="Arial" w:hAnsi="Arial" w:cs="Arial"/>
                <w:sz w:val="24"/>
                <w:szCs w:val="24"/>
              </w:rPr>
              <w:t>guilty</w:t>
            </w:r>
            <w:r w:rsidR="00357EBA">
              <w:rPr>
                <w:rFonts w:ascii="Arial" w:hAnsi="Arial" w:cs="Arial"/>
                <w:sz w:val="24"/>
                <w:szCs w:val="24"/>
              </w:rPr>
              <w:t xml:space="preserve"> to both counts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5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EBA">
              <w:rPr>
                <w:rFonts w:ascii="Arial" w:hAnsi="Arial" w:cs="Arial"/>
                <w:sz w:val="24"/>
                <w:szCs w:val="24"/>
              </w:rPr>
              <w:t>Evidence was presented and the accused was convicted on both charges</w:t>
            </w:r>
            <w:r w:rsidRPr="0015584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We have no qualms with the conviction</w:t>
            </w:r>
            <w:r w:rsidR="00357EB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 The accused was sentenced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 on count</w:t>
            </w:r>
            <w:r w:rsidR="0095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F37">
              <w:rPr>
                <w:rFonts w:ascii="Arial" w:hAnsi="Arial" w:cs="Arial"/>
                <w:sz w:val="24"/>
                <w:szCs w:val="24"/>
              </w:rPr>
              <w:t>1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3E5">
              <w:rPr>
                <w:rFonts w:ascii="Arial" w:hAnsi="Arial" w:cs="Arial"/>
                <w:sz w:val="24"/>
                <w:szCs w:val="24"/>
              </w:rPr>
              <w:t>N$3000 or 6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months’ imprisonment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 of which N$1000 or 3 months’ is suspended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period of </w:t>
            </w:r>
            <w:r w:rsidR="00CD63E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 on condition that the accused is not convicted of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 the crime of malicious damage to property,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committed d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uring the period of suspension. On count 2, he was sentenced to N$1000 or 3 months’ imprisonment wholly </w:t>
            </w:r>
            <w:r w:rsidR="0096327C">
              <w:rPr>
                <w:rFonts w:ascii="Arial" w:hAnsi="Arial" w:cs="Arial"/>
                <w:sz w:val="24"/>
                <w:szCs w:val="24"/>
              </w:rPr>
              <w:t xml:space="preserve">suspended 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for a period of 4 years on condition that the accused is not convicted of </w:t>
            </w:r>
            <w:r w:rsidR="00166240">
              <w:rPr>
                <w:rFonts w:ascii="Arial" w:hAnsi="Arial" w:cs="Arial"/>
                <w:sz w:val="24"/>
                <w:szCs w:val="24"/>
              </w:rPr>
              <w:t>contravening s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 71(1</w:t>
            </w:r>
            <w:proofErr w:type="gramStart"/>
            <w:r w:rsidR="00CD63E5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="00CD63E5" w:rsidRPr="00957368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CD63E5">
              <w:rPr>
                <w:rFonts w:ascii="Arial" w:hAnsi="Arial" w:cs="Arial"/>
                <w:sz w:val="24"/>
                <w:szCs w:val="24"/>
              </w:rPr>
              <w:t>) and (</w:t>
            </w:r>
            <w:proofErr w:type="spellStart"/>
            <w:r w:rsidR="00CD63E5" w:rsidRPr="00957368">
              <w:rPr>
                <w:rFonts w:ascii="Arial" w:hAnsi="Arial" w:cs="Arial"/>
                <w:i/>
                <w:sz w:val="24"/>
                <w:szCs w:val="24"/>
              </w:rPr>
              <w:t>i</w:t>
            </w:r>
            <w:proofErr w:type="spellEnd"/>
            <w:r w:rsidR="00CD63E5">
              <w:rPr>
                <w:rFonts w:ascii="Arial" w:hAnsi="Arial" w:cs="Arial"/>
                <w:sz w:val="24"/>
                <w:szCs w:val="24"/>
              </w:rPr>
              <w:t>) read with sections 1, 57, 71(2) and 72 of the Liquor Act 6 of 1998.</w:t>
            </w:r>
          </w:p>
          <w:p w:rsidR="00166240" w:rsidRPr="00155841" w:rsidRDefault="00166240" w:rsidP="000B79D8">
            <w:pPr>
              <w:tabs>
                <w:tab w:val="left" w:pos="851"/>
              </w:tabs>
              <w:spacing w:before="240" w:line="360" w:lineRule="auto"/>
              <w:ind w:left="-18" w:firstLine="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Default="00EB31E2" w:rsidP="000B79D8">
            <w:pPr>
              <w:tabs>
                <w:tab w:val="left" w:pos="851"/>
              </w:tabs>
              <w:spacing w:before="240"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 [4]     </w:t>
            </w:r>
            <w:r w:rsidRPr="0088751E">
              <w:rPr>
                <w:rFonts w:ascii="Arial" w:hAnsi="Arial" w:cs="Arial"/>
                <w:sz w:val="24"/>
                <w:szCs w:val="24"/>
              </w:rPr>
              <w:t>A query was directed to the magistrate in the following terms:</w:t>
            </w:r>
          </w:p>
          <w:p w:rsidR="0088751E" w:rsidRDefault="0088751E" w:rsidP="00887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51E" w:rsidRPr="0088751E" w:rsidRDefault="0088751E" w:rsidP="008875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957368" w:rsidRPr="0088751E">
              <w:rPr>
                <w:rFonts w:ascii="Arial" w:hAnsi="Arial" w:cs="Arial"/>
              </w:rPr>
              <w:t>‘</w:t>
            </w:r>
            <w:r w:rsidR="00CD63E5" w:rsidRPr="0088751E">
              <w:rPr>
                <w:rFonts w:ascii="Arial" w:hAnsi="Arial" w:cs="Arial"/>
              </w:rPr>
              <w:t xml:space="preserve">The magistrate must please explain with reference to case </w:t>
            </w:r>
            <w:r w:rsidRPr="0088751E">
              <w:rPr>
                <w:rFonts w:ascii="Arial" w:hAnsi="Arial" w:cs="Arial"/>
              </w:rPr>
              <w:t>law whether or not the sentence</w:t>
            </w:r>
          </w:p>
          <w:p w:rsidR="00EB31E2" w:rsidRPr="0088751E" w:rsidRDefault="00CD63E5" w:rsidP="0088751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8751E">
              <w:rPr>
                <w:rFonts w:ascii="Arial" w:hAnsi="Arial" w:cs="Arial"/>
              </w:rPr>
              <w:t>on</w:t>
            </w:r>
            <w:proofErr w:type="gramEnd"/>
            <w:r w:rsidRPr="0088751E">
              <w:rPr>
                <w:rFonts w:ascii="Arial" w:hAnsi="Arial" w:cs="Arial"/>
              </w:rPr>
              <w:t xml:space="preserve"> count two is a competent sentence where the condition, ‘committed during the per</w:t>
            </w:r>
            <w:r w:rsidR="00957368" w:rsidRPr="0088751E">
              <w:rPr>
                <w:rFonts w:ascii="Arial" w:hAnsi="Arial" w:cs="Arial"/>
              </w:rPr>
              <w:t>iod of suspension’, is omitted.’</w:t>
            </w:r>
          </w:p>
          <w:p w:rsidR="00EB31E2" w:rsidRPr="00672DB2" w:rsidRDefault="00EB31E2" w:rsidP="00CD63E5">
            <w:pPr>
              <w:pStyle w:val="ListParagraph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EB31E2" w:rsidRDefault="00EB31E2" w:rsidP="000B79D8">
            <w:pPr>
              <w:tabs>
                <w:tab w:val="left" w:pos="851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 [5]     The magistrate</w:t>
            </w:r>
            <w:r w:rsidR="00B76D39">
              <w:rPr>
                <w:rFonts w:ascii="Arial" w:hAnsi="Arial" w:cs="Arial"/>
                <w:sz w:val="24"/>
                <w:szCs w:val="24"/>
              </w:rPr>
              <w:t>, for reasons unknown to this court, simply ignored to respond to the directive to refer to case law. However, she</w:t>
            </w:r>
            <w:r w:rsidRPr="00155841">
              <w:rPr>
                <w:rFonts w:ascii="Arial" w:hAnsi="Arial" w:cs="Arial"/>
                <w:sz w:val="24"/>
                <w:szCs w:val="24"/>
              </w:rPr>
              <w:t xml:space="preserve"> responded </w:t>
            </w:r>
            <w:r w:rsidR="00501471">
              <w:rPr>
                <w:rFonts w:ascii="Arial" w:hAnsi="Arial" w:cs="Arial"/>
                <w:sz w:val="24"/>
                <w:szCs w:val="24"/>
              </w:rPr>
              <w:t xml:space="preserve">that the omission was as a result of her mistake when typing the sentence and that her intention was to include the words </w:t>
            </w:r>
            <w:r w:rsidR="00501471" w:rsidRPr="00E1272D">
              <w:rPr>
                <w:rFonts w:ascii="Arial" w:hAnsi="Arial" w:cs="Arial"/>
              </w:rPr>
              <w:t>‘</w:t>
            </w:r>
            <w:r w:rsidR="00501471" w:rsidRPr="00EB7CC7">
              <w:rPr>
                <w:rFonts w:ascii="Arial" w:hAnsi="Arial" w:cs="Arial"/>
                <w:sz w:val="24"/>
                <w:szCs w:val="24"/>
              </w:rPr>
              <w:t xml:space="preserve">committed during the period of suspension’ as she did in the sentence on count 1. She </w:t>
            </w:r>
            <w:r w:rsidR="00501471" w:rsidRPr="00EB7CC7">
              <w:rPr>
                <w:rFonts w:ascii="Arial" w:hAnsi="Arial" w:cs="Arial"/>
                <w:sz w:val="24"/>
                <w:szCs w:val="24"/>
              </w:rPr>
              <w:lastRenderedPageBreak/>
              <w:t>accordingly concedes that the sentence needs to be corrected.</w:t>
            </w:r>
            <w:r w:rsidR="00E1272D" w:rsidRPr="00EB7CC7"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EB31E2" w:rsidRPr="00155841" w:rsidRDefault="00EB31E2" w:rsidP="000B79D8">
            <w:pPr>
              <w:widowControl w:val="0"/>
              <w:spacing w:line="360" w:lineRule="auto"/>
              <w:ind w:left="720"/>
              <w:contextualSpacing/>
              <w:jc w:val="both"/>
              <w:rPr>
                <w:rFonts w:ascii="Arial" w:eastAsia="Times New Roman" w:hAnsi="Arial" w:cs="Arial"/>
                <w:spacing w:val="-3"/>
                <w:sz w:val="24"/>
                <w:szCs w:val="20"/>
              </w:rPr>
            </w:pPr>
          </w:p>
          <w:p w:rsidR="00EB31E2" w:rsidRDefault="00EB31E2" w:rsidP="005014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[6]    </w:t>
            </w:r>
            <w:r>
              <w:rPr>
                <w:rFonts w:ascii="Arial" w:hAnsi="Arial" w:cs="Arial"/>
                <w:sz w:val="24"/>
                <w:szCs w:val="24"/>
              </w:rPr>
              <w:t>The concession</w:t>
            </w:r>
            <w:r w:rsidR="009F3BBF">
              <w:rPr>
                <w:rFonts w:ascii="Arial" w:hAnsi="Arial" w:cs="Arial"/>
                <w:sz w:val="24"/>
                <w:szCs w:val="24"/>
              </w:rPr>
              <w:t xml:space="preserve"> made </w:t>
            </w:r>
            <w:r>
              <w:rPr>
                <w:rFonts w:ascii="Arial" w:hAnsi="Arial" w:cs="Arial"/>
                <w:sz w:val="24"/>
                <w:szCs w:val="24"/>
              </w:rPr>
              <w:t xml:space="preserve">by the magistrate is correct. </w:t>
            </w:r>
            <w:proofErr w:type="gramStart"/>
            <w:r w:rsidR="00501471">
              <w:rPr>
                <w:rFonts w:ascii="Arial" w:hAnsi="Arial" w:cs="Arial"/>
                <w:sz w:val="24"/>
                <w:szCs w:val="24"/>
              </w:rPr>
              <w:t>It,</w:t>
            </w:r>
            <w:proofErr w:type="gramEnd"/>
            <w:r w:rsidR="00501471">
              <w:rPr>
                <w:rFonts w:ascii="Arial" w:hAnsi="Arial" w:cs="Arial"/>
                <w:sz w:val="24"/>
                <w:szCs w:val="24"/>
              </w:rPr>
              <w:t xml:space="preserve"> however needs to be re-</w:t>
            </w:r>
            <w:r w:rsidR="00B76D39">
              <w:rPr>
                <w:rFonts w:ascii="Arial" w:hAnsi="Arial" w:cs="Arial"/>
                <w:sz w:val="24"/>
                <w:szCs w:val="24"/>
              </w:rPr>
              <w:t>emphasised</w:t>
            </w:r>
            <w:r w:rsidR="00501471">
              <w:rPr>
                <w:rFonts w:ascii="Arial" w:hAnsi="Arial" w:cs="Arial"/>
                <w:sz w:val="24"/>
                <w:szCs w:val="24"/>
              </w:rPr>
              <w:t xml:space="preserve"> that magistrates have to proofread records submitted for review</w:t>
            </w:r>
            <w:r w:rsidR="0096327C">
              <w:rPr>
                <w:rFonts w:ascii="Arial" w:hAnsi="Arial" w:cs="Arial"/>
                <w:sz w:val="24"/>
                <w:szCs w:val="24"/>
              </w:rPr>
              <w:t xml:space="preserve"> and even during proceedings to curb these types of unnecessary mistakes.</w:t>
            </w:r>
            <w:r w:rsidR="00B76D39">
              <w:rPr>
                <w:rFonts w:ascii="Arial" w:hAnsi="Arial" w:cs="Arial"/>
                <w:sz w:val="24"/>
                <w:szCs w:val="24"/>
              </w:rPr>
              <w:t xml:space="preserve"> Queries need to be responded to in accordance with the directives as requested.</w:t>
            </w:r>
          </w:p>
          <w:p w:rsidR="00166240" w:rsidRDefault="00166240" w:rsidP="005014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2E5A" w:rsidRPr="00422E5A" w:rsidRDefault="00B76D39" w:rsidP="00422E5A">
            <w:pPr>
              <w:spacing w:before="240" w:line="360" w:lineRule="auto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[7]       </w:t>
            </w:r>
            <w:r w:rsidR="00422E5A" w:rsidRPr="00422E5A">
              <w:rPr>
                <w:rFonts w:ascii="Arial" w:hAnsi="Arial" w:cs="Arial"/>
                <w:sz w:val="24"/>
                <w:szCs w:val="24"/>
              </w:rPr>
              <w:t>This court has on numerous occasions</w:t>
            </w:r>
            <w:r w:rsidR="00422E5A" w:rsidRPr="00422E5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="00422E5A" w:rsidRPr="00422E5A">
              <w:rPr>
                <w:rFonts w:ascii="Arial" w:hAnsi="Arial" w:cs="Arial"/>
                <w:sz w:val="24"/>
                <w:szCs w:val="24"/>
              </w:rPr>
              <w:t xml:space="preserve"> in the past directed that it is imperative that the phrase</w:t>
            </w:r>
            <w:r w:rsidR="00422E5A" w:rsidRPr="00422E5A">
              <w:rPr>
                <w:rFonts w:ascii="Arial" w:hAnsi="Arial" w:cs="Arial"/>
                <w:i/>
                <w:sz w:val="24"/>
                <w:szCs w:val="24"/>
              </w:rPr>
              <w:t xml:space="preserve"> ‘</w:t>
            </w:r>
            <w:r w:rsidR="00422E5A" w:rsidRPr="00422E5A">
              <w:rPr>
                <w:rFonts w:ascii="Arial" w:hAnsi="Arial" w:cs="Arial"/>
                <w:i/>
              </w:rPr>
              <w:t xml:space="preserve">committed during the period of </w:t>
            </w:r>
            <w:r w:rsidR="00957368" w:rsidRPr="00422E5A">
              <w:rPr>
                <w:rFonts w:ascii="Arial" w:hAnsi="Arial" w:cs="Arial"/>
                <w:i/>
              </w:rPr>
              <w:t>suspen</w:t>
            </w:r>
            <w:r w:rsidR="00957368">
              <w:rPr>
                <w:rFonts w:ascii="Arial" w:hAnsi="Arial" w:cs="Arial"/>
                <w:i/>
              </w:rPr>
              <w:t>s</w:t>
            </w:r>
            <w:r w:rsidR="00957368" w:rsidRPr="00422E5A">
              <w:rPr>
                <w:rFonts w:ascii="Arial" w:hAnsi="Arial" w:cs="Arial"/>
                <w:i/>
              </w:rPr>
              <w:t>ion</w:t>
            </w:r>
            <w:r w:rsidR="00422E5A" w:rsidRPr="00422E5A">
              <w:rPr>
                <w:rFonts w:ascii="Arial" w:hAnsi="Arial" w:cs="Arial"/>
                <w:i/>
              </w:rPr>
              <w:t>’</w:t>
            </w:r>
            <w:r w:rsidR="00422E5A" w:rsidRPr="00422E5A">
              <w:rPr>
                <w:rFonts w:ascii="Arial" w:hAnsi="Arial" w:cs="Arial"/>
                <w:sz w:val="24"/>
                <w:szCs w:val="24"/>
              </w:rPr>
              <w:t xml:space="preserve"> must be included when sentences are suspended. It is an imperative condition otherwise the sentence is incomplete.</w:t>
            </w:r>
          </w:p>
          <w:p w:rsidR="00422E5A" w:rsidRPr="0088751E" w:rsidRDefault="0088751E" w:rsidP="0088751E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88751E">
              <w:rPr>
                <w:rFonts w:ascii="Arial" w:hAnsi="Arial" w:cs="Arial"/>
              </w:rPr>
              <w:t xml:space="preserve"> </w:t>
            </w:r>
            <w:r w:rsidR="00422E5A" w:rsidRPr="0088751E">
              <w:rPr>
                <w:rFonts w:ascii="Arial" w:hAnsi="Arial" w:cs="Arial"/>
              </w:rPr>
              <w:t xml:space="preserve"> ‘The oversight by the magistrate on the formulation of one of </w:t>
            </w:r>
            <w:r w:rsidRPr="0088751E">
              <w:rPr>
                <w:rFonts w:ascii="Arial" w:hAnsi="Arial" w:cs="Arial"/>
              </w:rPr>
              <w:t xml:space="preserve">the conditions of suspension is </w:t>
            </w:r>
            <w:r w:rsidR="00422E5A" w:rsidRPr="0088751E">
              <w:rPr>
                <w:rFonts w:ascii="Arial" w:hAnsi="Arial" w:cs="Arial"/>
              </w:rPr>
              <w:t>elementary and should have been guarded against; more so where this court in the past has delivered a number of similar judgments in cases where the same mistake has repeatedly been made.’</w:t>
            </w:r>
            <w:r w:rsidR="00422E5A" w:rsidRPr="0088751E">
              <w:rPr>
                <w:rFonts w:ascii="Arial" w:hAnsi="Arial" w:cs="Arial"/>
                <w:vertAlign w:val="superscript"/>
              </w:rPr>
              <w:footnoteReference w:id="2"/>
            </w:r>
          </w:p>
          <w:p w:rsidR="00EB31E2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Default="00422E5A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[8</w:t>
            </w:r>
            <w:r w:rsidR="00EB31E2">
              <w:rPr>
                <w:rFonts w:ascii="Arial" w:hAnsi="Arial" w:cs="Arial"/>
                <w:sz w:val="24"/>
                <w:szCs w:val="24"/>
              </w:rPr>
              <w:t>]     In the result:</w:t>
            </w:r>
          </w:p>
          <w:p w:rsidR="0088751E" w:rsidRDefault="0088751E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Default="0096327C" w:rsidP="0088751E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  <w:lang w:val="en-ZA"/>
              </w:rPr>
            </w:pPr>
            <w:r w:rsidRPr="00B76D39">
              <w:rPr>
                <w:rFonts w:cs="Arial"/>
                <w:szCs w:val="24"/>
                <w:lang w:val="en-ZA"/>
              </w:rPr>
              <w:t xml:space="preserve">Both </w:t>
            </w:r>
            <w:r w:rsidR="00EB31E2" w:rsidRPr="00B76D39">
              <w:rPr>
                <w:rFonts w:cs="Arial"/>
                <w:szCs w:val="24"/>
                <w:lang w:val="en-ZA"/>
              </w:rPr>
              <w:t>conviction</w:t>
            </w:r>
            <w:r w:rsidRPr="00B76D39">
              <w:rPr>
                <w:rFonts w:cs="Arial"/>
                <w:szCs w:val="24"/>
                <w:lang w:val="en-ZA"/>
              </w:rPr>
              <w:t>s</w:t>
            </w:r>
            <w:r w:rsidR="00EB31E2" w:rsidRPr="00B76D39">
              <w:rPr>
                <w:rFonts w:cs="Arial"/>
                <w:szCs w:val="24"/>
                <w:lang w:val="en-ZA"/>
              </w:rPr>
              <w:t xml:space="preserve"> </w:t>
            </w:r>
            <w:r w:rsidRPr="00B76D39">
              <w:rPr>
                <w:rFonts w:cs="Arial"/>
                <w:szCs w:val="24"/>
                <w:lang w:val="en-ZA"/>
              </w:rPr>
              <w:t>are</w:t>
            </w:r>
            <w:r w:rsidR="00EB31E2" w:rsidRPr="00B76D39">
              <w:rPr>
                <w:rFonts w:cs="Arial"/>
                <w:szCs w:val="24"/>
                <w:lang w:val="en-ZA"/>
              </w:rPr>
              <w:t xml:space="preserve"> confirmed.</w:t>
            </w:r>
          </w:p>
          <w:p w:rsidR="0088751E" w:rsidRDefault="0088751E" w:rsidP="0088751E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  <w:lang w:val="en-ZA"/>
              </w:rPr>
            </w:pPr>
            <w:r>
              <w:rPr>
                <w:rFonts w:cs="Arial"/>
                <w:szCs w:val="24"/>
                <w:lang w:val="en-ZA"/>
              </w:rPr>
              <w:t>Both sentences are confirmed but the condition of suspension in the sentence on count two is amended by inserting the words; ‘committed during the period of suspension’.</w:t>
            </w:r>
          </w:p>
          <w:p w:rsidR="0096327C" w:rsidRPr="00B76D39" w:rsidRDefault="0096327C" w:rsidP="0088751E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  <w:lang w:val="en-ZA"/>
              </w:rPr>
            </w:pPr>
            <w:r w:rsidRPr="00B76D39">
              <w:rPr>
                <w:rFonts w:cs="Arial"/>
                <w:szCs w:val="24"/>
                <w:lang w:val="en-ZA"/>
              </w:rPr>
              <w:t>The sentence in count 2 thus reads; the</w:t>
            </w:r>
            <w:r w:rsidRPr="00B76D39">
              <w:rPr>
                <w:rFonts w:cs="Arial"/>
                <w:szCs w:val="24"/>
                <w:lang w:val="en-US"/>
              </w:rPr>
              <w:t xml:space="preserve"> accused is sentenced to N$1000 or 3 months’ imprisonment wholly suspended for a period of 4 years on condition that the </w:t>
            </w:r>
            <w:r w:rsidRPr="00B76D39">
              <w:rPr>
                <w:rFonts w:cs="Arial"/>
                <w:szCs w:val="24"/>
                <w:lang w:val="en-US"/>
              </w:rPr>
              <w:lastRenderedPageBreak/>
              <w:t>accused is not convicted of contravening section 71(1</w:t>
            </w:r>
            <w:proofErr w:type="gramStart"/>
            <w:r w:rsidRPr="00B76D39">
              <w:rPr>
                <w:rFonts w:cs="Arial"/>
                <w:szCs w:val="24"/>
                <w:lang w:val="en-US"/>
              </w:rPr>
              <w:t>)(</w:t>
            </w:r>
            <w:proofErr w:type="gramEnd"/>
            <w:r w:rsidRPr="00957368">
              <w:rPr>
                <w:rFonts w:cs="Arial"/>
                <w:i/>
                <w:szCs w:val="24"/>
                <w:lang w:val="en-US"/>
              </w:rPr>
              <w:t>h</w:t>
            </w:r>
            <w:r w:rsidRPr="00B76D39">
              <w:rPr>
                <w:rFonts w:cs="Arial"/>
                <w:szCs w:val="24"/>
                <w:lang w:val="en-US"/>
              </w:rPr>
              <w:t>) and (</w:t>
            </w:r>
            <w:proofErr w:type="spellStart"/>
            <w:r w:rsidRPr="00957368">
              <w:rPr>
                <w:rFonts w:cs="Arial"/>
                <w:i/>
                <w:szCs w:val="24"/>
                <w:lang w:val="en-US"/>
              </w:rPr>
              <w:t>i</w:t>
            </w:r>
            <w:proofErr w:type="spellEnd"/>
            <w:r w:rsidRPr="00B76D39">
              <w:rPr>
                <w:rFonts w:cs="Arial"/>
                <w:szCs w:val="24"/>
                <w:lang w:val="en-US"/>
              </w:rPr>
              <w:t>) read with sections 1, 57, 71(2) and 72 of the Liquor Act 6 of 1998, committed during the period of suspension.</w:t>
            </w:r>
          </w:p>
          <w:p w:rsidR="00EB31E2" w:rsidRPr="00155841" w:rsidRDefault="00EB31E2" w:rsidP="0096327C">
            <w:pPr>
              <w:pStyle w:val="ListParagraph"/>
              <w:rPr>
                <w:rFonts w:cs="Arial"/>
                <w:szCs w:val="24"/>
                <w:lang w:val="en-ZA"/>
              </w:rPr>
            </w:pPr>
          </w:p>
        </w:tc>
      </w:tr>
      <w:tr w:rsidR="00EB31E2" w:rsidRPr="00155841" w:rsidTr="000B79D8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ind w:left="-18" w:firstLine="1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5584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    </w:t>
            </w:r>
          </w:p>
          <w:p w:rsidR="00EB31E2" w:rsidRPr="00155841" w:rsidRDefault="00EB31E2" w:rsidP="000B79D8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B31E2" w:rsidRPr="00155841" w:rsidRDefault="00EB31E2" w:rsidP="000B79D8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B31E2" w:rsidRPr="00155841" w:rsidTr="000B79D8">
        <w:trPr>
          <w:trHeight w:val="82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55841">
              <w:rPr>
                <w:rFonts w:ascii="Arial Narrow" w:hAnsi="Arial Narrow" w:cs="Arial"/>
                <w:b/>
                <w:sz w:val="24"/>
                <w:szCs w:val="24"/>
              </w:rPr>
              <w:t>H C JANUARY</w:t>
            </w:r>
          </w:p>
          <w:p w:rsidR="00EB31E2" w:rsidRPr="00155841" w:rsidRDefault="00EB31E2" w:rsidP="000B79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55841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166240" w:rsidP="000B79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 USIKU</w:t>
            </w:r>
          </w:p>
          <w:p w:rsidR="00EB31E2" w:rsidRPr="00155841" w:rsidRDefault="00EB31E2" w:rsidP="000B79D8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55841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</w:tr>
    </w:tbl>
    <w:p w:rsidR="00030BF7" w:rsidRPr="00EB31E2" w:rsidRDefault="00030BF7" w:rsidP="00492344">
      <w:pPr>
        <w:rPr>
          <w:rFonts w:ascii="Arial" w:hAnsi="Arial" w:cs="Arial"/>
          <w:sz w:val="24"/>
          <w:szCs w:val="24"/>
        </w:rPr>
      </w:pPr>
    </w:p>
    <w:sectPr w:rsidR="00030BF7" w:rsidRPr="00EB31E2" w:rsidSect="00030BF7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86" w:rsidRDefault="00FC3086" w:rsidP="00422E5A">
      <w:pPr>
        <w:spacing w:after="0" w:line="240" w:lineRule="auto"/>
      </w:pPr>
      <w:r>
        <w:separator/>
      </w:r>
    </w:p>
  </w:endnote>
  <w:endnote w:type="continuationSeparator" w:id="0">
    <w:p w:rsidR="00FC3086" w:rsidRDefault="00FC3086" w:rsidP="004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86" w:rsidRDefault="00FC3086" w:rsidP="00422E5A">
      <w:pPr>
        <w:spacing w:after="0" w:line="240" w:lineRule="auto"/>
      </w:pPr>
      <w:r>
        <w:separator/>
      </w:r>
    </w:p>
  </w:footnote>
  <w:footnote w:type="continuationSeparator" w:id="0">
    <w:p w:rsidR="00FC3086" w:rsidRDefault="00FC3086" w:rsidP="00422E5A">
      <w:pPr>
        <w:spacing w:after="0" w:line="240" w:lineRule="auto"/>
      </w:pPr>
      <w:r>
        <w:continuationSeparator/>
      </w:r>
    </w:p>
  </w:footnote>
  <w:footnote w:id="1">
    <w:p w:rsidR="00422E5A" w:rsidRPr="00435596" w:rsidRDefault="00422E5A" w:rsidP="00422E5A">
      <w:pPr>
        <w:spacing w:after="0" w:line="360" w:lineRule="auto"/>
        <w:jc w:val="both"/>
      </w:pPr>
      <w:r>
        <w:rPr>
          <w:rStyle w:val="FootnoteReference"/>
        </w:rPr>
        <w:footnoteRef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52A00">
        <w:rPr>
          <w:rFonts w:ascii="Arial" w:hAnsi="Arial" w:cs="Arial"/>
          <w:sz w:val="20"/>
          <w:szCs w:val="20"/>
        </w:rPr>
        <w:t>See:</w:t>
      </w:r>
      <w:r w:rsidR="0088751E">
        <w:rPr>
          <w:rFonts w:ascii="Arial" w:hAnsi="Arial" w:cs="Arial"/>
          <w:sz w:val="20"/>
          <w:szCs w:val="20"/>
        </w:rPr>
        <w:t xml:space="preserve"> </w:t>
      </w:r>
      <w:r w:rsidRPr="00435596">
        <w:rPr>
          <w:rFonts w:ascii="Arial" w:hAnsi="Arial" w:cs="Arial"/>
          <w:i/>
          <w:sz w:val="20"/>
          <w:szCs w:val="20"/>
        </w:rPr>
        <w:t xml:space="preserve">S v Brandt </w:t>
      </w:r>
      <w:r w:rsidRPr="00435596">
        <w:rPr>
          <w:rFonts w:ascii="Arial" w:hAnsi="Arial" w:cs="Arial"/>
          <w:sz w:val="20"/>
          <w:szCs w:val="20"/>
        </w:rPr>
        <w:t>(CR 9/2014) [2014] NAHCMD 70 (4 March 2014)</w:t>
      </w:r>
      <w:r>
        <w:t xml:space="preserve">; </w:t>
      </w:r>
      <w:r w:rsidRPr="00435596">
        <w:rPr>
          <w:rFonts w:ascii="Arial" w:hAnsi="Arial" w:cs="Arial"/>
          <w:i/>
          <w:sz w:val="20"/>
          <w:szCs w:val="20"/>
        </w:rPr>
        <w:t xml:space="preserve">State v Goagoseb </w:t>
      </w:r>
      <w:r w:rsidRPr="00435596">
        <w:rPr>
          <w:rFonts w:ascii="Arial" w:hAnsi="Arial" w:cs="Arial"/>
          <w:sz w:val="20"/>
          <w:szCs w:val="20"/>
        </w:rPr>
        <w:t>(CR 12/2016) [2016] NAHCMD 53 (03 March 2016)</w:t>
      </w:r>
      <w:r>
        <w:rPr>
          <w:rFonts w:ascii="Arial" w:hAnsi="Arial" w:cs="Arial"/>
        </w:rPr>
        <w:t xml:space="preserve">; </w:t>
      </w:r>
      <w:r w:rsidRPr="00435596">
        <w:rPr>
          <w:rFonts w:ascii="Arial" w:hAnsi="Arial" w:cs="Arial"/>
          <w:i/>
          <w:sz w:val="20"/>
          <w:szCs w:val="20"/>
        </w:rPr>
        <w:t xml:space="preserve">State v Coleman </w:t>
      </w:r>
      <w:r w:rsidRPr="00435596">
        <w:rPr>
          <w:rFonts w:ascii="Arial" w:hAnsi="Arial" w:cs="Arial"/>
          <w:sz w:val="20"/>
          <w:szCs w:val="20"/>
        </w:rPr>
        <w:t>(CR 02/2016) [2016] NAHCMD 10 (27 January 2016)</w:t>
      </w:r>
      <w:r>
        <w:rPr>
          <w:rFonts w:ascii="Arial" w:hAnsi="Arial" w:cs="Arial"/>
        </w:rPr>
        <w:t xml:space="preserve">; </w:t>
      </w:r>
      <w:r w:rsidRPr="00557E79">
        <w:rPr>
          <w:rFonts w:ascii="Arial" w:hAnsi="Arial" w:cs="Arial"/>
          <w:i/>
          <w:sz w:val="20"/>
          <w:szCs w:val="20"/>
          <w:lang w:val="en-GB"/>
        </w:rPr>
        <w:t xml:space="preserve">S v Farmer </w:t>
      </w:r>
      <w:r w:rsidRPr="00557E79">
        <w:rPr>
          <w:rFonts w:ascii="Arial" w:hAnsi="Arial" w:cs="Arial"/>
          <w:sz w:val="20"/>
          <w:szCs w:val="20"/>
          <w:lang w:val="en-GB"/>
        </w:rPr>
        <w:t>(CR 64/2014) [2014] NAHCMD 328 (5 November 2014)</w:t>
      </w:r>
      <w:r>
        <w:rPr>
          <w:rFonts w:ascii="Arial" w:hAnsi="Arial" w:cs="Arial"/>
          <w:sz w:val="20"/>
          <w:szCs w:val="20"/>
          <w:lang w:val="en-GB"/>
        </w:rPr>
        <w:t xml:space="preserve">; </w:t>
      </w:r>
      <w:r w:rsidRPr="00557E79">
        <w:rPr>
          <w:rFonts w:ascii="Arial" w:hAnsi="Arial" w:cs="Arial"/>
          <w:i/>
          <w:sz w:val="20"/>
          <w:szCs w:val="20"/>
        </w:rPr>
        <w:t xml:space="preserve">S v Paula </w:t>
      </w:r>
      <w:r w:rsidRPr="00557E79">
        <w:rPr>
          <w:rFonts w:ascii="Arial" w:hAnsi="Arial" w:cs="Arial"/>
          <w:sz w:val="20"/>
          <w:szCs w:val="20"/>
        </w:rPr>
        <w:t>(CR 19/2020) [2020] NAHCNLD 45 (20 April 2020)</w:t>
      </w:r>
      <w:r>
        <w:rPr>
          <w:rFonts w:ascii="Arial" w:hAnsi="Arial" w:cs="Arial"/>
          <w:sz w:val="20"/>
          <w:szCs w:val="20"/>
        </w:rPr>
        <w:t xml:space="preserve">; </w:t>
      </w:r>
      <w:r w:rsidRPr="00557E79">
        <w:rPr>
          <w:rFonts w:ascii="Arial" w:hAnsi="Arial" w:cs="Arial"/>
          <w:i/>
          <w:sz w:val="20"/>
          <w:szCs w:val="20"/>
        </w:rPr>
        <w:t xml:space="preserve">S v Siua </w:t>
      </w:r>
      <w:r w:rsidRPr="00557E79">
        <w:rPr>
          <w:rFonts w:ascii="Arial" w:hAnsi="Arial" w:cs="Arial"/>
          <w:sz w:val="20"/>
          <w:szCs w:val="20"/>
        </w:rPr>
        <w:t>(CR 21/2020) [2020] NAHCNLD 47 (20 April 2020)</w:t>
      </w:r>
      <w:r w:rsidR="00166240">
        <w:rPr>
          <w:rFonts w:ascii="Arial" w:hAnsi="Arial" w:cs="Arial"/>
          <w:sz w:val="20"/>
          <w:szCs w:val="20"/>
        </w:rPr>
        <w:t>.</w:t>
      </w:r>
    </w:p>
  </w:footnote>
  <w:footnote w:id="2">
    <w:p w:rsidR="00422E5A" w:rsidRDefault="00422E5A" w:rsidP="00422E5A">
      <w:pPr>
        <w:spacing w:line="360" w:lineRule="auto"/>
      </w:pPr>
      <w:r w:rsidRPr="00557E79">
        <w:rPr>
          <w:rStyle w:val="FootnoteReference"/>
          <w:rFonts w:ascii="Arial" w:hAnsi="Arial" w:cs="Arial"/>
        </w:rPr>
        <w:footnoteRef/>
      </w:r>
      <w:r w:rsidRPr="00557E79">
        <w:rPr>
          <w:rFonts w:ascii="Arial" w:hAnsi="Arial" w:cs="Arial"/>
          <w:sz w:val="20"/>
          <w:szCs w:val="20"/>
        </w:rPr>
        <w:t xml:space="preserve">  See: </w:t>
      </w:r>
      <w:r w:rsidRPr="00557E79">
        <w:rPr>
          <w:rFonts w:ascii="Arial" w:hAnsi="Arial" w:cs="Arial"/>
          <w:i/>
          <w:sz w:val="20"/>
          <w:szCs w:val="20"/>
        </w:rPr>
        <w:t xml:space="preserve">State v Geinub </w:t>
      </w:r>
      <w:r w:rsidRPr="00557E79">
        <w:rPr>
          <w:rFonts w:ascii="Arial" w:hAnsi="Arial" w:cs="Arial"/>
          <w:sz w:val="20"/>
          <w:szCs w:val="20"/>
        </w:rPr>
        <w:t>(CR 31/2016) [2016] NAHCMD 94 (06 April 2016)</w:t>
      </w:r>
      <w:r w:rsidR="00166240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78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0BF7" w:rsidRDefault="00030B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E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0BF7" w:rsidRDefault="00030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2F5"/>
    <w:multiLevelType w:val="hybridMultilevel"/>
    <w:tmpl w:val="775A3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43E2"/>
    <w:multiLevelType w:val="hybridMultilevel"/>
    <w:tmpl w:val="04D4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1BC2"/>
    <w:multiLevelType w:val="hybridMultilevel"/>
    <w:tmpl w:val="23087442"/>
    <w:lvl w:ilvl="0" w:tplc="8B28DD8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5DB9"/>
    <w:multiLevelType w:val="hybridMultilevel"/>
    <w:tmpl w:val="A67C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72B8"/>
    <w:multiLevelType w:val="hybridMultilevel"/>
    <w:tmpl w:val="AF3C0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E2"/>
    <w:rsid w:val="00030BF7"/>
    <w:rsid w:val="000333D6"/>
    <w:rsid w:val="00114760"/>
    <w:rsid w:val="00166240"/>
    <w:rsid w:val="001D7331"/>
    <w:rsid w:val="00250019"/>
    <w:rsid w:val="00251F37"/>
    <w:rsid w:val="00277848"/>
    <w:rsid w:val="002B323F"/>
    <w:rsid w:val="002C5A77"/>
    <w:rsid w:val="00357EBA"/>
    <w:rsid w:val="003E33CC"/>
    <w:rsid w:val="00420E1D"/>
    <w:rsid w:val="00422E5A"/>
    <w:rsid w:val="00446E99"/>
    <w:rsid w:val="00492344"/>
    <w:rsid w:val="004E0A20"/>
    <w:rsid w:val="00501471"/>
    <w:rsid w:val="00703F68"/>
    <w:rsid w:val="0084553D"/>
    <w:rsid w:val="0088751E"/>
    <w:rsid w:val="0089734D"/>
    <w:rsid w:val="008B3623"/>
    <w:rsid w:val="008E1FA5"/>
    <w:rsid w:val="008E3457"/>
    <w:rsid w:val="00957368"/>
    <w:rsid w:val="0096327C"/>
    <w:rsid w:val="00991A05"/>
    <w:rsid w:val="009F3BBF"/>
    <w:rsid w:val="00B76D39"/>
    <w:rsid w:val="00BA5B7C"/>
    <w:rsid w:val="00BC402A"/>
    <w:rsid w:val="00C02FE0"/>
    <w:rsid w:val="00CD63E5"/>
    <w:rsid w:val="00CF2AAA"/>
    <w:rsid w:val="00D23F2D"/>
    <w:rsid w:val="00D80D42"/>
    <w:rsid w:val="00DC7250"/>
    <w:rsid w:val="00E1272D"/>
    <w:rsid w:val="00E72703"/>
    <w:rsid w:val="00EB31E2"/>
    <w:rsid w:val="00EB7CC7"/>
    <w:rsid w:val="00EF191E"/>
    <w:rsid w:val="00F1038B"/>
    <w:rsid w:val="00F46690"/>
    <w:rsid w:val="00FC308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1E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1E2"/>
    <w:pPr>
      <w:widowControl w:val="0"/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pacing w:val="-3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F7"/>
  </w:style>
  <w:style w:type="paragraph" w:styleId="Footer">
    <w:name w:val="footer"/>
    <w:basedOn w:val="Normal"/>
    <w:link w:val="FooterChar"/>
    <w:uiPriority w:val="99"/>
    <w:unhideWhenUsed/>
    <w:rsid w:val="0003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1E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1E2"/>
    <w:pPr>
      <w:widowControl w:val="0"/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pacing w:val="-3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F7"/>
  </w:style>
  <w:style w:type="paragraph" w:styleId="Footer">
    <w:name w:val="footer"/>
    <w:basedOn w:val="Normal"/>
    <w:link w:val="FooterChar"/>
    <w:uiPriority w:val="99"/>
    <w:unhideWhenUsed/>
    <w:rsid w:val="0003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2023-04-12T18:30:00+00:00</Judgment_x0020_Date>
  </documentManagement>
</p:properties>
</file>

<file path=customXml/itemProps1.xml><?xml version="1.0" encoding="utf-8"?>
<ds:datastoreItem xmlns:ds="http://schemas.openxmlformats.org/officeDocument/2006/customXml" ds:itemID="{DF3E1D47-2976-4A88-A235-222572719B6E}"/>
</file>

<file path=customXml/itemProps2.xml><?xml version="1.0" encoding="utf-8"?>
<ds:datastoreItem xmlns:ds="http://schemas.openxmlformats.org/officeDocument/2006/customXml" ds:itemID="{2593CEFA-FE05-46F9-AABF-C9A2E146DFDA}"/>
</file>

<file path=customXml/itemProps3.xml><?xml version="1.0" encoding="utf-8"?>
<ds:datastoreItem xmlns:ds="http://schemas.openxmlformats.org/officeDocument/2006/customXml" ds:itemID="{2B32CB79-AEC5-40D3-BC4A-B07771473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Gariseb (CR 135-2022) [2022] NAHCMD 139 (13 April 2023)</dc:title>
  <dc:creator>Herman C. January</dc:creator>
  <cp:lastModifiedBy>Michelle N. Ullrich</cp:lastModifiedBy>
  <cp:revision>3</cp:revision>
  <cp:lastPrinted>2023-04-13T07:09:00Z</cp:lastPrinted>
  <dcterms:created xsi:type="dcterms:W3CDTF">2023-04-06T10:17:00Z</dcterms:created>
  <dcterms:modified xsi:type="dcterms:W3CDTF">2023-04-13T08:27:00Z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