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522D" w14:textId="77777777" w:rsidR="00806722" w:rsidRPr="00806722" w:rsidRDefault="00806722" w:rsidP="00806722">
      <w:pPr>
        <w:jc w:val="center"/>
        <w:rPr>
          <w:rFonts w:ascii="Arial" w:eastAsia="Times New Roman" w:hAnsi="Arial" w:cs="Arial"/>
          <w:b/>
          <w:sz w:val="24"/>
          <w:szCs w:val="24"/>
          <w:lang w:val="en-US"/>
        </w:rPr>
      </w:pPr>
      <w:r w:rsidRPr="00806722">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4140ED03" wp14:editId="72D155F7">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14:paraId="5CF9AB69" w14:textId="77777777" w:rsidR="00806722" w:rsidRPr="000A0FD8" w:rsidRDefault="00806722" w:rsidP="00806722">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0ED03"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14:paraId="5CF9AB69" w14:textId="77777777" w:rsidR="00806722" w:rsidRPr="000A0FD8" w:rsidRDefault="00806722" w:rsidP="00806722">
                      <w:pPr>
                        <w:jc w:val="right"/>
                        <w:rPr>
                          <w:b/>
                        </w:rPr>
                      </w:pPr>
                    </w:p>
                  </w:txbxContent>
                </v:textbox>
                <w10:wrap anchorx="margin"/>
              </v:shape>
            </w:pict>
          </mc:Fallback>
        </mc:AlternateContent>
      </w:r>
      <w:r w:rsidRPr="00806722">
        <w:rPr>
          <w:rFonts w:ascii="Arial" w:eastAsia="Times New Roman" w:hAnsi="Arial" w:cs="Arial"/>
          <w:b/>
          <w:sz w:val="24"/>
          <w:szCs w:val="24"/>
          <w:lang w:val="en-US"/>
        </w:rPr>
        <w:t>REPUBLIC OF NAMIBIA</w:t>
      </w:r>
    </w:p>
    <w:p w14:paraId="1BC07393" w14:textId="77777777" w:rsidR="00806722" w:rsidRPr="00806722" w:rsidRDefault="00806722" w:rsidP="00806722">
      <w:pPr>
        <w:jc w:val="left"/>
        <w:rPr>
          <w:rFonts w:ascii="Arial" w:eastAsia="Times New Roman" w:hAnsi="Arial" w:cs="Arial"/>
          <w:b/>
          <w:sz w:val="24"/>
          <w:szCs w:val="24"/>
          <w:lang w:val="en-US"/>
        </w:rPr>
      </w:pPr>
      <w:r w:rsidRPr="00806722">
        <w:rPr>
          <w:rFonts w:ascii="Arial" w:eastAsia="Times New Roman" w:hAnsi="Arial" w:cs="Arial"/>
          <w:noProof/>
          <w:sz w:val="24"/>
          <w:szCs w:val="24"/>
          <w:lang w:val="en-US"/>
        </w:rPr>
        <w:drawing>
          <wp:anchor distT="0" distB="0" distL="114300" distR="114300" simplePos="0" relativeHeight="251660288" behindDoc="0" locked="0" layoutInCell="1" allowOverlap="1" wp14:anchorId="63DBE8AD" wp14:editId="067A301C">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E7F1B" w14:textId="77777777" w:rsidR="00806722" w:rsidRPr="00806722" w:rsidRDefault="00806722" w:rsidP="00806722">
      <w:pPr>
        <w:jc w:val="left"/>
        <w:rPr>
          <w:rFonts w:ascii="Arial" w:eastAsia="Times New Roman" w:hAnsi="Arial" w:cs="Arial"/>
          <w:b/>
          <w:sz w:val="24"/>
          <w:szCs w:val="24"/>
          <w:lang w:val="en-US"/>
        </w:rPr>
      </w:pPr>
    </w:p>
    <w:p w14:paraId="49FF0B32" w14:textId="77777777" w:rsidR="00806722" w:rsidRPr="00806722" w:rsidRDefault="00806722" w:rsidP="00806722">
      <w:pPr>
        <w:jc w:val="left"/>
        <w:rPr>
          <w:rFonts w:ascii="Arial" w:eastAsia="Times New Roman" w:hAnsi="Arial" w:cs="Arial"/>
          <w:b/>
          <w:sz w:val="24"/>
          <w:szCs w:val="24"/>
          <w:lang w:val="en-US"/>
        </w:rPr>
      </w:pPr>
    </w:p>
    <w:p w14:paraId="585D5594" w14:textId="77777777" w:rsidR="00806722" w:rsidRPr="00806722" w:rsidRDefault="00806722" w:rsidP="00806722">
      <w:pPr>
        <w:jc w:val="left"/>
        <w:rPr>
          <w:rFonts w:ascii="Arial" w:eastAsia="Times New Roman" w:hAnsi="Arial" w:cs="Arial"/>
          <w:b/>
          <w:sz w:val="24"/>
          <w:szCs w:val="24"/>
          <w:lang w:val="en-US"/>
        </w:rPr>
      </w:pPr>
    </w:p>
    <w:p w14:paraId="0FA8F57F" w14:textId="77777777" w:rsidR="00806722" w:rsidRPr="00806722" w:rsidRDefault="00806722" w:rsidP="00806722">
      <w:pPr>
        <w:jc w:val="left"/>
        <w:rPr>
          <w:rFonts w:ascii="Arial" w:eastAsia="Times New Roman" w:hAnsi="Arial" w:cs="Arial"/>
          <w:b/>
          <w:sz w:val="24"/>
          <w:szCs w:val="24"/>
          <w:lang w:val="en-US"/>
        </w:rPr>
      </w:pPr>
    </w:p>
    <w:p w14:paraId="5FDEBDBC" w14:textId="77777777" w:rsidR="00806722" w:rsidRPr="00806722" w:rsidRDefault="00806722" w:rsidP="00806722">
      <w:pPr>
        <w:jc w:val="center"/>
        <w:rPr>
          <w:rFonts w:ascii="Arial" w:eastAsia="Times New Roman" w:hAnsi="Arial" w:cs="Arial"/>
          <w:b/>
          <w:sz w:val="24"/>
          <w:szCs w:val="24"/>
          <w:lang w:val="en-US"/>
        </w:rPr>
      </w:pPr>
    </w:p>
    <w:p w14:paraId="7F21C2C3" w14:textId="77777777" w:rsidR="00806722" w:rsidRPr="00806722" w:rsidRDefault="00806722" w:rsidP="00806722">
      <w:pPr>
        <w:jc w:val="left"/>
        <w:rPr>
          <w:rFonts w:ascii="Arial" w:eastAsia="Times New Roman" w:hAnsi="Arial" w:cs="Arial"/>
          <w:b/>
          <w:sz w:val="24"/>
          <w:szCs w:val="24"/>
          <w:lang w:val="en-US"/>
        </w:rPr>
      </w:pPr>
      <w:r w:rsidRPr="00806722">
        <w:rPr>
          <w:rFonts w:ascii="Arial" w:eastAsia="Times New Roman" w:hAnsi="Arial" w:cs="Arial"/>
          <w:b/>
          <w:sz w:val="24"/>
          <w:szCs w:val="24"/>
          <w:lang w:val="en-US"/>
        </w:rPr>
        <w:t xml:space="preserve">                   IN THE HIGH COURT OF NAMIBIA, MAIN DIVISION, WINDHOEK</w:t>
      </w:r>
    </w:p>
    <w:p w14:paraId="3BC145B5" w14:textId="66E6E307" w:rsidR="00806722" w:rsidRPr="00806722" w:rsidRDefault="007C2DBB" w:rsidP="009D0E8F">
      <w:pPr>
        <w:jc w:val="center"/>
        <w:rPr>
          <w:rFonts w:ascii="Arial" w:hAnsi="Arial" w:cs="Arial"/>
          <w:sz w:val="24"/>
          <w:szCs w:val="24"/>
          <w:lang w:val="en-US"/>
        </w:rPr>
      </w:pPr>
      <w:bookmarkStart w:id="0" w:name="_GoBack"/>
      <w:bookmarkEnd w:id="0"/>
      <w:r>
        <w:rPr>
          <w:rFonts w:ascii="Arial" w:eastAsia="Times New Roman" w:hAnsi="Arial" w:cs="Arial"/>
          <w:b/>
          <w:sz w:val="24"/>
          <w:szCs w:val="24"/>
          <w:lang w:val="en-US"/>
        </w:rPr>
        <w:t>RULING</w:t>
      </w:r>
      <w:r w:rsidR="003642C3">
        <w:rPr>
          <w:rFonts w:ascii="Arial" w:eastAsia="Times New Roman" w:hAnsi="Arial" w:cs="Arial"/>
          <w:b/>
          <w:sz w:val="24"/>
          <w:szCs w:val="24"/>
          <w:lang w:val="en-US"/>
        </w:rPr>
        <w:t>: APPLICATION R</w:t>
      </w:r>
      <w:r w:rsidR="009D0E8F">
        <w:rPr>
          <w:rFonts w:ascii="Arial" w:eastAsia="Times New Roman" w:hAnsi="Arial" w:cs="Arial"/>
          <w:b/>
          <w:sz w:val="24"/>
          <w:szCs w:val="24"/>
          <w:lang w:val="en-US"/>
        </w:rPr>
        <w:t>ULE</w:t>
      </w:r>
      <w:r w:rsidR="003642C3">
        <w:rPr>
          <w:rFonts w:ascii="Arial" w:eastAsia="Times New Roman" w:hAnsi="Arial" w:cs="Arial"/>
          <w:b/>
          <w:sz w:val="24"/>
          <w:szCs w:val="24"/>
          <w:lang w:val="en-US"/>
        </w:rPr>
        <w:t xml:space="preserve"> 108</w:t>
      </w:r>
    </w:p>
    <w:tbl>
      <w:tblPr>
        <w:tblStyle w:val="TableGrid"/>
        <w:tblW w:w="10193" w:type="dxa"/>
        <w:tblInd w:w="-275" w:type="dxa"/>
        <w:tblLook w:val="04A0" w:firstRow="1" w:lastRow="0" w:firstColumn="1" w:lastColumn="0" w:noHBand="0" w:noVBand="1"/>
      </w:tblPr>
      <w:tblGrid>
        <w:gridCol w:w="4770"/>
        <w:gridCol w:w="627"/>
        <w:gridCol w:w="4796"/>
      </w:tblGrid>
      <w:tr w:rsidR="00806722" w:rsidRPr="00806722" w14:paraId="17C8FFA1" w14:textId="77777777" w:rsidTr="00303078">
        <w:trPr>
          <w:trHeight w:val="744"/>
        </w:trPr>
        <w:tc>
          <w:tcPr>
            <w:tcW w:w="5397" w:type="dxa"/>
            <w:gridSpan w:val="2"/>
            <w:vMerge w:val="restart"/>
          </w:tcPr>
          <w:p w14:paraId="009C146A" w14:textId="77777777" w:rsidR="00806722" w:rsidRPr="00806722" w:rsidRDefault="00806722" w:rsidP="00806722">
            <w:pPr>
              <w:spacing w:after="160"/>
              <w:rPr>
                <w:rFonts w:ascii="Arial" w:hAnsi="Arial" w:cs="Arial"/>
                <w:sz w:val="24"/>
                <w:szCs w:val="24"/>
                <w:lang w:val="en-US"/>
              </w:rPr>
            </w:pPr>
            <w:r w:rsidRPr="00806722">
              <w:rPr>
                <w:rFonts w:ascii="Arial" w:hAnsi="Arial" w:cs="Arial"/>
                <w:b/>
                <w:sz w:val="24"/>
                <w:szCs w:val="24"/>
                <w:lang w:val="en-US"/>
              </w:rPr>
              <w:t>Case Title:</w:t>
            </w:r>
          </w:p>
          <w:p w14:paraId="7EC7C9F2" w14:textId="68E47EB4" w:rsidR="00A927F8" w:rsidRDefault="003642C3" w:rsidP="00806722">
            <w:pPr>
              <w:spacing w:after="160"/>
              <w:rPr>
                <w:rFonts w:ascii="Arial" w:hAnsi="Arial" w:cs="Arial"/>
                <w:sz w:val="24"/>
                <w:szCs w:val="24"/>
                <w:lang w:val="en-US"/>
              </w:rPr>
            </w:pPr>
            <w:proofErr w:type="spellStart"/>
            <w:r>
              <w:rPr>
                <w:rFonts w:ascii="Arial" w:eastAsia="Times New Roman" w:hAnsi="Arial" w:cs="Arial"/>
                <w:sz w:val="24"/>
                <w:szCs w:val="24"/>
              </w:rPr>
              <w:t>Kambwa</w:t>
            </w:r>
            <w:proofErr w:type="spellEnd"/>
            <w:r>
              <w:rPr>
                <w:rFonts w:ascii="Arial" w:eastAsia="Times New Roman" w:hAnsi="Arial" w:cs="Arial"/>
                <w:sz w:val="24"/>
                <w:szCs w:val="24"/>
              </w:rPr>
              <w:t xml:space="preserve"> Trading CC                             Applicant</w:t>
            </w:r>
          </w:p>
          <w:p w14:paraId="519B45E5" w14:textId="77777777" w:rsidR="00806722" w:rsidRPr="00806722" w:rsidRDefault="00806722" w:rsidP="00806722">
            <w:pPr>
              <w:spacing w:after="160"/>
              <w:rPr>
                <w:rFonts w:ascii="Arial" w:hAnsi="Arial" w:cs="Arial"/>
                <w:sz w:val="24"/>
                <w:szCs w:val="24"/>
                <w:lang w:val="en-US"/>
              </w:rPr>
            </w:pPr>
            <w:r w:rsidRPr="00806722">
              <w:rPr>
                <w:rFonts w:ascii="Arial" w:hAnsi="Arial" w:cs="Arial"/>
                <w:sz w:val="24"/>
                <w:szCs w:val="24"/>
                <w:lang w:val="en-US"/>
              </w:rPr>
              <w:t>v</w:t>
            </w:r>
          </w:p>
          <w:p w14:paraId="1C1751C0" w14:textId="77777777" w:rsidR="003642C3" w:rsidRDefault="003642C3" w:rsidP="00A927F8">
            <w:pPr>
              <w:shd w:val="clear" w:color="auto" w:fill="FFFFFF"/>
              <w:rPr>
                <w:rFonts w:ascii="Arial" w:eastAsia="Times New Roman" w:hAnsi="Arial" w:cs="Arial"/>
                <w:sz w:val="24"/>
                <w:szCs w:val="24"/>
              </w:rPr>
            </w:pPr>
            <w:r>
              <w:rPr>
                <w:rFonts w:ascii="Arial" w:eastAsia="Times New Roman" w:hAnsi="Arial" w:cs="Arial"/>
                <w:sz w:val="24"/>
                <w:szCs w:val="24"/>
              </w:rPr>
              <w:t xml:space="preserve">Valued Electrical Construction CC </w:t>
            </w:r>
          </w:p>
          <w:p w14:paraId="4CD546AB" w14:textId="0A7A3FD5" w:rsidR="00A927F8" w:rsidRDefault="003642C3" w:rsidP="00A927F8">
            <w:pPr>
              <w:shd w:val="clear" w:color="auto" w:fill="FFFFFF"/>
              <w:rPr>
                <w:rFonts w:ascii="Arial" w:eastAsia="Times New Roman" w:hAnsi="Arial" w:cs="Arial"/>
                <w:sz w:val="24"/>
                <w:szCs w:val="24"/>
              </w:rPr>
            </w:pPr>
            <w:r>
              <w:rPr>
                <w:rFonts w:ascii="Arial" w:eastAsia="Times New Roman" w:hAnsi="Arial" w:cs="Arial"/>
                <w:sz w:val="24"/>
                <w:szCs w:val="24"/>
              </w:rPr>
              <w:t xml:space="preserve">                                                   1</w:t>
            </w:r>
            <w:r w:rsidRPr="003642C3">
              <w:rPr>
                <w:rFonts w:ascii="Arial" w:eastAsia="Times New Roman" w:hAnsi="Arial" w:cs="Arial"/>
                <w:sz w:val="24"/>
                <w:szCs w:val="24"/>
                <w:vertAlign w:val="superscript"/>
              </w:rPr>
              <w:t>st</w:t>
            </w:r>
            <w:r>
              <w:rPr>
                <w:rFonts w:ascii="Arial" w:eastAsia="Times New Roman" w:hAnsi="Arial" w:cs="Arial"/>
                <w:sz w:val="24"/>
                <w:szCs w:val="24"/>
                <w:vertAlign w:val="superscript"/>
              </w:rPr>
              <w:t xml:space="preserve"> </w:t>
            </w:r>
            <w:r>
              <w:rPr>
                <w:rFonts w:ascii="Arial" w:eastAsia="Times New Roman" w:hAnsi="Arial" w:cs="Arial"/>
                <w:sz w:val="24"/>
                <w:szCs w:val="24"/>
              </w:rPr>
              <w:t xml:space="preserve">  Respondent</w:t>
            </w:r>
          </w:p>
          <w:p w14:paraId="65F9CDB6" w14:textId="33C37C7E" w:rsidR="003642C3" w:rsidRPr="00A927F8" w:rsidRDefault="003642C3" w:rsidP="00A927F8">
            <w:pPr>
              <w:shd w:val="clear" w:color="auto" w:fill="FFFFFF"/>
              <w:rPr>
                <w:rFonts w:ascii="Arial" w:eastAsia="Times New Roman" w:hAnsi="Arial" w:cs="Arial"/>
                <w:sz w:val="24"/>
                <w:szCs w:val="24"/>
              </w:rPr>
            </w:pPr>
            <w:r>
              <w:rPr>
                <w:rFonts w:ascii="Arial" w:eastAsia="Times New Roman" w:hAnsi="Arial" w:cs="Arial"/>
                <w:sz w:val="24"/>
                <w:szCs w:val="24"/>
              </w:rPr>
              <w:t xml:space="preserve">Paulus </w:t>
            </w:r>
            <w:proofErr w:type="spellStart"/>
            <w:r>
              <w:rPr>
                <w:rFonts w:ascii="Arial" w:eastAsia="Times New Roman" w:hAnsi="Arial" w:cs="Arial"/>
                <w:sz w:val="24"/>
                <w:szCs w:val="24"/>
              </w:rPr>
              <w:t>Henock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Dumeni</w:t>
            </w:r>
            <w:proofErr w:type="spellEnd"/>
            <w:r>
              <w:rPr>
                <w:rFonts w:ascii="Arial" w:eastAsia="Times New Roman" w:hAnsi="Arial" w:cs="Arial"/>
                <w:sz w:val="24"/>
                <w:szCs w:val="24"/>
              </w:rPr>
              <w:t xml:space="preserve">              2</w:t>
            </w:r>
            <w:r w:rsidRPr="003642C3">
              <w:rPr>
                <w:rFonts w:ascii="Arial" w:eastAsia="Times New Roman" w:hAnsi="Arial" w:cs="Arial"/>
                <w:sz w:val="24"/>
                <w:szCs w:val="24"/>
                <w:vertAlign w:val="superscript"/>
              </w:rPr>
              <w:t>nd</w:t>
            </w:r>
            <w:r>
              <w:rPr>
                <w:rFonts w:ascii="Arial" w:eastAsia="Times New Roman" w:hAnsi="Arial" w:cs="Arial"/>
                <w:sz w:val="24"/>
                <w:szCs w:val="24"/>
                <w:vertAlign w:val="superscript"/>
              </w:rPr>
              <w:t xml:space="preserve">  </w:t>
            </w:r>
            <w:r>
              <w:rPr>
                <w:rFonts w:ascii="Arial" w:eastAsia="Times New Roman" w:hAnsi="Arial" w:cs="Arial"/>
                <w:sz w:val="24"/>
                <w:szCs w:val="24"/>
              </w:rPr>
              <w:t>Respondent</w:t>
            </w:r>
          </w:p>
          <w:p w14:paraId="2D04FE37" w14:textId="77777777" w:rsidR="00806722" w:rsidRPr="00806722" w:rsidRDefault="00806722" w:rsidP="00806722">
            <w:pPr>
              <w:spacing w:after="160"/>
              <w:rPr>
                <w:rFonts w:ascii="Arial" w:hAnsi="Arial" w:cs="Arial"/>
                <w:sz w:val="24"/>
                <w:szCs w:val="24"/>
                <w:lang w:val="en-US"/>
              </w:rPr>
            </w:pPr>
          </w:p>
        </w:tc>
        <w:tc>
          <w:tcPr>
            <w:tcW w:w="4796" w:type="dxa"/>
          </w:tcPr>
          <w:p w14:paraId="339953A1" w14:textId="77777777" w:rsidR="00806722" w:rsidRPr="00806722" w:rsidRDefault="00806722" w:rsidP="00806722">
            <w:pPr>
              <w:spacing w:after="160"/>
              <w:rPr>
                <w:rFonts w:ascii="Arial" w:hAnsi="Arial" w:cs="Arial"/>
                <w:sz w:val="24"/>
                <w:szCs w:val="24"/>
                <w:lang w:val="en-US"/>
              </w:rPr>
            </w:pPr>
            <w:r w:rsidRPr="00806722">
              <w:rPr>
                <w:rFonts w:ascii="Arial" w:hAnsi="Arial" w:cs="Arial"/>
                <w:b/>
                <w:sz w:val="24"/>
                <w:szCs w:val="24"/>
                <w:lang w:val="en-US"/>
              </w:rPr>
              <w:t>Case No:</w:t>
            </w:r>
          </w:p>
          <w:p w14:paraId="1C2A248D" w14:textId="1E2BD684" w:rsidR="00806722" w:rsidRPr="00806722" w:rsidRDefault="00A927F8" w:rsidP="003642C3">
            <w:pPr>
              <w:spacing w:after="160"/>
              <w:rPr>
                <w:rFonts w:ascii="Arial" w:hAnsi="Arial" w:cs="Arial"/>
                <w:sz w:val="24"/>
                <w:szCs w:val="24"/>
                <w:lang w:val="en-US"/>
              </w:rPr>
            </w:pPr>
            <w:r w:rsidRPr="00A927F8">
              <w:rPr>
                <w:rFonts w:ascii="Arial" w:hAnsi="Arial" w:cs="Arial"/>
                <w:sz w:val="24"/>
                <w:szCs w:val="24"/>
              </w:rPr>
              <w:t>HC-MD-CIV-</w:t>
            </w:r>
            <w:r w:rsidR="003642C3">
              <w:rPr>
                <w:rFonts w:ascii="Arial" w:hAnsi="Arial" w:cs="Arial"/>
                <w:sz w:val="24"/>
                <w:szCs w:val="24"/>
              </w:rPr>
              <w:t>ACT</w:t>
            </w:r>
            <w:r w:rsidRPr="00A927F8">
              <w:rPr>
                <w:rFonts w:ascii="Arial" w:hAnsi="Arial" w:cs="Arial"/>
                <w:sz w:val="24"/>
                <w:szCs w:val="24"/>
              </w:rPr>
              <w:t>-</w:t>
            </w:r>
            <w:r w:rsidR="003642C3">
              <w:rPr>
                <w:rFonts w:ascii="Arial" w:hAnsi="Arial" w:cs="Arial"/>
                <w:sz w:val="24"/>
                <w:szCs w:val="24"/>
              </w:rPr>
              <w:t>OTH</w:t>
            </w:r>
            <w:r w:rsidRPr="00A927F8">
              <w:rPr>
                <w:rFonts w:ascii="Arial" w:hAnsi="Arial" w:cs="Arial"/>
                <w:sz w:val="24"/>
                <w:szCs w:val="24"/>
              </w:rPr>
              <w:t>-2019/0</w:t>
            </w:r>
            <w:r w:rsidR="003642C3">
              <w:rPr>
                <w:rFonts w:ascii="Arial" w:hAnsi="Arial" w:cs="Arial"/>
                <w:sz w:val="24"/>
                <w:szCs w:val="24"/>
              </w:rPr>
              <w:t>3313</w:t>
            </w:r>
          </w:p>
        </w:tc>
      </w:tr>
      <w:tr w:rsidR="00806722" w:rsidRPr="00806722" w14:paraId="051BBCC0" w14:textId="77777777" w:rsidTr="00303078">
        <w:trPr>
          <w:trHeight w:val="844"/>
        </w:trPr>
        <w:tc>
          <w:tcPr>
            <w:tcW w:w="5397" w:type="dxa"/>
            <w:gridSpan w:val="2"/>
            <w:vMerge/>
          </w:tcPr>
          <w:p w14:paraId="15038521" w14:textId="77777777" w:rsidR="00806722" w:rsidRPr="00806722" w:rsidRDefault="00806722" w:rsidP="00806722">
            <w:pPr>
              <w:spacing w:after="160"/>
              <w:rPr>
                <w:rFonts w:ascii="Arial" w:hAnsi="Arial" w:cs="Arial"/>
                <w:sz w:val="24"/>
                <w:szCs w:val="24"/>
                <w:lang w:val="en-US"/>
              </w:rPr>
            </w:pPr>
          </w:p>
        </w:tc>
        <w:tc>
          <w:tcPr>
            <w:tcW w:w="4796" w:type="dxa"/>
          </w:tcPr>
          <w:p w14:paraId="4316FAF6" w14:textId="77777777" w:rsidR="00806722" w:rsidRPr="00806722" w:rsidRDefault="00806722" w:rsidP="00806722">
            <w:pPr>
              <w:spacing w:after="160"/>
              <w:rPr>
                <w:rFonts w:ascii="Arial" w:hAnsi="Arial" w:cs="Arial"/>
                <w:sz w:val="24"/>
                <w:szCs w:val="24"/>
                <w:lang w:val="en-US"/>
              </w:rPr>
            </w:pPr>
            <w:r w:rsidRPr="00806722">
              <w:rPr>
                <w:rFonts w:ascii="Arial" w:hAnsi="Arial" w:cs="Arial"/>
                <w:b/>
                <w:sz w:val="24"/>
                <w:szCs w:val="24"/>
                <w:lang w:val="en-US"/>
              </w:rPr>
              <w:t>Division of Court:</w:t>
            </w:r>
          </w:p>
          <w:p w14:paraId="63A67D24" w14:textId="77777777" w:rsidR="00806722" w:rsidRPr="00806722" w:rsidRDefault="00806722" w:rsidP="00806722">
            <w:pPr>
              <w:spacing w:after="160"/>
              <w:rPr>
                <w:rFonts w:ascii="Arial" w:hAnsi="Arial" w:cs="Arial"/>
                <w:sz w:val="24"/>
                <w:szCs w:val="24"/>
                <w:lang w:val="en-US"/>
              </w:rPr>
            </w:pPr>
            <w:r w:rsidRPr="00806722">
              <w:rPr>
                <w:rFonts w:ascii="Arial" w:hAnsi="Arial" w:cs="Arial"/>
                <w:sz w:val="24"/>
                <w:szCs w:val="24"/>
                <w:lang w:val="en-US"/>
              </w:rPr>
              <w:t>HIGH COURT(MAIN DIVISION)</w:t>
            </w:r>
          </w:p>
        </w:tc>
      </w:tr>
      <w:tr w:rsidR="00806722" w:rsidRPr="00806722" w14:paraId="530DA58E" w14:textId="77777777" w:rsidTr="00303078">
        <w:trPr>
          <w:trHeight w:val="645"/>
        </w:trPr>
        <w:tc>
          <w:tcPr>
            <w:tcW w:w="5397" w:type="dxa"/>
            <w:gridSpan w:val="2"/>
            <w:vMerge w:val="restart"/>
          </w:tcPr>
          <w:p w14:paraId="1424D018" w14:textId="77777777" w:rsidR="00806722" w:rsidRPr="00806722" w:rsidRDefault="00461A4F" w:rsidP="00806722">
            <w:pPr>
              <w:spacing w:after="160"/>
              <w:rPr>
                <w:rFonts w:ascii="Arial" w:hAnsi="Arial" w:cs="Arial"/>
                <w:b/>
                <w:sz w:val="24"/>
                <w:szCs w:val="24"/>
                <w:lang w:val="en-US"/>
              </w:rPr>
            </w:pPr>
            <w:r>
              <w:rPr>
                <w:rFonts w:ascii="Arial" w:hAnsi="Arial" w:cs="Arial"/>
                <w:b/>
                <w:sz w:val="24"/>
                <w:szCs w:val="24"/>
                <w:lang w:val="en-US"/>
              </w:rPr>
              <w:t>Heard before:</w:t>
            </w:r>
          </w:p>
          <w:p w14:paraId="634FE0FD" w14:textId="77777777" w:rsidR="00806722" w:rsidRPr="00806722" w:rsidRDefault="00806722" w:rsidP="00806722">
            <w:pPr>
              <w:spacing w:after="160"/>
              <w:rPr>
                <w:rFonts w:ascii="Arial" w:hAnsi="Arial" w:cs="Arial"/>
                <w:sz w:val="24"/>
                <w:szCs w:val="24"/>
                <w:lang w:val="en-US"/>
              </w:rPr>
            </w:pPr>
            <w:r w:rsidRPr="00806722">
              <w:rPr>
                <w:rFonts w:ascii="Arial" w:hAnsi="Arial" w:cs="Arial"/>
                <w:sz w:val="24"/>
                <w:szCs w:val="24"/>
                <w:lang w:val="en-US"/>
              </w:rPr>
              <w:t>HONOURABLE LADY JUSTICE PRINSLOO, JUDGE</w:t>
            </w:r>
          </w:p>
        </w:tc>
        <w:tc>
          <w:tcPr>
            <w:tcW w:w="4796" w:type="dxa"/>
          </w:tcPr>
          <w:p w14:paraId="0A773390" w14:textId="77777777" w:rsidR="00806722" w:rsidRPr="00806722" w:rsidRDefault="00806722" w:rsidP="00806722">
            <w:pPr>
              <w:spacing w:after="160"/>
              <w:rPr>
                <w:rFonts w:ascii="Arial" w:hAnsi="Arial" w:cs="Arial"/>
                <w:b/>
                <w:sz w:val="24"/>
                <w:szCs w:val="24"/>
                <w:lang w:val="en-US"/>
              </w:rPr>
            </w:pPr>
            <w:r w:rsidRPr="00806722">
              <w:rPr>
                <w:rFonts w:ascii="Arial" w:hAnsi="Arial" w:cs="Arial"/>
                <w:b/>
                <w:sz w:val="24"/>
                <w:szCs w:val="24"/>
                <w:lang w:val="en-US"/>
              </w:rPr>
              <w:t>Date of hearing:</w:t>
            </w:r>
          </w:p>
          <w:p w14:paraId="1A01D323" w14:textId="5F6553B7" w:rsidR="00806722" w:rsidRPr="00806722" w:rsidRDefault="003642C3" w:rsidP="00806722">
            <w:pPr>
              <w:rPr>
                <w:rFonts w:ascii="Arial" w:hAnsi="Arial" w:cs="Arial"/>
                <w:sz w:val="24"/>
                <w:szCs w:val="24"/>
                <w:lang w:val="en-US"/>
              </w:rPr>
            </w:pPr>
            <w:r>
              <w:rPr>
                <w:rFonts w:ascii="Arial" w:hAnsi="Arial" w:cs="Arial"/>
                <w:sz w:val="24"/>
                <w:szCs w:val="24"/>
                <w:lang w:val="en-US"/>
              </w:rPr>
              <w:t>4 March 2023</w:t>
            </w:r>
          </w:p>
        </w:tc>
      </w:tr>
      <w:tr w:rsidR="00806722" w:rsidRPr="00806722" w14:paraId="035BE697" w14:textId="77777777" w:rsidTr="00303078">
        <w:trPr>
          <w:trHeight w:val="588"/>
        </w:trPr>
        <w:tc>
          <w:tcPr>
            <w:tcW w:w="5397" w:type="dxa"/>
            <w:gridSpan w:val="2"/>
            <w:vMerge/>
          </w:tcPr>
          <w:p w14:paraId="4D950922" w14:textId="77777777" w:rsidR="00806722" w:rsidRPr="00806722" w:rsidRDefault="00806722" w:rsidP="00806722">
            <w:pPr>
              <w:spacing w:after="160"/>
              <w:rPr>
                <w:rFonts w:ascii="Arial" w:hAnsi="Arial" w:cs="Arial"/>
                <w:b/>
                <w:sz w:val="24"/>
                <w:szCs w:val="24"/>
                <w:lang w:val="en-US"/>
              </w:rPr>
            </w:pPr>
          </w:p>
        </w:tc>
        <w:tc>
          <w:tcPr>
            <w:tcW w:w="4796" w:type="dxa"/>
          </w:tcPr>
          <w:p w14:paraId="698C414E" w14:textId="77777777" w:rsidR="00806722" w:rsidRPr="00806722" w:rsidRDefault="00806722" w:rsidP="00806722">
            <w:pPr>
              <w:spacing w:after="160"/>
              <w:rPr>
                <w:rFonts w:ascii="Arial" w:hAnsi="Arial" w:cs="Arial"/>
                <w:b/>
                <w:sz w:val="24"/>
                <w:szCs w:val="24"/>
                <w:lang w:val="en-US"/>
              </w:rPr>
            </w:pPr>
            <w:r w:rsidRPr="00806722">
              <w:rPr>
                <w:rFonts w:ascii="Arial" w:hAnsi="Arial" w:cs="Arial"/>
                <w:b/>
                <w:sz w:val="24"/>
                <w:szCs w:val="24"/>
                <w:lang w:val="en-US"/>
              </w:rPr>
              <w:t xml:space="preserve">Date of order: </w:t>
            </w:r>
          </w:p>
          <w:p w14:paraId="44B23303" w14:textId="211401D4" w:rsidR="00806722" w:rsidRPr="00806722" w:rsidRDefault="003642C3" w:rsidP="00806722">
            <w:pPr>
              <w:spacing w:after="160"/>
              <w:rPr>
                <w:rFonts w:ascii="Arial" w:hAnsi="Arial" w:cs="Arial"/>
                <w:b/>
                <w:sz w:val="24"/>
                <w:szCs w:val="24"/>
                <w:lang w:val="en-US"/>
              </w:rPr>
            </w:pPr>
            <w:r>
              <w:rPr>
                <w:rFonts w:ascii="Arial" w:hAnsi="Arial" w:cs="Arial"/>
                <w:sz w:val="24"/>
                <w:szCs w:val="24"/>
                <w:lang w:val="en-US"/>
              </w:rPr>
              <w:t>24 March</w:t>
            </w:r>
            <w:r w:rsidR="007B0507">
              <w:rPr>
                <w:rFonts w:ascii="Arial" w:hAnsi="Arial" w:cs="Arial"/>
                <w:sz w:val="24"/>
                <w:szCs w:val="24"/>
                <w:lang w:val="en-US"/>
              </w:rPr>
              <w:t xml:space="preserve"> 2023</w:t>
            </w:r>
          </w:p>
        </w:tc>
      </w:tr>
      <w:tr w:rsidR="00806722" w:rsidRPr="00806722" w14:paraId="07C850A1" w14:textId="77777777" w:rsidTr="00303078">
        <w:trPr>
          <w:trHeight w:val="710"/>
        </w:trPr>
        <w:tc>
          <w:tcPr>
            <w:tcW w:w="10193" w:type="dxa"/>
            <w:gridSpan w:val="3"/>
          </w:tcPr>
          <w:p w14:paraId="77A9E2ED" w14:textId="77777777" w:rsidR="00806722" w:rsidRPr="00806722" w:rsidRDefault="00806722" w:rsidP="00806722">
            <w:pPr>
              <w:shd w:val="clear" w:color="auto" w:fill="FFFFFF"/>
              <w:rPr>
                <w:rFonts w:ascii="Arial" w:eastAsia="Times New Roman" w:hAnsi="Arial" w:cs="Arial"/>
                <w:b/>
                <w:sz w:val="24"/>
                <w:szCs w:val="24"/>
                <w:lang w:val="en-US"/>
              </w:rPr>
            </w:pPr>
          </w:p>
          <w:p w14:paraId="2EEE51E3" w14:textId="13937117" w:rsidR="007B0507" w:rsidRPr="00806722" w:rsidRDefault="00806722" w:rsidP="00F46D28">
            <w:pPr>
              <w:shd w:val="clear" w:color="auto" w:fill="FFFFFF"/>
              <w:spacing w:line="360" w:lineRule="auto"/>
              <w:rPr>
                <w:rFonts w:ascii="Arial" w:hAnsi="Arial" w:cs="Arial"/>
                <w:sz w:val="24"/>
                <w:szCs w:val="24"/>
              </w:rPr>
            </w:pPr>
            <w:r w:rsidRPr="00806722">
              <w:rPr>
                <w:rFonts w:ascii="Arial" w:eastAsia="Times New Roman" w:hAnsi="Arial" w:cs="Arial"/>
                <w:b/>
                <w:sz w:val="24"/>
                <w:szCs w:val="24"/>
                <w:lang w:val="en-US"/>
              </w:rPr>
              <w:t>Neutral citation:</w:t>
            </w:r>
            <w:r w:rsidRPr="00806722">
              <w:rPr>
                <w:rFonts w:ascii="Arial" w:eastAsia="Times New Roman" w:hAnsi="Arial" w:cs="Arial"/>
                <w:sz w:val="24"/>
                <w:szCs w:val="24"/>
                <w:lang w:val="en-US"/>
              </w:rPr>
              <w:t xml:space="preserve"> </w:t>
            </w:r>
            <w:proofErr w:type="spellStart"/>
            <w:r w:rsidR="003642C3">
              <w:rPr>
                <w:rFonts w:ascii="Arial" w:eastAsia="Times New Roman" w:hAnsi="Arial" w:cs="Arial"/>
                <w:i/>
                <w:sz w:val="24"/>
                <w:szCs w:val="24"/>
              </w:rPr>
              <w:t>Kambwa</w:t>
            </w:r>
            <w:proofErr w:type="spellEnd"/>
            <w:r w:rsidR="003642C3">
              <w:rPr>
                <w:rFonts w:ascii="Arial" w:eastAsia="Times New Roman" w:hAnsi="Arial" w:cs="Arial"/>
                <w:i/>
                <w:sz w:val="24"/>
                <w:szCs w:val="24"/>
              </w:rPr>
              <w:t xml:space="preserve"> Trading CC</w:t>
            </w:r>
            <w:r w:rsidR="00A927F8" w:rsidRPr="00A927F8">
              <w:rPr>
                <w:rFonts w:ascii="Arial" w:eastAsia="Times New Roman" w:hAnsi="Arial" w:cs="Arial"/>
                <w:i/>
                <w:sz w:val="24"/>
                <w:szCs w:val="24"/>
              </w:rPr>
              <w:t xml:space="preserve"> v </w:t>
            </w:r>
            <w:r w:rsidR="003642C3">
              <w:rPr>
                <w:rFonts w:ascii="Arial" w:eastAsia="Times New Roman" w:hAnsi="Arial" w:cs="Arial"/>
                <w:i/>
                <w:sz w:val="24"/>
                <w:szCs w:val="24"/>
              </w:rPr>
              <w:t xml:space="preserve">Valued  Electrical Construction CC </w:t>
            </w:r>
            <w:r w:rsidR="00A927F8">
              <w:rPr>
                <w:rFonts w:ascii="Arial" w:eastAsia="Times New Roman" w:hAnsi="Arial" w:cs="Arial"/>
                <w:i/>
                <w:sz w:val="24"/>
                <w:szCs w:val="24"/>
              </w:rPr>
              <w:t xml:space="preserve"> </w:t>
            </w:r>
            <w:r w:rsidR="007B0507" w:rsidRPr="007B0507">
              <w:rPr>
                <w:rFonts w:ascii="Arial" w:eastAsia="Times New Roman" w:hAnsi="Arial" w:cs="Arial"/>
                <w:sz w:val="24"/>
                <w:szCs w:val="24"/>
              </w:rPr>
              <w:t>(</w:t>
            </w:r>
            <w:r w:rsidR="003642C3" w:rsidRPr="00A927F8">
              <w:rPr>
                <w:rFonts w:ascii="Arial" w:hAnsi="Arial" w:cs="Arial"/>
                <w:sz w:val="24"/>
                <w:szCs w:val="24"/>
              </w:rPr>
              <w:t>HC-MD-CIV-</w:t>
            </w:r>
            <w:r w:rsidR="003642C3">
              <w:rPr>
                <w:rFonts w:ascii="Arial" w:hAnsi="Arial" w:cs="Arial"/>
                <w:sz w:val="24"/>
                <w:szCs w:val="24"/>
              </w:rPr>
              <w:t>ACT</w:t>
            </w:r>
            <w:r w:rsidR="003642C3" w:rsidRPr="00A927F8">
              <w:rPr>
                <w:rFonts w:ascii="Arial" w:hAnsi="Arial" w:cs="Arial"/>
                <w:sz w:val="24"/>
                <w:szCs w:val="24"/>
              </w:rPr>
              <w:t>-</w:t>
            </w:r>
            <w:r w:rsidR="003642C3">
              <w:rPr>
                <w:rFonts w:ascii="Arial" w:hAnsi="Arial" w:cs="Arial"/>
                <w:sz w:val="24"/>
                <w:szCs w:val="24"/>
              </w:rPr>
              <w:t>OTH</w:t>
            </w:r>
            <w:r w:rsidR="003642C3" w:rsidRPr="00A927F8">
              <w:rPr>
                <w:rFonts w:ascii="Arial" w:hAnsi="Arial" w:cs="Arial"/>
                <w:sz w:val="24"/>
                <w:szCs w:val="24"/>
              </w:rPr>
              <w:t>-2019/0</w:t>
            </w:r>
            <w:r w:rsidR="003642C3">
              <w:rPr>
                <w:rFonts w:ascii="Arial" w:hAnsi="Arial" w:cs="Arial"/>
                <w:sz w:val="24"/>
                <w:szCs w:val="24"/>
              </w:rPr>
              <w:t>3313</w:t>
            </w:r>
            <w:r w:rsidR="00303078">
              <w:rPr>
                <w:rFonts w:ascii="Arial" w:hAnsi="Arial" w:cs="Arial"/>
                <w:sz w:val="24"/>
                <w:szCs w:val="24"/>
              </w:rPr>
              <w:t>) [</w:t>
            </w:r>
            <w:r w:rsidR="00303078" w:rsidRPr="00FE3661">
              <w:rPr>
                <w:rFonts w:ascii="Arial" w:hAnsi="Arial" w:cs="Arial"/>
                <w:sz w:val="24"/>
                <w:szCs w:val="24"/>
              </w:rPr>
              <w:t>202</w:t>
            </w:r>
            <w:r w:rsidR="003642C3">
              <w:rPr>
                <w:rFonts w:ascii="Arial" w:hAnsi="Arial" w:cs="Arial"/>
                <w:sz w:val="24"/>
                <w:szCs w:val="24"/>
              </w:rPr>
              <w:t>3</w:t>
            </w:r>
            <w:r w:rsidR="00303078" w:rsidRPr="00FE3661">
              <w:rPr>
                <w:rFonts w:ascii="Arial" w:hAnsi="Arial" w:cs="Arial"/>
                <w:sz w:val="24"/>
                <w:szCs w:val="24"/>
              </w:rPr>
              <w:t>]</w:t>
            </w:r>
            <w:r w:rsidR="00303078" w:rsidRPr="00FE3661">
              <w:rPr>
                <w:rFonts w:ascii="Arial" w:hAnsi="Arial" w:cs="Arial"/>
                <w:i/>
                <w:sz w:val="24"/>
                <w:szCs w:val="24"/>
              </w:rPr>
              <w:t xml:space="preserve"> </w:t>
            </w:r>
            <w:r w:rsidR="00303078" w:rsidRPr="00FE3661">
              <w:rPr>
                <w:rFonts w:ascii="Arial" w:hAnsi="Arial" w:cs="Arial"/>
                <w:sz w:val="24"/>
                <w:szCs w:val="24"/>
              </w:rPr>
              <w:t xml:space="preserve">NAHCMD </w:t>
            </w:r>
            <w:r w:rsidR="00F46D28">
              <w:rPr>
                <w:rFonts w:ascii="Arial" w:hAnsi="Arial" w:cs="Arial"/>
                <w:sz w:val="24"/>
                <w:szCs w:val="24"/>
              </w:rPr>
              <w:t>142</w:t>
            </w:r>
            <w:r w:rsidR="003642C3">
              <w:rPr>
                <w:rFonts w:ascii="Arial" w:hAnsi="Arial" w:cs="Arial"/>
                <w:sz w:val="24"/>
                <w:szCs w:val="24"/>
              </w:rPr>
              <w:t xml:space="preserve"> (</w:t>
            </w:r>
            <w:r w:rsidR="00303078">
              <w:rPr>
                <w:rFonts w:ascii="Arial" w:hAnsi="Arial" w:cs="Arial"/>
                <w:sz w:val="24"/>
                <w:szCs w:val="24"/>
              </w:rPr>
              <w:t xml:space="preserve"> </w:t>
            </w:r>
            <w:r w:rsidR="003642C3">
              <w:rPr>
                <w:rFonts w:ascii="Arial" w:hAnsi="Arial" w:cs="Arial"/>
                <w:sz w:val="24"/>
                <w:szCs w:val="24"/>
              </w:rPr>
              <w:t>24 March</w:t>
            </w:r>
            <w:r w:rsidR="00303078">
              <w:rPr>
                <w:rFonts w:ascii="Arial" w:hAnsi="Arial" w:cs="Arial"/>
                <w:sz w:val="24"/>
                <w:szCs w:val="24"/>
              </w:rPr>
              <w:t xml:space="preserve"> 2023)</w:t>
            </w:r>
          </w:p>
        </w:tc>
      </w:tr>
      <w:tr w:rsidR="00806722" w:rsidRPr="00806722" w14:paraId="1B5FE286" w14:textId="77777777" w:rsidTr="00303078">
        <w:tc>
          <w:tcPr>
            <w:tcW w:w="10193" w:type="dxa"/>
            <w:gridSpan w:val="3"/>
          </w:tcPr>
          <w:p w14:paraId="2AC9D7D4" w14:textId="77777777" w:rsidR="00806722" w:rsidRPr="00806722" w:rsidRDefault="00806722" w:rsidP="00806722">
            <w:pPr>
              <w:shd w:val="clear" w:color="auto" w:fill="FFFFFF"/>
              <w:rPr>
                <w:rFonts w:ascii="Arial" w:eastAsia="Times New Roman" w:hAnsi="Arial" w:cs="Arial"/>
                <w:b/>
                <w:sz w:val="24"/>
                <w:szCs w:val="24"/>
                <w:lang w:val="en-US"/>
              </w:rPr>
            </w:pPr>
            <w:r w:rsidRPr="00806722">
              <w:rPr>
                <w:rFonts w:ascii="Arial" w:eastAsia="Times New Roman" w:hAnsi="Arial" w:cs="Arial"/>
                <w:b/>
                <w:sz w:val="24"/>
                <w:szCs w:val="24"/>
                <w:lang w:val="en-US"/>
              </w:rPr>
              <w:t>Results on merits:</w:t>
            </w:r>
          </w:p>
          <w:p w14:paraId="1C69A15B" w14:textId="77777777" w:rsidR="00806722" w:rsidRPr="00806722" w:rsidRDefault="00806722" w:rsidP="00806722">
            <w:pPr>
              <w:shd w:val="clear" w:color="auto" w:fill="FFFFFF"/>
              <w:rPr>
                <w:rFonts w:ascii="Arial" w:eastAsia="Times New Roman" w:hAnsi="Arial" w:cs="Arial"/>
                <w:sz w:val="24"/>
                <w:szCs w:val="24"/>
                <w:lang w:val="en-US"/>
              </w:rPr>
            </w:pPr>
            <w:r w:rsidRPr="00806722">
              <w:rPr>
                <w:rFonts w:ascii="Arial" w:eastAsia="Times New Roman" w:hAnsi="Arial" w:cs="Arial"/>
                <w:sz w:val="24"/>
                <w:szCs w:val="24"/>
                <w:lang w:val="en-US"/>
              </w:rPr>
              <w:t>Merits not considered.</w:t>
            </w:r>
          </w:p>
        </w:tc>
      </w:tr>
      <w:tr w:rsidR="00806722" w:rsidRPr="00806722" w14:paraId="4C2A889B" w14:textId="77777777" w:rsidTr="00303078">
        <w:tc>
          <w:tcPr>
            <w:tcW w:w="10193" w:type="dxa"/>
            <w:gridSpan w:val="3"/>
          </w:tcPr>
          <w:p w14:paraId="4881E693" w14:textId="77777777" w:rsidR="008E190B" w:rsidRDefault="00806722" w:rsidP="00806722">
            <w:pPr>
              <w:tabs>
                <w:tab w:val="left" w:pos="2100"/>
              </w:tabs>
              <w:spacing w:after="160"/>
              <w:rPr>
                <w:rFonts w:ascii="Arial" w:hAnsi="Arial" w:cs="Arial"/>
                <w:b/>
                <w:sz w:val="24"/>
                <w:szCs w:val="24"/>
                <w:lang w:val="en-US"/>
              </w:rPr>
            </w:pPr>
            <w:r w:rsidRPr="00806722">
              <w:rPr>
                <w:rFonts w:ascii="Arial" w:hAnsi="Arial" w:cs="Arial"/>
                <w:b/>
                <w:sz w:val="24"/>
                <w:szCs w:val="24"/>
                <w:lang w:val="en-US"/>
              </w:rPr>
              <w:t>The order:</w:t>
            </w:r>
          </w:p>
          <w:p w14:paraId="04D2E745" w14:textId="70E646EF" w:rsidR="00B348CC" w:rsidRDefault="003642C3" w:rsidP="00591E00">
            <w:pPr>
              <w:numPr>
                <w:ilvl w:val="0"/>
                <w:numId w:val="7"/>
              </w:numPr>
              <w:spacing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first point in </w:t>
            </w:r>
            <w:proofErr w:type="spellStart"/>
            <w:r>
              <w:rPr>
                <w:rFonts w:ascii="Arial" w:hAnsi="Arial" w:cs="Arial"/>
                <w:color w:val="000000" w:themeColor="text1"/>
                <w:sz w:val="24"/>
                <w:szCs w:val="24"/>
                <w:lang w:val="en-GB"/>
              </w:rPr>
              <w:t>limine</w:t>
            </w:r>
            <w:proofErr w:type="spellEnd"/>
            <w:r>
              <w:rPr>
                <w:rFonts w:ascii="Arial" w:hAnsi="Arial" w:cs="Arial"/>
                <w:color w:val="000000" w:themeColor="text1"/>
                <w:sz w:val="24"/>
                <w:szCs w:val="24"/>
                <w:lang w:val="en-GB"/>
              </w:rPr>
              <w:t xml:space="preserve"> is dismissed.</w:t>
            </w:r>
          </w:p>
          <w:p w14:paraId="50269DED" w14:textId="77777777" w:rsidR="00B773F6" w:rsidRPr="00B773F6" w:rsidRDefault="003642C3" w:rsidP="00CA3E71">
            <w:pPr>
              <w:numPr>
                <w:ilvl w:val="0"/>
                <w:numId w:val="7"/>
              </w:numPr>
              <w:spacing w:line="360" w:lineRule="auto"/>
              <w:jc w:val="both"/>
              <w:rPr>
                <w:rFonts w:ascii="Arial" w:hAnsi="Arial" w:cs="Arial"/>
                <w:color w:val="000000"/>
              </w:rPr>
            </w:pPr>
            <w:r w:rsidRPr="00B773F6">
              <w:rPr>
                <w:rFonts w:ascii="Arial" w:hAnsi="Arial" w:cs="Arial"/>
                <w:color w:val="000000" w:themeColor="text1"/>
                <w:sz w:val="24"/>
                <w:szCs w:val="24"/>
                <w:lang w:val="en-GB"/>
              </w:rPr>
              <w:t xml:space="preserve">The second point in </w:t>
            </w:r>
            <w:proofErr w:type="spellStart"/>
            <w:r w:rsidRPr="00B773F6">
              <w:rPr>
                <w:rFonts w:ascii="Arial" w:hAnsi="Arial" w:cs="Arial"/>
                <w:color w:val="000000" w:themeColor="text1"/>
                <w:sz w:val="24"/>
                <w:szCs w:val="24"/>
                <w:lang w:val="en-GB"/>
              </w:rPr>
              <w:t>limine</w:t>
            </w:r>
            <w:proofErr w:type="spellEnd"/>
            <w:r w:rsidRPr="00B773F6">
              <w:rPr>
                <w:rFonts w:ascii="Arial" w:hAnsi="Arial" w:cs="Arial"/>
                <w:color w:val="000000" w:themeColor="text1"/>
                <w:sz w:val="24"/>
                <w:szCs w:val="24"/>
                <w:lang w:val="en-GB"/>
              </w:rPr>
              <w:t xml:space="preserve"> is upheld. </w:t>
            </w:r>
          </w:p>
          <w:p w14:paraId="7C62B846" w14:textId="77777777" w:rsidR="00B773F6" w:rsidRDefault="00B773F6" w:rsidP="005E4423">
            <w:pPr>
              <w:numPr>
                <w:ilvl w:val="0"/>
                <w:numId w:val="7"/>
              </w:numPr>
              <w:spacing w:line="360" w:lineRule="auto"/>
              <w:jc w:val="both"/>
              <w:rPr>
                <w:rStyle w:val="BodyTextIndentChar"/>
                <w:rFonts w:ascii="Arial" w:hAnsi="Arial" w:cs="Arial"/>
                <w:color w:val="000000"/>
              </w:rPr>
            </w:pPr>
            <w:r w:rsidRPr="00B773F6">
              <w:rPr>
                <w:rFonts w:ascii="Arial" w:hAnsi="Arial" w:cs="Arial"/>
                <w:sz w:val="24"/>
                <w:szCs w:val="24"/>
              </w:rPr>
              <w:t>The defendant is granted leave to approach this Court on the same papers, duly amplified where necessary.</w:t>
            </w:r>
            <w:r w:rsidRPr="00B773F6">
              <w:rPr>
                <w:rStyle w:val="BodyTextIndentChar"/>
                <w:rFonts w:ascii="Arial" w:hAnsi="Arial" w:cs="Arial"/>
                <w:color w:val="000000"/>
              </w:rPr>
              <w:t xml:space="preserve"> </w:t>
            </w:r>
          </w:p>
          <w:p w14:paraId="6FB86857" w14:textId="18A741DD" w:rsidR="00C91B07" w:rsidRPr="00F46D28" w:rsidRDefault="00B773F6" w:rsidP="005E4423">
            <w:pPr>
              <w:numPr>
                <w:ilvl w:val="0"/>
                <w:numId w:val="7"/>
              </w:numPr>
              <w:spacing w:line="360" w:lineRule="auto"/>
              <w:jc w:val="both"/>
              <w:rPr>
                <w:rStyle w:val="Strong"/>
                <w:rFonts w:ascii="Arial" w:hAnsi="Arial" w:cs="Arial"/>
                <w:b w:val="0"/>
                <w:bCs w:val="0"/>
                <w:color w:val="000000"/>
                <w:sz w:val="24"/>
                <w:szCs w:val="24"/>
              </w:rPr>
            </w:pPr>
            <w:r w:rsidRPr="00B773F6">
              <w:rPr>
                <w:rStyle w:val="Strong"/>
                <w:rFonts w:ascii="Arial" w:hAnsi="Arial" w:cs="Arial"/>
                <w:b w:val="0"/>
                <w:color w:val="000000"/>
                <w:sz w:val="24"/>
                <w:szCs w:val="24"/>
              </w:rPr>
              <w:t>Each party to pay their own costs.</w:t>
            </w:r>
          </w:p>
          <w:p w14:paraId="736FEB00" w14:textId="56851099" w:rsidR="00F46D28" w:rsidRPr="00F42131" w:rsidRDefault="00F46D28" w:rsidP="00F46D28">
            <w:pPr>
              <w:spacing w:line="360" w:lineRule="auto"/>
              <w:jc w:val="both"/>
              <w:rPr>
                <w:rStyle w:val="Strong"/>
                <w:rFonts w:ascii="Arial" w:hAnsi="Arial" w:cs="Arial"/>
                <w:b w:val="0"/>
                <w:bCs w:val="0"/>
                <w:sz w:val="24"/>
                <w:szCs w:val="24"/>
              </w:rPr>
            </w:pPr>
            <w:r w:rsidRPr="00F42131">
              <w:rPr>
                <w:rStyle w:val="Strong"/>
                <w:rFonts w:ascii="Arial" w:hAnsi="Arial" w:cs="Arial"/>
                <w:b w:val="0"/>
                <w:sz w:val="24"/>
                <w:szCs w:val="24"/>
              </w:rPr>
              <w:t>Further conduct of the matter:</w:t>
            </w:r>
          </w:p>
          <w:p w14:paraId="3531A242" w14:textId="56B1C56F" w:rsidR="00806722" w:rsidRPr="00806722" w:rsidRDefault="00F46D28" w:rsidP="00F46D28">
            <w:pPr>
              <w:numPr>
                <w:ilvl w:val="0"/>
                <w:numId w:val="7"/>
              </w:numPr>
              <w:spacing w:line="360" w:lineRule="auto"/>
              <w:jc w:val="both"/>
              <w:rPr>
                <w:rFonts w:ascii="Arial" w:hAnsi="Arial" w:cs="Arial"/>
                <w:color w:val="333333"/>
              </w:rPr>
            </w:pPr>
            <w:r w:rsidRPr="00F42131">
              <w:rPr>
                <w:rStyle w:val="Strong"/>
                <w:rFonts w:ascii="Arial" w:hAnsi="Arial" w:cs="Arial"/>
                <w:b w:val="0"/>
                <w:sz w:val="24"/>
                <w:szCs w:val="24"/>
              </w:rPr>
              <w:lastRenderedPageBreak/>
              <w:t>The matter is postponed to 11 May 2023 at 15h00 (Reason: Application in terms of r 108).</w:t>
            </w:r>
          </w:p>
        </w:tc>
      </w:tr>
      <w:tr w:rsidR="00806722" w:rsidRPr="00806722" w14:paraId="7D74152A" w14:textId="77777777" w:rsidTr="00303078">
        <w:tc>
          <w:tcPr>
            <w:tcW w:w="10193" w:type="dxa"/>
            <w:gridSpan w:val="3"/>
          </w:tcPr>
          <w:p w14:paraId="16C778DB" w14:textId="77777777" w:rsidR="00806722" w:rsidRPr="00806722" w:rsidRDefault="00806722" w:rsidP="00806722">
            <w:pPr>
              <w:spacing w:after="160"/>
              <w:rPr>
                <w:rFonts w:ascii="Arial" w:hAnsi="Arial" w:cs="Arial"/>
                <w:b/>
                <w:sz w:val="24"/>
                <w:szCs w:val="24"/>
                <w:lang w:val="en-US"/>
              </w:rPr>
            </w:pPr>
            <w:r w:rsidRPr="00806722">
              <w:rPr>
                <w:rFonts w:ascii="Arial" w:hAnsi="Arial" w:cs="Arial"/>
                <w:b/>
                <w:sz w:val="24"/>
                <w:szCs w:val="24"/>
                <w:lang w:val="en-US"/>
              </w:rPr>
              <w:lastRenderedPageBreak/>
              <w:t>Reasons for orders:</w:t>
            </w:r>
          </w:p>
        </w:tc>
      </w:tr>
      <w:tr w:rsidR="00806722" w:rsidRPr="00806722" w14:paraId="16B42F3D" w14:textId="77777777" w:rsidTr="00303078">
        <w:tc>
          <w:tcPr>
            <w:tcW w:w="10193" w:type="dxa"/>
            <w:gridSpan w:val="3"/>
          </w:tcPr>
          <w:p w14:paraId="1A37F974" w14:textId="77777777" w:rsidR="00F6293D" w:rsidRDefault="00F6293D" w:rsidP="00CE6814">
            <w:pPr>
              <w:spacing w:line="360" w:lineRule="auto"/>
              <w:contextualSpacing/>
              <w:rPr>
                <w:rFonts w:ascii="Arial" w:hAnsi="Arial" w:cs="Arial"/>
                <w:sz w:val="24"/>
                <w:szCs w:val="24"/>
                <w:u w:val="single"/>
              </w:rPr>
            </w:pPr>
          </w:p>
          <w:p w14:paraId="695CE185" w14:textId="77777777" w:rsidR="00D42C3F" w:rsidRDefault="00412B71" w:rsidP="00CE6814">
            <w:pPr>
              <w:spacing w:line="360" w:lineRule="auto"/>
              <w:contextualSpacing/>
              <w:rPr>
                <w:rFonts w:ascii="Arial" w:hAnsi="Arial" w:cs="Arial"/>
                <w:sz w:val="24"/>
                <w:szCs w:val="24"/>
                <w:u w:val="single"/>
              </w:rPr>
            </w:pPr>
            <w:r w:rsidRPr="00412B71">
              <w:rPr>
                <w:rFonts w:ascii="Arial" w:hAnsi="Arial" w:cs="Arial"/>
                <w:sz w:val="24"/>
                <w:szCs w:val="24"/>
                <w:u w:val="single"/>
              </w:rPr>
              <w:t>Introduction</w:t>
            </w:r>
          </w:p>
          <w:p w14:paraId="06BB30E9" w14:textId="77777777" w:rsidR="00F6293D" w:rsidRDefault="00F6293D" w:rsidP="00F6293D"/>
          <w:p w14:paraId="5650026E" w14:textId="1168D201" w:rsidR="00F6293D" w:rsidRDefault="00F6293D" w:rsidP="00B773F6">
            <w:pPr>
              <w:pStyle w:val="BodyText"/>
              <w:numPr>
                <w:ilvl w:val="0"/>
                <w:numId w:val="8"/>
              </w:numPr>
              <w:spacing w:after="0" w:line="360" w:lineRule="auto"/>
              <w:ind w:left="0" w:firstLine="0"/>
              <w:jc w:val="both"/>
            </w:pPr>
            <w:r w:rsidRPr="00331869">
              <w:t>Serving before this court for determination is an application in terms of rule 108, in which the applicant seeks an order declaring the immovable property of the second respondent and his wife, who is not a party to the current proceedings, e</w:t>
            </w:r>
            <w:r w:rsidR="000F77BF">
              <w:t xml:space="preserve">xecutable. The couple </w:t>
            </w:r>
            <w:r w:rsidR="000F77BF" w:rsidRPr="00A94090">
              <w:t>are</w:t>
            </w:r>
            <w:r w:rsidR="000F77BF">
              <w:t xml:space="preserve"> </w:t>
            </w:r>
            <w:r w:rsidRPr="00331869">
              <w:t>married in community of property.</w:t>
            </w:r>
          </w:p>
          <w:p w14:paraId="567A211B" w14:textId="77777777" w:rsidR="00F6293D" w:rsidRDefault="00F6293D" w:rsidP="00B773F6">
            <w:pPr>
              <w:pStyle w:val="BodyText"/>
              <w:spacing w:after="0" w:line="360" w:lineRule="auto"/>
              <w:jc w:val="both"/>
            </w:pPr>
          </w:p>
          <w:p w14:paraId="2654FF46" w14:textId="77777777" w:rsidR="00F6293D" w:rsidRDefault="00F6293D" w:rsidP="00B773F6">
            <w:pPr>
              <w:pStyle w:val="BodyText"/>
              <w:numPr>
                <w:ilvl w:val="0"/>
                <w:numId w:val="8"/>
              </w:numPr>
              <w:spacing w:after="0" w:line="360" w:lineRule="auto"/>
              <w:ind w:left="0" w:firstLine="0"/>
              <w:jc w:val="both"/>
            </w:pPr>
            <w:r w:rsidRPr="00D75082">
              <w:rPr>
                <w:lang w:val="en-ZA"/>
              </w:rPr>
              <w:t>The property sought to be declared executable can be described as the r</w:t>
            </w:r>
            <w:proofErr w:type="spellStart"/>
            <w:r w:rsidRPr="00D75082">
              <w:t>emainder</w:t>
            </w:r>
            <w:proofErr w:type="spellEnd"/>
            <w:r w:rsidRPr="00D75082">
              <w:t xml:space="preserve"> of Erf No. 5126, </w:t>
            </w:r>
            <w:proofErr w:type="spellStart"/>
            <w:r w:rsidRPr="00D75082">
              <w:t>Ongwediva</w:t>
            </w:r>
            <w:proofErr w:type="spellEnd"/>
            <w:r w:rsidRPr="00D75082">
              <w:t xml:space="preserve"> (Extension No. 11), in the town of </w:t>
            </w:r>
            <w:proofErr w:type="spellStart"/>
            <w:r w:rsidRPr="00D75082">
              <w:t>Ongwediva</w:t>
            </w:r>
            <w:proofErr w:type="spellEnd"/>
            <w:r w:rsidRPr="00D75082">
              <w:t xml:space="preserve">, Registration Division A, </w:t>
            </w:r>
            <w:proofErr w:type="spellStart"/>
            <w:r w:rsidRPr="00D75082">
              <w:t>Oshana</w:t>
            </w:r>
            <w:proofErr w:type="spellEnd"/>
            <w:r w:rsidRPr="00D75082">
              <w:t xml:space="preserve"> Region, 1037 (One Nil Three Seven) Square </w:t>
            </w:r>
            <w:proofErr w:type="spellStart"/>
            <w:r w:rsidRPr="00D75082">
              <w:t>Metres</w:t>
            </w:r>
            <w:proofErr w:type="spellEnd"/>
            <w:r w:rsidRPr="00D75082">
              <w:t xml:space="preserve">, Deed of Transfer No. T5894/2013. </w:t>
            </w:r>
          </w:p>
          <w:p w14:paraId="25D1DA93" w14:textId="77777777" w:rsidR="00F6293D" w:rsidRDefault="00F6293D" w:rsidP="00B773F6">
            <w:pPr>
              <w:pStyle w:val="ListParagraph"/>
              <w:spacing w:line="360" w:lineRule="auto"/>
              <w:jc w:val="both"/>
            </w:pPr>
          </w:p>
          <w:p w14:paraId="7EBB1171" w14:textId="77777777" w:rsidR="00F6293D" w:rsidRPr="00D75082" w:rsidRDefault="00F6293D" w:rsidP="00B773F6">
            <w:pPr>
              <w:pStyle w:val="BodyText"/>
              <w:numPr>
                <w:ilvl w:val="0"/>
                <w:numId w:val="8"/>
              </w:numPr>
              <w:spacing w:after="0" w:line="360" w:lineRule="auto"/>
              <w:ind w:left="0" w:firstLine="0"/>
              <w:jc w:val="both"/>
            </w:pPr>
            <w:r>
              <w:t xml:space="preserve">I will refer to the parties as plaintiff and defendant or applicant and respondent, depending on the stage of the proceedings under discussion. </w:t>
            </w:r>
          </w:p>
          <w:p w14:paraId="6999064C" w14:textId="77777777" w:rsidR="00F6293D" w:rsidRDefault="00F6293D" w:rsidP="00F6293D">
            <w:pPr>
              <w:spacing w:line="360" w:lineRule="auto"/>
              <w:ind w:left="20"/>
              <w:jc w:val="both"/>
              <w:rPr>
                <w:rFonts w:ascii="Arial" w:hAnsi="Arial" w:cs="Arial"/>
                <w:sz w:val="24"/>
                <w:szCs w:val="24"/>
                <w:u w:val="single"/>
              </w:rPr>
            </w:pPr>
            <w:r>
              <w:rPr>
                <w:rFonts w:ascii="Arial" w:hAnsi="Arial" w:cs="Arial"/>
                <w:sz w:val="24"/>
                <w:szCs w:val="24"/>
              </w:rPr>
              <w:br/>
            </w:r>
            <w:r w:rsidRPr="004915AD">
              <w:rPr>
                <w:rFonts w:ascii="Arial" w:hAnsi="Arial" w:cs="Arial"/>
                <w:sz w:val="24"/>
                <w:szCs w:val="24"/>
                <w:u w:val="single"/>
              </w:rPr>
              <w:t>Background</w:t>
            </w:r>
          </w:p>
          <w:p w14:paraId="2E938154" w14:textId="77777777" w:rsidR="00F6293D" w:rsidRPr="004915AD" w:rsidRDefault="00F6293D" w:rsidP="00F6293D">
            <w:pPr>
              <w:spacing w:line="360" w:lineRule="auto"/>
              <w:ind w:left="20"/>
              <w:jc w:val="both"/>
              <w:rPr>
                <w:rFonts w:ascii="Arial" w:hAnsi="Arial" w:cs="Arial"/>
                <w:sz w:val="24"/>
                <w:szCs w:val="24"/>
                <w:u w:val="single"/>
              </w:rPr>
            </w:pPr>
          </w:p>
          <w:p w14:paraId="6BD546AF" w14:textId="75AEB3FC"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331869">
              <w:rPr>
                <w:rFonts w:ascii="Arial" w:hAnsi="Arial" w:cs="Arial"/>
                <w:sz w:val="24"/>
                <w:szCs w:val="24"/>
              </w:rPr>
              <w:t xml:space="preserve">During July to August 2018, the plaintiff and the </w:t>
            </w:r>
            <w:r>
              <w:rPr>
                <w:rFonts w:ascii="Arial" w:hAnsi="Arial" w:cs="Arial"/>
                <w:sz w:val="24"/>
                <w:szCs w:val="24"/>
              </w:rPr>
              <w:t xml:space="preserve">first </w:t>
            </w:r>
            <w:r w:rsidRPr="000F77BF">
              <w:rPr>
                <w:rFonts w:ascii="Arial" w:hAnsi="Arial" w:cs="Arial"/>
                <w:sz w:val="24"/>
                <w:szCs w:val="24"/>
              </w:rPr>
              <w:t>defendant</w:t>
            </w:r>
            <w:r w:rsidRPr="00331869">
              <w:rPr>
                <w:rFonts w:ascii="Arial" w:hAnsi="Arial" w:cs="Arial"/>
                <w:sz w:val="24"/>
                <w:szCs w:val="24"/>
              </w:rPr>
              <w:t xml:space="preserve"> entered into a partly written credit agreement, executed </w:t>
            </w:r>
            <w:r w:rsidR="0045438B">
              <w:rPr>
                <w:rFonts w:ascii="Arial" w:hAnsi="Arial" w:cs="Arial"/>
                <w:sz w:val="24"/>
                <w:szCs w:val="24"/>
              </w:rPr>
              <w:t>to provide</w:t>
            </w:r>
            <w:r w:rsidRPr="00331869">
              <w:rPr>
                <w:rFonts w:ascii="Arial" w:hAnsi="Arial" w:cs="Arial"/>
                <w:sz w:val="24"/>
                <w:szCs w:val="24"/>
              </w:rPr>
              <w:t xml:space="preserve"> credit facilities to enable the first defendant, Valued Electrical and Construction CC, to purchase building material</w:t>
            </w:r>
            <w:r w:rsidR="0045438B">
              <w:rPr>
                <w:rFonts w:ascii="Arial" w:hAnsi="Arial" w:cs="Arial"/>
                <w:sz w:val="24"/>
                <w:szCs w:val="24"/>
              </w:rPr>
              <w:t>s</w:t>
            </w:r>
            <w:r w:rsidRPr="00331869">
              <w:rPr>
                <w:rFonts w:ascii="Arial" w:hAnsi="Arial" w:cs="Arial"/>
                <w:sz w:val="24"/>
                <w:szCs w:val="24"/>
              </w:rPr>
              <w:t xml:space="preserve"> from the plaintiff. The first defendant was represented at the time by the second defendant, Paulus </w:t>
            </w:r>
            <w:proofErr w:type="spellStart"/>
            <w:r w:rsidRPr="00331869">
              <w:rPr>
                <w:rFonts w:ascii="Arial" w:hAnsi="Arial" w:cs="Arial"/>
                <w:sz w:val="24"/>
                <w:szCs w:val="24"/>
              </w:rPr>
              <w:t>Henok</w:t>
            </w:r>
            <w:proofErr w:type="spellEnd"/>
            <w:r w:rsidRPr="00331869">
              <w:rPr>
                <w:rFonts w:ascii="Arial" w:hAnsi="Arial" w:cs="Arial"/>
                <w:sz w:val="24"/>
                <w:szCs w:val="24"/>
              </w:rPr>
              <w:t xml:space="preserve"> </w:t>
            </w:r>
            <w:proofErr w:type="spellStart"/>
            <w:r w:rsidRPr="00331869">
              <w:rPr>
                <w:rFonts w:ascii="Arial" w:hAnsi="Arial" w:cs="Arial"/>
                <w:sz w:val="24"/>
                <w:szCs w:val="24"/>
              </w:rPr>
              <w:t>Dumeni</w:t>
            </w:r>
            <w:proofErr w:type="spellEnd"/>
            <w:r w:rsidRPr="00331869">
              <w:rPr>
                <w:rFonts w:ascii="Arial" w:hAnsi="Arial" w:cs="Arial"/>
                <w:sz w:val="24"/>
                <w:szCs w:val="24"/>
              </w:rPr>
              <w:t>, who is the sole member of the CC defendant.</w:t>
            </w:r>
          </w:p>
          <w:p w14:paraId="7005993D" w14:textId="77777777" w:rsidR="00F6293D" w:rsidRDefault="00F6293D" w:rsidP="00F6293D">
            <w:pPr>
              <w:pStyle w:val="ListParagraph"/>
              <w:spacing w:line="360" w:lineRule="auto"/>
              <w:ind w:left="0"/>
              <w:jc w:val="both"/>
              <w:rPr>
                <w:rFonts w:ascii="Arial" w:hAnsi="Arial" w:cs="Arial"/>
                <w:sz w:val="24"/>
                <w:szCs w:val="24"/>
              </w:rPr>
            </w:pPr>
          </w:p>
          <w:p w14:paraId="21D4A822" w14:textId="1D4F65BA"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331869">
              <w:rPr>
                <w:rFonts w:ascii="Arial" w:hAnsi="Arial" w:cs="Arial"/>
                <w:sz w:val="24"/>
                <w:szCs w:val="24"/>
              </w:rPr>
              <w:t>It is common cause that</w:t>
            </w:r>
            <w:r>
              <w:rPr>
                <w:rFonts w:ascii="Arial" w:hAnsi="Arial" w:cs="Arial"/>
                <w:sz w:val="24"/>
                <w:szCs w:val="24"/>
              </w:rPr>
              <w:t xml:space="preserve"> the first defendant utili</w:t>
            </w:r>
            <w:r w:rsidR="00230931">
              <w:rPr>
                <w:rFonts w:ascii="Arial" w:hAnsi="Arial" w:cs="Arial"/>
                <w:sz w:val="24"/>
                <w:szCs w:val="24"/>
              </w:rPr>
              <w:t>s</w:t>
            </w:r>
            <w:r>
              <w:rPr>
                <w:rFonts w:ascii="Arial" w:hAnsi="Arial" w:cs="Arial"/>
                <w:sz w:val="24"/>
                <w:szCs w:val="24"/>
              </w:rPr>
              <w:t>ed the credit facilities to the tune of N$215 354.36 by purchasing building materials from the plaintiff. The first defendant</w:t>
            </w:r>
            <w:r w:rsidR="00230931">
              <w:rPr>
                <w:rFonts w:ascii="Arial" w:hAnsi="Arial" w:cs="Arial"/>
                <w:sz w:val="24"/>
                <w:szCs w:val="24"/>
              </w:rPr>
              <w:t>,</w:t>
            </w:r>
            <w:r>
              <w:rPr>
                <w:rFonts w:ascii="Arial" w:hAnsi="Arial" w:cs="Arial"/>
                <w:sz w:val="24"/>
                <w:szCs w:val="24"/>
              </w:rPr>
              <w:t xml:space="preserve"> however</w:t>
            </w:r>
            <w:r w:rsidR="00230931">
              <w:rPr>
                <w:rFonts w:ascii="Arial" w:hAnsi="Arial" w:cs="Arial"/>
                <w:sz w:val="24"/>
                <w:szCs w:val="24"/>
              </w:rPr>
              <w:t>,</w:t>
            </w:r>
            <w:r>
              <w:rPr>
                <w:rFonts w:ascii="Arial" w:hAnsi="Arial" w:cs="Arial"/>
                <w:sz w:val="24"/>
                <w:szCs w:val="24"/>
              </w:rPr>
              <w:t xml:space="preserve"> only made a partial payment of N$40 000 towards the debt</w:t>
            </w:r>
            <w:r w:rsidR="00230931">
              <w:rPr>
                <w:rFonts w:ascii="Arial" w:hAnsi="Arial" w:cs="Arial"/>
                <w:sz w:val="24"/>
                <w:szCs w:val="24"/>
              </w:rPr>
              <w:t>,</w:t>
            </w:r>
            <w:r>
              <w:rPr>
                <w:rFonts w:ascii="Arial" w:hAnsi="Arial" w:cs="Arial"/>
                <w:sz w:val="24"/>
                <w:szCs w:val="24"/>
              </w:rPr>
              <w:t xml:space="preserve"> leaving a balance of N$170 354.36. When the plaintiff was about to institute action against the first defendant</w:t>
            </w:r>
            <w:r w:rsidR="00230931">
              <w:rPr>
                <w:rFonts w:ascii="Arial" w:hAnsi="Arial" w:cs="Arial"/>
                <w:sz w:val="24"/>
                <w:szCs w:val="24"/>
              </w:rPr>
              <w:t>,</w:t>
            </w:r>
            <w:r>
              <w:rPr>
                <w:rFonts w:ascii="Arial" w:hAnsi="Arial" w:cs="Arial"/>
                <w:sz w:val="24"/>
                <w:szCs w:val="24"/>
              </w:rPr>
              <w:t xml:space="preserve"> the second defendant </w:t>
            </w:r>
            <w:r>
              <w:rPr>
                <w:rFonts w:ascii="Arial" w:hAnsi="Arial" w:cs="Arial"/>
                <w:sz w:val="24"/>
                <w:szCs w:val="24"/>
              </w:rPr>
              <w:lastRenderedPageBreak/>
              <w:t>committed himself personally to settle the debt. This did not happen</w:t>
            </w:r>
            <w:r w:rsidR="00230931">
              <w:rPr>
                <w:rFonts w:ascii="Arial" w:hAnsi="Arial" w:cs="Arial"/>
                <w:sz w:val="24"/>
                <w:szCs w:val="24"/>
              </w:rPr>
              <w:t>,</w:t>
            </w:r>
            <w:r>
              <w:rPr>
                <w:rFonts w:ascii="Arial" w:hAnsi="Arial" w:cs="Arial"/>
                <w:sz w:val="24"/>
                <w:szCs w:val="24"/>
              </w:rPr>
              <w:t xml:space="preserve"> and a</w:t>
            </w:r>
            <w:r w:rsidRPr="00331869">
              <w:rPr>
                <w:rFonts w:ascii="Arial" w:hAnsi="Arial" w:cs="Arial"/>
                <w:sz w:val="24"/>
                <w:szCs w:val="24"/>
              </w:rPr>
              <w:t xml:space="preserve">s a result, the plaintiff issued summons in July 2019 against the defendants for payment of </w:t>
            </w:r>
            <w:r w:rsidRPr="00A94090">
              <w:rPr>
                <w:rFonts w:ascii="Arial" w:hAnsi="Arial" w:cs="Arial"/>
                <w:sz w:val="24"/>
                <w:szCs w:val="24"/>
              </w:rPr>
              <w:t>N$17</w:t>
            </w:r>
            <w:r w:rsidR="00A94090" w:rsidRPr="00A94090">
              <w:rPr>
                <w:rFonts w:ascii="Arial" w:hAnsi="Arial" w:cs="Arial"/>
                <w:sz w:val="24"/>
                <w:szCs w:val="24"/>
              </w:rPr>
              <w:t>0</w:t>
            </w:r>
            <w:r w:rsidRPr="00A94090">
              <w:rPr>
                <w:rFonts w:ascii="Arial" w:hAnsi="Arial" w:cs="Arial"/>
                <w:sz w:val="24"/>
                <w:szCs w:val="24"/>
              </w:rPr>
              <w:t xml:space="preserve"> 354.36</w:t>
            </w:r>
            <w:r w:rsidR="000F77BF">
              <w:rPr>
                <w:rFonts w:ascii="Arial" w:hAnsi="Arial" w:cs="Arial"/>
                <w:sz w:val="24"/>
                <w:szCs w:val="24"/>
              </w:rPr>
              <w:t xml:space="preserve"> </w:t>
            </w:r>
            <w:r w:rsidRPr="00331869">
              <w:rPr>
                <w:rFonts w:ascii="Arial" w:hAnsi="Arial" w:cs="Arial"/>
                <w:sz w:val="24"/>
                <w:szCs w:val="24"/>
              </w:rPr>
              <w:t xml:space="preserve">based on joint and several liability, together with interest at the rate of 20% a tempore </w:t>
            </w:r>
            <w:proofErr w:type="spellStart"/>
            <w:r w:rsidRPr="00331869">
              <w:rPr>
                <w:rFonts w:ascii="Arial" w:hAnsi="Arial" w:cs="Arial"/>
                <w:sz w:val="24"/>
                <w:szCs w:val="24"/>
              </w:rPr>
              <w:t>morae</w:t>
            </w:r>
            <w:proofErr w:type="spellEnd"/>
            <w:r w:rsidRPr="00331869">
              <w:rPr>
                <w:rFonts w:ascii="Arial" w:hAnsi="Arial" w:cs="Arial"/>
                <w:sz w:val="24"/>
                <w:szCs w:val="24"/>
              </w:rPr>
              <w:t xml:space="preserve"> and cost of suit.</w:t>
            </w:r>
          </w:p>
          <w:p w14:paraId="7642D446" w14:textId="77777777" w:rsidR="00F6293D" w:rsidRDefault="00F6293D" w:rsidP="00F6293D">
            <w:pPr>
              <w:pStyle w:val="ListParagraph"/>
              <w:spacing w:line="360" w:lineRule="auto"/>
              <w:ind w:left="0"/>
              <w:jc w:val="both"/>
              <w:rPr>
                <w:rFonts w:ascii="Arial" w:hAnsi="Arial" w:cs="Arial"/>
                <w:sz w:val="24"/>
                <w:szCs w:val="24"/>
              </w:rPr>
            </w:pPr>
          </w:p>
          <w:p w14:paraId="7CD67CE8" w14:textId="2DBE3BDB"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t xml:space="preserve">During judicial case management of the action, the parties were able to </w:t>
            </w:r>
            <w:r w:rsidR="00230931">
              <w:rPr>
                <w:rFonts w:ascii="Arial" w:hAnsi="Arial" w:cs="Arial"/>
                <w:sz w:val="24"/>
                <w:szCs w:val="24"/>
              </w:rPr>
              <w:t xml:space="preserve">settle the matter </w:t>
            </w:r>
            <w:r>
              <w:rPr>
                <w:rFonts w:ascii="Arial" w:hAnsi="Arial" w:cs="Arial"/>
                <w:sz w:val="24"/>
                <w:szCs w:val="24"/>
              </w:rPr>
              <w:t>amicably</w:t>
            </w:r>
            <w:r w:rsidR="00230931">
              <w:rPr>
                <w:rFonts w:ascii="Arial" w:hAnsi="Arial" w:cs="Arial"/>
                <w:sz w:val="24"/>
                <w:szCs w:val="24"/>
              </w:rPr>
              <w:t>.</w:t>
            </w:r>
            <w:r>
              <w:rPr>
                <w:rFonts w:ascii="Arial" w:hAnsi="Arial" w:cs="Arial"/>
                <w:sz w:val="24"/>
                <w:szCs w:val="24"/>
              </w:rPr>
              <w:t xml:space="preserve"> </w:t>
            </w:r>
            <w:r w:rsidRPr="00331869">
              <w:rPr>
                <w:rFonts w:ascii="Arial" w:hAnsi="Arial" w:cs="Arial"/>
                <w:sz w:val="24"/>
                <w:szCs w:val="24"/>
              </w:rPr>
              <w:t>In September 2019, the parties entered into a settlement agreement wherein the parties agreed that the principal debt would be paid in equal instalments of N$20 000 per month, with the first payment being made on  6 September 2019 and after that, on the 5</w:t>
            </w:r>
            <w:r w:rsidR="00A94090" w:rsidRPr="00A94090">
              <w:rPr>
                <w:rFonts w:ascii="Arial" w:hAnsi="Arial" w:cs="Arial"/>
                <w:sz w:val="24"/>
                <w:szCs w:val="24"/>
                <w:vertAlign w:val="superscript"/>
              </w:rPr>
              <w:t>th</w:t>
            </w:r>
            <w:r w:rsidR="00A94090">
              <w:rPr>
                <w:rFonts w:ascii="Arial" w:hAnsi="Arial" w:cs="Arial"/>
                <w:sz w:val="24"/>
                <w:szCs w:val="24"/>
              </w:rPr>
              <w:t xml:space="preserve"> </w:t>
            </w:r>
            <w:r w:rsidRPr="00331869">
              <w:rPr>
                <w:rFonts w:ascii="Arial" w:hAnsi="Arial" w:cs="Arial"/>
                <w:sz w:val="24"/>
                <w:szCs w:val="24"/>
              </w:rPr>
              <w:t>day of each consecutive month until the principal debt has been settled.</w:t>
            </w:r>
          </w:p>
          <w:p w14:paraId="6ABDB28E" w14:textId="77777777" w:rsidR="00230931" w:rsidRPr="00230931" w:rsidRDefault="00230931" w:rsidP="00230931">
            <w:pPr>
              <w:pStyle w:val="ListParagraph"/>
              <w:rPr>
                <w:rFonts w:ascii="Arial" w:hAnsi="Arial" w:cs="Arial"/>
                <w:sz w:val="24"/>
                <w:szCs w:val="24"/>
              </w:rPr>
            </w:pPr>
          </w:p>
          <w:p w14:paraId="767EE007" w14:textId="760B105B"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t xml:space="preserve">In terms of the settlement agreement, both defendants admitted their liability and bound themselves to the plaintiff for payment of the principal debt. </w:t>
            </w:r>
            <w:r w:rsidRPr="00331869">
              <w:rPr>
                <w:rFonts w:ascii="Arial" w:hAnsi="Arial" w:cs="Arial"/>
                <w:sz w:val="24"/>
                <w:szCs w:val="24"/>
              </w:rPr>
              <w:t xml:space="preserve">The </w:t>
            </w:r>
            <w:r>
              <w:rPr>
                <w:rFonts w:ascii="Arial" w:hAnsi="Arial" w:cs="Arial"/>
                <w:sz w:val="24"/>
                <w:szCs w:val="24"/>
              </w:rPr>
              <w:t xml:space="preserve">said </w:t>
            </w:r>
            <w:r w:rsidRPr="00331869">
              <w:rPr>
                <w:rFonts w:ascii="Arial" w:hAnsi="Arial" w:cs="Arial"/>
                <w:sz w:val="24"/>
                <w:szCs w:val="24"/>
              </w:rPr>
              <w:t>settlement agreement was made an order of the court on 11 September 2019 and the matter was removed from the roll.</w:t>
            </w:r>
          </w:p>
          <w:p w14:paraId="7C6576DB" w14:textId="77777777" w:rsidR="00F6293D" w:rsidRDefault="00F6293D" w:rsidP="00F6293D">
            <w:pPr>
              <w:pStyle w:val="ListParagraph"/>
              <w:spacing w:line="360" w:lineRule="auto"/>
              <w:ind w:left="0"/>
              <w:jc w:val="both"/>
              <w:rPr>
                <w:rFonts w:ascii="Arial" w:hAnsi="Arial" w:cs="Arial"/>
                <w:sz w:val="24"/>
                <w:szCs w:val="24"/>
              </w:rPr>
            </w:pPr>
          </w:p>
          <w:p w14:paraId="5B8DBBC0" w14:textId="77777777"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0A79ED">
              <w:rPr>
                <w:rFonts w:ascii="Arial" w:hAnsi="Arial" w:cs="Arial"/>
                <w:sz w:val="24"/>
                <w:szCs w:val="24"/>
              </w:rPr>
              <w:t xml:space="preserve">The defendants failed to fulfil their obligations regarding the monthly payments, and the plaintiff obtained a writ of execution against the movable property of </w:t>
            </w:r>
            <w:r>
              <w:rPr>
                <w:rFonts w:ascii="Arial" w:hAnsi="Arial" w:cs="Arial"/>
                <w:sz w:val="24"/>
                <w:szCs w:val="24"/>
              </w:rPr>
              <w:t>the defendants. The Deputy Sher</w:t>
            </w:r>
            <w:r w:rsidRPr="000A79ED">
              <w:rPr>
                <w:rFonts w:ascii="Arial" w:hAnsi="Arial" w:cs="Arial"/>
                <w:sz w:val="24"/>
                <w:szCs w:val="24"/>
              </w:rPr>
              <w:t>iff made three attempts to execute the writ of execution, and pursuant to each attempt, the second defendant deposited the amount of N$10 000 with the Deputy Sheriff. The plaintiff’s legal practitioner subsequently informed the Deputy Sheriff that the moneys should be paid directly to their offices.</w:t>
            </w:r>
          </w:p>
          <w:p w14:paraId="676888E4" w14:textId="77777777" w:rsidR="00F6293D" w:rsidRPr="00F044FC" w:rsidRDefault="00F6293D" w:rsidP="00F6293D">
            <w:pPr>
              <w:pStyle w:val="ListParagraph"/>
              <w:rPr>
                <w:rFonts w:ascii="Arial" w:hAnsi="Arial" w:cs="Arial"/>
                <w:sz w:val="24"/>
                <w:szCs w:val="24"/>
              </w:rPr>
            </w:pPr>
          </w:p>
          <w:p w14:paraId="3058925B" w14:textId="77777777"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455695">
              <w:rPr>
                <w:rFonts w:ascii="Arial" w:hAnsi="Arial" w:cs="Arial"/>
                <w:sz w:val="24"/>
                <w:szCs w:val="24"/>
              </w:rPr>
              <w:t xml:space="preserve">As the Deputy Sheriff could not find any disposable movable property to satisfy the judgment, he issued a </w:t>
            </w:r>
            <w:proofErr w:type="spellStart"/>
            <w:r w:rsidRPr="00455695">
              <w:rPr>
                <w:rFonts w:ascii="Arial" w:hAnsi="Arial" w:cs="Arial"/>
                <w:sz w:val="24"/>
                <w:szCs w:val="24"/>
              </w:rPr>
              <w:t>nulla</w:t>
            </w:r>
            <w:proofErr w:type="spellEnd"/>
            <w:r w:rsidRPr="00455695">
              <w:rPr>
                <w:rFonts w:ascii="Arial" w:hAnsi="Arial" w:cs="Arial"/>
                <w:sz w:val="24"/>
                <w:szCs w:val="24"/>
              </w:rPr>
              <w:t xml:space="preserve"> bona return on 24 March 2021 regarding the second defendant. No </w:t>
            </w:r>
            <w:proofErr w:type="spellStart"/>
            <w:r w:rsidRPr="00455695">
              <w:rPr>
                <w:rFonts w:ascii="Arial" w:hAnsi="Arial" w:cs="Arial"/>
                <w:sz w:val="24"/>
                <w:szCs w:val="24"/>
              </w:rPr>
              <w:t>nulla</w:t>
            </w:r>
            <w:proofErr w:type="spellEnd"/>
            <w:r w:rsidRPr="00455695">
              <w:rPr>
                <w:rFonts w:ascii="Arial" w:hAnsi="Arial" w:cs="Arial"/>
                <w:sz w:val="24"/>
                <w:szCs w:val="24"/>
              </w:rPr>
              <w:t xml:space="preserve"> bona return was filed on behalf of the first defendant.</w:t>
            </w:r>
          </w:p>
          <w:p w14:paraId="50F38CBE" w14:textId="77777777" w:rsidR="00F6293D" w:rsidRPr="00872792" w:rsidRDefault="00F6293D" w:rsidP="00F6293D">
            <w:pPr>
              <w:pStyle w:val="ListParagraph"/>
              <w:rPr>
                <w:rFonts w:ascii="Arial" w:hAnsi="Arial" w:cs="Arial"/>
                <w:sz w:val="24"/>
                <w:szCs w:val="24"/>
              </w:rPr>
            </w:pPr>
          </w:p>
          <w:p w14:paraId="2A6B2D24" w14:textId="217F5E0F"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t xml:space="preserve">The plaintiff </w:t>
            </w:r>
            <w:r w:rsidR="000F77BF">
              <w:rPr>
                <w:rFonts w:ascii="Arial" w:hAnsi="Arial" w:cs="Arial"/>
                <w:sz w:val="24"/>
                <w:szCs w:val="24"/>
              </w:rPr>
              <w:t>c</w:t>
            </w:r>
            <w:r w:rsidR="000F77BF" w:rsidRPr="00A94090">
              <w:rPr>
                <w:rFonts w:ascii="Arial" w:hAnsi="Arial" w:cs="Arial"/>
                <w:sz w:val="24"/>
                <w:szCs w:val="24"/>
              </w:rPr>
              <w:t>onducted</w:t>
            </w:r>
            <w:r w:rsidR="000F77BF">
              <w:rPr>
                <w:rFonts w:ascii="Arial" w:hAnsi="Arial" w:cs="Arial"/>
                <w:sz w:val="24"/>
                <w:szCs w:val="24"/>
              </w:rPr>
              <w:t xml:space="preserve"> </w:t>
            </w:r>
            <w:r>
              <w:rPr>
                <w:rFonts w:ascii="Arial" w:hAnsi="Arial" w:cs="Arial"/>
                <w:sz w:val="24"/>
                <w:szCs w:val="24"/>
              </w:rPr>
              <w:t xml:space="preserve">a deed search and determined that the property now sought to be declared especially executable was registered in the names of the second defendant and his wife, Rachel </w:t>
            </w:r>
            <w:proofErr w:type="spellStart"/>
            <w:r>
              <w:rPr>
                <w:rFonts w:ascii="Arial" w:hAnsi="Arial" w:cs="Arial"/>
                <w:sz w:val="24"/>
                <w:szCs w:val="24"/>
              </w:rPr>
              <w:t>Dumeni</w:t>
            </w:r>
            <w:proofErr w:type="spellEnd"/>
            <w:r>
              <w:rPr>
                <w:rFonts w:ascii="Arial" w:hAnsi="Arial" w:cs="Arial"/>
                <w:sz w:val="24"/>
                <w:szCs w:val="24"/>
              </w:rPr>
              <w:t xml:space="preserve">. </w:t>
            </w:r>
          </w:p>
          <w:p w14:paraId="6CAF88EE" w14:textId="77777777" w:rsidR="00F6293D" w:rsidRPr="00F767FC" w:rsidRDefault="00F6293D" w:rsidP="00F6293D">
            <w:pPr>
              <w:pStyle w:val="ListParagraph"/>
              <w:rPr>
                <w:rFonts w:ascii="Arial" w:hAnsi="Arial" w:cs="Arial"/>
                <w:sz w:val="24"/>
                <w:szCs w:val="24"/>
              </w:rPr>
            </w:pPr>
          </w:p>
          <w:p w14:paraId="2524FDE9" w14:textId="4A7CE782"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455695">
              <w:rPr>
                <w:rFonts w:ascii="Arial" w:hAnsi="Arial" w:cs="Arial"/>
                <w:sz w:val="24"/>
                <w:szCs w:val="24"/>
              </w:rPr>
              <w:t xml:space="preserve">The second defendant's wife and the </w:t>
            </w:r>
            <w:r w:rsidR="00A94090">
              <w:rPr>
                <w:rFonts w:ascii="Arial" w:hAnsi="Arial" w:cs="Arial"/>
                <w:sz w:val="24"/>
                <w:szCs w:val="24"/>
              </w:rPr>
              <w:t>b</w:t>
            </w:r>
            <w:r w:rsidRPr="00455695">
              <w:rPr>
                <w:rFonts w:ascii="Arial" w:hAnsi="Arial" w:cs="Arial"/>
                <w:sz w:val="24"/>
                <w:szCs w:val="24"/>
              </w:rPr>
              <w:t>ank, holding a bond over the property in question, were made aware of the r</w:t>
            </w:r>
            <w:r w:rsidR="00A94090">
              <w:rPr>
                <w:rFonts w:ascii="Arial" w:hAnsi="Arial" w:cs="Arial"/>
                <w:sz w:val="24"/>
                <w:szCs w:val="24"/>
              </w:rPr>
              <w:t xml:space="preserve"> </w:t>
            </w:r>
            <w:r w:rsidRPr="00455695">
              <w:rPr>
                <w:rFonts w:ascii="Arial" w:hAnsi="Arial" w:cs="Arial"/>
                <w:sz w:val="24"/>
                <w:szCs w:val="24"/>
              </w:rPr>
              <w:t>108 proceedings.</w:t>
            </w:r>
          </w:p>
          <w:p w14:paraId="172D9968" w14:textId="77777777" w:rsidR="00F6293D" w:rsidRPr="00691DA5" w:rsidRDefault="00F6293D" w:rsidP="00F6293D">
            <w:pPr>
              <w:pStyle w:val="ListParagraph"/>
              <w:rPr>
                <w:rFonts w:ascii="Arial" w:hAnsi="Arial" w:cs="Arial"/>
                <w:sz w:val="24"/>
                <w:szCs w:val="24"/>
              </w:rPr>
            </w:pPr>
          </w:p>
          <w:p w14:paraId="4B62E261" w14:textId="34CA4E14" w:rsidR="00F6293D" w:rsidRPr="00691DA5" w:rsidRDefault="00F6293D" w:rsidP="00F6293D">
            <w:pPr>
              <w:pStyle w:val="ListParagraph"/>
              <w:spacing w:line="360" w:lineRule="auto"/>
              <w:ind w:left="0"/>
              <w:jc w:val="both"/>
              <w:rPr>
                <w:rFonts w:ascii="Arial" w:hAnsi="Arial" w:cs="Arial"/>
                <w:sz w:val="24"/>
                <w:szCs w:val="24"/>
                <w:u w:val="single"/>
              </w:rPr>
            </w:pPr>
            <w:r w:rsidRPr="00691DA5">
              <w:rPr>
                <w:rFonts w:ascii="Arial" w:hAnsi="Arial" w:cs="Arial"/>
                <w:sz w:val="24"/>
                <w:szCs w:val="24"/>
                <w:u w:val="single"/>
              </w:rPr>
              <w:t>The opposition</w:t>
            </w:r>
            <w:r>
              <w:rPr>
                <w:rFonts w:ascii="Arial" w:hAnsi="Arial" w:cs="Arial"/>
                <w:sz w:val="24"/>
                <w:szCs w:val="24"/>
                <w:u w:val="single"/>
              </w:rPr>
              <w:t xml:space="preserve"> to the r 108 application</w:t>
            </w:r>
          </w:p>
          <w:p w14:paraId="2B937489" w14:textId="77777777" w:rsidR="00F6293D" w:rsidRPr="00691DA5" w:rsidRDefault="00F6293D" w:rsidP="00F6293D">
            <w:pPr>
              <w:pStyle w:val="ListParagraph"/>
              <w:rPr>
                <w:rFonts w:ascii="Arial" w:hAnsi="Arial" w:cs="Arial"/>
                <w:sz w:val="24"/>
                <w:szCs w:val="24"/>
              </w:rPr>
            </w:pPr>
          </w:p>
          <w:p w14:paraId="52EA88AE" w14:textId="77777777"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t xml:space="preserve">The second respondent raised three points in </w:t>
            </w:r>
            <w:proofErr w:type="spellStart"/>
            <w:r>
              <w:rPr>
                <w:rFonts w:ascii="Arial" w:hAnsi="Arial" w:cs="Arial"/>
                <w:sz w:val="24"/>
                <w:szCs w:val="24"/>
              </w:rPr>
              <w:t>limine</w:t>
            </w:r>
            <w:proofErr w:type="spellEnd"/>
            <w:r>
              <w:rPr>
                <w:rFonts w:ascii="Arial" w:hAnsi="Arial" w:cs="Arial"/>
                <w:sz w:val="24"/>
                <w:szCs w:val="24"/>
              </w:rPr>
              <w:t xml:space="preserve"> in opposition to the current application. The points in </w:t>
            </w:r>
            <w:proofErr w:type="spellStart"/>
            <w:r>
              <w:rPr>
                <w:rFonts w:ascii="Arial" w:hAnsi="Arial" w:cs="Arial"/>
                <w:sz w:val="24"/>
                <w:szCs w:val="24"/>
              </w:rPr>
              <w:t>limine</w:t>
            </w:r>
            <w:proofErr w:type="spellEnd"/>
            <w:r>
              <w:rPr>
                <w:rFonts w:ascii="Arial" w:hAnsi="Arial" w:cs="Arial"/>
                <w:sz w:val="24"/>
                <w:szCs w:val="24"/>
              </w:rPr>
              <w:t xml:space="preserve"> are as follows: </w:t>
            </w:r>
          </w:p>
          <w:p w14:paraId="14CB0F40" w14:textId="77777777" w:rsidR="000F77BF" w:rsidRDefault="000F77BF" w:rsidP="000F77BF">
            <w:pPr>
              <w:pStyle w:val="ListParagraph"/>
              <w:spacing w:line="360" w:lineRule="auto"/>
              <w:ind w:left="0"/>
              <w:jc w:val="both"/>
              <w:rPr>
                <w:rFonts w:ascii="Arial" w:hAnsi="Arial" w:cs="Arial"/>
                <w:sz w:val="24"/>
                <w:szCs w:val="24"/>
              </w:rPr>
            </w:pPr>
          </w:p>
          <w:p w14:paraId="0A8A5E0C" w14:textId="490BC0C6" w:rsidR="00F6293D" w:rsidRDefault="00F6293D" w:rsidP="00F6293D">
            <w:pPr>
              <w:pStyle w:val="ListParagraph"/>
              <w:numPr>
                <w:ilvl w:val="0"/>
                <w:numId w:val="9"/>
              </w:numPr>
              <w:spacing w:line="360" w:lineRule="auto"/>
              <w:jc w:val="both"/>
              <w:rPr>
                <w:rFonts w:ascii="Arial" w:hAnsi="Arial" w:cs="Arial"/>
                <w:sz w:val="24"/>
                <w:szCs w:val="24"/>
              </w:rPr>
            </w:pPr>
            <w:r>
              <w:rPr>
                <w:rFonts w:ascii="Arial" w:hAnsi="Arial" w:cs="Arial"/>
                <w:sz w:val="24"/>
                <w:szCs w:val="24"/>
              </w:rPr>
              <w:t xml:space="preserve">Non-compliance with r 108(2) of the rules of court. This point in </w:t>
            </w:r>
            <w:proofErr w:type="spellStart"/>
            <w:r>
              <w:rPr>
                <w:rFonts w:ascii="Arial" w:hAnsi="Arial" w:cs="Arial"/>
                <w:sz w:val="24"/>
                <w:szCs w:val="24"/>
              </w:rPr>
              <w:t>limine</w:t>
            </w:r>
            <w:proofErr w:type="spellEnd"/>
            <w:r>
              <w:rPr>
                <w:rFonts w:ascii="Arial" w:hAnsi="Arial" w:cs="Arial"/>
                <w:sz w:val="24"/>
                <w:szCs w:val="24"/>
              </w:rPr>
              <w:t xml:space="preserve"> was abandoned by the second respondent.</w:t>
            </w:r>
          </w:p>
          <w:p w14:paraId="794695DF" w14:textId="502225AA" w:rsidR="00F6293D" w:rsidRPr="00D36FDB" w:rsidRDefault="00F6293D" w:rsidP="00F6293D">
            <w:pPr>
              <w:pStyle w:val="ListParagraph"/>
              <w:numPr>
                <w:ilvl w:val="0"/>
                <w:numId w:val="9"/>
              </w:numPr>
              <w:spacing w:line="360" w:lineRule="auto"/>
              <w:jc w:val="both"/>
              <w:rPr>
                <w:rFonts w:ascii="Arial" w:hAnsi="Arial" w:cs="Arial"/>
                <w:sz w:val="24"/>
                <w:szCs w:val="24"/>
              </w:rPr>
            </w:pPr>
            <w:r>
              <w:rPr>
                <w:rFonts w:ascii="Arial" w:hAnsi="Arial" w:cs="Arial"/>
                <w:sz w:val="24"/>
                <w:szCs w:val="24"/>
              </w:rPr>
              <w:t>T</w:t>
            </w:r>
            <w:r w:rsidRPr="00D36FDB">
              <w:rPr>
                <w:rFonts w:ascii="Arial" w:hAnsi="Arial" w:cs="Arial"/>
                <w:sz w:val="24"/>
                <w:szCs w:val="24"/>
              </w:rPr>
              <w:t xml:space="preserve">he provisions of </w:t>
            </w:r>
            <w:proofErr w:type="spellStart"/>
            <w:r>
              <w:rPr>
                <w:rFonts w:ascii="Arial" w:hAnsi="Arial" w:cs="Arial"/>
                <w:sz w:val="24"/>
                <w:szCs w:val="24"/>
              </w:rPr>
              <w:t>ss</w:t>
            </w:r>
            <w:proofErr w:type="spellEnd"/>
            <w:r w:rsidRPr="00D36FDB">
              <w:rPr>
                <w:rFonts w:ascii="Arial" w:hAnsi="Arial" w:cs="Arial"/>
                <w:sz w:val="24"/>
                <w:szCs w:val="24"/>
              </w:rPr>
              <w:t xml:space="preserve"> 7 and 8 of the </w:t>
            </w:r>
            <w:r>
              <w:rPr>
                <w:rFonts w:ascii="Arial" w:hAnsi="Arial" w:cs="Arial"/>
                <w:sz w:val="24"/>
                <w:szCs w:val="24"/>
              </w:rPr>
              <w:t>M</w:t>
            </w:r>
            <w:r w:rsidRPr="00D36FDB">
              <w:rPr>
                <w:rFonts w:ascii="Arial" w:hAnsi="Arial" w:cs="Arial"/>
                <w:sz w:val="24"/>
                <w:szCs w:val="24"/>
              </w:rPr>
              <w:t xml:space="preserve">arried </w:t>
            </w:r>
            <w:r>
              <w:rPr>
                <w:rFonts w:ascii="Arial" w:hAnsi="Arial" w:cs="Arial"/>
                <w:sz w:val="24"/>
                <w:szCs w:val="24"/>
              </w:rPr>
              <w:t>P</w:t>
            </w:r>
            <w:r w:rsidRPr="00D36FDB">
              <w:rPr>
                <w:rFonts w:ascii="Arial" w:hAnsi="Arial" w:cs="Arial"/>
                <w:sz w:val="24"/>
                <w:szCs w:val="24"/>
              </w:rPr>
              <w:t xml:space="preserve">erson’s </w:t>
            </w:r>
            <w:r>
              <w:rPr>
                <w:rFonts w:ascii="Arial" w:hAnsi="Arial" w:cs="Arial"/>
                <w:sz w:val="24"/>
                <w:szCs w:val="24"/>
              </w:rPr>
              <w:t>E</w:t>
            </w:r>
            <w:r w:rsidRPr="00D36FDB">
              <w:rPr>
                <w:rFonts w:ascii="Arial" w:hAnsi="Arial" w:cs="Arial"/>
                <w:sz w:val="24"/>
                <w:szCs w:val="24"/>
              </w:rPr>
              <w:t xml:space="preserve">quality </w:t>
            </w:r>
            <w:r>
              <w:rPr>
                <w:rFonts w:ascii="Arial" w:hAnsi="Arial" w:cs="Arial"/>
                <w:sz w:val="24"/>
                <w:szCs w:val="24"/>
              </w:rPr>
              <w:t>A</w:t>
            </w:r>
            <w:r w:rsidRPr="00D36FDB">
              <w:rPr>
                <w:rFonts w:ascii="Arial" w:hAnsi="Arial" w:cs="Arial"/>
                <w:sz w:val="24"/>
                <w:szCs w:val="24"/>
              </w:rPr>
              <w:t>ct 1 of 1996</w:t>
            </w:r>
            <w:r>
              <w:rPr>
                <w:rFonts w:ascii="Arial" w:hAnsi="Arial" w:cs="Arial"/>
                <w:sz w:val="24"/>
                <w:szCs w:val="24"/>
              </w:rPr>
              <w:t xml:space="preserve"> (the Act).</w:t>
            </w:r>
          </w:p>
          <w:p w14:paraId="23F08FF6" w14:textId="77777777" w:rsidR="00F6293D" w:rsidRPr="00691DA5" w:rsidRDefault="00F6293D" w:rsidP="00F6293D">
            <w:pPr>
              <w:pStyle w:val="ListParagraph"/>
              <w:numPr>
                <w:ilvl w:val="0"/>
                <w:numId w:val="9"/>
              </w:numPr>
              <w:spacing w:line="360" w:lineRule="auto"/>
              <w:jc w:val="both"/>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nulla</w:t>
            </w:r>
            <w:proofErr w:type="spellEnd"/>
            <w:r>
              <w:rPr>
                <w:rFonts w:ascii="Arial" w:hAnsi="Arial" w:cs="Arial"/>
                <w:sz w:val="24"/>
                <w:szCs w:val="24"/>
              </w:rPr>
              <w:t xml:space="preserve"> bona return was filed in respect of the first respondent.</w:t>
            </w:r>
          </w:p>
          <w:p w14:paraId="5ECFA542" w14:textId="77777777" w:rsidR="00F6293D" w:rsidRDefault="00F6293D" w:rsidP="00F6293D">
            <w:pPr>
              <w:spacing w:line="360" w:lineRule="auto"/>
              <w:jc w:val="both"/>
              <w:rPr>
                <w:rFonts w:ascii="Arial" w:hAnsi="Arial" w:cs="Arial"/>
                <w:sz w:val="24"/>
                <w:szCs w:val="24"/>
              </w:rPr>
            </w:pPr>
          </w:p>
          <w:p w14:paraId="2FEE04B4" w14:textId="7A502439" w:rsidR="00F6293D" w:rsidRDefault="00F6293D" w:rsidP="00F6293D">
            <w:pPr>
              <w:spacing w:line="360" w:lineRule="auto"/>
              <w:jc w:val="both"/>
              <w:rPr>
                <w:rFonts w:ascii="Arial" w:hAnsi="Arial" w:cs="Arial"/>
                <w:sz w:val="24"/>
                <w:szCs w:val="24"/>
                <w:u w:val="single"/>
              </w:rPr>
            </w:pPr>
            <w:r w:rsidRPr="00D36FDB">
              <w:rPr>
                <w:rFonts w:ascii="Arial" w:hAnsi="Arial" w:cs="Arial"/>
                <w:sz w:val="24"/>
                <w:szCs w:val="24"/>
                <w:u w:val="single"/>
              </w:rPr>
              <w:t>Arguments advanced</w:t>
            </w:r>
          </w:p>
          <w:p w14:paraId="59374940" w14:textId="77777777" w:rsidR="00F6293D" w:rsidRPr="00D36FDB" w:rsidRDefault="00F6293D" w:rsidP="00F6293D">
            <w:pPr>
              <w:spacing w:line="360" w:lineRule="auto"/>
              <w:jc w:val="both"/>
              <w:rPr>
                <w:rFonts w:ascii="Arial" w:hAnsi="Arial" w:cs="Arial"/>
                <w:sz w:val="24"/>
                <w:szCs w:val="24"/>
                <w:u w:val="single"/>
              </w:rPr>
            </w:pPr>
          </w:p>
          <w:p w14:paraId="3902109D" w14:textId="77777777" w:rsidR="00F6293D" w:rsidRPr="0018522C" w:rsidRDefault="00F6293D" w:rsidP="00F6293D">
            <w:pPr>
              <w:pStyle w:val="ListParagraph"/>
              <w:numPr>
                <w:ilvl w:val="0"/>
                <w:numId w:val="8"/>
              </w:numPr>
              <w:spacing w:line="360" w:lineRule="auto"/>
              <w:ind w:left="0" w:firstLine="0"/>
              <w:jc w:val="both"/>
              <w:rPr>
                <w:rFonts w:ascii="Arial" w:hAnsi="Arial" w:cs="Arial"/>
                <w:sz w:val="24"/>
                <w:szCs w:val="24"/>
              </w:rPr>
            </w:pPr>
            <w:r w:rsidRPr="00B46A54">
              <w:rPr>
                <w:rFonts w:ascii="Arial" w:hAnsi="Arial" w:cs="Arial"/>
                <w:sz w:val="24"/>
                <w:szCs w:val="24"/>
                <w:shd w:val="clear" w:color="auto" w:fill="FFFFFF"/>
              </w:rPr>
              <w:t>I will refer to the oral arguments and written arguments interchangeably. If in the course of this ruling, I use the words 'submit' and 'argue' and their derivatives, they must be understood to encompass both.</w:t>
            </w:r>
          </w:p>
          <w:p w14:paraId="1F443440" w14:textId="77777777" w:rsidR="00F6293D" w:rsidRPr="0018522C" w:rsidRDefault="00F6293D" w:rsidP="00F6293D">
            <w:pPr>
              <w:pStyle w:val="ListParagraph"/>
              <w:spacing w:line="360" w:lineRule="auto"/>
              <w:ind w:left="0"/>
              <w:jc w:val="both"/>
              <w:rPr>
                <w:rFonts w:ascii="Arial" w:hAnsi="Arial" w:cs="Arial"/>
                <w:sz w:val="24"/>
                <w:szCs w:val="24"/>
              </w:rPr>
            </w:pPr>
          </w:p>
          <w:p w14:paraId="16952D3B" w14:textId="77777777" w:rsidR="00F6293D" w:rsidRDefault="00F6293D" w:rsidP="00F6293D">
            <w:pPr>
              <w:pStyle w:val="ListParagraph"/>
              <w:spacing w:line="360" w:lineRule="auto"/>
              <w:ind w:left="0"/>
              <w:jc w:val="both"/>
              <w:rPr>
                <w:rFonts w:ascii="Arial" w:hAnsi="Arial" w:cs="Arial"/>
                <w:i/>
                <w:sz w:val="24"/>
                <w:szCs w:val="24"/>
              </w:rPr>
            </w:pPr>
            <w:r>
              <w:rPr>
                <w:rFonts w:ascii="Arial" w:hAnsi="Arial" w:cs="Arial"/>
                <w:i/>
                <w:sz w:val="24"/>
                <w:szCs w:val="24"/>
              </w:rPr>
              <w:t>On behalf of the applicant</w:t>
            </w:r>
          </w:p>
          <w:p w14:paraId="73F4E9D3" w14:textId="77777777" w:rsidR="00F6293D" w:rsidRPr="0018522C" w:rsidRDefault="00F6293D" w:rsidP="00F6293D">
            <w:pPr>
              <w:pStyle w:val="ListParagraph"/>
              <w:spacing w:line="360" w:lineRule="auto"/>
              <w:ind w:left="0"/>
              <w:jc w:val="both"/>
              <w:rPr>
                <w:rFonts w:ascii="Arial" w:hAnsi="Arial" w:cs="Arial"/>
                <w:i/>
                <w:sz w:val="24"/>
                <w:szCs w:val="24"/>
              </w:rPr>
            </w:pPr>
          </w:p>
          <w:p w14:paraId="15BB491A" w14:textId="77777777" w:rsidR="00F6293D" w:rsidRPr="0018522C" w:rsidRDefault="00F6293D" w:rsidP="00F6293D">
            <w:pPr>
              <w:pStyle w:val="ListParagraph"/>
              <w:numPr>
                <w:ilvl w:val="0"/>
                <w:numId w:val="8"/>
              </w:numPr>
              <w:spacing w:line="360" w:lineRule="auto"/>
              <w:ind w:left="0" w:firstLine="0"/>
              <w:jc w:val="both"/>
              <w:rPr>
                <w:rFonts w:ascii="Arial" w:hAnsi="Arial" w:cs="Arial"/>
                <w:sz w:val="24"/>
                <w:szCs w:val="24"/>
              </w:rPr>
            </w:pPr>
            <w:r w:rsidRPr="00B46A54">
              <w:rPr>
                <w:rFonts w:ascii="Arial" w:hAnsi="Arial" w:cs="Arial"/>
                <w:sz w:val="24"/>
                <w:szCs w:val="24"/>
              </w:rPr>
              <w:t xml:space="preserve">Ms </w:t>
            </w:r>
            <w:proofErr w:type="spellStart"/>
            <w:r w:rsidRPr="00B46A54">
              <w:rPr>
                <w:rFonts w:ascii="Arial" w:hAnsi="Arial" w:cs="Arial"/>
                <w:sz w:val="24"/>
                <w:szCs w:val="24"/>
              </w:rPr>
              <w:t>Janke</w:t>
            </w:r>
            <w:proofErr w:type="spellEnd"/>
            <w:r w:rsidRPr="00B46A54">
              <w:rPr>
                <w:rFonts w:ascii="Arial" w:hAnsi="Arial" w:cs="Arial"/>
                <w:sz w:val="24"/>
                <w:szCs w:val="24"/>
              </w:rPr>
              <w:t xml:space="preserve"> argue</w:t>
            </w:r>
            <w:r>
              <w:rPr>
                <w:rFonts w:ascii="Arial" w:hAnsi="Arial" w:cs="Arial"/>
                <w:sz w:val="24"/>
                <w:szCs w:val="24"/>
              </w:rPr>
              <w:t>s</w:t>
            </w:r>
            <w:r w:rsidRPr="00B46A54">
              <w:rPr>
                <w:rFonts w:ascii="Arial" w:hAnsi="Arial" w:cs="Arial"/>
                <w:sz w:val="24"/>
                <w:szCs w:val="24"/>
              </w:rPr>
              <w:t xml:space="preserve"> that the second defendant's reliance on the provisions of s 7 of the Married Persons Equality Act is misplaced as it is clear that s 7(5) of the Act provides an exception to the remainder of the subsections of s 7. Ms </w:t>
            </w:r>
            <w:proofErr w:type="spellStart"/>
            <w:r w:rsidRPr="00B46A54">
              <w:rPr>
                <w:rFonts w:ascii="Arial" w:hAnsi="Arial" w:cs="Arial"/>
                <w:sz w:val="24"/>
                <w:szCs w:val="24"/>
              </w:rPr>
              <w:t>Janke</w:t>
            </w:r>
            <w:proofErr w:type="spellEnd"/>
            <w:r w:rsidRPr="00B46A54">
              <w:rPr>
                <w:rFonts w:ascii="Arial" w:hAnsi="Arial" w:cs="Arial"/>
                <w:sz w:val="24"/>
                <w:szCs w:val="24"/>
              </w:rPr>
              <w:t xml:space="preserve"> argues that the initial agreement between the plaintiff and the defendants and the subsequent settlement agreement must be regarded as agreements entered into by the second respondent within the ordinary cause of his business. As a result, it falls squarely within s 7(5) of the Act and therefore, the consent of his wife to conclude the said business deals </w:t>
            </w:r>
            <w:r>
              <w:rPr>
                <w:rFonts w:ascii="Arial" w:hAnsi="Arial" w:cs="Arial"/>
                <w:sz w:val="24"/>
                <w:szCs w:val="24"/>
              </w:rPr>
              <w:t>were</w:t>
            </w:r>
            <w:r w:rsidRPr="00B46A54">
              <w:rPr>
                <w:rFonts w:ascii="Arial" w:hAnsi="Arial" w:cs="Arial"/>
                <w:sz w:val="24"/>
                <w:szCs w:val="24"/>
              </w:rPr>
              <w:t xml:space="preserve"> not required. </w:t>
            </w:r>
            <w:r w:rsidRPr="0018522C">
              <w:rPr>
                <w:rFonts w:ascii="Arial" w:hAnsi="Arial" w:cs="Arial"/>
                <w:sz w:val="24"/>
                <w:szCs w:val="24"/>
              </w:rPr>
              <w:t xml:space="preserve"> In this regard, the court was referred to </w:t>
            </w:r>
            <w:r w:rsidRPr="0018522C">
              <w:rPr>
                <w:rFonts w:ascii="Arial" w:hAnsi="Arial" w:cs="Arial"/>
                <w:i/>
                <w:sz w:val="24"/>
                <w:szCs w:val="24"/>
              </w:rPr>
              <w:t>Behrens N. O. v The Home Doctor CC.</w:t>
            </w:r>
            <w:r>
              <w:rPr>
                <w:rStyle w:val="FootnoteReference"/>
                <w:rFonts w:ascii="Arial" w:hAnsi="Arial" w:cs="Arial"/>
                <w:sz w:val="24"/>
                <w:szCs w:val="24"/>
              </w:rPr>
              <w:footnoteReference w:id="1"/>
            </w:r>
          </w:p>
          <w:p w14:paraId="4CF03141" w14:textId="77777777" w:rsidR="00F6293D" w:rsidRPr="00E452C1" w:rsidRDefault="00F6293D" w:rsidP="00F6293D">
            <w:pPr>
              <w:pStyle w:val="ListParagraph"/>
              <w:spacing w:line="360" w:lineRule="auto"/>
              <w:ind w:left="0"/>
              <w:jc w:val="both"/>
              <w:rPr>
                <w:rFonts w:ascii="Arial" w:hAnsi="Arial" w:cs="Arial"/>
                <w:sz w:val="24"/>
                <w:szCs w:val="24"/>
              </w:rPr>
            </w:pPr>
          </w:p>
          <w:p w14:paraId="359E570B" w14:textId="340E2D33"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t xml:space="preserve">On the issue of the applicant’s failure to file a </w:t>
            </w:r>
            <w:proofErr w:type="spellStart"/>
            <w:r>
              <w:rPr>
                <w:rFonts w:ascii="Arial" w:hAnsi="Arial" w:cs="Arial"/>
                <w:sz w:val="24"/>
                <w:szCs w:val="24"/>
              </w:rPr>
              <w:t>nulla</w:t>
            </w:r>
            <w:proofErr w:type="spellEnd"/>
            <w:r>
              <w:rPr>
                <w:rFonts w:ascii="Arial" w:hAnsi="Arial" w:cs="Arial"/>
                <w:sz w:val="24"/>
                <w:szCs w:val="24"/>
              </w:rPr>
              <w:t xml:space="preserve"> bona</w:t>
            </w:r>
            <w:r w:rsidR="000F77BF">
              <w:rPr>
                <w:rFonts w:ascii="Arial" w:hAnsi="Arial" w:cs="Arial"/>
                <w:sz w:val="24"/>
                <w:szCs w:val="24"/>
              </w:rPr>
              <w:t xml:space="preserve"> </w:t>
            </w:r>
            <w:r w:rsidR="000F77BF" w:rsidRPr="00A94090">
              <w:rPr>
                <w:rFonts w:ascii="Arial" w:hAnsi="Arial" w:cs="Arial"/>
                <w:sz w:val="24"/>
                <w:szCs w:val="24"/>
              </w:rPr>
              <w:t>return</w:t>
            </w:r>
            <w:r>
              <w:rPr>
                <w:rFonts w:ascii="Arial" w:hAnsi="Arial" w:cs="Arial"/>
                <w:sz w:val="24"/>
                <w:szCs w:val="24"/>
              </w:rPr>
              <w:t xml:space="preserve"> in respect of the first respondent Ms </w:t>
            </w:r>
            <w:proofErr w:type="spellStart"/>
            <w:r>
              <w:rPr>
                <w:rFonts w:ascii="Arial" w:hAnsi="Arial" w:cs="Arial"/>
                <w:sz w:val="24"/>
                <w:szCs w:val="24"/>
              </w:rPr>
              <w:t>Janke</w:t>
            </w:r>
            <w:proofErr w:type="spellEnd"/>
            <w:r>
              <w:rPr>
                <w:rFonts w:ascii="Arial" w:hAnsi="Arial" w:cs="Arial"/>
                <w:sz w:val="24"/>
                <w:szCs w:val="24"/>
              </w:rPr>
              <w:t xml:space="preserve"> argues, with reference to </w:t>
            </w:r>
            <w:r w:rsidRPr="0018522C">
              <w:rPr>
                <w:rFonts w:ascii="Arial" w:hAnsi="Arial" w:cs="Arial"/>
                <w:i/>
                <w:sz w:val="24"/>
                <w:szCs w:val="24"/>
              </w:rPr>
              <w:t xml:space="preserve">Standard Bank Namibia Limited v </w:t>
            </w:r>
            <w:proofErr w:type="spellStart"/>
            <w:r w:rsidRPr="0018522C">
              <w:rPr>
                <w:rFonts w:ascii="Arial" w:hAnsi="Arial" w:cs="Arial"/>
                <w:i/>
                <w:sz w:val="24"/>
                <w:szCs w:val="24"/>
              </w:rPr>
              <w:t>Shipila</w:t>
            </w:r>
            <w:proofErr w:type="spellEnd"/>
            <w:r w:rsidR="00A94090">
              <w:rPr>
                <w:rFonts w:ascii="Arial" w:hAnsi="Arial" w:cs="Arial"/>
                <w:i/>
                <w:sz w:val="24"/>
                <w:szCs w:val="24"/>
              </w:rPr>
              <w:t xml:space="preserve"> </w:t>
            </w:r>
            <w:proofErr w:type="gramStart"/>
            <w:r w:rsidR="00A94090">
              <w:rPr>
                <w:rFonts w:ascii="Arial" w:hAnsi="Arial" w:cs="Arial"/>
                <w:i/>
                <w:sz w:val="24"/>
                <w:szCs w:val="24"/>
              </w:rPr>
              <w:t xml:space="preserve">and </w:t>
            </w:r>
            <w:r w:rsidRPr="0018522C">
              <w:rPr>
                <w:rFonts w:ascii="Arial" w:hAnsi="Arial" w:cs="Arial"/>
                <w:i/>
                <w:sz w:val="24"/>
                <w:szCs w:val="24"/>
              </w:rPr>
              <w:t xml:space="preserve"> </w:t>
            </w:r>
            <w:r w:rsidRPr="0018522C">
              <w:rPr>
                <w:rFonts w:ascii="Arial" w:hAnsi="Arial" w:cs="Arial"/>
                <w:i/>
                <w:sz w:val="24"/>
                <w:szCs w:val="24"/>
              </w:rPr>
              <w:lastRenderedPageBreak/>
              <w:t>Others</w:t>
            </w:r>
            <w:proofErr w:type="gramEnd"/>
            <w:r>
              <w:rPr>
                <w:rFonts w:ascii="Arial" w:hAnsi="Arial" w:cs="Arial"/>
                <w:i/>
                <w:sz w:val="24"/>
                <w:szCs w:val="24"/>
              </w:rPr>
              <w:t>,</w:t>
            </w:r>
            <w:r w:rsidRPr="00E452C1">
              <w:rPr>
                <w:rStyle w:val="FootnoteReference"/>
                <w:rFonts w:ascii="Arial" w:hAnsi="Arial" w:cs="Arial"/>
                <w:sz w:val="24"/>
                <w:szCs w:val="24"/>
              </w:rPr>
              <w:footnoteReference w:id="2"/>
            </w:r>
            <w:r w:rsidRPr="00E452C1">
              <w:rPr>
                <w:rFonts w:ascii="Arial" w:hAnsi="Arial" w:cs="Arial"/>
                <w:sz w:val="24"/>
                <w:szCs w:val="24"/>
              </w:rPr>
              <w:t xml:space="preserve"> that where property sought to be declared executable is subject to a mortgage bond, it is unnecessary that an applican</w:t>
            </w:r>
            <w:r>
              <w:rPr>
                <w:rFonts w:ascii="Arial" w:hAnsi="Arial" w:cs="Arial"/>
                <w:sz w:val="24"/>
                <w:szCs w:val="24"/>
              </w:rPr>
              <w:t xml:space="preserve">t must file a </w:t>
            </w:r>
            <w:proofErr w:type="spellStart"/>
            <w:r>
              <w:rPr>
                <w:rFonts w:ascii="Arial" w:hAnsi="Arial" w:cs="Arial"/>
                <w:sz w:val="24"/>
                <w:szCs w:val="24"/>
              </w:rPr>
              <w:t>nulla</w:t>
            </w:r>
            <w:proofErr w:type="spellEnd"/>
            <w:r>
              <w:rPr>
                <w:rFonts w:ascii="Arial" w:hAnsi="Arial" w:cs="Arial"/>
                <w:sz w:val="24"/>
                <w:szCs w:val="24"/>
              </w:rPr>
              <w:t xml:space="preserve"> bona return and therefore r</w:t>
            </w:r>
            <w:r w:rsidRPr="00E452C1">
              <w:rPr>
                <w:rFonts w:ascii="Arial" w:hAnsi="Arial" w:cs="Arial"/>
                <w:sz w:val="24"/>
                <w:szCs w:val="24"/>
              </w:rPr>
              <w:t xml:space="preserve"> 108(1</w:t>
            </w:r>
            <w:r w:rsidRPr="00A94090">
              <w:rPr>
                <w:rFonts w:ascii="Arial" w:hAnsi="Arial" w:cs="Arial"/>
                <w:sz w:val="24"/>
                <w:szCs w:val="24"/>
              </w:rPr>
              <w:t>)(</w:t>
            </w:r>
            <w:r w:rsidRPr="00A94090">
              <w:rPr>
                <w:rFonts w:ascii="Arial" w:hAnsi="Arial" w:cs="Arial"/>
                <w:i/>
                <w:sz w:val="24"/>
                <w:szCs w:val="24"/>
              </w:rPr>
              <w:t>a</w:t>
            </w:r>
            <w:r w:rsidRPr="00E452C1">
              <w:rPr>
                <w:rFonts w:ascii="Arial" w:hAnsi="Arial" w:cs="Arial"/>
                <w:sz w:val="24"/>
                <w:szCs w:val="24"/>
              </w:rPr>
              <w:t>) does not find application.</w:t>
            </w:r>
          </w:p>
          <w:p w14:paraId="167DFEF7" w14:textId="77777777" w:rsidR="00F6293D" w:rsidRPr="00657C62" w:rsidRDefault="00F6293D" w:rsidP="00F6293D">
            <w:pPr>
              <w:pStyle w:val="ListParagraph"/>
              <w:rPr>
                <w:rFonts w:ascii="Arial" w:hAnsi="Arial" w:cs="Arial"/>
                <w:sz w:val="24"/>
                <w:szCs w:val="24"/>
              </w:rPr>
            </w:pPr>
          </w:p>
          <w:p w14:paraId="7AAB0585" w14:textId="77777777" w:rsidR="00F6293D" w:rsidRPr="00B46A54" w:rsidRDefault="00F6293D" w:rsidP="00F6293D">
            <w:pPr>
              <w:pStyle w:val="ListParagraph"/>
              <w:numPr>
                <w:ilvl w:val="0"/>
                <w:numId w:val="8"/>
              </w:numPr>
              <w:spacing w:line="360" w:lineRule="auto"/>
              <w:ind w:left="0" w:firstLine="0"/>
              <w:jc w:val="both"/>
              <w:rPr>
                <w:rFonts w:ascii="Arial" w:hAnsi="Arial" w:cs="Arial"/>
                <w:sz w:val="24"/>
                <w:szCs w:val="24"/>
              </w:rPr>
            </w:pPr>
            <w:r w:rsidRPr="00B46A54">
              <w:rPr>
                <w:rFonts w:ascii="Arial" w:hAnsi="Arial" w:cs="Arial"/>
                <w:sz w:val="24"/>
                <w:szCs w:val="24"/>
              </w:rPr>
              <w:t xml:space="preserve">Ms </w:t>
            </w:r>
            <w:proofErr w:type="spellStart"/>
            <w:r w:rsidRPr="00B46A54">
              <w:rPr>
                <w:rFonts w:ascii="Arial" w:hAnsi="Arial" w:cs="Arial"/>
                <w:sz w:val="24"/>
                <w:szCs w:val="24"/>
              </w:rPr>
              <w:t>Janke</w:t>
            </w:r>
            <w:proofErr w:type="spellEnd"/>
            <w:r w:rsidRPr="00B46A54">
              <w:rPr>
                <w:rFonts w:ascii="Arial" w:hAnsi="Arial" w:cs="Arial"/>
                <w:sz w:val="24"/>
                <w:szCs w:val="24"/>
              </w:rPr>
              <w:t xml:space="preserve"> argues that the respondents have failed to provide alternative measures or less drastic measures other than the execution of the property in question. Counsel submits that the respondents' suggestion that they will be able to make monthly payments is without merit as the defendants continuously failed to honour their undertakings since September 2019. </w:t>
            </w:r>
          </w:p>
          <w:p w14:paraId="0DFFBD93" w14:textId="77777777" w:rsidR="00F6293D" w:rsidRPr="00657C62" w:rsidRDefault="00F6293D" w:rsidP="00F6293D">
            <w:pPr>
              <w:pStyle w:val="ListParagraph"/>
              <w:spacing w:line="360" w:lineRule="auto"/>
              <w:ind w:left="0"/>
              <w:jc w:val="both"/>
              <w:rPr>
                <w:rFonts w:ascii="Arial" w:hAnsi="Arial" w:cs="Arial"/>
                <w:sz w:val="24"/>
                <w:szCs w:val="24"/>
              </w:rPr>
            </w:pPr>
          </w:p>
          <w:p w14:paraId="2718666D" w14:textId="77777777" w:rsidR="00F6293D" w:rsidRPr="0018522C" w:rsidRDefault="00F6293D" w:rsidP="00F6293D">
            <w:pPr>
              <w:pStyle w:val="ListParagraph"/>
              <w:spacing w:line="360" w:lineRule="auto"/>
              <w:ind w:left="0"/>
              <w:jc w:val="both"/>
              <w:rPr>
                <w:rFonts w:ascii="Arial" w:hAnsi="Arial" w:cs="Arial"/>
                <w:i/>
                <w:sz w:val="24"/>
                <w:szCs w:val="24"/>
              </w:rPr>
            </w:pPr>
            <w:r w:rsidRPr="0018522C">
              <w:rPr>
                <w:rFonts w:ascii="Arial" w:hAnsi="Arial" w:cs="Arial"/>
                <w:i/>
                <w:sz w:val="24"/>
                <w:szCs w:val="24"/>
              </w:rPr>
              <w:t>On behalf of the second respondent</w:t>
            </w:r>
          </w:p>
          <w:p w14:paraId="6E1E3C03" w14:textId="77777777" w:rsidR="00F6293D" w:rsidRPr="00E452C1" w:rsidRDefault="00F6293D" w:rsidP="00F6293D">
            <w:pPr>
              <w:pStyle w:val="ListParagraph"/>
              <w:spacing w:line="360" w:lineRule="auto"/>
              <w:ind w:left="0"/>
              <w:jc w:val="both"/>
              <w:rPr>
                <w:rFonts w:ascii="Arial" w:hAnsi="Arial" w:cs="Arial"/>
                <w:sz w:val="24"/>
                <w:szCs w:val="24"/>
              </w:rPr>
            </w:pPr>
          </w:p>
          <w:p w14:paraId="18F125D2" w14:textId="76956379"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B46A54">
              <w:rPr>
                <w:rFonts w:ascii="Arial" w:hAnsi="Arial" w:cs="Arial"/>
                <w:sz w:val="24"/>
                <w:szCs w:val="24"/>
              </w:rPr>
              <w:t xml:space="preserve">The gist of the second respondent's reliance on the Married Person's Equality Act is that the Act was specifically promulgated to protect the interests of female married persons who were married in community of property. In particular, the Act provides for their equal treatment with their husbands in the administration and </w:t>
            </w:r>
            <w:r w:rsidR="0045438B">
              <w:rPr>
                <w:rFonts w:ascii="Arial" w:hAnsi="Arial" w:cs="Arial"/>
                <w:sz w:val="24"/>
                <w:szCs w:val="24"/>
              </w:rPr>
              <w:t>decision-making</w:t>
            </w:r>
            <w:r w:rsidRPr="00B46A54">
              <w:rPr>
                <w:rFonts w:ascii="Arial" w:hAnsi="Arial" w:cs="Arial"/>
                <w:sz w:val="24"/>
                <w:szCs w:val="24"/>
              </w:rPr>
              <w:t xml:space="preserve"> of the </w:t>
            </w:r>
            <w:r w:rsidR="00F752DC">
              <w:rPr>
                <w:rFonts w:ascii="Arial" w:hAnsi="Arial" w:cs="Arial"/>
                <w:sz w:val="24"/>
                <w:szCs w:val="24"/>
              </w:rPr>
              <w:t>e</w:t>
            </w:r>
            <w:r w:rsidRPr="00B46A54">
              <w:rPr>
                <w:rFonts w:ascii="Arial" w:hAnsi="Arial" w:cs="Arial"/>
                <w:sz w:val="24"/>
                <w:szCs w:val="24"/>
              </w:rPr>
              <w:t xml:space="preserve">state. In the current instance, Mrs Rachel </w:t>
            </w:r>
            <w:proofErr w:type="spellStart"/>
            <w:r w:rsidRPr="00B46A54">
              <w:rPr>
                <w:rFonts w:ascii="Arial" w:hAnsi="Arial" w:cs="Arial"/>
                <w:sz w:val="24"/>
                <w:szCs w:val="24"/>
              </w:rPr>
              <w:t>Dumeni</w:t>
            </w:r>
            <w:proofErr w:type="spellEnd"/>
            <w:r w:rsidRPr="00B46A54">
              <w:rPr>
                <w:rFonts w:ascii="Arial" w:hAnsi="Arial" w:cs="Arial"/>
                <w:sz w:val="24"/>
                <w:szCs w:val="24"/>
              </w:rPr>
              <w:t xml:space="preserve"> was not a party to the main action. She is not cited as a party to this application, nor did she sign as surety to the main agreement between the parties or agree to the settlement agreement, which was made an order of court. The wife of the second respondent also did not sign the settlement agreement as a witness.</w:t>
            </w:r>
          </w:p>
          <w:p w14:paraId="76449DF6" w14:textId="77777777" w:rsidR="00F6293D" w:rsidRDefault="00F6293D" w:rsidP="00F6293D">
            <w:pPr>
              <w:pStyle w:val="ListParagraph"/>
              <w:spacing w:line="360" w:lineRule="auto"/>
              <w:ind w:left="0"/>
              <w:jc w:val="both"/>
              <w:rPr>
                <w:rFonts w:ascii="Arial" w:hAnsi="Arial" w:cs="Arial"/>
                <w:sz w:val="24"/>
                <w:szCs w:val="24"/>
              </w:rPr>
            </w:pPr>
          </w:p>
          <w:p w14:paraId="416CDACE" w14:textId="2A020DCE"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AB38ED">
              <w:rPr>
                <w:rFonts w:ascii="Arial" w:hAnsi="Arial" w:cs="Arial"/>
                <w:sz w:val="24"/>
                <w:szCs w:val="24"/>
              </w:rPr>
              <w:t>It</w:t>
            </w:r>
            <w:r w:rsidR="00A94090">
              <w:rPr>
                <w:rFonts w:ascii="Arial" w:hAnsi="Arial" w:cs="Arial"/>
                <w:sz w:val="24"/>
                <w:szCs w:val="24"/>
              </w:rPr>
              <w:t xml:space="preserve"> was</w:t>
            </w:r>
            <w:r w:rsidRPr="00AB38ED">
              <w:rPr>
                <w:rFonts w:ascii="Arial" w:hAnsi="Arial" w:cs="Arial"/>
                <w:sz w:val="24"/>
                <w:szCs w:val="24"/>
              </w:rPr>
              <w:t xml:space="preserve"> submitted on behalf of the second respondent that the policy reason behind the promulgation of the Act is, in part, to protect estate property from spouses, including spendthrift spouses, who commit themselves to debt and then seek to have estate property, in which both they and their spouses have an interest, becomes liable for sale for payment of individual debts.</w:t>
            </w:r>
          </w:p>
          <w:p w14:paraId="0812F52B" w14:textId="77777777" w:rsidR="00F6293D" w:rsidRPr="00E51287" w:rsidRDefault="00F6293D" w:rsidP="00F6293D">
            <w:pPr>
              <w:pStyle w:val="ListParagraph"/>
              <w:rPr>
                <w:rFonts w:ascii="Arial" w:hAnsi="Arial" w:cs="Arial"/>
                <w:sz w:val="24"/>
                <w:szCs w:val="24"/>
              </w:rPr>
            </w:pPr>
          </w:p>
          <w:p w14:paraId="5A542E6A" w14:textId="51AC9D77" w:rsidR="00F6293D" w:rsidRPr="00657C62" w:rsidRDefault="00F6293D" w:rsidP="00F6293D">
            <w:pPr>
              <w:pStyle w:val="ListParagraph"/>
              <w:numPr>
                <w:ilvl w:val="0"/>
                <w:numId w:val="8"/>
              </w:numPr>
              <w:spacing w:line="360" w:lineRule="auto"/>
              <w:ind w:left="0" w:firstLine="0"/>
              <w:jc w:val="both"/>
              <w:rPr>
                <w:rFonts w:ascii="Arial" w:hAnsi="Arial" w:cs="Arial"/>
                <w:sz w:val="24"/>
                <w:szCs w:val="24"/>
              </w:rPr>
            </w:pPr>
            <w:r w:rsidRPr="0055430B">
              <w:rPr>
                <w:rFonts w:ascii="Arial" w:hAnsi="Arial" w:cs="Arial"/>
                <w:sz w:val="24"/>
                <w:szCs w:val="24"/>
              </w:rPr>
              <w:t>I</w:t>
            </w:r>
            <w:r w:rsidR="000F77BF">
              <w:rPr>
                <w:rFonts w:ascii="Arial" w:hAnsi="Arial" w:cs="Arial"/>
                <w:sz w:val="24"/>
                <w:szCs w:val="24"/>
              </w:rPr>
              <w:t xml:space="preserve">t was, however, conceded that s </w:t>
            </w:r>
            <w:r w:rsidRPr="0055430B">
              <w:rPr>
                <w:rFonts w:ascii="Arial" w:hAnsi="Arial" w:cs="Arial"/>
                <w:sz w:val="24"/>
                <w:szCs w:val="24"/>
              </w:rPr>
              <w:t xml:space="preserve">7(5) of the Act provides the exception, but it was maintained that the settlement agreement risking the joint property is not one of them and does not fall within the exception. </w:t>
            </w:r>
            <w:r w:rsidR="0045438B">
              <w:rPr>
                <w:rFonts w:ascii="Arial" w:hAnsi="Arial" w:cs="Arial"/>
                <w:sz w:val="24"/>
                <w:szCs w:val="24"/>
              </w:rPr>
              <w:t>Moreover, f</w:t>
            </w:r>
            <w:r w:rsidRPr="0055430B">
              <w:rPr>
                <w:rFonts w:ascii="Arial" w:hAnsi="Arial" w:cs="Arial"/>
                <w:sz w:val="24"/>
                <w:szCs w:val="24"/>
              </w:rPr>
              <w:t xml:space="preserve">or the exception to apply, the wife of the second respondent ought to have signed as surety for </w:t>
            </w:r>
            <w:r w:rsidR="0045438B">
              <w:rPr>
                <w:rFonts w:ascii="Arial" w:hAnsi="Arial" w:cs="Arial"/>
                <w:sz w:val="24"/>
                <w:szCs w:val="24"/>
              </w:rPr>
              <w:t xml:space="preserve">the </w:t>
            </w:r>
            <w:r w:rsidRPr="0055430B">
              <w:rPr>
                <w:rFonts w:ascii="Arial" w:hAnsi="Arial" w:cs="Arial"/>
                <w:sz w:val="24"/>
                <w:szCs w:val="24"/>
              </w:rPr>
              <w:t>due performance of the first and second respondent's obligations towards the applicant, which was not the case.</w:t>
            </w:r>
          </w:p>
          <w:p w14:paraId="6A857065" w14:textId="77777777" w:rsidR="00F6293D" w:rsidRPr="00E51287" w:rsidRDefault="00F6293D" w:rsidP="00F6293D">
            <w:pPr>
              <w:pStyle w:val="ListParagraph"/>
              <w:rPr>
                <w:rFonts w:ascii="Arial" w:hAnsi="Arial" w:cs="Arial"/>
                <w:sz w:val="24"/>
                <w:szCs w:val="24"/>
              </w:rPr>
            </w:pPr>
          </w:p>
          <w:p w14:paraId="1C35D55E" w14:textId="044B0E14" w:rsidR="00F6293D" w:rsidRPr="00E51287" w:rsidRDefault="00F6293D" w:rsidP="00F6293D">
            <w:pPr>
              <w:pStyle w:val="ListParagraph"/>
              <w:numPr>
                <w:ilvl w:val="0"/>
                <w:numId w:val="8"/>
              </w:numPr>
              <w:spacing w:line="360" w:lineRule="auto"/>
              <w:ind w:left="0" w:firstLine="0"/>
              <w:jc w:val="both"/>
              <w:rPr>
                <w:rFonts w:ascii="Arial" w:hAnsi="Arial" w:cs="Arial"/>
                <w:sz w:val="24"/>
                <w:szCs w:val="24"/>
              </w:rPr>
            </w:pPr>
            <w:r w:rsidRPr="0079743C">
              <w:rPr>
                <w:rFonts w:ascii="Arial" w:hAnsi="Arial" w:cs="Arial"/>
                <w:sz w:val="24"/>
                <w:szCs w:val="24"/>
              </w:rPr>
              <w:lastRenderedPageBreak/>
              <w:t xml:space="preserve">On the issue of the </w:t>
            </w:r>
            <w:proofErr w:type="spellStart"/>
            <w:r w:rsidRPr="0079743C">
              <w:rPr>
                <w:rFonts w:ascii="Arial" w:hAnsi="Arial" w:cs="Arial"/>
                <w:sz w:val="24"/>
                <w:szCs w:val="24"/>
              </w:rPr>
              <w:t>nulla</w:t>
            </w:r>
            <w:proofErr w:type="spellEnd"/>
            <w:r w:rsidRPr="0079743C">
              <w:rPr>
                <w:rFonts w:ascii="Arial" w:hAnsi="Arial" w:cs="Arial"/>
                <w:sz w:val="24"/>
                <w:szCs w:val="24"/>
              </w:rPr>
              <w:t xml:space="preserve"> bona return in respect of the first respondent, </w:t>
            </w:r>
            <w:r w:rsidR="00A94090">
              <w:rPr>
                <w:rFonts w:ascii="Arial" w:hAnsi="Arial" w:cs="Arial"/>
                <w:sz w:val="24"/>
                <w:szCs w:val="24"/>
              </w:rPr>
              <w:t>it was</w:t>
            </w:r>
            <w:r w:rsidR="007C0692">
              <w:rPr>
                <w:rFonts w:ascii="Arial" w:hAnsi="Arial" w:cs="Arial"/>
                <w:sz w:val="24"/>
                <w:szCs w:val="24"/>
              </w:rPr>
              <w:t xml:space="preserve"> </w:t>
            </w:r>
            <w:r w:rsidRPr="0079743C">
              <w:rPr>
                <w:rFonts w:ascii="Arial" w:hAnsi="Arial" w:cs="Arial"/>
                <w:sz w:val="24"/>
                <w:szCs w:val="24"/>
              </w:rPr>
              <w:t>submitted that as the first respondent is a juristic person, it was incumbent on the applicant first to determine if the first respondent had any movable property, which could be sold in execution in satisfaction of the debt before approaching the court in terms of r 108.</w:t>
            </w:r>
          </w:p>
          <w:p w14:paraId="58474898" w14:textId="77777777" w:rsidR="00F6293D" w:rsidRPr="00E51287" w:rsidRDefault="00F6293D" w:rsidP="00F6293D">
            <w:pPr>
              <w:pStyle w:val="ListParagraph"/>
              <w:rPr>
                <w:rFonts w:ascii="Arial" w:hAnsi="Arial" w:cs="Arial"/>
                <w:sz w:val="24"/>
                <w:szCs w:val="24"/>
              </w:rPr>
            </w:pPr>
          </w:p>
          <w:p w14:paraId="41B8DA11" w14:textId="77777777"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79743C">
              <w:rPr>
                <w:rFonts w:ascii="Arial" w:hAnsi="Arial" w:cs="Arial"/>
                <w:sz w:val="24"/>
                <w:szCs w:val="24"/>
              </w:rPr>
              <w:t>On the merits of the opposition, the first respondent advanced an argument that both respondents indicated their willingness to settle the remaining debt in instalments of N$10 000 per month but that the applicant was reluctant to accept the offer so made.</w:t>
            </w:r>
          </w:p>
          <w:p w14:paraId="6B9298C3" w14:textId="77777777" w:rsidR="00F6293D" w:rsidRPr="00E51287" w:rsidRDefault="00F6293D" w:rsidP="00F6293D">
            <w:pPr>
              <w:pStyle w:val="ListParagraph"/>
              <w:rPr>
                <w:rFonts w:ascii="Arial" w:hAnsi="Arial" w:cs="Arial"/>
                <w:sz w:val="24"/>
                <w:szCs w:val="24"/>
              </w:rPr>
            </w:pPr>
          </w:p>
          <w:p w14:paraId="71FB61D4" w14:textId="1C493CA0"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79743C">
              <w:rPr>
                <w:rFonts w:ascii="Arial" w:hAnsi="Arial" w:cs="Arial"/>
                <w:sz w:val="24"/>
                <w:szCs w:val="24"/>
              </w:rPr>
              <w:t xml:space="preserve">According to the second respondent, this offer was made to satisfy a less drastic measure instead of declaring his primary home executable. The second respondent contends that attempts were made to settle the judgment debt and that declaring </w:t>
            </w:r>
            <w:r w:rsidR="00AF7C6C">
              <w:rPr>
                <w:rFonts w:ascii="Arial" w:hAnsi="Arial" w:cs="Arial"/>
                <w:sz w:val="24"/>
                <w:szCs w:val="24"/>
              </w:rPr>
              <w:t xml:space="preserve">the </w:t>
            </w:r>
            <w:r w:rsidRPr="0079743C">
              <w:rPr>
                <w:rFonts w:ascii="Arial" w:hAnsi="Arial" w:cs="Arial"/>
                <w:sz w:val="24"/>
                <w:szCs w:val="24"/>
              </w:rPr>
              <w:t>immovable property executable would be inappropriate in the circumstances of settling the judgment debt.</w:t>
            </w:r>
          </w:p>
          <w:p w14:paraId="53E4FEEC" w14:textId="77777777" w:rsidR="00F6293D" w:rsidRPr="00657C62" w:rsidRDefault="00F6293D" w:rsidP="00F6293D">
            <w:pPr>
              <w:pStyle w:val="ListParagraph"/>
              <w:rPr>
                <w:rFonts w:ascii="Arial" w:hAnsi="Arial" w:cs="Arial"/>
                <w:sz w:val="24"/>
                <w:szCs w:val="24"/>
              </w:rPr>
            </w:pPr>
          </w:p>
          <w:p w14:paraId="131475C9" w14:textId="77777777" w:rsidR="00F6293D" w:rsidRPr="00657C62" w:rsidRDefault="00F6293D" w:rsidP="00F6293D">
            <w:pPr>
              <w:pStyle w:val="ListParagraph"/>
              <w:spacing w:line="360" w:lineRule="auto"/>
              <w:ind w:left="0"/>
              <w:jc w:val="both"/>
              <w:rPr>
                <w:rFonts w:ascii="Arial" w:hAnsi="Arial" w:cs="Arial"/>
                <w:sz w:val="24"/>
                <w:szCs w:val="24"/>
                <w:u w:val="single"/>
              </w:rPr>
            </w:pPr>
            <w:r w:rsidRPr="00657C62">
              <w:rPr>
                <w:rFonts w:ascii="Arial" w:hAnsi="Arial" w:cs="Arial"/>
                <w:sz w:val="24"/>
                <w:szCs w:val="24"/>
                <w:u w:val="single"/>
              </w:rPr>
              <w:t>Legal principles applicable and discussion</w:t>
            </w:r>
          </w:p>
          <w:p w14:paraId="12F74F87" w14:textId="77777777" w:rsidR="00F6293D" w:rsidRPr="00657C62" w:rsidRDefault="00F6293D" w:rsidP="00F6293D">
            <w:pPr>
              <w:pStyle w:val="ListParagraph"/>
              <w:rPr>
                <w:rFonts w:ascii="Arial" w:hAnsi="Arial" w:cs="Arial"/>
                <w:sz w:val="24"/>
                <w:szCs w:val="24"/>
              </w:rPr>
            </w:pPr>
          </w:p>
          <w:p w14:paraId="34B2A7AA" w14:textId="77777777" w:rsidR="00F6293D" w:rsidRPr="00BD2B85" w:rsidRDefault="00F6293D" w:rsidP="00F6293D">
            <w:pPr>
              <w:pStyle w:val="ListParagraph"/>
              <w:numPr>
                <w:ilvl w:val="0"/>
                <w:numId w:val="8"/>
              </w:numPr>
              <w:spacing w:line="360" w:lineRule="auto"/>
              <w:ind w:left="0" w:firstLine="0"/>
              <w:jc w:val="both"/>
              <w:rPr>
                <w:rFonts w:ascii="Arial" w:eastAsia="Cambria" w:hAnsi="Arial" w:cs="Arial"/>
                <w:sz w:val="24"/>
                <w:szCs w:val="24"/>
                <w:lang w:val="en-US"/>
              </w:rPr>
            </w:pPr>
            <w:r>
              <w:rPr>
                <w:rFonts w:ascii="Arial" w:eastAsia="Cambria" w:hAnsi="Arial" w:cs="Arial"/>
                <w:sz w:val="24"/>
                <w:szCs w:val="24"/>
              </w:rPr>
              <w:t xml:space="preserve">The first point in </w:t>
            </w:r>
            <w:proofErr w:type="spellStart"/>
            <w:r>
              <w:rPr>
                <w:rFonts w:ascii="Arial" w:eastAsia="Cambria" w:hAnsi="Arial" w:cs="Arial"/>
                <w:sz w:val="24"/>
                <w:szCs w:val="24"/>
              </w:rPr>
              <w:t>limine</w:t>
            </w:r>
            <w:proofErr w:type="spellEnd"/>
            <w:r>
              <w:rPr>
                <w:rFonts w:ascii="Arial" w:eastAsia="Cambria" w:hAnsi="Arial" w:cs="Arial"/>
                <w:sz w:val="24"/>
                <w:szCs w:val="24"/>
              </w:rPr>
              <w:t xml:space="preserve"> to consider is the argument advanced in terms of the Married Persons Equality Act. </w:t>
            </w:r>
          </w:p>
          <w:p w14:paraId="44D6F262" w14:textId="77777777" w:rsidR="00F6293D" w:rsidRPr="00BD2B85" w:rsidRDefault="00F6293D" w:rsidP="00F6293D">
            <w:pPr>
              <w:pStyle w:val="ListParagraph"/>
              <w:rPr>
                <w:rFonts w:ascii="Arial" w:eastAsia="Cambria" w:hAnsi="Arial" w:cs="Arial"/>
                <w:sz w:val="24"/>
                <w:szCs w:val="24"/>
              </w:rPr>
            </w:pPr>
          </w:p>
          <w:p w14:paraId="051D7A57" w14:textId="38994573" w:rsidR="00F6293D" w:rsidRPr="00BD2B85" w:rsidRDefault="00F6293D" w:rsidP="00F6293D">
            <w:pPr>
              <w:pStyle w:val="ListParagraph"/>
              <w:numPr>
                <w:ilvl w:val="0"/>
                <w:numId w:val="8"/>
              </w:numPr>
              <w:spacing w:line="360" w:lineRule="auto"/>
              <w:ind w:left="0" w:firstLine="0"/>
              <w:jc w:val="both"/>
              <w:rPr>
                <w:rFonts w:ascii="Arial" w:eastAsia="Cambria" w:hAnsi="Arial" w:cs="Arial"/>
                <w:sz w:val="24"/>
                <w:szCs w:val="24"/>
              </w:rPr>
            </w:pPr>
            <w:r w:rsidRPr="00BD2B85">
              <w:rPr>
                <w:rFonts w:ascii="Arial" w:hAnsi="Arial" w:cs="Arial"/>
                <w:sz w:val="24"/>
                <w:szCs w:val="24"/>
              </w:rPr>
              <w:t>Section 7 (1) of the Act provides that ‘Except in so far as permitted by subsection (4) and (5), and subject to sections 10 and 11, a spouse married in community of property shall not without the consent of the other spouse:-‘</w:t>
            </w:r>
            <w:r>
              <w:rPr>
                <w:rFonts w:ascii="Arial" w:hAnsi="Arial" w:cs="Arial"/>
                <w:sz w:val="24"/>
                <w:szCs w:val="24"/>
              </w:rPr>
              <w:t>. This section then proceeds to enumerate all the instances in terms in which a spouse shall not act without the consent of the other spouse. It is however clear that s 7(5) provides for an exception, which reads as follows:</w:t>
            </w:r>
          </w:p>
          <w:p w14:paraId="56EAFBD3" w14:textId="77777777" w:rsidR="00F6293D" w:rsidRPr="00BD2B85" w:rsidRDefault="00F6293D" w:rsidP="00F6293D">
            <w:pPr>
              <w:pStyle w:val="ListParagraph"/>
              <w:rPr>
                <w:rFonts w:ascii="Arial" w:eastAsia="Cambria" w:hAnsi="Arial" w:cs="Arial"/>
                <w:sz w:val="24"/>
                <w:szCs w:val="24"/>
              </w:rPr>
            </w:pPr>
          </w:p>
          <w:p w14:paraId="0FCBAB8A" w14:textId="77777777" w:rsidR="00F6293D" w:rsidRPr="00BD2B85" w:rsidRDefault="00F6293D" w:rsidP="00F6293D">
            <w:pPr>
              <w:pStyle w:val="ListParagraph"/>
              <w:spacing w:line="360" w:lineRule="auto"/>
              <w:ind w:left="0" w:firstLine="720"/>
              <w:jc w:val="both"/>
              <w:rPr>
                <w:rFonts w:ascii="Arial" w:eastAsia="Cambria" w:hAnsi="Arial" w:cs="Arial"/>
                <w:sz w:val="24"/>
                <w:szCs w:val="24"/>
                <w:lang w:val="en-US"/>
              </w:rPr>
            </w:pPr>
            <w:r w:rsidRPr="00BD2B85">
              <w:rPr>
                <w:rFonts w:ascii="Arial" w:hAnsi="Arial" w:cs="Arial"/>
              </w:rPr>
              <w:t>‘(5) A spouse married in community of property may, in the ordinary course of his or her profession, trade, occupation, or business perform any of the acts referred to in paragraphs (b), (c), (f) and (g) of subsection (1), without the consent of the other spouse as required by that subsection.’</w:t>
            </w:r>
          </w:p>
          <w:p w14:paraId="13809777" w14:textId="77777777" w:rsidR="00F6293D" w:rsidRPr="00322C19" w:rsidRDefault="00F6293D" w:rsidP="00F6293D">
            <w:pPr>
              <w:pStyle w:val="ListParagraph"/>
              <w:rPr>
                <w:rFonts w:ascii="Arial" w:eastAsia="Cambria" w:hAnsi="Arial" w:cs="Arial"/>
                <w:sz w:val="24"/>
                <w:szCs w:val="24"/>
              </w:rPr>
            </w:pPr>
          </w:p>
          <w:p w14:paraId="473F6AE6" w14:textId="77777777" w:rsidR="00F6293D" w:rsidRPr="00BD2B85" w:rsidRDefault="00F6293D" w:rsidP="00F6293D">
            <w:pPr>
              <w:pStyle w:val="ListParagraph"/>
              <w:numPr>
                <w:ilvl w:val="0"/>
                <w:numId w:val="8"/>
              </w:numPr>
              <w:spacing w:line="360" w:lineRule="auto"/>
              <w:ind w:left="0" w:firstLine="0"/>
              <w:jc w:val="both"/>
              <w:rPr>
                <w:rFonts w:ascii="Arial" w:hAnsi="Arial"/>
              </w:rPr>
            </w:pPr>
            <w:r w:rsidRPr="00BD2B85">
              <w:rPr>
                <w:rFonts w:ascii="Arial" w:eastAsia="Cambria" w:hAnsi="Arial" w:cs="Arial"/>
                <w:sz w:val="24"/>
                <w:szCs w:val="24"/>
              </w:rPr>
              <w:t>Section 8 of the Act continues as follows:</w:t>
            </w:r>
            <w:r w:rsidRPr="00BD2B85">
              <w:rPr>
                <w:rFonts w:ascii="Arial" w:hAnsi="Arial"/>
              </w:rPr>
              <w:t xml:space="preserve"> </w:t>
            </w:r>
          </w:p>
          <w:p w14:paraId="66F4DC02" w14:textId="77777777" w:rsidR="00F6293D" w:rsidRDefault="00F6293D" w:rsidP="00F6293D">
            <w:pPr>
              <w:spacing w:line="360" w:lineRule="auto"/>
              <w:ind w:firstLine="720"/>
              <w:jc w:val="both"/>
              <w:rPr>
                <w:rFonts w:ascii="Arial" w:hAnsi="Arial"/>
              </w:rPr>
            </w:pPr>
            <w:r>
              <w:rPr>
                <w:rFonts w:ascii="Arial" w:hAnsi="Arial"/>
              </w:rPr>
              <w:t>‘8. Consequences of act performed without required consent</w:t>
            </w:r>
          </w:p>
          <w:p w14:paraId="5AA92C7D" w14:textId="77777777" w:rsidR="00F6293D" w:rsidRDefault="00F6293D" w:rsidP="00F6293D">
            <w:pPr>
              <w:spacing w:line="360" w:lineRule="auto"/>
              <w:jc w:val="both"/>
              <w:rPr>
                <w:rFonts w:ascii="Arial" w:hAnsi="Arial"/>
              </w:rPr>
            </w:pPr>
            <w:r>
              <w:rPr>
                <w:rFonts w:ascii="Arial" w:hAnsi="Arial"/>
              </w:rPr>
              <w:tab/>
              <w:t>‘(1) If a spouse married in community of property enters into a transaction with another person without the consent required by the provisions of section 7, or without leave granted by a competent court in terms of section 10 or contrary to an order of court in terms of section 11, and –</w:t>
            </w:r>
          </w:p>
          <w:p w14:paraId="271CA99A" w14:textId="77777777" w:rsidR="00F6293D" w:rsidRPr="00F67AF6" w:rsidRDefault="00F6293D" w:rsidP="00F6293D">
            <w:pPr>
              <w:pStyle w:val="ListParagraph"/>
              <w:numPr>
                <w:ilvl w:val="0"/>
                <w:numId w:val="10"/>
              </w:numPr>
              <w:spacing w:line="360" w:lineRule="auto"/>
              <w:jc w:val="both"/>
              <w:rPr>
                <w:rFonts w:ascii="Arial" w:hAnsi="Arial"/>
              </w:rPr>
            </w:pPr>
            <w:r w:rsidRPr="00F67AF6">
              <w:rPr>
                <w:rFonts w:ascii="Arial" w:hAnsi="Arial"/>
              </w:rPr>
              <w:lastRenderedPageBreak/>
              <w:t>that other person does not know and cannot reasonably know that the transaction is being entered into without such consent or leave or in contravention of that order, as the case may be, such transaction shall be deemed to have entered into with the required consent or leave while the power concerned of the spouse has not been suspended, as the case may be;</w:t>
            </w:r>
          </w:p>
          <w:p w14:paraId="11A34BE5" w14:textId="77777777" w:rsidR="00F6293D" w:rsidRDefault="00F6293D" w:rsidP="00F6293D">
            <w:pPr>
              <w:pStyle w:val="ListParagraph"/>
              <w:numPr>
                <w:ilvl w:val="0"/>
                <w:numId w:val="10"/>
              </w:numPr>
              <w:spacing w:line="360" w:lineRule="auto"/>
              <w:jc w:val="both"/>
              <w:rPr>
                <w:rFonts w:ascii="Arial" w:hAnsi="Arial"/>
              </w:rPr>
            </w:pPr>
            <w:r>
              <w:rPr>
                <w:rFonts w:ascii="Arial" w:hAnsi="Arial"/>
              </w:rPr>
              <w:t>that spouse knows or ought reasonably to know that he or she will probably not obtain such consent or leave or that the power concerned has been suspended, as the case may be, and the joint estate suffers a loss as a result of that transaction, in adjustment of that transaction shall be effected in favour of the other spouse –</w:t>
            </w:r>
          </w:p>
          <w:p w14:paraId="40A34697" w14:textId="77777777" w:rsidR="00F6293D" w:rsidRPr="00F67AF6" w:rsidRDefault="00F6293D" w:rsidP="00F6293D">
            <w:pPr>
              <w:pStyle w:val="ListParagraph"/>
              <w:numPr>
                <w:ilvl w:val="0"/>
                <w:numId w:val="11"/>
              </w:numPr>
              <w:spacing w:line="360" w:lineRule="auto"/>
              <w:jc w:val="both"/>
              <w:rPr>
                <w:rFonts w:ascii="Arial" w:hAnsi="Arial"/>
              </w:rPr>
            </w:pPr>
            <w:r w:rsidRPr="00F67AF6">
              <w:rPr>
                <w:rFonts w:ascii="Arial" w:hAnsi="Arial"/>
              </w:rPr>
              <w:t>upon division of the joint estate; or</w:t>
            </w:r>
          </w:p>
          <w:p w14:paraId="52D7E3C0" w14:textId="77777777" w:rsidR="00F6293D" w:rsidRDefault="00F6293D" w:rsidP="00F6293D">
            <w:pPr>
              <w:pStyle w:val="ListParagraph"/>
              <w:numPr>
                <w:ilvl w:val="0"/>
                <w:numId w:val="11"/>
              </w:numPr>
              <w:spacing w:line="360" w:lineRule="auto"/>
              <w:jc w:val="both"/>
              <w:rPr>
                <w:rFonts w:ascii="Arial" w:hAnsi="Arial"/>
              </w:rPr>
            </w:pPr>
            <w:proofErr w:type="gramStart"/>
            <w:r>
              <w:rPr>
                <w:rFonts w:ascii="Arial" w:hAnsi="Arial"/>
              </w:rPr>
              <w:t>upon</w:t>
            </w:r>
            <w:proofErr w:type="gramEnd"/>
            <w:r>
              <w:rPr>
                <w:rFonts w:ascii="Arial" w:hAnsi="Arial"/>
              </w:rPr>
              <w:t xml:space="preserve"> demand of the other spouse at any time during the subsistence of the marriage.’</w:t>
            </w:r>
          </w:p>
          <w:p w14:paraId="3F490EDF" w14:textId="77777777" w:rsidR="00F6293D" w:rsidRDefault="00F6293D" w:rsidP="00F6293D">
            <w:pPr>
              <w:spacing w:line="360" w:lineRule="auto"/>
              <w:jc w:val="both"/>
              <w:rPr>
                <w:rFonts w:ascii="Arial" w:eastAsia="Cambria" w:hAnsi="Arial" w:cs="Arial"/>
                <w:sz w:val="24"/>
                <w:szCs w:val="24"/>
              </w:rPr>
            </w:pPr>
          </w:p>
          <w:p w14:paraId="70CC5DD8" w14:textId="5343D940" w:rsidR="00F6293D" w:rsidRPr="007F2A4A" w:rsidRDefault="00F6293D" w:rsidP="00F6293D">
            <w:pPr>
              <w:pStyle w:val="ListParagraph"/>
              <w:numPr>
                <w:ilvl w:val="0"/>
                <w:numId w:val="8"/>
              </w:numPr>
              <w:spacing w:line="360" w:lineRule="auto"/>
              <w:ind w:left="0" w:firstLine="0"/>
              <w:jc w:val="both"/>
              <w:rPr>
                <w:rFonts w:ascii="Arial" w:hAnsi="Arial"/>
              </w:rPr>
            </w:pPr>
            <w:proofErr w:type="spellStart"/>
            <w:r w:rsidRPr="00B8429B">
              <w:rPr>
                <w:rFonts w:ascii="Arial" w:eastAsia="Cambria" w:hAnsi="Arial" w:cs="Arial"/>
                <w:sz w:val="24"/>
                <w:szCs w:val="24"/>
              </w:rPr>
              <w:t>Masuku</w:t>
            </w:r>
            <w:proofErr w:type="spellEnd"/>
            <w:r w:rsidRPr="00B8429B">
              <w:rPr>
                <w:rFonts w:ascii="Arial" w:eastAsia="Cambria" w:hAnsi="Arial" w:cs="Arial"/>
                <w:sz w:val="24"/>
                <w:szCs w:val="24"/>
              </w:rPr>
              <w:t xml:space="preserve"> J considered </w:t>
            </w:r>
            <w:proofErr w:type="spellStart"/>
            <w:r w:rsidRPr="00B8429B">
              <w:rPr>
                <w:rFonts w:ascii="Arial" w:eastAsia="Cambria" w:hAnsi="Arial" w:cs="Arial"/>
                <w:sz w:val="24"/>
                <w:szCs w:val="24"/>
              </w:rPr>
              <w:t>ss</w:t>
            </w:r>
            <w:proofErr w:type="spellEnd"/>
            <w:r w:rsidRPr="00B8429B">
              <w:rPr>
                <w:rFonts w:ascii="Arial" w:eastAsia="Cambria" w:hAnsi="Arial" w:cs="Arial"/>
                <w:sz w:val="24"/>
                <w:szCs w:val="24"/>
              </w:rPr>
              <w:t xml:space="preserve"> 7(5) and 8 of the Act in </w:t>
            </w:r>
            <w:r w:rsidRPr="00B8429B">
              <w:rPr>
                <w:rFonts w:ascii="Arial" w:hAnsi="Arial"/>
                <w:i/>
                <w:sz w:val="24"/>
                <w:szCs w:val="24"/>
              </w:rPr>
              <w:t>Behrens N. O</w:t>
            </w:r>
            <w:r w:rsidRPr="00B8429B">
              <w:rPr>
                <w:rFonts w:ascii="Arial" w:hAnsi="Arial"/>
                <w:b/>
                <w:i/>
                <w:sz w:val="24"/>
                <w:szCs w:val="24"/>
              </w:rPr>
              <w:t xml:space="preserve">. </w:t>
            </w:r>
            <w:r w:rsidRPr="00B8429B">
              <w:rPr>
                <w:rFonts w:ascii="Arial" w:hAnsi="Arial"/>
                <w:i/>
                <w:sz w:val="24"/>
                <w:szCs w:val="24"/>
              </w:rPr>
              <w:t>v The Home Doctor CC</w:t>
            </w:r>
            <w:r>
              <w:rPr>
                <w:rStyle w:val="FootnoteReference"/>
                <w:rFonts w:ascii="Arial" w:hAnsi="Arial"/>
                <w:i/>
                <w:sz w:val="24"/>
                <w:szCs w:val="24"/>
              </w:rPr>
              <w:footnoteReference w:id="3"/>
            </w:r>
            <w:r w:rsidRPr="00B8429B">
              <w:rPr>
                <w:rFonts w:ascii="Arial" w:hAnsi="Arial"/>
                <w:i/>
                <w:sz w:val="24"/>
                <w:szCs w:val="24"/>
              </w:rPr>
              <w:t xml:space="preserve"> </w:t>
            </w:r>
            <w:r w:rsidRPr="00B8429B">
              <w:rPr>
                <w:rFonts w:ascii="Arial" w:eastAsia="Cambria" w:hAnsi="Arial" w:cs="Arial"/>
                <w:sz w:val="24"/>
                <w:szCs w:val="24"/>
              </w:rPr>
              <w:t>and concluded that if read properly together</w:t>
            </w:r>
            <w:r w:rsidR="00F752DC">
              <w:rPr>
                <w:rFonts w:ascii="Arial" w:eastAsia="Cambria" w:hAnsi="Arial" w:cs="Arial"/>
                <w:sz w:val="24"/>
                <w:szCs w:val="24"/>
              </w:rPr>
              <w:t>,</w:t>
            </w:r>
            <w:r w:rsidRPr="00B8429B">
              <w:rPr>
                <w:rFonts w:ascii="Arial" w:eastAsia="Cambria" w:hAnsi="Arial" w:cs="Arial"/>
                <w:sz w:val="24"/>
                <w:szCs w:val="24"/>
              </w:rPr>
              <w:t xml:space="preserve"> it appears that both </w:t>
            </w:r>
            <w:proofErr w:type="spellStart"/>
            <w:r w:rsidRPr="00B8429B">
              <w:rPr>
                <w:rFonts w:ascii="Arial" w:eastAsia="Cambria" w:hAnsi="Arial" w:cs="Arial"/>
                <w:sz w:val="24"/>
                <w:szCs w:val="24"/>
              </w:rPr>
              <w:t>ss</w:t>
            </w:r>
            <w:proofErr w:type="spellEnd"/>
            <w:r w:rsidRPr="00B8429B">
              <w:rPr>
                <w:rFonts w:ascii="Arial" w:eastAsia="Cambria" w:hAnsi="Arial" w:cs="Arial"/>
                <w:sz w:val="24"/>
                <w:szCs w:val="24"/>
              </w:rPr>
              <w:t xml:space="preserve"> 7(5) and 8(1</w:t>
            </w:r>
            <w:proofErr w:type="gramStart"/>
            <w:r w:rsidRPr="00B8429B">
              <w:rPr>
                <w:rFonts w:ascii="Arial" w:eastAsia="Cambria" w:hAnsi="Arial" w:cs="Arial"/>
                <w:sz w:val="24"/>
                <w:szCs w:val="24"/>
              </w:rPr>
              <w:t>)(</w:t>
            </w:r>
            <w:proofErr w:type="gramEnd"/>
            <w:r w:rsidRPr="00AF7C6C">
              <w:rPr>
                <w:rFonts w:ascii="Arial" w:eastAsia="Cambria" w:hAnsi="Arial" w:cs="Arial"/>
                <w:i/>
                <w:sz w:val="24"/>
                <w:szCs w:val="24"/>
              </w:rPr>
              <w:t>a</w:t>
            </w:r>
            <w:r w:rsidRPr="00B8429B">
              <w:rPr>
                <w:rFonts w:ascii="Arial" w:eastAsia="Cambria" w:hAnsi="Arial" w:cs="Arial"/>
                <w:sz w:val="24"/>
                <w:szCs w:val="24"/>
              </w:rPr>
              <w:t xml:space="preserve">) of the Act create an exception and permits in </w:t>
            </w:r>
            <w:r>
              <w:rPr>
                <w:rFonts w:ascii="Arial" w:eastAsia="Cambria" w:hAnsi="Arial" w:cs="Arial"/>
                <w:sz w:val="24"/>
                <w:szCs w:val="24"/>
              </w:rPr>
              <w:t>those limited circumstances</w:t>
            </w:r>
            <w:r w:rsidRPr="00B8429B">
              <w:rPr>
                <w:rFonts w:ascii="Arial" w:eastAsia="Cambria" w:hAnsi="Arial" w:cs="Arial"/>
                <w:sz w:val="24"/>
                <w:szCs w:val="24"/>
              </w:rPr>
              <w:t xml:space="preserve"> the alienation of property which forms part of the joint estate without the consent of the other spouse.  </w:t>
            </w:r>
          </w:p>
          <w:p w14:paraId="6B3929B1" w14:textId="77777777" w:rsidR="00F6293D" w:rsidRPr="00B8429B" w:rsidRDefault="00F6293D" w:rsidP="00F6293D">
            <w:pPr>
              <w:pStyle w:val="ListParagraph"/>
              <w:spacing w:line="360" w:lineRule="auto"/>
              <w:ind w:left="0"/>
              <w:jc w:val="both"/>
              <w:rPr>
                <w:rFonts w:ascii="Arial" w:hAnsi="Arial"/>
              </w:rPr>
            </w:pPr>
          </w:p>
          <w:p w14:paraId="0B015FD1" w14:textId="224D9D10"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sz w:val="24"/>
                <w:szCs w:val="24"/>
              </w:rPr>
              <w:t>The second respondent bound himself with the first respondent for the payment of the principal debt, which arose from a business agreement between the applicant and the first respondent. The settlement agreement entered into with the applicant was clearly a business decision</w:t>
            </w:r>
            <w:r w:rsidR="00F752DC">
              <w:rPr>
                <w:rFonts w:ascii="Arial" w:hAnsi="Arial"/>
                <w:sz w:val="24"/>
                <w:szCs w:val="24"/>
              </w:rPr>
              <w:t>,</w:t>
            </w:r>
            <w:r>
              <w:rPr>
                <w:rFonts w:ascii="Arial" w:hAnsi="Arial"/>
                <w:sz w:val="24"/>
                <w:szCs w:val="24"/>
              </w:rPr>
              <w:t xml:space="preserve"> and in terms of s 7(5) of the Act</w:t>
            </w:r>
            <w:r w:rsidR="00F752DC">
              <w:rPr>
                <w:rFonts w:ascii="Arial" w:hAnsi="Arial"/>
                <w:sz w:val="24"/>
                <w:szCs w:val="24"/>
              </w:rPr>
              <w:t>,</w:t>
            </w:r>
            <w:r>
              <w:rPr>
                <w:rFonts w:ascii="Arial" w:hAnsi="Arial"/>
                <w:sz w:val="24"/>
                <w:szCs w:val="24"/>
              </w:rPr>
              <w:t xml:space="preserve"> it would not require the consent of the second respondent’s spouse. It should be born</w:t>
            </w:r>
            <w:r w:rsidR="00F752DC">
              <w:rPr>
                <w:rFonts w:ascii="Arial" w:hAnsi="Arial"/>
                <w:sz w:val="24"/>
                <w:szCs w:val="24"/>
              </w:rPr>
              <w:t>e</w:t>
            </w:r>
            <w:r>
              <w:rPr>
                <w:rFonts w:ascii="Arial" w:hAnsi="Arial"/>
                <w:sz w:val="24"/>
                <w:szCs w:val="24"/>
              </w:rPr>
              <w:t xml:space="preserve"> in mind </w:t>
            </w:r>
            <w:r w:rsidR="0045438B">
              <w:rPr>
                <w:rFonts w:ascii="Arial" w:hAnsi="Arial"/>
                <w:sz w:val="24"/>
                <w:szCs w:val="24"/>
              </w:rPr>
              <w:t xml:space="preserve">that </w:t>
            </w:r>
            <w:r>
              <w:rPr>
                <w:rFonts w:ascii="Arial" w:hAnsi="Arial"/>
                <w:sz w:val="24"/>
                <w:szCs w:val="24"/>
              </w:rPr>
              <w:t xml:space="preserve">the settlement was for the payment of money and not a </w:t>
            </w:r>
            <w:r w:rsidRPr="00EE16F0">
              <w:rPr>
                <w:rFonts w:ascii="Arial" w:hAnsi="Arial" w:cs="Arial"/>
                <w:sz w:val="24"/>
                <w:szCs w:val="24"/>
              </w:rPr>
              <w:t>contract for the alienation, mortgaging, burdening with a servitude or conferring of any other real right in</w:t>
            </w:r>
            <w:r w:rsidR="00F752DC">
              <w:rPr>
                <w:rFonts w:ascii="Arial" w:hAnsi="Arial" w:cs="Arial"/>
                <w:sz w:val="24"/>
                <w:szCs w:val="24"/>
              </w:rPr>
              <w:t xml:space="preserve"> an</w:t>
            </w:r>
            <w:r w:rsidRPr="00EE16F0">
              <w:rPr>
                <w:rFonts w:ascii="Arial" w:hAnsi="Arial" w:cs="Arial"/>
                <w:sz w:val="24"/>
                <w:szCs w:val="24"/>
              </w:rPr>
              <w:t xml:space="preserve"> immovable property forming part of the joint estate</w:t>
            </w:r>
            <w:r>
              <w:rPr>
                <w:rFonts w:ascii="Arial" w:hAnsi="Arial" w:cs="Arial"/>
                <w:sz w:val="24"/>
                <w:szCs w:val="24"/>
              </w:rPr>
              <w:t xml:space="preserve">. </w:t>
            </w:r>
          </w:p>
          <w:p w14:paraId="4EC599C9" w14:textId="77777777" w:rsidR="00F6293D" w:rsidRPr="00EE16F0" w:rsidRDefault="00F6293D" w:rsidP="00F6293D">
            <w:pPr>
              <w:spacing w:line="360" w:lineRule="auto"/>
              <w:jc w:val="both"/>
              <w:rPr>
                <w:rFonts w:ascii="Arial" w:hAnsi="Arial" w:cs="Arial"/>
                <w:sz w:val="24"/>
                <w:szCs w:val="24"/>
              </w:rPr>
            </w:pPr>
          </w:p>
          <w:p w14:paraId="0DA98B17" w14:textId="168F213E" w:rsidR="00F6293D" w:rsidRPr="00F752DC"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t xml:space="preserve">It seems that the second respondent wishes to make out a case that the second respondent acted as a surety on behalf of the first respondent and therefore had to obtain the permission of his spouse to do so. </w:t>
            </w:r>
            <w:r w:rsidR="00F752DC">
              <w:rPr>
                <w:rFonts w:ascii="Arial" w:hAnsi="Arial" w:cs="Arial"/>
                <w:sz w:val="24"/>
                <w:szCs w:val="24"/>
              </w:rPr>
              <w:t xml:space="preserve">However, this cannot be the case as a deed of surety must be in writing and signed by or on behalf of the surety, which never happened. </w:t>
            </w:r>
            <w:r>
              <w:rPr>
                <w:rFonts w:ascii="Arial" w:hAnsi="Arial" w:cs="Arial"/>
                <w:sz w:val="24"/>
                <w:szCs w:val="24"/>
              </w:rPr>
              <w:t xml:space="preserve">In any event, the </w:t>
            </w:r>
            <w:r>
              <w:rPr>
                <w:rFonts w:ascii="Arial" w:hAnsi="Arial" w:cs="Arial"/>
                <w:sz w:val="24"/>
                <w:szCs w:val="24"/>
              </w:rPr>
              <w:lastRenderedPageBreak/>
              <w:t xml:space="preserve">settlement agreement </w:t>
            </w:r>
            <w:r w:rsidRPr="00D34DAB">
              <w:rPr>
                <w:rFonts w:ascii="Arial" w:eastAsia="Calibri" w:hAnsi="Arial" w:cs="Arial"/>
                <w:sz w:val="24"/>
                <w:szCs w:val="24"/>
              </w:rPr>
              <w:t xml:space="preserve">brought finality to the original </w:t>
            </w:r>
            <w:proofErr w:type="spellStart"/>
            <w:r w:rsidRPr="00D34DAB">
              <w:rPr>
                <w:rFonts w:ascii="Arial" w:eastAsia="Calibri" w:hAnsi="Arial" w:cs="Arial"/>
                <w:sz w:val="24"/>
                <w:szCs w:val="24"/>
              </w:rPr>
              <w:t>lis</w:t>
            </w:r>
            <w:proofErr w:type="spellEnd"/>
            <w:r w:rsidRPr="00D34DAB">
              <w:rPr>
                <w:rFonts w:ascii="Arial" w:eastAsia="Calibri" w:hAnsi="Arial" w:cs="Arial"/>
                <w:sz w:val="24"/>
                <w:szCs w:val="24"/>
              </w:rPr>
              <w:t xml:space="preserve"> between the parties</w:t>
            </w:r>
            <w:r>
              <w:rPr>
                <w:rFonts w:ascii="Arial" w:eastAsia="Calibri" w:hAnsi="Arial" w:cs="Arial"/>
                <w:sz w:val="24"/>
                <w:szCs w:val="24"/>
              </w:rPr>
              <w:t xml:space="preserve"> and the obligations by the parties fall within the confines of the settlement agreement. </w:t>
            </w:r>
          </w:p>
          <w:p w14:paraId="158A71D6" w14:textId="77777777" w:rsidR="00F752DC" w:rsidRPr="00F752DC" w:rsidRDefault="00F752DC" w:rsidP="00F752DC">
            <w:pPr>
              <w:pStyle w:val="ListParagraph"/>
              <w:rPr>
                <w:rFonts w:ascii="Arial" w:hAnsi="Arial" w:cs="Arial"/>
                <w:sz w:val="24"/>
                <w:szCs w:val="24"/>
              </w:rPr>
            </w:pPr>
          </w:p>
          <w:p w14:paraId="70A70CA7" w14:textId="61003E61" w:rsidR="00F6293D" w:rsidRDefault="00F6293D" w:rsidP="00F6293D">
            <w:pPr>
              <w:pStyle w:val="ListParagraph"/>
              <w:numPr>
                <w:ilvl w:val="0"/>
                <w:numId w:val="8"/>
              </w:numPr>
              <w:spacing w:line="360" w:lineRule="auto"/>
              <w:ind w:left="0" w:firstLine="0"/>
              <w:jc w:val="both"/>
              <w:rPr>
                <w:rFonts w:ascii="Arial" w:hAnsi="Arial"/>
                <w:sz w:val="24"/>
                <w:szCs w:val="24"/>
              </w:rPr>
            </w:pPr>
            <w:r>
              <w:rPr>
                <w:rFonts w:ascii="Arial" w:hAnsi="Arial"/>
                <w:sz w:val="24"/>
                <w:szCs w:val="24"/>
              </w:rPr>
              <w:t>The second respondent is the sole member of the first respondent</w:t>
            </w:r>
            <w:r w:rsidR="00F752DC">
              <w:rPr>
                <w:rFonts w:ascii="Arial" w:hAnsi="Arial"/>
                <w:sz w:val="24"/>
                <w:szCs w:val="24"/>
              </w:rPr>
              <w:t>,</w:t>
            </w:r>
            <w:r>
              <w:rPr>
                <w:rFonts w:ascii="Arial" w:hAnsi="Arial"/>
                <w:sz w:val="24"/>
                <w:szCs w:val="24"/>
              </w:rPr>
              <w:t xml:space="preserve"> and he made the business decision on behalf of both respondents. </w:t>
            </w:r>
            <w:r w:rsidR="00C04AFF">
              <w:rPr>
                <w:rFonts w:ascii="Arial" w:hAnsi="Arial"/>
                <w:sz w:val="24"/>
                <w:szCs w:val="24"/>
              </w:rPr>
              <w:t>Therefore, t</w:t>
            </w:r>
            <w:r>
              <w:rPr>
                <w:rFonts w:ascii="Arial" w:hAnsi="Arial"/>
                <w:sz w:val="24"/>
                <w:szCs w:val="24"/>
              </w:rPr>
              <w:t xml:space="preserve">his point in </w:t>
            </w:r>
            <w:proofErr w:type="spellStart"/>
            <w:r>
              <w:rPr>
                <w:rFonts w:ascii="Arial" w:hAnsi="Arial"/>
                <w:sz w:val="24"/>
                <w:szCs w:val="24"/>
              </w:rPr>
              <w:t>limine</w:t>
            </w:r>
            <w:proofErr w:type="spellEnd"/>
            <w:r>
              <w:rPr>
                <w:rFonts w:ascii="Arial" w:hAnsi="Arial"/>
                <w:sz w:val="24"/>
                <w:szCs w:val="24"/>
              </w:rPr>
              <w:t xml:space="preserve"> raised by the respondents has no merit and should be dismissed. </w:t>
            </w:r>
          </w:p>
          <w:p w14:paraId="539D4965" w14:textId="77777777" w:rsidR="00F6293D" w:rsidRDefault="00F6293D" w:rsidP="00F6293D">
            <w:pPr>
              <w:pStyle w:val="ListParagraph"/>
              <w:spacing w:line="360" w:lineRule="auto"/>
              <w:ind w:left="0"/>
              <w:jc w:val="both"/>
              <w:rPr>
                <w:rFonts w:ascii="Arial" w:hAnsi="Arial"/>
                <w:sz w:val="24"/>
                <w:szCs w:val="24"/>
              </w:rPr>
            </w:pPr>
          </w:p>
          <w:p w14:paraId="541582BA" w14:textId="5E4EDC09" w:rsidR="00F6293D" w:rsidRDefault="00F6293D" w:rsidP="00F6293D">
            <w:pPr>
              <w:pStyle w:val="ListParagraph"/>
              <w:numPr>
                <w:ilvl w:val="0"/>
                <w:numId w:val="8"/>
              </w:numPr>
              <w:spacing w:line="360" w:lineRule="auto"/>
              <w:ind w:left="0" w:firstLine="0"/>
              <w:jc w:val="both"/>
              <w:rPr>
                <w:rFonts w:ascii="Arial" w:hAnsi="Arial"/>
                <w:sz w:val="24"/>
                <w:szCs w:val="24"/>
              </w:rPr>
            </w:pPr>
            <w:r>
              <w:rPr>
                <w:rFonts w:ascii="Arial" w:hAnsi="Arial"/>
                <w:sz w:val="24"/>
                <w:szCs w:val="24"/>
              </w:rPr>
              <w:t xml:space="preserve"> The second point in </w:t>
            </w:r>
            <w:proofErr w:type="spellStart"/>
            <w:r>
              <w:rPr>
                <w:rFonts w:ascii="Arial" w:hAnsi="Arial"/>
                <w:sz w:val="24"/>
                <w:szCs w:val="24"/>
              </w:rPr>
              <w:t>limine</w:t>
            </w:r>
            <w:proofErr w:type="spellEnd"/>
            <w:r>
              <w:rPr>
                <w:rFonts w:ascii="Arial" w:hAnsi="Arial"/>
                <w:sz w:val="24"/>
                <w:szCs w:val="24"/>
              </w:rPr>
              <w:t xml:space="preserve"> that the respondents pursue is that no </w:t>
            </w:r>
            <w:proofErr w:type="spellStart"/>
            <w:r>
              <w:rPr>
                <w:rFonts w:ascii="Arial" w:hAnsi="Arial"/>
                <w:sz w:val="24"/>
                <w:szCs w:val="24"/>
              </w:rPr>
              <w:t>nulla</w:t>
            </w:r>
            <w:proofErr w:type="spellEnd"/>
            <w:r>
              <w:rPr>
                <w:rFonts w:ascii="Arial" w:hAnsi="Arial"/>
                <w:sz w:val="24"/>
                <w:szCs w:val="24"/>
              </w:rPr>
              <w:t xml:space="preserve"> bona return </w:t>
            </w:r>
            <w:r w:rsidR="00AB5211">
              <w:rPr>
                <w:rFonts w:ascii="Arial" w:hAnsi="Arial"/>
                <w:sz w:val="24"/>
                <w:szCs w:val="24"/>
              </w:rPr>
              <w:t xml:space="preserve">was </w:t>
            </w:r>
            <w:r>
              <w:rPr>
                <w:rFonts w:ascii="Arial" w:hAnsi="Arial"/>
                <w:sz w:val="24"/>
                <w:szCs w:val="24"/>
              </w:rPr>
              <w:t>filed on behalf of the first defendant/respondent.</w:t>
            </w:r>
          </w:p>
          <w:p w14:paraId="58450E02" w14:textId="68E947C7" w:rsidR="00F6293D" w:rsidRPr="007A74E2" w:rsidRDefault="00F6293D" w:rsidP="00F6293D">
            <w:pPr>
              <w:pStyle w:val="ListParagraph"/>
              <w:rPr>
                <w:rFonts w:ascii="Arial" w:hAnsi="Arial"/>
                <w:sz w:val="24"/>
                <w:szCs w:val="24"/>
              </w:rPr>
            </w:pPr>
          </w:p>
          <w:p w14:paraId="6C3746E7" w14:textId="627087AA"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sz w:val="24"/>
                <w:szCs w:val="24"/>
              </w:rPr>
              <w:t>The argument on behalf of the applicant that this is a bonded property and</w:t>
            </w:r>
            <w:r w:rsidR="00AB5211">
              <w:rPr>
                <w:rFonts w:ascii="Arial" w:hAnsi="Arial"/>
                <w:sz w:val="24"/>
                <w:szCs w:val="24"/>
              </w:rPr>
              <w:t>,</w:t>
            </w:r>
            <w:r>
              <w:rPr>
                <w:rFonts w:ascii="Arial" w:hAnsi="Arial"/>
                <w:sz w:val="24"/>
                <w:szCs w:val="24"/>
              </w:rPr>
              <w:t xml:space="preserve"> therefore</w:t>
            </w:r>
            <w:r w:rsidR="00AB5211">
              <w:rPr>
                <w:rFonts w:ascii="Arial" w:hAnsi="Arial"/>
                <w:sz w:val="24"/>
                <w:szCs w:val="24"/>
              </w:rPr>
              <w:t>,</w:t>
            </w:r>
            <w:r>
              <w:rPr>
                <w:rFonts w:ascii="Arial" w:hAnsi="Arial"/>
                <w:sz w:val="24"/>
                <w:szCs w:val="24"/>
              </w:rPr>
              <w:t xml:space="preserve"> a </w:t>
            </w:r>
            <w:proofErr w:type="spellStart"/>
            <w:r>
              <w:rPr>
                <w:rFonts w:ascii="Arial" w:hAnsi="Arial"/>
                <w:sz w:val="24"/>
                <w:szCs w:val="24"/>
              </w:rPr>
              <w:t>nulla</w:t>
            </w:r>
            <w:proofErr w:type="spellEnd"/>
            <w:r>
              <w:rPr>
                <w:rFonts w:ascii="Arial" w:hAnsi="Arial"/>
                <w:sz w:val="24"/>
                <w:szCs w:val="24"/>
              </w:rPr>
              <w:t xml:space="preserve"> bona </w:t>
            </w:r>
            <w:r w:rsidR="007C0692" w:rsidRPr="00AF7C6C">
              <w:rPr>
                <w:rFonts w:ascii="Arial" w:hAnsi="Arial"/>
                <w:sz w:val="24"/>
                <w:szCs w:val="24"/>
              </w:rPr>
              <w:t>return</w:t>
            </w:r>
            <w:r w:rsidR="007C0692">
              <w:rPr>
                <w:rFonts w:ascii="Arial" w:hAnsi="Arial"/>
                <w:sz w:val="24"/>
                <w:szCs w:val="24"/>
              </w:rPr>
              <w:t xml:space="preserve"> </w:t>
            </w:r>
            <w:r>
              <w:rPr>
                <w:rFonts w:ascii="Arial" w:hAnsi="Arial"/>
                <w:sz w:val="24"/>
                <w:szCs w:val="24"/>
              </w:rPr>
              <w:t xml:space="preserve">is not required is </w:t>
            </w:r>
            <w:r w:rsidR="00AB5211">
              <w:rPr>
                <w:rFonts w:ascii="Arial" w:hAnsi="Arial"/>
                <w:sz w:val="24"/>
                <w:szCs w:val="24"/>
              </w:rPr>
              <w:t>in</w:t>
            </w:r>
            <w:r>
              <w:rPr>
                <w:rFonts w:ascii="Arial" w:hAnsi="Arial"/>
                <w:sz w:val="24"/>
                <w:szCs w:val="24"/>
              </w:rPr>
              <w:t xml:space="preserve">correct. That argument only applies when the property serves as a security for the mortgage bond. In terms of </w:t>
            </w:r>
            <w:r w:rsidRPr="00207715">
              <w:rPr>
                <w:rFonts w:ascii="Arial" w:hAnsi="Arial" w:cs="Arial"/>
                <w:i/>
                <w:sz w:val="24"/>
                <w:szCs w:val="24"/>
              </w:rPr>
              <w:t xml:space="preserve">Standard Bank Ltd v </w:t>
            </w:r>
            <w:proofErr w:type="spellStart"/>
            <w:r w:rsidRPr="00207715">
              <w:rPr>
                <w:rFonts w:ascii="Arial" w:hAnsi="Arial" w:cs="Arial"/>
                <w:i/>
                <w:sz w:val="24"/>
                <w:szCs w:val="24"/>
              </w:rPr>
              <w:t>Shipila</w:t>
            </w:r>
            <w:proofErr w:type="spellEnd"/>
            <w:r w:rsidRPr="00207715">
              <w:rPr>
                <w:rFonts w:ascii="Arial" w:hAnsi="Arial" w:cs="Arial"/>
                <w:i/>
                <w:sz w:val="24"/>
                <w:szCs w:val="24"/>
              </w:rPr>
              <w:t xml:space="preserve"> </w:t>
            </w:r>
            <w:proofErr w:type="gramStart"/>
            <w:r w:rsidR="00AF7C6C">
              <w:rPr>
                <w:rFonts w:ascii="Arial" w:hAnsi="Arial" w:cs="Arial"/>
                <w:i/>
                <w:sz w:val="24"/>
                <w:szCs w:val="24"/>
              </w:rPr>
              <w:t xml:space="preserve">and </w:t>
            </w:r>
            <w:r w:rsidRPr="00207715">
              <w:rPr>
                <w:rFonts w:ascii="Arial" w:hAnsi="Arial" w:cs="Arial"/>
                <w:i/>
                <w:sz w:val="24"/>
                <w:szCs w:val="24"/>
              </w:rPr>
              <w:t xml:space="preserve"> Others</w:t>
            </w:r>
            <w:proofErr w:type="gramEnd"/>
            <w:r>
              <w:rPr>
                <w:rStyle w:val="FootnoteReference"/>
                <w:rFonts w:ascii="Arial" w:hAnsi="Arial" w:cs="Arial"/>
                <w:i/>
                <w:sz w:val="24"/>
                <w:szCs w:val="24"/>
              </w:rPr>
              <w:footnoteReference w:id="4"/>
            </w:r>
            <w:r w:rsidRPr="00207715">
              <w:rPr>
                <w:rFonts w:ascii="Arial" w:hAnsi="Arial" w:cs="Arial"/>
                <w:i/>
                <w:sz w:val="24"/>
                <w:szCs w:val="24"/>
              </w:rPr>
              <w:t xml:space="preserve"> </w:t>
            </w:r>
            <w:r w:rsidRPr="00207715">
              <w:rPr>
                <w:rFonts w:ascii="Arial" w:hAnsi="Arial" w:cs="Arial"/>
                <w:sz w:val="24"/>
                <w:szCs w:val="24"/>
              </w:rPr>
              <w:t xml:space="preserve">only the </w:t>
            </w:r>
            <w:r>
              <w:rPr>
                <w:rFonts w:ascii="Arial" w:hAnsi="Arial" w:cs="Arial"/>
                <w:sz w:val="24"/>
                <w:szCs w:val="24"/>
              </w:rPr>
              <w:t>mortgage creditor</w:t>
            </w:r>
            <w:r w:rsidRPr="00207715">
              <w:rPr>
                <w:rFonts w:ascii="Arial" w:hAnsi="Arial" w:cs="Arial"/>
                <w:sz w:val="24"/>
                <w:szCs w:val="24"/>
              </w:rPr>
              <w:t xml:space="preserve">– the creditor in whose favour the immovable property is bonded does not need to obtain a </w:t>
            </w:r>
            <w:proofErr w:type="spellStart"/>
            <w:r w:rsidRPr="00207715">
              <w:rPr>
                <w:rFonts w:ascii="Arial" w:hAnsi="Arial" w:cs="Arial"/>
                <w:sz w:val="24"/>
                <w:szCs w:val="24"/>
              </w:rPr>
              <w:t>nulla</w:t>
            </w:r>
            <w:proofErr w:type="spellEnd"/>
            <w:r w:rsidRPr="00207715">
              <w:rPr>
                <w:rFonts w:ascii="Arial" w:hAnsi="Arial" w:cs="Arial"/>
                <w:sz w:val="24"/>
                <w:szCs w:val="24"/>
              </w:rPr>
              <w:t xml:space="preserve"> bona</w:t>
            </w:r>
            <w:r w:rsidR="007C0692">
              <w:rPr>
                <w:rFonts w:ascii="Arial" w:hAnsi="Arial" w:cs="Arial"/>
                <w:sz w:val="24"/>
                <w:szCs w:val="24"/>
              </w:rPr>
              <w:t xml:space="preserve"> </w:t>
            </w:r>
            <w:r w:rsidR="007C0692" w:rsidRPr="00AF7C6C">
              <w:rPr>
                <w:rFonts w:ascii="Arial" w:hAnsi="Arial" w:cs="Arial"/>
                <w:sz w:val="24"/>
                <w:szCs w:val="24"/>
              </w:rPr>
              <w:t>return</w:t>
            </w:r>
            <w:r w:rsidRPr="00207715">
              <w:rPr>
                <w:rFonts w:ascii="Arial" w:hAnsi="Arial" w:cs="Arial"/>
                <w:sz w:val="24"/>
                <w:szCs w:val="24"/>
              </w:rPr>
              <w:t xml:space="preserve"> for movable property and not just any creditor</w:t>
            </w:r>
            <w:r>
              <w:rPr>
                <w:rFonts w:ascii="Arial" w:hAnsi="Arial" w:cs="Arial"/>
                <w:sz w:val="24"/>
                <w:szCs w:val="24"/>
              </w:rPr>
              <w:t>.</w:t>
            </w:r>
          </w:p>
          <w:p w14:paraId="1FA80681" w14:textId="77777777" w:rsidR="00F6293D" w:rsidRPr="00BA6BCB" w:rsidRDefault="00F6293D" w:rsidP="00F6293D">
            <w:pPr>
              <w:pStyle w:val="ListParagraph"/>
              <w:rPr>
                <w:rFonts w:ascii="Arial" w:hAnsi="Arial" w:cs="Arial"/>
                <w:sz w:val="24"/>
                <w:szCs w:val="24"/>
              </w:rPr>
            </w:pPr>
          </w:p>
          <w:p w14:paraId="0C0E3CA3" w14:textId="7B68EECD" w:rsidR="00F6293D" w:rsidRPr="00AF7C6C" w:rsidRDefault="00F6293D" w:rsidP="00F6293D">
            <w:pPr>
              <w:pStyle w:val="ListParagraph"/>
              <w:widowControl w:val="0"/>
              <w:numPr>
                <w:ilvl w:val="0"/>
                <w:numId w:val="8"/>
              </w:numPr>
              <w:autoSpaceDE w:val="0"/>
              <w:autoSpaceDN w:val="0"/>
              <w:adjustRightInd w:val="0"/>
              <w:spacing w:line="360" w:lineRule="auto"/>
              <w:ind w:left="0" w:firstLine="0"/>
              <w:jc w:val="both"/>
              <w:rPr>
                <w:rFonts w:ascii="Arial" w:eastAsia="Cambria" w:hAnsi="Arial" w:cs="Arial"/>
                <w:sz w:val="24"/>
                <w:szCs w:val="24"/>
              </w:rPr>
            </w:pPr>
            <w:r w:rsidRPr="00AF7C6C">
              <w:rPr>
                <w:rFonts w:ascii="Arial" w:hAnsi="Arial" w:cs="Arial"/>
                <w:sz w:val="24"/>
                <w:szCs w:val="24"/>
              </w:rPr>
              <w:t>There is</w:t>
            </w:r>
            <w:r w:rsidR="00AB5211" w:rsidRPr="00AF7C6C">
              <w:rPr>
                <w:rFonts w:ascii="Arial" w:hAnsi="Arial" w:cs="Arial"/>
                <w:sz w:val="24"/>
                <w:szCs w:val="24"/>
              </w:rPr>
              <w:t>,</w:t>
            </w:r>
            <w:r w:rsidRPr="00AF7C6C">
              <w:rPr>
                <w:rFonts w:ascii="Arial" w:hAnsi="Arial" w:cs="Arial"/>
                <w:sz w:val="24"/>
                <w:szCs w:val="24"/>
              </w:rPr>
              <w:t xml:space="preserve"> therefore</w:t>
            </w:r>
            <w:r w:rsidR="00AB5211" w:rsidRPr="00AF7C6C">
              <w:rPr>
                <w:rFonts w:ascii="Arial" w:hAnsi="Arial" w:cs="Arial"/>
                <w:sz w:val="24"/>
                <w:szCs w:val="24"/>
              </w:rPr>
              <w:t>,</w:t>
            </w:r>
            <w:r w:rsidRPr="00AF7C6C">
              <w:rPr>
                <w:rFonts w:ascii="Arial" w:hAnsi="Arial" w:cs="Arial"/>
                <w:sz w:val="24"/>
                <w:szCs w:val="24"/>
              </w:rPr>
              <w:t xml:space="preserve"> a distinction between a bondholder declaring property executable and a non-bondholder in that</w:t>
            </w:r>
            <w:r w:rsidR="00CE1C63">
              <w:rPr>
                <w:rFonts w:ascii="Arial" w:hAnsi="Arial" w:cs="Arial"/>
                <w:sz w:val="24"/>
                <w:szCs w:val="24"/>
              </w:rPr>
              <w:t>,</w:t>
            </w:r>
            <w:r w:rsidRPr="00AF7C6C">
              <w:rPr>
                <w:rFonts w:ascii="Arial" w:hAnsi="Arial" w:cs="Arial"/>
                <w:sz w:val="24"/>
                <w:szCs w:val="24"/>
              </w:rPr>
              <w:t xml:space="preserve"> in the latter case there must be a </w:t>
            </w:r>
            <w:proofErr w:type="spellStart"/>
            <w:r w:rsidRPr="00AF7C6C">
              <w:rPr>
                <w:rFonts w:ascii="Arial" w:hAnsi="Arial" w:cs="Arial"/>
                <w:sz w:val="24"/>
                <w:szCs w:val="24"/>
              </w:rPr>
              <w:t>nulla</w:t>
            </w:r>
            <w:proofErr w:type="spellEnd"/>
            <w:r w:rsidRPr="00AF7C6C">
              <w:rPr>
                <w:rFonts w:ascii="Arial" w:hAnsi="Arial" w:cs="Arial"/>
                <w:sz w:val="24"/>
                <w:szCs w:val="24"/>
              </w:rPr>
              <w:t xml:space="preserve"> bona return from the Deputy Sheriff in respect of movables or that there are insufficient movables. Accordingly</w:t>
            </w:r>
            <w:r w:rsidR="00AB5211" w:rsidRPr="00AF7C6C">
              <w:rPr>
                <w:rFonts w:ascii="Arial" w:hAnsi="Arial" w:cs="Arial"/>
                <w:sz w:val="24"/>
                <w:szCs w:val="24"/>
              </w:rPr>
              <w:t>,</w:t>
            </w:r>
            <w:r w:rsidRPr="00AF7C6C">
              <w:rPr>
                <w:rFonts w:ascii="Arial" w:hAnsi="Arial" w:cs="Arial"/>
                <w:sz w:val="24"/>
                <w:szCs w:val="24"/>
              </w:rPr>
              <w:t xml:space="preserve"> the immovable property is the only remaining asset of the debtor. The bondholder does not ha</w:t>
            </w:r>
            <w:r w:rsidR="00AF7C6C">
              <w:rPr>
                <w:rFonts w:ascii="Arial" w:hAnsi="Arial" w:cs="Arial"/>
                <w:sz w:val="24"/>
                <w:szCs w:val="24"/>
              </w:rPr>
              <w:t>ve to first proceed against mov</w:t>
            </w:r>
            <w:r w:rsidRPr="00AF7C6C">
              <w:rPr>
                <w:rFonts w:ascii="Arial" w:hAnsi="Arial" w:cs="Arial"/>
                <w:sz w:val="24"/>
                <w:szCs w:val="24"/>
              </w:rPr>
              <w:t>able property.</w:t>
            </w:r>
            <w:r w:rsidR="005F24AD" w:rsidRPr="00AF7C6C">
              <w:rPr>
                <w:rFonts w:ascii="Arial" w:hAnsi="Arial" w:cs="Arial"/>
                <w:sz w:val="24"/>
                <w:szCs w:val="24"/>
              </w:rPr>
              <w:t xml:space="preserve"> </w:t>
            </w:r>
            <w:r w:rsidR="00C41628" w:rsidRPr="00F42131">
              <w:rPr>
                <w:rFonts w:ascii="Arial" w:hAnsi="Arial" w:cs="Arial"/>
                <w:sz w:val="24"/>
                <w:szCs w:val="24"/>
              </w:rPr>
              <w:t>The applicant is a non-bondholder</w:t>
            </w:r>
            <w:r w:rsidR="00CE1C63">
              <w:rPr>
                <w:rFonts w:ascii="Arial" w:hAnsi="Arial" w:cs="Arial"/>
                <w:sz w:val="24"/>
                <w:szCs w:val="24"/>
              </w:rPr>
              <w:t>,</w:t>
            </w:r>
            <w:r w:rsidR="00C41628" w:rsidRPr="00F42131">
              <w:rPr>
                <w:rFonts w:ascii="Arial" w:hAnsi="Arial" w:cs="Arial"/>
                <w:sz w:val="24"/>
                <w:szCs w:val="24"/>
              </w:rPr>
              <w:t xml:space="preserve"> and therefore the rest of my discussion is premised on that principle. </w:t>
            </w:r>
          </w:p>
          <w:p w14:paraId="1938EE6B" w14:textId="77777777" w:rsidR="00F6293D" w:rsidRPr="00B93E7D" w:rsidRDefault="00F6293D" w:rsidP="00F6293D">
            <w:pPr>
              <w:pStyle w:val="ListParagraph"/>
              <w:rPr>
                <w:rFonts w:ascii="Arial" w:eastAsia="Cambria" w:hAnsi="Arial" w:cs="Arial"/>
                <w:sz w:val="24"/>
                <w:szCs w:val="24"/>
              </w:rPr>
            </w:pPr>
          </w:p>
          <w:p w14:paraId="381F3100" w14:textId="039E2F6E" w:rsidR="00F6293D" w:rsidRDefault="00F6293D" w:rsidP="00F6293D">
            <w:pPr>
              <w:pStyle w:val="ListParagraph"/>
              <w:numPr>
                <w:ilvl w:val="0"/>
                <w:numId w:val="8"/>
              </w:numPr>
              <w:spacing w:line="360" w:lineRule="auto"/>
              <w:ind w:left="0" w:firstLine="0"/>
              <w:jc w:val="both"/>
              <w:rPr>
                <w:rFonts w:ascii="Arial" w:eastAsia="Cambria" w:hAnsi="Arial" w:cs="Arial"/>
                <w:sz w:val="24"/>
                <w:szCs w:val="24"/>
              </w:rPr>
            </w:pPr>
            <w:r>
              <w:rPr>
                <w:rFonts w:ascii="Arial" w:eastAsia="Cambria" w:hAnsi="Arial" w:cs="Arial"/>
                <w:sz w:val="24"/>
                <w:szCs w:val="24"/>
              </w:rPr>
              <w:t xml:space="preserve">It is common cause that there is no </w:t>
            </w:r>
            <w:proofErr w:type="spellStart"/>
            <w:r>
              <w:rPr>
                <w:rFonts w:ascii="Arial" w:eastAsia="Cambria" w:hAnsi="Arial" w:cs="Arial"/>
                <w:sz w:val="24"/>
                <w:szCs w:val="24"/>
              </w:rPr>
              <w:t>nulla</w:t>
            </w:r>
            <w:proofErr w:type="spellEnd"/>
            <w:r>
              <w:rPr>
                <w:rFonts w:ascii="Arial" w:eastAsia="Cambria" w:hAnsi="Arial" w:cs="Arial"/>
                <w:sz w:val="24"/>
                <w:szCs w:val="24"/>
              </w:rPr>
              <w:t xml:space="preserve"> bona return filed in respect of the first respondent</w:t>
            </w:r>
            <w:r w:rsidR="00CE1C63">
              <w:rPr>
                <w:rFonts w:ascii="Arial" w:eastAsia="Cambria" w:hAnsi="Arial" w:cs="Arial"/>
                <w:sz w:val="24"/>
                <w:szCs w:val="24"/>
              </w:rPr>
              <w:t>,</w:t>
            </w:r>
            <w:r>
              <w:rPr>
                <w:rFonts w:ascii="Arial" w:eastAsia="Cambria" w:hAnsi="Arial" w:cs="Arial"/>
                <w:sz w:val="24"/>
                <w:szCs w:val="24"/>
              </w:rPr>
              <w:t xml:space="preserve"> and it appears that the applicant’s departure point for the non-filing of a </w:t>
            </w:r>
            <w:proofErr w:type="spellStart"/>
            <w:r>
              <w:rPr>
                <w:rFonts w:ascii="Arial" w:eastAsia="Cambria" w:hAnsi="Arial" w:cs="Arial"/>
                <w:sz w:val="24"/>
                <w:szCs w:val="24"/>
              </w:rPr>
              <w:t>nulla</w:t>
            </w:r>
            <w:proofErr w:type="spellEnd"/>
            <w:r>
              <w:rPr>
                <w:rFonts w:ascii="Arial" w:eastAsia="Cambria" w:hAnsi="Arial" w:cs="Arial"/>
                <w:sz w:val="24"/>
                <w:szCs w:val="24"/>
              </w:rPr>
              <w:t xml:space="preserve"> bona is that the second respondent is the sole member of the first respondent and the respondents are jointly and severally liable for the debt.</w:t>
            </w:r>
          </w:p>
          <w:p w14:paraId="1FA79456" w14:textId="77777777" w:rsidR="00F6293D" w:rsidRPr="00E93344" w:rsidRDefault="00F6293D" w:rsidP="00F6293D">
            <w:pPr>
              <w:pStyle w:val="ListParagraph"/>
              <w:rPr>
                <w:rFonts w:ascii="Arial" w:eastAsia="Cambria" w:hAnsi="Arial" w:cs="Arial"/>
                <w:sz w:val="24"/>
                <w:szCs w:val="24"/>
              </w:rPr>
            </w:pPr>
          </w:p>
          <w:p w14:paraId="7AF257B8" w14:textId="3B3542CD" w:rsidR="00F6293D" w:rsidRDefault="00F6293D" w:rsidP="00F6293D">
            <w:pPr>
              <w:pStyle w:val="ListParagraph"/>
              <w:numPr>
                <w:ilvl w:val="0"/>
                <w:numId w:val="8"/>
              </w:numPr>
              <w:spacing w:line="360" w:lineRule="auto"/>
              <w:ind w:left="0" w:firstLine="0"/>
              <w:jc w:val="both"/>
              <w:rPr>
                <w:rFonts w:ascii="Arial" w:eastAsia="Cambria" w:hAnsi="Arial" w:cs="Arial"/>
                <w:sz w:val="24"/>
                <w:szCs w:val="24"/>
              </w:rPr>
            </w:pPr>
            <w:r>
              <w:rPr>
                <w:rFonts w:ascii="Arial" w:eastAsia="Cambria" w:hAnsi="Arial" w:cs="Arial"/>
                <w:sz w:val="24"/>
                <w:szCs w:val="24"/>
              </w:rPr>
              <w:t>What should be born</w:t>
            </w:r>
            <w:r w:rsidR="008B76EC">
              <w:rPr>
                <w:rFonts w:ascii="Arial" w:eastAsia="Cambria" w:hAnsi="Arial" w:cs="Arial"/>
                <w:sz w:val="24"/>
                <w:szCs w:val="24"/>
              </w:rPr>
              <w:t>e</w:t>
            </w:r>
            <w:r>
              <w:rPr>
                <w:rFonts w:ascii="Arial" w:eastAsia="Cambria" w:hAnsi="Arial" w:cs="Arial"/>
                <w:sz w:val="24"/>
                <w:szCs w:val="24"/>
              </w:rPr>
              <w:t xml:space="preserve"> in mind in the current facts is that the applicant is not seeking an order in respect of just any immovable property</w:t>
            </w:r>
            <w:r w:rsidR="008B76EC">
              <w:rPr>
                <w:rFonts w:ascii="Arial" w:eastAsia="Cambria" w:hAnsi="Arial" w:cs="Arial"/>
                <w:sz w:val="24"/>
                <w:szCs w:val="24"/>
              </w:rPr>
              <w:t>,</w:t>
            </w:r>
            <w:r>
              <w:rPr>
                <w:rFonts w:ascii="Arial" w:eastAsia="Cambria" w:hAnsi="Arial" w:cs="Arial"/>
                <w:sz w:val="24"/>
                <w:szCs w:val="24"/>
              </w:rPr>
              <w:t xml:space="preserve"> but indeed</w:t>
            </w:r>
            <w:r w:rsidR="008B76EC">
              <w:rPr>
                <w:rFonts w:ascii="Arial" w:eastAsia="Cambria" w:hAnsi="Arial" w:cs="Arial"/>
                <w:sz w:val="24"/>
                <w:szCs w:val="24"/>
              </w:rPr>
              <w:t>,</w:t>
            </w:r>
            <w:r>
              <w:rPr>
                <w:rFonts w:ascii="Arial" w:eastAsia="Cambria" w:hAnsi="Arial" w:cs="Arial"/>
                <w:sz w:val="24"/>
                <w:szCs w:val="24"/>
              </w:rPr>
              <w:t xml:space="preserve"> the immovable property that is the primary home o</w:t>
            </w:r>
            <w:r w:rsidRPr="0079743C">
              <w:rPr>
                <w:rFonts w:ascii="Arial" w:eastAsia="Cambria" w:hAnsi="Arial" w:cs="Arial"/>
                <w:sz w:val="24"/>
                <w:szCs w:val="24"/>
              </w:rPr>
              <w:t>f the second respondent and his wife.</w:t>
            </w:r>
          </w:p>
          <w:p w14:paraId="3E1C1BB0" w14:textId="77777777" w:rsidR="00F6293D" w:rsidRPr="00657C62" w:rsidRDefault="00F6293D" w:rsidP="00F6293D">
            <w:pPr>
              <w:pStyle w:val="ListParagraph"/>
              <w:spacing w:after="200" w:line="360" w:lineRule="auto"/>
              <w:ind w:left="0"/>
              <w:jc w:val="both"/>
              <w:rPr>
                <w:rFonts w:ascii="Arial" w:eastAsia="Cambria" w:hAnsi="Arial" w:cs="Arial"/>
                <w:sz w:val="24"/>
                <w:szCs w:val="24"/>
              </w:rPr>
            </w:pPr>
          </w:p>
          <w:p w14:paraId="575F13DD" w14:textId="05508486" w:rsidR="00F6293D" w:rsidRPr="00F729CE" w:rsidRDefault="00F6293D" w:rsidP="00F6293D">
            <w:pPr>
              <w:pStyle w:val="ListParagraph"/>
              <w:numPr>
                <w:ilvl w:val="0"/>
                <w:numId w:val="8"/>
              </w:numPr>
              <w:spacing w:after="200" w:line="360" w:lineRule="auto"/>
              <w:ind w:left="0" w:firstLine="0"/>
              <w:jc w:val="both"/>
              <w:rPr>
                <w:rFonts w:ascii="Arial" w:eastAsia="Cambria" w:hAnsi="Arial" w:cs="Arial"/>
                <w:sz w:val="24"/>
                <w:szCs w:val="24"/>
              </w:rPr>
            </w:pPr>
            <w:r>
              <w:rPr>
                <w:rFonts w:ascii="Arial" w:eastAsia="Cambria" w:hAnsi="Arial" w:cs="Arial"/>
                <w:sz w:val="24"/>
                <w:szCs w:val="24"/>
              </w:rPr>
              <w:t>R</w:t>
            </w:r>
            <w:r w:rsidRPr="00F729CE">
              <w:rPr>
                <w:rFonts w:ascii="Arial" w:eastAsia="Cambria" w:hAnsi="Arial" w:cs="Arial"/>
                <w:sz w:val="24"/>
                <w:szCs w:val="24"/>
              </w:rPr>
              <w:t xml:space="preserve">ule 108 </w:t>
            </w:r>
            <w:r>
              <w:rPr>
                <w:rFonts w:ascii="Arial" w:eastAsia="Cambria" w:hAnsi="Arial" w:cs="Arial"/>
                <w:sz w:val="24"/>
                <w:szCs w:val="24"/>
              </w:rPr>
              <w:t>of the Rules of this Court stipulates that:</w:t>
            </w:r>
          </w:p>
          <w:p w14:paraId="7589F8D2" w14:textId="77777777" w:rsidR="00F6293D" w:rsidRPr="00F729CE" w:rsidRDefault="00F6293D" w:rsidP="00F6293D">
            <w:pPr>
              <w:pStyle w:val="ListParagraph"/>
              <w:spacing w:line="360" w:lineRule="auto"/>
              <w:ind w:left="0"/>
              <w:jc w:val="both"/>
              <w:rPr>
                <w:rFonts w:ascii="Arial" w:eastAsia="Cambria" w:hAnsi="Arial" w:cs="Arial"/>
                <w:sz w:val="24"/>
                <w:szCs w:val="24"/>
              </w:rPr>
            </w:pPr>
          </w:p>
          <w:p w14:paraId="491B93F0" w14:textId="77777777" w:rsidR="00F6293D" w:rsidRPr="005307C3" w:rsidRDefault="00F6293D" w:rsidP="00F6293D">
            <w:pPr>
              <w:pStyle w:val="ListParagraph"/>
              <w:spacing w:line="360" w:lineRule="auto"/>
              <w:ind w:left="0" w:firstLine="720"/>
              <w:jc w:val="both"/>
              <w:rPr>
                <w:rFonts w:ascii="Arial" w:eastAsia="Cambria" w:hAnsi="Arial" w:cs="Arial"/>
              </w:rPr>
            </w:pPr>
            <w:r w:rsidRPr="005307C3">
              <w:rPr>
                <w:rFonts w:ascii="Arial" w:eastAsia="Cambria" w:hAnsi="Arial" w:cs="Arial"/>
              </w:rPr>
              <w:t xml:space="preserve">‘(1) The registrar may not issue a writ of execution against the immovable property of an execution debtor or of any other person unless – </w:t>
            </w:r>
          </w:p>
          <w:p w14:paraId="42073D92" w14:textId="77777777" w:rsidR="00F6293D" w:rsidRPr="005307C3" w:rsidRDefault="00F6293D" w:rsidP="00F6293D">
            <w:pPr>
              <w:pStyle w:val="ListParagraph"/>
              <w:spacing w:line="360" w:lineRule="auto"/>
              <w:ind w:left="0"/>
              <w:jc w:val="both"/>
              <w:rPr>
                <w:rFonts w:ascii="Arial" w:eastAsia="Cambria" w:hAnsi="Arial" w:cs="Arial"/>
              </w:rPr>
            </w:pPr>
            <w:r w:rsidRPr="005307C3">
              <w:rPr>
                <w:rFonts w:ascii="Arial" w:eastAsia="Cambria" w:hAnsi="Arial" w:cs="Arial"/>
              </w:rPr>
              <w:t>(a) a return has been made of any process which may have been issued against the movable property of the execution debtor from which it appears that that execution debtor or person has insufficient movable property to satisfy the writ; and</w:t>
            </w:r>
          </w:p>
          <w:p w14:paraId="2AD1ECA5" w14:textId="77777777" w:rsidR="00F6293D" w:rsidRDefault="00F6293D" w:rsidP="00F6293D">
            <w:pPr>
              <w:pStyle w:val="ListParagraph"/>
              <w:spacing w:line="360" w:lineRule="auto"/>
              <w:ind w:left="0"/>
              <w:jc w:val="both"/>
              <w:rPr>
                <w:rFonts w:ascii="Arial" w:eastAsia="Cambria" w:hAnsi="Arial" w:cs="Arial"/>
              </w:rPr>
            </w:pPr>
            <w:r w:rsidRPr="005307C3">
              <w:rPr>
                <w:rFonts w:ascii="Arial" w:eastAsia="Cambria" w:hAnsi="Arial" w:cs="Arial"/>
              </w:rPr>
              <w:t xml:space="preserve">(b) </w:t>
            </w:r>
            <w:proofErr w:type="gramStart"/>
            <w:r w:rsidRPr="005307C3">
              <w:rPr>
                <w:rFonts w:ascii="Arial" w:eastAsia="Cambria" w:hAnsi="Arial" w:cs="Arial"/>
              </w:rPr>
              <w:t>the</w:t>
            </w:r>
            <w:proofErr w:type="gramEnd"/>
            <w:r w:rsidRPr="005307C3">
              <w:rPr>
                <w:rFonts w:ascii="Arial" w:eastAsia="Cambria" w:hAnsi="Arial" w:cs="Arial"/>
              </w:rPr>
              <w:t xml:space="preserve"> immovable property has, on application made to the court by the execution creditor, been, subject to </w:t>
            </w:r>
            <w:proofErr w:type="spellStart"/>
            <w:r w:rsidRPr="005307C3">
              <w:rPr>
                <w:rFonts w:ascii="Arial" w:eastAsia="Cambria" w:hAnsi="Arial" w:cs="Arial"/>
              </w:rPr>
              <w:t>subrule</w:t>
            </w:r>
            <w:proofErr w:type="spellEnd"/>
            <w:r w:rsidRPr="005307C3">
              <w:rPr>
                <w:rFonts w:ascii="Arial" w:eastAsia="Cambria" w:hAnsi="Arial" w:cs="Arial"/>
              </w:rPr>
              <w:t xml:space="preserve"> (2), declared to be specially executable.</w:t>
            </w:r>
          </w:p>
          <w:p w14:paraId="52705147" w14:textId="77777777" w:rsidR="00F6293D" w:rsidRPr="005307C3" w:rsidRDefault="00F6293D" w:rsidP="00F6293D">
            <w:pPr>
              <w:pStyle w:val="ListParagraph"/>
              <w:spacing w:line="360" w:lineRule="auto"/>
              <w:ind w:left="0"/>
              <w:jc w:val="both"/>
              <w:rPr>
                <w:rFonts w:ascii="Arial" w:eastAsia="Cambria" w:hAnsi="Arial" w:cs="Arial"/>
              </w:rPr>
            </w:pPr>
          </w:p>
          <w:p w14:paraId="39EAFABE" w14:textId="77777777" w:rsidR="00F6293D" w:rsidRPr="00AF7C6C" w:rsidRDefault="00F6293D" w:rsidP="00F6293D">
            <w:pPr>
              <w:pStyle w:val="ListParagraph"/>
              <w:spacing w:line="360" w:lineRule="auto"/>
              <w:ind w:left="0"/>
              <w:jc w:val="both"/>
              <w:rPr>
                <w:rFonts w:ascii="Arial" w:eastAsia="Cambria" w:hAnsi="Arial" w:cs="Arial"/>
              </w:rPr>
            </w:pPr>
            <w:r w:rsidRPr="00AF7C6C">
              <w:rPr>
                <w:rFonts w:ascii="Arial" w:eastAsia="Cambria" w:hAnsi="Arial" w:cs="Arial"/>
              </w:rPr>
              <w:t xml:space="preserve">(2) If the immovable property sought to be attached is </w:t>
            </w:r>
            <w:r w:rsidRPr="00AF7C6C">
              <w:rPr>
                <w:rFonts w:ascii="Arial" w:eastAsia="Cambria" w:hAnsi="Arial" w:cs="Arial"/>
                <w:u w:val="single"/>
              </w:rPr>
              <w:t>the primary home</w:t>
            </w:r>
            <w:r w:rsidRPr="00AF7C6C">
              <w:rPr>
                <w:rFonts w:ascii="Arial" w:eastAsia="Cambria" w:hAnsi="Arial" w:cs="Arial"/>
              </w:rPr>
              <w:t xml:space="preserve"> of the execution debtor or is leased to a third party as home the court may not declare that property to be specially executable unless – </w:t>
            </w:r>
          </w:p>
          <w:p w14:paraId="06A21EB9" w14:textId="77777777" w:rsidR="00F6293D" w:rsidRPr="00AF7C6C" w:rsidRDefault="00F6293D" w:rsidP="00F6293D">
            <w:pPr>
              <w:pStyle w:val="ListParagraph"/>
              <w:spacing w:line="360" w:lineRule="auto"/>
              <w:ind w:left="0"/>
              <w:jc w:val="both"/>
              <w:rPr>
                <w:rFonts w:ascii="Arial" w:eastAsia="Cambria" w:hAnsi="Arial" w:cs="Arial"/>
              </w:rPr>
            </w:pPr>
            <w:r w:rsidRPr="00AF7C6C">
              <w:rPr>
                <w:rFonts w:ascii="Arial" w:eastAsia="Cambria" w:hAnsi="Arial" w:cs="Arial"/>
              </w:rPr>
              <w:t>(a) the execution creditor has by means of personal service effected by the deputy sheriff given notice on Form 24 to the execution debtor that application will be made to the court for an order declaring the property executable and calling on the execution debtor to provide reasons to the court why such order should not be made;</w:t>
            </w:r>
          </w:p>
          <w:p w14:paraId="14814E91" w14:textId="77777777" w:rsidR="00F6293D" w:rsidRPr="00AF7C6C" w:rsidRDefault="00F6293D" w:rsidP="00F6293D">
            <w:pPr>
              <w:pStyle w:val="ListParagraph"/>
              <w:spacing w:line="360" w:lineRule="auto"/>
              <w:ind w:left="0"/>
              <w:jc w:val="both"/>
              <w:rPr>
                <w:rFonts w:ascii="Arial" w:eastAsia="Cambria" w:hAnsi="Arial" w:cs="Arial"/>
              </w:rPr>
            </w:pPr>
            <w:r w:rsidRPr="00AF7C6C">
              <w:rPr>
                <w:rFonts w:ascii="Arial" w:eastAsia="Cambria" w:hAnsi="Arial" w:cs="Arial"/>
              </w:rPr>
              <w:t xml:space="preserve">(b) the execution creditor has caused the notice referred to in paragraph (a) to be served personally on any lessee of the property so sought to be declared executable; and </w:t>
            </w:r>
          </w:p>
          <w:p w14:paraId="3FAFBC5C" w14:textId="5528C1D9" w:rsidR="00F6293D" w:rsidRPr="007C0692" w:rsidRDefault="00F6293D" w:rsidP="00F6293D">
            <w:pPr>
              <w:pStyle w:val="ListParagraph"/>
              <w:spacing w:line="360" w:lineRule="auto"/>
              <w:ind w:left="0"/>
              <w:jc w:val="both"/>
              <w:rPr>
                <w:rFonts w:ascii="Arial" w:eastAsia="Cambria" w:hAnsi="Arial" w:cs="Arial"/>
                <w:u w:val="single"/>
              </w:rPr>
            </w:pPr>
            <w:r w:rsidRPr="00AF7C6C">
              <w:rPr>
                <w:rFonts w:ascii="Arial" w:eastAsia="Cambria" w:hAnsi="Arial" w:cs="Arial"/>
              </w:rPr>
              <w:t xml:space="preserve">(c) </w:t>
            </w:r>
            <w:r w:rsidRPr="00AF7C6C">
              <w:rPr>
                <w:rFonts w:ascii="Arial" w:eastAsia="Cambria" w:hAnsi="Arial" w:cs="Arial"/>
                <w:u w:val="single"/>
              </w:rPr>
              <w:t>the court so orders, having considered all the relevant circumstances with specific reference to less drastic measures than sale in execution of the primary home under attachment, which measures may include attachment of an alternative immovable property to the immovable property serving as the primary home of the execution debtor or any third party making claim thereto</w:t>
            </w:r>
            <w:r w:rsidRPr="00AF7C6C">
              <w:rPr>
                <w:rFonts w:ascii="Arial" w:eastAsia="Cambria" w:hAnsi="Arial" w:cs="Arial"/>
              </w:rPr>
              <w:t>.’</w:t>
            </w:r>
            <w:r>
              <w:rPr>
                <w:rFonts w:ascii="Arial" w:eastAsia="Cambria" w:hAnsi="Arial" w:cs="Arial"/>
              </w:rPr>
              <w:t xml:space="preserve"> </w:t>
            </w:r>
            <w:r w:rsidR="007C0692">
              <w:rPr>
                <w:rFonts w:ascii="Arial" w:eastAsia="Cambria" w:hAnsi="Arial" w:cs="Arial"/>
              </w:rPr>
              <w:t xml:space="preserve"> </w:t>
            </w:r>
            <w:r w:rsidR="00AF7C6C">
              <w:rPr>
                <w:rFonts w:ascii="Arial" w:eastAsia="Cambria" w:hAnsi="Arial" w:cs="Arial"/>
              </w:rPr>
              <w:t>(my underlining)</w:t>
            </w:r>
          </w:p>
          <w:p w14:paraId="6BA34402" w14:textId="77777777" w:rsidR="00F42131" w:rsidRPr="00F42131" w:rsidRDefault="00F42131" w:rsidP="00F42131">
            <w:pPr>
              <w:pStyle w:val="ListParagraph"/>
              <w:widowControl w:val="0"/>
              <w:autoSpaceDE w:val="0"/>
              <w:autoSpaceDN w:val="0"/>
              <w:adjustRightInd w:val="0"/>
              <w:spacing w:line="360" w:lineRule="auto"/>
              <w:ind w:left="0"/>
              <w:jc w:val="both"/>
              <w:rPr>
                <w:rFonts w:ascii="Arial" w:hAnsi="Arial" w:cs="Arial"/>
                <w:sz w:val="24"/>
                <w:szCs w:val="24"/>
              </w:rPr>
            </w:pPr>
          </w:p>
          <w:p w14:paraId="6A2455DD" w14:textId="7CF8B82E" w:rsidR="00F6293D" w:rsidRPr="00947396" w:rsidRDefault="00F6293D" w:rsidP="00F6293D">
            <w:pPr>
              <w:pStyle w:val="ListParagraph"/>
              <w:widowControl w:val="0"/>
              <w:numPr>
                <w:ilvl w:val="0"/>
                <w:numId w:val="8"/>
              </w:numPr>
              <w:autoSpaceDE w:val="0"/>
              <w:autoSpaceDN w:val="0"/>
              <w:adjustRightInd w:val="0"/>
              <w:spacing w:line="360" w:lineRule="auto"/>
              <w:ind w:left="0" w:firstLine="0"/>
              <w:jc w:val="both"/>
              <w:rPr>
                <w:rFonts w:ascii="Arial" w:hAnsi="Arial" w:cs="Arial"/>
                <w:sz w:val="24"/>
                <w:szCs w:val="24"/>
              </w:rPr>
            </w:pPr>
            <w:r w:rsidRPr="00947396">
              <w:rPr>
                <w:rFonts w:ascii="Arial" w:eastAsia="Cambria" w:hAnsi="Arial" w:cs="Arial"/>
                <w:sz w:val="24"/>
                <w:szCs w:val="24"/>
              </w:rPr>
              <w:t>Rule 108(1) requires that the judgment creditor first seeks satisfaction of the judgment debt from the judgment debtor’s movable property before having recourse to the immovable property of the judgment debtor. In addition thereto</w:t>
            </w:r>
            <w:r w:rsidR="008B76EC">
              <w:rPr>
                <w:rFonts w:ascii="Arial" w:eastAsia="Cambria" w:hAnsi="Arial" w:cs="Arial"/>
                <w:sz w:val="24"/>
                <w:szCs w:val="24"/>
              </w:rPr>
              <w:t>,</w:t>
            </w:r>
            <w:r w:rsidRPr="00947396">
              <w:rPr>
                <w:rFonts w:ascii="Arial" w:eastAsia="Cambria" w:hAnsi="Arial" w:cs="Arial"/>
                <w:sz w:val="24"/>
                <w:szCs w:val="24"/>
              </w:rPr>
              <w:t xml:space="preserve"> the judgment creditor must apply to court to have the immovable property of the judgment debtor declared specially executable in accordance with the procedure described in r 108(2</w:t>
            </w:r>
            <w:proofErr w:type="gramStart"/>
            <w:r w:rsidRPr="00947396">
              <w:rPr>
                <w:rFonts w:ascii="Arial" w:eastAsia="Cambria" w:hAnsi="Arial" w:cs="Arial"/>
                <w:sz w:val="24"/>
                <w:szCs w:val="24"/>
              </w:rPr>
              <w:t>)(</w:t>
            </w:r>
            <w:proofErr w:type="gramEnd"/>
            <w:r w:rsidRPr="00947396">
              <w:rPr>
                <w:rFonts w:ascii="Arial" w:eastAsia="Cambria" w:hAnsi="Arial" w:cs="Arial"/>
                <w:i/>
                <w:sz w:val="24"/>
                <w:szCs w:val="24"/>
              </w:rPr>
              <w:t>a</w:t>
            </w:r>
            <w:r w:rsidRPr="00947396">
              <w:rPr>
                <w:rFonts w:ascii="Arial" w:eastAsia="Cambria" w:hAnsi="Arial" w:cs="Arial"/>
                <w:sz w:val="24"/>
                <w:szCs w:val="24"/>
              </w:rPr>
              <w:t>) – (</w:t>
            </w:r>
            <w:r w:rsidRPr="00947396">
              <w:rPr>
                <w:rFonts w:ascii="Arial" w:eastAsia="Cambria" w:hAnsi="Arial" w:cs="Arial"/>
                <w:i/>
                <w:sz w:val="24"/>
                <w:szCs w:val="24"/>
              </w:rPr>
              <w:t>c</w:t>
            </w:r>
            <w:r w:rsidRPr="00947396">
              <w:rPr>
                <w:rFonts w:ascii="Arial" w:eastAsia="Cambria" w:hAnsi="Arial" w:cs="Arial"/>
                <w:sz w:val="24"/>
                <w:szCs w:val="24"/>
              </w:rPr>
              <w:t>).</w:t>
            </w:r>
            <w:r>
              <w:rPr>
                <w:rStyle w:val="FootnoteReference"/>
                <w:rFonts w:ascii="Arial" w:eastAsia="Cambria" w:hAnsi="Arial" w:cs="Arial"/>
                <w:sz w:val="24"/>
                <w:szCs w:val="24"/>
              </w:rPr>
              <w:footnoteReference w:id="5"/>
            </w:r>
            <w:r w:rsidRPr="00947396">
              <w:rPr>
                <w:rFonts w:ascii="Arial" w:eastAsia="Cambria" w:hAnsi="Arial" w:cs="Arial"/>
                <w:sz w:val="24"/>
                <w:szCs w:val="24"/>
              </w:rPr>
              <w:t xml:space="preserve"> </w:t>
            </w:r>
          </w:p>
          <w:p w14:paraId="0EFEF347" w14:textId="77777777" w:rsidR="00F6293D" w:rsidRPr="00947396" w:rsidRDefault="00F6293D" w:rsidP="00F6293D">
            <w:pPr>
              <w:pStyle w:val="ListParagraph"/>
              <w:widowControl w:val="0"/>
              <w:autoSpaceDE w:val="0"/>
              <w:autoSpaceDN w:val="0"/>
              <w:adjustRightInd w:val="0"/>
              <w:spacing w:line="360" w:lineRule="auto"/>
              <w:ind w:left="0"/>
              <w:jc w:val="both"/>
              <w:rPr>
                <w:rFonts w:ascii="Arial" w:hAnsi="Arial" w:cs="Arial"/>
                <w:sz w:val="24"/>
                <w:szCs w:val="24"/>
              </w:rPr>
            </w:pPr>
          </w:p>
          <w:p w14:paraId="65C7A529" w14:textId="6CBEC30E" w:rsidR="00F6293D" w:rsidRPr="00947396" w:rsidRDefault="00F6293D" w:rsidP="00F6293D">
            <w:pPr>
              <w:pStyle w:val="ListParagraph"/>
              <w:widowControl w:val="0"/>
              <w:numPr>
                <w:ilvl w:val="0"/>
                <w:numId w:val="8"/>
              </w:numPr>
              <w:autoSpaceDE w:val="0"/>
              <w:autoSpaceDN w:val="0"/>
              <w:adjustRightInd w:val="0"/>
              <w:spacing w:line="360" w:lineRule="auto"/>
              <w:ind w:left="0" w:firstLine="0"/>
              <w:jc w:val="both"/>
              <w:rPr>
                <w:rFonts w:ascii="Arial" w:hAnsi="Arial" w:cs="Arial"/>
                <w:sz w:val="24"/>
                <w:szCs w:val="24"/>
              </w:rPr>
            </w:pPr>
            <w:r w:rsidRPr="00947396">
              <w:rPr>
                <w:rFonts w:ascii="Arial" w:hAnsi="Arial" w:cs="Arial"/>
                <w:sz w:val="24"/>
                <w:szCs w:val="24"/>
              </w:rPr>
              <w:t>A writ was issued in respect of the first respondent</w:t>
            </w:r>
            <w:r w:rsidR="008B76EC">
              <w:rPr>
                <w:rFonts w:ascii="Arial" w:hAnsi="Arial" w:cs="Arial"/>
                <w:sz w:val="24"/>
                <w:szCs w:val="24"/>
              </w:rPr>
              <w:t>,</w:t>
            </w:r>
            <w:r w:rsidRPr="00947396">
              <w:rPr>
                <w:rFonts w:ascii="Arial" w:hAnsi="Arial" w:cs="Arial"/>
                <w:sz w:val="24"/>
                <w:szCs w:val="24"/>
              </w:rPr>
              <w:t xml:space="preserve"> yet there is no return of service showing that the Deputy Sheriff demanded satisfaction of the writ from the first respondent. </w:t>
            </w:r>
          </w:p>
          <w:p w14:paraId="371802D7" w14:textId="77777777" w:rsidR="00F6293D" w:rsidRPr="00CF4DED" w:rsidRDefault="00F6293D" w:rsidP="00F6293D">
            <w:pPr>
              <w:pStyle w:val="ListParagraph"/>
              <w:rPr>
                <w:rFonts w:ascii="Arial" w:hAnsi="Arial" w:cs="Arial"/>
                <w:sz w:val="24"/>
                <w:szCs w:val="24"/>
              </w:rPr>
            </w:pPr>
          </w:p>
          <w:p w14:paraId="2F31CFFE" w14:textId="45B77D7D" w:rsidR="00F6293D" w:rsidRDefault="00F6293D" w:rsidP="00F6293D">
            <w:pPr>
              <w:pStyle w:val="ListParagraph"/>
              <w:numPr>
                <w:ilvl w:val="0"/>
                <w:numId w:val="8"/>
              </w:numPr>
              <w:spacing w:line="360" w:lineRule="auto"/>
              <w:ind w:left="0" w:firstLine="0"/>
              <w:jc w:val="both"/>
              <w:rPr>
                <w:rFonts w:ascii="Arial" w:hAnsi="Arial" w:cs="Arial"/>
                <w:sz w:val="24"/>
                <w:szCs w:val="24"/>
              </w:rPr>
            </w:pPr>
            <w:r w:rsidRPr="00E93344">
              <w:rPr>
                <w:rFonts w:ascii="Arial" w:hAnsi="Arial" w:cs="Arial"/>
                <w:sz w:val="24"/>
                <w:szCs w:val="24"/>
              </w:rPr>
              <w:t xml:space="preserve">The effect of the </w:t>
            </w:r>
            <w:proofErr w:type="spellStart"/>
            <w:r w:rsidRPr="00E93344">
              <w:rPr>
                <w:rFonts w:ascii="Arial" w:hAnsi="Arial" w:cs="Arial"/>
                <w:sz w:val="24"/>
                <w:szCs w:val="24"/>
              </w:rPr>
              <w:t>nulla</w:t>
            </w:r>
            <w:proofErr w:type="spellEnd"/>
            <w:r w:rsidRPr="00E93344">
              <w:rPr>
                <w:rFonts w:ascii="Arial" w:hAnsi="Arial" w:cs="Arial"/>
                <w:sz w:val="24"/>
                <w:szCs w:val="24"/>
              </w:rPr>
              <w:t xml:space="preserve"> bona return</w:t>
            </w:r>
            <w:r>
              <w:rPr>
                <w:rFonts w:ascii="Arial" w:hAnsi="Arial" w:cs="Arial"/>
                <w:sz w:val="24"/>
                <w:szCs w:val="24"/>
              </w:rPr>
              <w:t>, if issued by the Deputy Sheriff,</w:t>
            </w:r>
            <w:r w:rsidRPr="00E93344">
              <w:rPr>
                <w:rFonts w:ascii="Arial" w:hAnsi="Arial" w:cs="Arial"/>
                <w:sz w:val="24"/>
                <w:szCs w:val="24"/>
              </w:rPr>
              <w:t xml:space="preserve"> </w:t>
            </w:r>
            <w:r w:rsidR="007C0692" w:rsidRPr="00246D47">
              <w:rPr>
                <w:rFonts w:ascii="Arial" w:hAnsi="Arial" w:cs="Arial"/>
                <w:sz w:val="24"/>
                <w:szCs w:val="24"/>
              </w:rPr>
              <w:t>is</w:t>
            </w:r>
            <w:r w:rsidR="007C0692">
              <w:rPr>
                <w:rFonts w:ascii="Arial" w:hAnsi="Arial" w:cs="Arial"/>
                <w:sz w:val="24"/>
                <w:szCs w:val="24"/>
              </w:rPr>
              <w:t xml:space="preserve"> </w:t>
            </w:r>
            <w:r w:rsidRPr="00E93344">
              <w:rPr>
                <w:rFonts w:ascii="Arial" w:hAnsi="Arial" w:cs="Arial"/>
                <w:sz w:val="24"/>
                <w:szCs w:val="24"/>
              </w:rPr>
              <w:t xml:space="preserve">first, altering the status of a debtor (to that of insolvency) and second, of </w:t>
            </w:r>
            <w:r w:rsidR="008B76EC">
              <w:rPr>
                <w:rFonts w:ascii="Arial" w:hAnsi="Arial" w:cs="Arial"/>
                <w:sz w:val="24"/>
                <w:szCs w:val="24"/>
              </w:rPr>
              <w:t>infringing</w:t>
            </w:r>
            <w:r w:rsidRPr="00E93344">
              <w:rPr>
                <w:rFonts w:ascii="Arial" w:hAnsi="Arial" w:cs="Arial"/>
                <w:sz w:val="24"/>
                <w:szCs w:val="24"/>
              </w:rPr>
              <w:t xml:space="preserve"> upon a debtor’s right not to be deprived of their home or property without due process (declaring immovable property executable). It is accordingly a gateway</w:t>
            </w:r>
            <w:r w:rsidR="00864484">
              <w:rPr>
                <w:rFonts w:ascii="Arial" w:hAnsi="Arial" w:cs="Arial"/>
                <w:sz w:val="24"/>
                <w:szCs w:val="24"/>
              </w:rPr>
              <w:t xml:space="preserve">, </w:t>
            </w:r>
            <w:r w:rsidR="00864484" w:rsidRPr="00F42131">
              <w:rPr>
                <w:rFonts w:ascii="Arial" w:hAnsi="Arial" w:cs="Arial"/>
                <w:sz w:val="24"/>
                <w:szCs w:val="24"/>
              </w:rPr>
              <w:t>on the current facts,</w:t>
            </w:r>
            <w:r w:rsidRPr="00F42131">
              <w:rPr>
                <w:rFonts w:ascii="Arial" w:hAnsi="Arial" w:cs="Arial"/>
                <w:sz w:val="24"/>
                <w:szCs w:val="24"/>
              </w:rPr>
              <w:t xml:space="preserve"> </w:t>
            </w:r>
            <w:r w:rsidRPr="00E93344">
              <w:rPr>
                <w:rFonts w:ascii="Arial" w:hAnsi="Arial" w:cs="Arial"/>
                <w:sz w:val="24"/>
                <w:szCs w:val="24"/>
              </w:rPr>
              <w:t>to the debtor losing his or her residential home.</w:t>
            </w:r>
            <w:r>
              <w:rPr>
                <w:rStyle w:val="FootnoteReference"/>
                <w:rFonts w:ascii="Arial" w:hAnsi="Arial" w:cs="Arial"/>
                <w:sz w:val="24"/>
                <w:szCs w:val="24"/>
              </w:rPr>
              <w:footnoteReference w:id="6"/>
            </w:r>
            <w:r w:rsidRPr="00E93344">
              <w:rPr>
                <w:rFonts w:ascii="Arial" w:hAnsi="Arial" w:cs="Arial"/>
                <w:sz w:val="24"/>
                <w:szCs w:val="24"/>
              </w:rPr>
              <w:t xml:space="preserve"> It is for that reason that a </w:t>
            </w:r>
            <w:proofErr w:type="spellStart"/>
            <w:r w:rsidRPr="00E93344">
              <w:rPr>
                <w:rFonts w:ascii="Arial" w:hAnsi="Arial" w:cs="Arial"/>
                <w:sz w:val="24"/>
                <w:szCs w:val="24"/>
              </w:rPr>
              <w:t>nulla</w:t>
            </w:r>
            <w:proofErr w:type="spellEnd"/>
            <w:r w:rsidRPr="00E93344">
              <w:rPr>
                <w:rFonts w:ascii="Arial" w:hAnsi="Arial" w:cs="Arial"/>
                <w:sz w:val="24"/>
                <w:szCs w:val="24"/>
              </w:rPr>
              <w:t xml:space="preserve"> bona return</w:t>
            </w:r>
            <w:r w:rsidR="004A5057">
              <w:rPr>
                <w:rFonts w:ascii="Arial" w:hAnsi="Arial" w:cs="Arial"/>
                <w:sz w:val="24"/>
                <w:szCs w:val="24"/>
              </w:rPr>
              <w:t>,</w:t>
            </w:r>
            <w:r w:rsidRPr="00E93344">
              <w:rPr>
                <w:rFonts w:ascii="Arial" w:hAnsi="Arial" w:cs="Arial"/>
                <w:sz w:val="24"/>
                <w:szCs w:val="24"/>
              </w:rPr>
              <w:t xml:space="preserve"> </w:t>
            </w:r>
            <w:r>
              <w:rPr>
                <w:rFonts w:ascii="Arial" w:hAnsi="Arial" w:cs="Arial"/>
                <w:sz w:val="24"/>
                <w:szCs w:val="24"/>
              </w:rPr>
              <w:t>in my considered view</w:t>
            </w:r>
            <w:r w:rsidR="004A5057">
              <w:rPr>
                <w:rFonts w:ascii="Arial" w:hAnsi="Arial" w:cs="Arial"/>
                <w:sz w:val="24"/>
                <w:szCs w:val="24"/>
              </w:rPr>
              <w:t>,</w:t>
            </w:r>
            <w:r>
              <w:rPr>
                <w:rFonts w:ascii="Arial" w:hAnsi="Arial" w:cs="Arial"/>
                <w:sz w:val="24"/>
                <w:szCs w:val="24"/>
              </w:rPr>
              <w:t xml:space="preserve"> had to be obtained in respect of the first respondent as well. </w:t>
            </w:r>
          </w:p>
          <w:p w14:paraId="25050D9B" w14:textId="77777777" w:rsidR="00F6293D" w:rsidRPr="00775F65" w:rsidRDefault="00F6293D" w:rsidP="00F6293D">
            <w:pPr>
              <w:pStyle w:val="ListParagraph"/>
              <w:rPr>
                <w:rFonts w:ascii="Arial" w:hAnsi="Arial" w:cs="Arial"/>
                <w:sz w:val="24"/>
                <w:szCs w:val="24"/>
              </w:rPr>
            </w:pPr>
          </w:p>
          <w:p w14:paraId="32442313" w14:textId="16AF1E28" w:rsidR="004A5057" w:rsidRPr="004A5057" w:rsidRDefault="004A5057" w:rsidP="004A5057">
            <w:pPr>
              <w:pStyle w:val="ListParagraph"/>
              <w:numPr>
                <w:ilvl w:val="0"/>
                <w:numId w:val="8"/>
              </w:numPr>
              <w:spacing w:line="360" w:lineRule="auto"/>
              <w:ind w:left="0" w:firstLine="0"/>
              <w:jc w:val="both"/>
              <w:rPr>
                <w:rFonts w:ascii="Arial" w:hAnsi="Arial" w:cs="Arial"/>
                <w:color w:val="242121"/>
                <w:sz w:val="27"/>
                <w:szCs w:val="27"/>
                <w:shd w:val="clear" w:color="auto" w:fill="FFFFFF"/>
              </w:rPr>
            </w:pPr>
            <w:r w:rsidRPr="004A5057">
              <w:rPr>
                <w:rFonts w:ascii="Arial" w:hAnsi="Arial" w:cs="Arial"/>
                <w:color w:val="242121"/>
                <w:sz w:val="24"/>
                <w:szCs w:val="24"/>
                <w:shd w:val="clear" w:color="auto" w:fill="FFFFFF"/>
              </w:rPr>
              <w:t xml:space="preserve">In exercising judicial oversight, in the current instance, this court must consider whether the CC respondent or the member owns any or sufficient movable assets which can be realised to meet the judgment debt. It follows that where the applicant has not moved against </w:t>
            </w:r>
            <w:r w:rsidR="00F42131">
              <w:rPr>
                <w:rFonts w:ascii="Arial" w:hAnsi="Arial" w:cs="Arial"/>
                <w:color w:val="242121"/>
                <w:sz w:val="24"/>
                <w:szCs w:val="24"/>
                <w:shd w:val="clear" w:color="auto" w:fill="FFFFFF"/>
              </w:rPr>
              <w:t xml:space="preserve">the </w:t>
            </w:r>
            <w:r w:rsidRPr="004A5057">
              <w:rPr>
                <w:rFonts w:ascii="Arial" w:hAnsi="Arial" w:cs="Arial"/>
                <w:color w:val="242121"/>
                <w:sz w:val="24"/>
                <w:szCs w:val="24"/>
                <w:shd w:val="clear" w:color="auto" w:fill="FFFFFF"/>
              </w:rPr>
              <w:t>movables of</w:t>
            </w:r>
            <w:r w:rsidR="00246D47">
              <w:rPr>
                <w:rFonts w:ascii="Arial" w:hAnsi="Arial" w:cs="Arial"/>
                <w:color w:val="242121"/>
                <w:sz w:val="24"/>
                <w:szCs w:val="24"/>
                <w:shd w:val="clear" w:color="auto" w:fill="FFFFFF"/>
              </w:rPr>
              <w:t xml:space="preserve"> both</w:t>
            </w:r>
            <w:r w:rsidRPr="004A5057">
              <w:rPr>
                <w:rFonts w:ascii="Arial" w:hAnsi="Arial" w:cs="Arial"/>
                <w:color w:val="242121"/>
                <w:sz w:val="24"/>
                <w:szCs w:val="24"/>
                <w:shd w:val="clear" w:color="auto" w:fill="FFFFFF"/>
              </w:rPr>
              <w:t xml:space="preserve"> the respondents, it cannot succeed in the relief sought against immovable property.</w:t>
            </w:r>
          </w:p>
          <w:p w14:paraId="24C804E8" w14:textId="77777777" w:rsidR="004A5057" w:rsidRPr="004A5057" w:rsidRDefault="004A5057" w:rsidP="004A5057">
            <w:pPr>
              <w:pStyle w:val="ListParagraph"/>
              <w:rPr>
                <w:rFonts w:ascii="Arial" w:hAnsi="Arial" w:cs="Arial"/>
                <w:color w:val="242121"/>
                <w:sz w:val="24"/>
                <w:szCs w:val="24"/>
                <w:shd w:val="clear" w:color="auto" w:fill="FFFFFF"/>
              </w:rPr>
            </w:pPr>
          </w:p>
          <w:p w14:paraId="3E379B32" w14:textId="5724911D" w:rsidR="00F6293D" w:rsidRPr="00947396" w:rsidRDefault="00F6293D" w:rsidP="00F6293D">
            <w:pPr>
              <w:pStyle w:val="ListParagraph"/>
              <w:numPr>
                <w:ilvl w:val="0"/>
                <w:numId w:val="8"/>
              </w:numPr>
              <w:spacing w:line="360" w:lineRule="auto"/>
              <w:ind w:left="0" w:firstLine="0"/>
              <w:jc w:val="both"/>
              <w:rPr>
                <w:rFonts w:ascii="Arial" w:hAnsi="Arial" w:cs="Arial"/>
                <w:sz w:val="24"/>
                <w:szCs w:val="24"/>
              </w:rPr>
            </w:pPr>
            <w:r w:rsidRPr="00947396">
              <w:rPr>
                <w:rFonts w:ascii="Arial" w:hAnsi="Arial" w:cs="Arial"/>
                <w:color w:val="242121"/>
                <w:sz w:val="24"/>
                <w:szCs w:val="24"/>
                <w:shd w:val="clear" w:color="auto" w:fill="FFFFFF"/>
              </w:rPr>
              <w:t xml:space="preserve">The point in </w:t>
            </w:r>
            <w:proofErr w:type="spellStart"/>
            <w:r w:rsidRPr="00947396">
              <w:rPr>
                <w:rFonts w:ascii="Arial" w:hAnsi="Arial" w:cs="Arial"/>
                <w:color w:val="242121"/>
                <w:sz w:val="24"/>
                <w:szCs w:val="24"/>
                <w:shd w:val="clear" w:color="auto" w:fill="FFFFFF"/>
              </w:rPr>
              <w:t>limine</w:t>
            </w:r>
            <w:proofErr w:type="spellEnd"/>
            <w:r w:rsidRPr="00947396">
              <w:rPr>
                <w:rFonts w:ascii="Arial" w:hAnsi="Arial" w:cs="Arial"/>
                <w:color w:val="242121"/>
                <w:sz w:val="24"/>
                <w:szCs w:val="24"/>
                <w:shd w:val="clear" w:color="auto" w:fill="FFFFFF"/>
              </w:rPr>
              <w:t xml:space="preserve"> in this regard must</w:t>
            </w:r>
            <w:r w:rsidR="00F42131">
              <w:rPr>
                <w:rFonts w:ascii="Arial" w:hAnsi="Arial" w:cs="Arial"/>
                <w:color w:val="242121"/>
                <w:sz w:val="24"/>
                <w:szCs w:val="24"/>
                <w:shd w:val="clear" w:color="auto" w:fill="FFFFFF"/>
              </w:rPr>
              <w:t>,</w:t>
            </w:r>
            <w:r w:rsidRPr="00947396">
              <w:rPr>
                <w:rFonts w:ascii="Arial" w:hAnsi="Arial" w:cs="Arial"/>
                <w:color w:val="242121"/>
                <w:sz w:val="24"/>
                <w:szCs w:val="24"/>
                <w:shd w:val="clear" w:color="auto" w:fill="FFFFFF"/>
              </w:rPr>
              <w:t xml:space="preserve"> therefore</w:t>
            </w:r>
            <w:r w:rsidR="00246D47">
              <w:rPr>
                <w:rFonts w:ascii="Arial" w:hAnsi="Arial" w:cs="Arial"/>
                <w:color w:val="242121"/>
                <w:sz w:val="24"/>
                <w:szCs w:val="24"/>
                <w:shd w:val="clear" w:color="auto" w:fill="FFFFFF"/>
              </w:rPr>
              <w:t>,</w:t>
            </w:r>
            <w:r w:rsidRPr="00947396">
              <w:rPr>
                <w:rFonts w:ascii="Arial" w:hAnsi="Arial" w:cs="Arial"/>
                <w:color w:val="242121"/>
                <w:sz w:val="24"/>
                <w:szCs w:val="24"/>
                <w:shd w:val="clear" w:color="auto" w:fill="FFFFFF"/>
              </w:rPr>
              <w:t xml:space="preserve"> be upheld. </w:t>
            </w:r>
          </w:p>
          <w:p w14:paraId="764998FD" w14:textId="77777777" w:rsidR="00F6293D" w:rsidRPr="00947396" w:rsidRDefault="00F6293D" w:rsidP="00F6293D">
            <w:pPr>
              <w:pStyle w:val="ListParagraph"/>
              <w:rPr>
                <w:rFonts w:ascii="Arial" w:hAnsi="Arial" w:cs="Arial"/>
                <w:sz w:val="24"/>
                <w:szCs w:val="24"/>
              </w:rPr>
            </w:pPr>
          </w:p>
          <w:p w14:paraId="007F1B39" w14:textId="44CCA218" w:rsidR="00F6293D" w:rsidRDefault="00F6293D" w:rsidP="00F6293D">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t>Finally, on the issue of costs</w:t>
            </w:r>
            <w:r w:rsidR="006B0F56">
              <w:rPr>
                <w:rFonts w:ascii="Arial" w:hAnsi="Arial" w:cs="Arial"/>
                <w:sz w:val="24"/>
                <w:szCs w:val="24"/>
              </w:rPr>
              <w:t>,</w:t>
            </w:r>
            <w:r>
              <w:rPr>
                <w:rFonts w:ascii="Arial" w:hAnsi="Arial" w:cs="Arial"/>
                <w:sz w:val="24"/>
                <w:szCs w:val="24"/>
              </w:rPr>
              <w:t xml:space="preserve"> I am of the view that each party should pay its own costs. </w:t>
            </w:r>
          </w:p>
          <w:p w14:paraId="2744102F" w14:textId="77777777" w:rsidR="00F6293D" w:rsidRPr="00947396" w:rsidRDefault="00F6293D" w:rsidP="00F6293D">
            <w:pPr>
              <w:pStyle w:val="ListParagraph"/>
              <w:rPr>
                <w:rFonts w:ascii="Arial" w:hAnsi="Arial" w:cs="Arial"/>
                <w:sz w:val="24"/>
                <w:szCs w:val="24"/>
              </w:rPr>
            </w:pPr>
          </w:p>
          <w:p w14:paraId="2B448F7F" w14:textId="0262569D" w:rsidR="00412B71" w:rsidRPr="00B773F6" w:rsidRDefault="00F6293D" w:rsidP="002E41AA">
            <w:pPr>
              <w:pStyle w:val="ListParagraph"/>
              <w:numPr>
                <w:ilvl w:val="0"/>
                <w:numId w:val="8"/>
              </w:numPr>
              <w:spacing w:line="360" w:lineRule="auto"/>
              <w:ind w:left="0" w:firstLine="0"/>
              <w:jc w:val="both"/>
              <w:rPr>
                <w:rFonts w:ascii="Arial" w:hAnsi="Arial" w:cs="Arial"/>
                <w:sz w:val="24"/>
                <w:szCs w:val="24"/>
                <w:u w:val="single"/>
              </w:rPr>
            </w:pPr>
            <w:r w:rsidRPr="00B773F6">
              <w:rPr>
                <w:rFonts w:ascii="Arial" w:hAnsi="Arial" w:cs="Arial"/>
                <w:sz w:val="24"/>
                <w:szCs w:val="24"/>
              </w:rPr>
              <w:t>My order is as above</w:t>
            </w:r>
            <w:r w:rsidR="00521E89">
              <w:rPr>
                <w:rFonts w:ascii="Arial" w:hAnsi="Arial" w:cs="Arial"/>
                <w:sz w:val="24"/>
                <w:szCs w:val="24"/>
              </w:rPr>
              <w:t>.</w:t>
            </w:r>
          </w:p>
          <w:p w14:paraId="7D829C54" w14:textId="77777777" w:rsidR="00806722" w:rsidRPr="00806722" w:rsidRDefault="00806722" w:rsidP="00B773F6">
            <w:pPr>
              <w:shd w:val="clear" w:color="auto" w:fill="FFFFFF"/>
              <w:rPr>
                <w:rFonts w:ascii="Arial" w:hAnsi="Arial" w:cs="Arial"/>
                <w:sz w:val="24"/>
                <w:szCs w:val="24"/>
                <w:lang w:val="en-US"/>
              </w:rPr>
            </w:pPr>
          </w:p>
        </w:tc>
      </w:tr>
      <w:tr w:rsidR="00806722" w:rsidRPr="00806722" w14:paraId="6B48632E" w14:textId="77777777" w:rsidTr="00303078">
        <w:tc>
          <w:tcPr>
            <w:tcW w:w="4770" w:type="dxa"/>
          </w:tcPr>
          <w:p w14:paraId="19850038" w14:textId="77777777" w:rsidR="00806722" w:rsidRPr="00806722" w:rsidRDefault="00806722" w:rsidP="00806722">
            <w:pPr>
              <w:spacing w:after="160"/>
              <w:jc w:val="center"/>
              <w:rPr>
                <w:rFonts w:ascii="Arial" w:hAnsi="Arial" w:cs="Arial"/>
                <w:b/>
                <w:sz w:val="24"/>
                <w:szCs w:val="24"/>
                <w:lang w:val="en-US"/>
              </w:rPr>
            </w:pPr>
            <w:r w:rsidRPr="00806722">
              <w:rPr>
                <w:rFonts w:ascii="Arial" w:hAnsi="Arial" w:cs="Arial"/>
                <w:b/>
                <w:sz w:val="24"/>
                <w:szCs w:val="24"/>
                <w:lang w:val="en-US"/>
              </w:rPr>
              <w:lastRenderedPageBreak/>
              <w:t>Judge’s signature</w:t>
            </w:r>
          </w:p>
          <w:p w14:paraId="1E661BA5" w14:textId="77777777" w:rsidR="00806722" w:rsidRPr="00806722" w:rsidRDefault="00806722" w:rsidP="00806722">
            <w:pPr>
              <w:spacing w:after="160"/>
              <w:jc w:val="center"/>
              <w:rPr>
                <w:rFonts w:ascii="Arial" w:hAnsi="Arial" w:cs="Arial"/>
                <w:b/>
                <w:sz w:val="24"/>
                <w:szCs w:val="24"/>
                <w:lang w:val="en-US"/>
              </w:rPr>
            </w:pPr>
            <w:r w:rsidRPr="00806722">
              <w:rPr>
                <w:rFonts w:ascii="Arial" w:hAnsi="Arial" w:cs="Arial"/>
                <w:b/>
                <w:sz w:val="24"/>
                <w:szCs w:val="24"/>
                <w:lang w:val="en-US"/>
              </w:rPr>
              <w:t xml:space="preserve"> </w:t>
            </w:r>
          </w:p>
        </w:tc>
        <w:tc>
          <w:tcPr>
            <w:tcW w:w="5423" w:type="dxa"/>
            <w:gridSpan w:val="2"/>
          </w:tcPr>
          <w:p w14:paraId="4E3F3E5D" w14:textId="77777777" w:rsidR="00806722" w:rsidRPr="00806722" w:rsidRDefault="00806722" w:rsidP="00806722">
            <w:pPr>
              <w:spacing w:after="160"/>
              <w:jc w:val="center"/>
              <w:rPr>
                <w:rFonts w:ascii="Arial" w:hAnsi="Arial" w:cs="Arial"/>
                <w:b/>
                <w:sz w:val="24"/>
                <w:szCs w:val="24"/>
                <w:lang w:val="en-US"/>
              </w:rPr>
            </w:pPr>
            <w:r w:rsidRPr="00806722">
              <w:rPr>
                <w:rFonts w:ascii="Arial" w:hAnsi="Arial" w:cs="Arial"/>
                <w:b/>
                <w:sz w:val="24"/>
                <w:szCs w:val="24"/>
                <w:lang w:val="en-US"/>
              </w:rPr>
              <w:t>Note to the parties:</w:t>
            </w:r>
          </w:p>
        </w:tc>
      </w:tr>
      <w:tr w:rsidR="00806722" w:rsidRPr="00806722" w14:paraId="5C15B2E9" w14:textId="77777777" w:rsidTr="00303078">
        <w:trPr>
          <w:trHeight w:val="1114"/>
        </w:trPr>
        <w:tc>
          <w:tcPr>
            <w:tcW w:w="4770" w:type="dxa"/>
          </w:tcPr>
          <w:p w14:paraId="5311BD0B" w14:textId="77777777" w:rsidR="00806722" w:rsidRPr="00806722" w:rsidRDefault="00806722" w:rsidP="00806722">
            <w:pPr>
              <w:spacing w:after="160"/>
              <w:rPr>
                <w:rFonts w:ascii="Arial" w:hAnsi="Arial" w:cs="Arial"/>
                <w:sz w:val="24"/>
                <w:szCs w:val="24"/>
                <w:lang w:val="en-US"/>
              </w:rPr>
            </w:pPr>
          </w:p>
          <w:p w14:paraId="6A8E2709" w14:textId="77777777" w:rsidR="00806722" w:rsidRPr="00806722" w:rsidRDefault="00806722" w:rsidP="00806722">
            <w:pPr>
              <w:spacing w:after="160"/>
              <w:rPr>
                <w:rFonts w:ascii="Arial" w:hAnsi="Arial" w:cs="Arial"/>
                <w:sz w:val="24"/>
                <w:szCs w:val="24"/>
                <w:lang w:val="en-US"/>
              </w:rPr>
            </w:pPr>
          </w:p>
          <w:p w14:paraId="7174FCBB" w14:textId="77777777" w:rsidR="00806722" w:rsidRDefault="00806722" w:rsidP="00806722">
            <w:pPr>
              <w:spacing w:after="160"/>
              <w:rPr>
                <w:rFonts w:ascii="Arial" w:hAnsi="Arial" w:cs="Arial"/>
                <w:sz w:val="24"/>
                <w:szCs w:val="24"/>
                <w:lang w:val="en-US"/>
              </w:rPr>
            </w:pPr>
          </w:p>
          <w:p w14:paraId="30108374" w14:textId="77777777" w:rsidR="00F42131" w:rsidRDefault="00F42131" w:rsidP="00806722">
            <w:pPr>
              <w:spacing w:after="160"/>
              <w:rPr>
                <w:rFonts w:ascii="Arial" w:hAnsi="Arial" w:cs="Arial"/>
                <w:sz w:val="24"/>
                <w:szCs w:val="24"/>
                <w:lang w:val="en-US"/>
              </w:rPr>
            </w:pPr>
          </w:p>
          <w:p w14:paraId="6A7C6E84" w14:textId="77777777" w:rsidR="00F42131" w:rsidRPr="00F42131" w:rsidRDefault="00F42131" w:rsidP="00F42131">
            <w:pPr>
              <w:pStyle w:val="NormalWeb"/>
              <w:spacing w:before="0" w:beforeAutospacing="0" w:after="160" w:afterAutospacing="0"/>
              <w:rPr>
                <w:rFonts w:ascii="Arial" w:eastAsiaTheme="minorHAnsi" w:hAnsi="Arial" w:cs="Arial"/>
              </w:rPr>
            </w:pPr>
          </w:p>
        </w:tc>
        <w:tc>
          <w:tcPr>
            <w:tcW w:w="5423" w:type="dxa"/>
            <w:gridSpan w:val="2"/>
          </w:tcPr>
          <w:p w14:paraId="42A8AD86" w14:textId="77777777" w:rsidR="00806722" w:rsidRPr="00806722" w:rsidRDefault="00806722" w:rsidP="00806722">
            <w:pPr>
              <w:spacing w:after="160"/>
              <w:rPr>
                <w:rFonts w:ascii="Arial" w:hAnsi="Arial" w:cs="Arial"/>
                <w:sz w:val="24"/>
                <w:szCs w:val="24"/>
                <w:lang w:val="en-US"/>
              </w:rPr>
            </w:pPr>
            <w:r w:rsidRPr="00806722">
              <w:rPr>
                <w:rFonts w:ascii="Arial" w:hAnsi="Arial" w:cs="Arial"/>
                <w:sz w:val="24"/>
                <w:szCs w:val="24"/>
                <w:lang w:val="en-US"/>
              </w:rPr>
              <w:lastRenderedPageBreak/>
              <w:t>Not applicable.</w:t>
            </w:r>
          </w:p>
        </w:tc>
      </w:tr>
      <w:tr w:rsidR="00806722" w:rsidRPr="00806722" w14:paraId="36D2A55E" w14:textId="77777777" w:rsidTr="00303078">
        <w:tc>
          <w:tcPr>
            <w:tcW w:w="10193" w:type="dxa"/>
            <w:gridSpan w:val="3"/>
          </w:tcPr>
          <w:p w14:paraId="477D8E8D" w14:textId="77777777" w:rsidR="00806722" w:rsidRPr="00806722" w:rsidRDefault="00806722" w:rsidP="00806722">
            <w:pPr>
              <w:spacing w:after="160"/>
              <w:jc w:val="center"/>
              <w:rPr>
                <w:rFonts w:ascii="Arial" w:hAnsi="Arial" w:cs="Arial"/>
                <w:b/>
                <w:sz w:val="24"/>
                <w:szCs w:val="24"/>
                <w:lang w:val="en-US"/>
              </w:rPr>
            </w:pPr>
            <w:r w:rsidRPr="00806722">
              <w:rPr>
                <w:rFonts w:ascii="Arial" w:hAnsi="Arial" w:cs="Arial"/>
                <w:b/>
                <w:sz w:val="24"/>
                <w:szCs w:val="24"/>
                <w:lang w:val="en-US"/>
              </w:rPr>
              <w:lastRenderedPageBreak/>
              <w:t>Counsel:</w:t>
            </w:r>
          </w:p>
        </w:tc>
      </w:tr>
      <w:tr w:rsidR="00806722" w:rsidRPr="00806722" w14:paraId="379777DD" w14:textId="77777777" w:rsidTr="00303078">
        <w:tc>
          <w:tcPr>
            <w:tcW w:w="4770" w:type="dxa"/>
          </w:tcPr>
          <w:p w14:paraId="4A1EE170" w14:textId="77777777" w:rsidR="00806722" w:rsidRPr="00806722" w:rsidRDefault="00806722" w:rsidP="00806722">
            <w:pPr>
              <w:spacing w:after="160"/>
              <w:jc w:val="center"/>
              <w:rPr>
                <w:rFonts w:ascii="Arial" w:hAnsi="Arial" w:cs="Arial"/>
                <w:b/>
                <w:sz w:val="24"/>
                <w:szCs w:val="24"/>
                <w:lang w:val="en-US"/>
              </w:rPr>
            </w:pPr>
            <w:r w:rsidRPr="00806722">
              <w:rPr>
                <w:rFonts w:ascii="Arial" w:hAnsi="Arial" w:cs="Arial"/>
                <w:b/>
                <w:sz w:val="24"/>
                <w:szCs w:val="24"/>
                <w:lang w:val="en-US"/>
              </w:rPr>
              <w:t>Applicant</w:t>
            </w:r>
            <w:r w:rsidR="00B348CC">
              <w:rPr>
                <w:rFonts w:ascii="Arial" w:hAnsi="Arial" w:cs="Arial"/>
                <w:b/>
                <w:sz w:val="24"/>
                <w:szCs w:val="24"/>
                <w:lang w:val="en-US"/>
              </w:rPr>
              <w:t>s</w:t>
            </w:r>
          </w:p>
        </w:tc>
        <w:tc>
          <w:tcPr>
            <w:tcW w:w="5423" w:type="dxa"/>
            <w:gridSpan w:val="2"/>
          </w:tcPr>
          <w:p w14:paraId="1DBB5ACF" w14:textId="77777777" w:rsidR="00806722" w:rsidRPr="00806722" w:rsidRDefault="00806722" w:rsidP="00806722">
            <w:pPr>
              <w:spacing w:after="160"/>
              <w:jc w:val="center"/>
              <w:rPr>
                <w:rFonts w:ascii="Arial" w:hAnsi="Arial" w:cs="Arial"/>
                <w:b/>
                <w:sz w:val="24"/>
                <w:szCs w:val="24"/>
                <w:lang w:val="en-US"/>
              </w:rPr>
            </w:pPr>
            <w:r w:rsidRPr="00806722">
              <w:rPr>
                <w:rFonts w:ascii="Arial" w:hAnsi="Arial" w:cs="Arial"/>
                <w:b/>
                <w:sz w:val="24"/>
                <w:szCs w:val="24"/>
                <w:lang w:val="en-US"/>
              </w:rPr>
              <w:t xml:space="preserve"> Respondent</w:t>
            </w:r>
            <w:r w:rsidR="00B348CC">
              <w:rPr>
                <w:rFonts w:ascii="Arial" w:hAnsi="Arial" w:cs="Arial"/>
                <w:b/>
                <w:sz w:val="24"/>
                <w:szCs w:val="24"/>
                <w:lang w:val="en-US"/>
              </w:rPr>
              <w:t>s</w:t>
            </w:r>
          </w:p>
        </w:tc>
      </w:tr>
      <w:tr w:rsidR="00806722" w:rsidRPr="00806722" w14:paraId="6F49CFA4" w14:textId="77777777" w:rsidTr="00303078">
        <w:trPr>
          <w:trHeight w:val="557"/>
        </w:trPr>
        <w:tc>
          <w:tcPr>
            <w:tcW w:w="4770" w:type="dxa"/>
          </w:tcPr>
          <w:p w14:paraId="48DE29C2" w14:textId="35DFAE12" w:rsidR="00B348CC" w:rsidRDefault="00B773F6" w:rsidP="00B348CC">
            <w:pPr>
              <w:spacing w:after="160"/>
              <w:jc w:val="center"/>
              <w:rPr>
                <w:rFonts w:ascii="Arial" w:hAnsi="Arial" w:cs="Arial"/>
                <w:sz w:val="24"/>
                <w:szCs w:val="24"/>
              </w:rPr>
            </w:pPr>
            <w:r>
              <w:rPr>
                <w:rFonts w:ascii="Arial" w:hAnsi="Arial" w:cs="Arial"/>
                <w:sz w:val="24"/>
                <w:szCs w:val="24"/>
              </w:rPr>
              <w:t xml:space="preserve">Ms J </w:t>
            </w:r>
            <w:proofErr w:type="spellStart"/>
            <w:r>
              <w:rPr>
                <w:rFonts w:ascii="Arial" w:hAnsi="Arial" w:cs="Arial"/>
                <w:sz w:val="24"/>
                <w:szCs w:val="24"/>
              </w:rPr>
              <w:t>Janke</w:t>
            </w:r>
            <w:proofErr w:type="spellEnd"/>
            <w:r>
              <w:rPr>
                <w:rFonts w:ascii="Arial" w:hAnsi="Arial" w:cs="Arial"/>
                <w:sz w:val="24"/>
                <w:szCs w:val="24"/>
              </w:rPr>
              <w:t xml:space="preserve"> of </w:t>
            </w:r>
          </w:p>
          <w:p w14:paraId="04879CAB" w14:textId="3077E436" w:rsidR="00806722" w:rsidRPr="00806722" w:rsidRDefault="00B773F6" w:rsidP="00B348CC">
            <w:pPr>
              <w:spacing w:after="160"/>
              <w:jc w:val="center"/>
              <w:rPr>
                <w:rFonts w:ascii="Arial" w:hAnsi="Arial" w:cs="Arial"/>
                <w:sz w:val="24"/>
                <w:szCs w:val="24"/>
                <w:lang w:val="en-US"/>
              </w:rPr>
            </w:pPr>
            <w:proofErr w:type="spellStart"/>
            <w:r>
              <w:rPr>
                <w:rFonts w:ascii="Arial" w:hAnsi="Arial" w:cs="Arial"/>
                <w:sz w:val="24"/>
                <w:szCs w:val="24"/>
              </w:rPr>
              <w:t>Sisa</w:t>
            </w:r>
            <w:proofErr w:type="spellEnd"/>
            <w:r>
              <w:rPr>
                <w:rFonts w:ascii="Arial" w:hAnsi="Arial" w:cs="Arial"/>
                <w:sz w:val="24"/>
                <w:szCs w:val="24"/>
              </w:rPr>
              <w:t xml:space="preserve"> </w:t>
            </w:r>
            <w:proofErr w:type="spellStart"/>
            <w:r>
              <w:rPr>
                <w:rFonts w:ascii="Arial" w:hAnsi="Arial" w:cs="Arial"/>
                <w:sz w:val="24"/>
                <w:szCs w:val="24"/>
              </w:rPr>
              <w:t>Namandje</w:t>
            </w:r>
            <w:proofErr w:type="spellEnd"/>
            <w:r>
              <w:rPr>
                <w:rFonts w:ascii="Arial" w:hAnsi="Arial" w:cs="Arial"/>
                <w:sz w:val="24"/>
                <w:szCs w:val="24"/>
              </w:rPr>
              <w:t xml:space="preserve"> and Co</w:t>
            </w:r>
            <w:r w:rsidR="00B348CC" w:rsidRPr="00B348CC">
              <w:rPr>
                <w:rFonts w:ascii="Arial" w:hAnsi="Arial" w:cs="Arial"/>
                <w:sz w:val="24"/>
                <w:szCs w:val="24"/>
              </w:rPr>
              <w:t xml:space="preserve">., Windhoek </w:t>
            </w:r>
          </w:p>
        </w:tc>
        <w:tc>
          <w:tcPr>
            <w:tcW w:w="5423" w:type="dxa"/>
            <w:gridSpan w:val="2"/>
          </w:tcPr>
          <w:p w14:paraId="619211E1" w14:textId="27E57D83" w:rsidR="00411660" w:rsidRDefault="00B773F6" w:rsidP="00B348CC">
            <w:pPr>
              <w:spacing w:after="160"/>
              <w:jc w:val="center"/>
              <w:rPr>
                <w:rFonts w:ascii="Arial" w:hAnsi="Arial" w:cs="Arial"/>
                <w:sz w:val="24"/>
                <w:szCs w:val="24"/>
              </w:rPr>
            </w:pPr>
            <w:r>
              <w:rPr>
                <w:rFonts w:ascii="Arial" w:hAnsi="Arial" w:cs="Arial"/>
                <w:sz w:val="24"/>
                <w:szCs w:val="24"/>
              </w:rPr>
              <w:t xml:space="preserve">Mr L </w:t>
            </w:r>
            <w:proofErr w:type="spellStart"/>
            <w:r>
              <w:rPr>
                <w:rFonts w:ascii="Arial" w:hAnsi="Arial" w:cs="Arial"/>
                <w:sz w:val="24"/>
                <w:szCs w:val="24"/>
              </w:rPr>
              <w:t>Mukondomi</w:t>
            </w:r>
            <w:proofErr w:type="spellEnd"/>
            <w:r w:rsidR="00B348CC" w:rsidRPr="00411660">
              <w:rPr>
                <w:rFonts w:ascii="Arial" w:hAnsi="Arial" w:cs="Arial"/>
                <w:sz w:val="24"/>
                <w:szCs w:val="24"/>
              </w:rPr>
              <w:t xml:space="preserve"> </w:t>
            </w:r>
            <w:r>
              <w:rPr>
                <w:rFonts w:ascii="Arial" w:hAnsi="Arial" w:cs="Arial"/>
                <w:sz w:val="24"/>
                <w:szCs w:val="24"/>
              </w:rPr>
              <w:t>o</w:t>
            </w:r>
            <w:r w:rsidR="00B348CC" w:rsidRPr="00411660">
              <w:rPr>
                <w:rFonts w:ascii="Arial" w:hAnsi="Arial" w:cs="Arial"/>
                <w:sz w:val="24"/>
                <w:szCs w:val="24"/>
              </w:rPr>
              <w:t xml:space="preserve">f </w:t>
            </w:r>
          </w:p>
          <w:p w14:paraId="2A0CCAF4" w14:textId="3165C4F5" w:rsidR="00B773F6" w:rsidRDefault="00B773F6" w:rsidP="00B348CC">
            <w:pPr>
              <w:spacing w:after="160"/>
              <w:jc w:val="center"/>
              <w:rPr>
                <w:rFonts w:ascii="Arial" w:hAnsi="Arial" w:cs="Arial"/>
                <w:sz w:val="24"/>
                <w:szCs w:val="24"/>
              </w:rPr>
            </w:pPr>
            <w:proofErr w:type="spellStart"/>
            <w:r>
              <w:rPr>
                <w:rFonts w:ascii="Arial" w:hAnsi="Arial" w:cs="Arial"/>
                <w:sz w:val="24"/>
                <w:szCs w:val="24"/>
              </w:rPr>
              <w:t>Gaenor</w:t>
            </w:r>
            <w:proofErr w:type="spellEnd"/>
            <w:r>
              <w:rPr>
                <w:rFonts w:ascii="Arial" w:hAnsi="Arial" w:cs="Arial"/>
                <w:sz w:val="24"/>
                <w:szCs w:val="24"/>
              </w:rPr>
              <w:t xml:space="preserve"> Michaels &amp; Associates on behalf of </w:t>
            </w:r>
          </w:p>
          <w:p w14:paraId="2841C837" w14:textId="37A3E28E" w:rsidR="00B773F6" w:rsidRPr="00411660" w:rsidRDefault="00B773F6" w:rsidP="00B348CC">
            <w:pPr>
              <w:spacing w:after="160"/>
              <w:jc w:val="center"/>
              <w:rPr>
                <w:rFonts w:ascii="Arial" w:hAnsi="Arial" w:cs="Arial"/>
                <w:sz w:val="24"/>
                <w:szCs w:val="24"/>
              </w:rPr>
            </w:pPr>
            <w:r>
              <w:rPr>
                <w:rFonts w:ascii="Arial" w:hAnsi="Arial" w:cs="Arial"/>
                <w:sz w:val="24"/>
                <w:szCs w:val="24"/>
              </w:rPr>
              <w:t xml:space="preserve">Ms M </w:t>
            </w:r>
            <w:proofErr w:type="spellStart"/>
            <w:r>
              <w:rPr>
                <w:rFonts w:ascii="Arial" w:hAnsi="Arial" w:cs="Arial"/>
                <w:sz w:val="24"/>
                <w:szCs w:val="24"/>
              </w:rPr>
              <w:t>Amupolo</w:t>
            </w:r>
            <w:proofErr w:type="spellEnd"/>
          </w:p>
          <w:p w14:paraId="498E3310" w14:textId="3CADABAD" w:rsidR="00411660" w:rsidRPr="00806722" w:rsidRDefault="00411660" w:rsidP="00411660">
            <w:pPr>
              <w:spacing w:after="160"/>
              <w:jc w:val="center"/>
              <w:rPr>
                <w:rFonts w:ascii="Arial" w:hAnsi="Arial" w:cs="Arial"/>
                <w:sz w:val="24"/>
                <w:szCs w:val="24"/>
                <w:lang w:val="en-US"/>
              </w:rPr>
            </w:pPr>
          </w:p>
        </w:tc>
      </w:tr>
    </w:tbl>
    <w:p w14:paraId="7DAFB6D1" w14:textId="7EAABE51" w:rsidR="00806722" w:rsidRPr="00806722" w:rsidRDefault="00806722" w:rsidP="00806722">
      <w:pPr>
        <w:rPr>
          <w:rFonts w:ascii="Arial" w:hAnsi="Arial" w:cs="Arial"/>
          <w:sz w:val="24"/>
          <w:szCs w:val="24"/>
          <w:lang w:val="en-US"/>
        </w:rPr>
      </w:pPr>
    </w:p>
    <w:p w14:paraId="59057406" w14:textId="77777777" w:rsidR="00F67458" w:rsidRDefault="00A90B55"/>
    <w:sectPr w:rsidR="00F67458" w:rsidSect="0092145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5A3E7" w14:textId="77777777" w:rsidR="00A90B55" w:rsidRDefault="00A90B55" w:rsidP="00806722">
      <w:pPr>
        <w:spacing w:line="240" w:lineRule="auto"/>
      </w:pPr>
      <w:r>
        <w:separator/>
      </w:r>
    </w:p>
  </w:endnote>
  <w:endnote w:type="continuationSeparator" w:id="0">
    <w:p w14:paraId="2FAAA6F8" w14:textId="77777777" w:rsidR="00A90B55" w:rsidRDefault="00A90B55" w:rsidP="00806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9C98" w14:textId="77777777" w:rsidR="00A90B55" w:rsidRDefault="00A90B55" w:rsidP="00806722">
      <w:pPr>
        <w:spacing w:line="240" w:lineRule="auto"/>
      </w:pPr>
      <w:r>
        <w:separator/>
      </w:r>
    </w:p>
  </w:footnote>
  <w:footnote w:type="continuationSeparator" w:id="0">
    <w:p w14:paraId="63ECC08D" w14:textId="77777777" w:rsidR="00A90B55" w:rsidRDefault="00A90B55" w:rsidP="00806722">
      <w:pPr>
        <w:spacing w:line="240" w:lineRule="auto"/>
      </w:pPr>
      <w:r>
        <w:continuationSeparator/>
      </w:r>
    </w:p>
  </w:footnote>
  <w:footnote w:id="1">
    <w:p w14:paraId="641030E7" w14:textId="77777777" w:rsidR="00F6293D" w:rsidRPr="00E452C1" w:rsidRDefault="00F6293D" w:rsidP="00F6293D">
      <w:pPr>
        <w:pStyle w:val="FootnoteText"/>
        <w:rPr>
          <w:lang w:val="en-ZA"/>
        </w:rPr>
      </w:pPr>
      <w:r>
        <w:rPr>
          <w:rStyle w:val="FootnoteReference"/>
        </w:rPr>
        <w:footnoteRef/>
      </w:r>
      <w:r>
        <w:t xml:space="preserve"> </w:t>
      </w:r>
      <w:r w:rsidRPr="0018522C">
        <w:rPr>
          <w:rFonts w:ascii="Arial" w:hAnsi="Arial" w:cs="Arial"/>
          <w:i/>
        </w:rPr>
        <w:t>Behrens N. O. v The Home Doctor CC</w:t>
      </w:r>
      <w:r w:rsidRPr="00E452C1">
        <w:rPr>
          <w:rFonts w:ascii="Arial" w:hAnsi="Arial" w:cs="Arial"/>
        </w:rPr>
        <w:t xml:space="preserve"> (HC-MD-CIV-ACT-CON-2018/03150) [2020] NAHCMD 557 (3 December 2020).</w:t>
      </w:r>
    </w:p>
  </w:footnote>
  <w:footnote w:id="2">
    <w:p w14:paraId="5C30F9E3" w14:textId="59A90343" w:rsidR="00F6293D" w:rsidRPr="00E452C1" w:rsidRDefault="00F6293D" w:rsidP="00F6293D">
      <w:pPr>
        <w:pStyle w:val="FootnoteText"/>
        <w:rPr>
          <w:lang w:val="en-ZA"/>
        </w:rPr>
      </w:pPr>
      <w:r>
        <w:rPr>
          <w:rStyle w:val="FootnoteReference"/>
        </w:rPr>
        <w:footnoteRef/>
      </w:r>
      <w:r>
        <w:t xml:space="preserve"> </w:t>
      </w:r>
      <w:r w:rsidRPr="0018522C">
        <w:rPr>
          <w:rFonts w:ascii="Arial" w:hAnsi="Arial" w:cs="Arial"/>
          <w:i/>
        </w:rPr>
        <w:t xml:space="preserve">Standard Bank Namibia Limited v </w:t>
      </w:r>
      <w:proofErr w:type="spellStart"/>
      <w:r w:rsidRPr="0018522C">
        <w:rPr>
          <w:rFonts w:ascii="Arial" w:hAnsi="Arial" w:cs="Arial"/>
          <w:i/>
        </w:rPr>
        <w:t>Shipila</w:t>
      </w:r>
      <w:proofErr w:type="spellEnd"/>
      <w:r w:rsidRPr="00E452C1">
        <w:rPr>
          <w:rFonts w:ascii="Arial" w:hAnsi="Arial" w:cs="Arial"/>
        </w:rPr>
        <w:t xml:space="preserve"> </w:t>
      </w:r>
      <w:r w:rsidR="000F77BF" w:rsidRPr="00A94090">
        <w:rPr>
          <w:rFonts w:ascii="Arial" w:hAnsi="Arial" w:cs="Arial"/>
          <w:i/>
        </w:rPr>
        <w:t xml:space="preserve">and </w:t>
      </w:r>
      <w:r w:rsidRPr="00A94090">
        <w:rPr>
          <w:rFonts w:ascii="Arial" w:hAnsi="Arial" w:cs="Arial"/>
          <w:i/>
        </w:rPr>
        <w:t>Others</w:t>
      </w:r>
      <w:r w:rsidRPr="00E452C1">
        <w:rPr>
          <w:rFonts w:ascii="Arial" w:hAnsi="Arial" w:cs="Arial"/>
        </w:rPr>
        <w:t xml:space="preserve"> 2018 (3) NR 849 (SC)</w:t>
      </w:r>
      <w:r>
        <w:rPr>
          <w:rFonts w:ascii="Arial" w:hAnsi="Arial" w:cs="Arial"/>
        </w:rPr>
        <w:t>.</w:t>
      </w:r>
    </w:p>
  </w:footnote>
  <w:footnote w:id="3">
    <w:p w14:paraId="5DEF6FDA" w14:textId="6CF24EC7" w:rsidR="00F6293D" w:rsidRPr="00B8429B" w:rsidRDefault="00F6293D" w:rsidP="00F6293D">
      <w:pPr>
        <w:rPr>
          <w:rFonts w:ascii="Arial" w:hAnsi="Arial"/>
          <w:sz w:val="20"/>
          <w:szCs w:val="20"/>
        </w:rPr>
      </w:pPr>
      <w:r>
        <w:rPr>
          <w:rStyle w:val="FootnoteReference"/>
        </w:rPr>
        <w:footnoteRef/>
      </w:r>
      <w:r>
        <w:t xml:space="preserve"> </w:t>
      </w:r>
      <w:r w:rsidRPr="00B8429B">
        <w:rPr>
          <w:rFonts w:ascii="Arial" w:hAnsi="Arial"/>
          <w:i/>
          <w:sz w:val="20"/>
          <w:szCs w:val="20"/>
        </w:rPr>
        <w:t>Behrens N.O</w:t>
      </w:r>
      <w:r w:rsidRPr="00B8429B">
        <w:rPr>
          <w:rFonts w:ascii="Arial" w:hAnsi="Arial"/>
          <w:b/>
          <w:i/>
          <w:sz w:val="20"/>
          <w:szCs w:val="20"/>
        </w:rPr>
        <w:t xml:space="preserve">. </w:t>
      </w:r>
      <w:r w:rsidRPr="00B8429B">
        <w:rPr>
          <w:rFonts w:ascii="Arial" w:hAnsi="Arial"/>
          <w:i/>
          <w:sz w:val="20"/>
          <w:szCs w:val="20"/>
        </w:rPr>
        <w:t xml:space="preserve">v The Home Doctor CC </w:t>
      </w:r>
      <w:r w:rsidRPr="00B8429B">
        <w:rPr>
          <w:rFonts w:ascii="Arial" w:hAnsi="Arial"/>
          <w:sz w:val="20"/>
          <w:szCs w:val="20"/>
        </w:rPr>
        <w:t>(HC-MD-CIV-ACT-CON-2018/03150) [2020] NAHCMD 557 (3 December 2020)</w:t>
      </w:r>
      <w:r>
        <w:rPr>
          <w:rFonts w:ascii="Arial" w:hAnsi="Arial"/>
          <w:sz w:val="20"/>
          <w:szCs w:val="20"/>
        </w:rPr>
        <w:t xml:space="preserve"> at para 35.</w:t>
      </w:r>
    </w:p>
    <w:p w14:paraId="45A2D7BC" w14:textId="77777777" w:rsidR="00F6293D" w:rsidRPr="00B8429B" w:rsidRDefault="00F6293D" w:rsidP="00F6293D">
      <w:pPr>
        <w:pStyle w:val="FootnoteText"/>
        <w:rPr>
          <w:lang w:val="en-ZA"/>
        </w:rPr>
      </w:pPr>
    </w:p>
  </w:footnote>
  <w:footnote w:id="4">
    <w:p w14:paraId="133B2376" w14:textId="77777777" w:rsidR="00F6293D" w:rsidRPr="00BA6BCB" w:rsidRDefault="00F6293D" w:rsidP="00F6293D">
      <w:pPr>
        <w:pStyle w:val="FootnoteText"/>
        <w:spacing w:line="360" w:lineRule="auto"/>
        <w:rPr>
          <w:rFonts w:ascii="Arial" w:hAnsi="Arial" w:cs="Arial"/>
          <w:lang w:val="en-ZA"/>
        </w:rPr>
      </w:pPr>
      <w:r w:rsidRPr="00BA6BCB">
        <w:rPr>
          <w:rStyle w:val="FootnoteReference"/>
          <w:rFonts w:ascii="Arial" w:hAnsi="Arial" w:cs="Arial"/>
        </w:rPr>
        <w:footnoteRef/>
      </w:r>
      <w:r w:rsidRPr="00BA6BCB">
        <w:rPr>
          <w:rFonts w:ascii="Arial" w:hAnsi="Arial" w:cs="Arial"/>
        </w:rPr>
        <w:t xml:space="preserve"> </w:t>
      </w:r>
      <w:r w:rsidRPr="005F24AD">
        <w:rPr>
          <w:rFonts w:ascii="Arial" w:hAnsi="Arial" w:cs="Arial"/>
          <w:i/>
        </w:rPr>
        <w:t xml:space="preserve">Standard Bank Namibia Ltd v </w:t>
      </w:r>
      <w:proofErr w:type="spellStart"/>
      <w:r w:rsidRPr="005F24AD">
        <w:rPr>
          <w:rFonts w:ascii="Arial" w:hAnsi="Arial" w:cs="Arial"/>
          <w:i/>
        </w:rPr>
        <w:t>Shipila</w:t>
      </w:r>
      <w:proofErr w:type="spellEnd"/>
      <w:r w:rsidRPr="005F24AD">
        <w:rPr>
          <w:rFonts w:ascii="Arial" w:hAnsi="Arial" w:cs="Arial"/>
          <w:i/>
        </w:rPr>
        <w:t xml:space="preserve"> and Others</w:t>
      </w:r>
      <w:r w:rsidRPr="00BA6BCB">
        <w:rPr>
          <w:rFonts w:ascii="Arial" w:hAnsi="Arial" w:cs="Arial"/>
        </w:rPr>
        <w:t> 2018 (3) NR 849 (SC)</w:t>
      </w:r>
      <w:r>
        <w:rPr>
          <w:rFonts w:ascii="Arial" w:hAnsi="Arial" w:cs="Arial"/>
        </w:rPr>
        <w:t>.</w:t>
      </w:r>
    </w:p>
  </w:footnote>
  <w:footnote w:id="5">
    <w:p w14:paraId="5ECC2960" w14:textId="77777777" w:rsidR="00F6293D" w:rsidRPr="00125FD8" w:rsidRDefault="00F6293D" w:rsidP="005F24AD">
      <w:pPr>
        <w:pStyle w:val="FootnoteText"/>
        <w:spacing w:line="360" w:lineRule="auto"/>
        <w:rPr>
          <w:lang w:val="en-ZA"/>
        </w:rPr>
      </w:pPr>
      <w:r>
        <w:rPr>
          <w:rStyle w:val="FootnoteReference"/>
        </w:rPr>
        <w:footnoteRef/>
      </w:r>
      <w:r>
        <w:t xml:space="preserve"> </w:t>
      </w:r>
      <w:r w:rsidRPr="007B1DF3">
        <w:rPr>
          <w:rFonts w:ascii="Arial" w:hAnsi="Arial" w:cs="Arial"/>
          <w:lang w:val="en-US"/>
        </w:rPr>
        <w:t xml:space="preserve">P. </w:t>
      </w:r>
      <w:proofErr w:type="spellStart"/>
      <w:r w:rsidRPr="007B1DF3">
        <w:rPr>
          <w:rFonts w:ascii="Arial" w:hAnsi="Arial" w:cs="Arial"/>
          <w:lang w:val="en-US"/>
        </w:rPr>
        <w:t>Damaseb</w:t>
      </w:r>
      <w:proofErr w:type="spellEnd"/>
      <w:r w:rsidRPr="007B1DF3">
        <w:rPr>
          <w:rFonts w:ascii="Arial" w:hAnsi="Arial" w:cs="Arial"/>
          <w:lang w:val="en-US"/>
        </w:rPr>
        <w:t xml:space="preserve">. (2020). </w:t>
      </w:r>
      <w:r w:rsidRPr="007B1DF3">
        <w:rPr>
          <w:rFonts w:ascii="Arial" w:hAnsi="Arial" w:cs="Arial"/>
          <w:i/>
          <w:iCs/>
          <w:lang w:val="en-ZA"/>
        </w:rPr>
        <w:t>Court-Managed Civil Procedur</w:t>
      </w:r>
      <w:r>
        <w:rPr>
          <w:rFonts w:ascii="Arial" w:hAnsi="Arial" w:cs="Arial"/>
          <w:i/>
          <w:iCs/>
          <w:lang w:val="en-ZA"/>
        </w:rPr>
        <w:t>e of the High Court of Namibia.</w:t>
      </w:r>
      <w:r>
        <w:rPr>
          <w:rFonts w:ascii="Arial" w:hAnsi="Arial" w:cs="Arial"/>
          <w:iCs/>
          <w:lang w:val="en-ZA"/>
        </w:rPr>
        <w:t xml:space="preserve"> Cape Town: </w:t>
      </w:r>
      <w:proofErr w:type="spellStart"/>
      <w:r>
        <w:rPr>
          <w:rFonts w:ascii="Arial" w:hAnsi="Arial" w:cs="Arial"/>
          <w:iCs/>
          <w:lang w:val="en-ZA"/>
        </w:rPr>
        <w:t>Juta</w:t>
      </w:r>
      <w:proofErr w:type="spellEnd"/>
      <w:r>
        <w:rPr>
          <w:rFonts w:ascii="Arial" w:hAnsi="Arial" w:cs="Arial"/>
          <w:iCs/>
          <w:lang w:val="en-ZA"/>
        </w:rPr>
        <w:t xml:space="preserve"> &amp; company (Pty) Ltd, p. 324.</w:t>
      </w:r>
    </w:p>
  </w:footnote>
  <w:footnote w:id="6">
    <w:p w14:paraId="595C3AF7" w14:textId="723441E0" w:rsidR="00F6293D" w:rsidRPr="00FF275F" w:rsidRDefault="00F6293D" w:rsidP="005F24AD">
      <w:pPr>
        <w:tabs>
          <w:tab w:val="left" w:pos="6521"/>
        </w:tabs>
        <w:rPr>
          <w:rFonts w:ascii="Arial" w:hAnsi="Arial" w:cs="Arial"/>
          <w:sz w:val="20"/>
          <w:szCs w:val="20"/>
        </w:rPr>
      </w:pPr>
      <w:r>
        <w:rPr>
          <w:rStyle w:val="FootnoteReference"/>
        </w:rPr>
        <w:footnoteRef/>
      </w:r>
      <w:r>
        <w:t xml:space="preserve"> </w:t>
      </w:r>
      <w:r w:rsidRPr="002C2C21">
        <w:rPr>
          <w:rFonts w:ascii="Arial" w:hAnsi="Arial" w:cs="Arial"/>
          <w:i/>
          <w:sz w:val="20"/>
          <w:szCs w:val="20"/>
        </w:rPr>
        <w:t>N S B v A F B</w:t>
      </w:r>
      <w:r w:rsidRPr="00FF275F">
        <w:rPr>
          <w:rFonts w:ascii="Arial" w:hAnsi="Arial" w:cs="Arial"/>
          <w:sz w:val="20"/>
          <w:szCs w:val="20"/>
        </w:rPr>
        <w:t xml:space="preserve"> Case 260/2019 Unreported judgment d</w:t>
      </w:r>
      <w:r w:rsidR="005F24AD">
        <w:rPr>
          <w:rFonts w:ascii="Arial" w:hAnsi="Arial" w:cs="Arial"/>
          <w:sz w:val="20"/>
          <w:szCs w:val="20"/>
        </w:rPr>
        <w:t xml:space="preserve">elivered by Norman J, Judge </w:t>
      </w:r>
      <w:r w:rsidR="005F24AD" w:rsidRPr="008B57C4">
        <w:rPr>
          <w:rFonts w:ascii="Arial" w:hAnsi="Arial" w:cs="Arial"/>
          <w:sz w:val="20"/>
          <w:szCs w:val="20"/>
        </w:rPr>
        <w:t>of</w:t>
      </w:r>
      <w:r w:rsidRPr="00FF275F">
        <w:rPr>
          <w:rFonts w:ascii="Arial" w:hAnsi="Arial" w:cs="Arial"/>
          <w:sz w:val="20"/>
          <w:szCs w:val="20"/>
        </w:rPr>
        <w:t xml:space="preserve"> the High Court of South Africa, Eastern Cape Division, </w:t>
      </w:r>
      <w:proofErr w:type="spellStart"/>
      <w:r w:rsidRPr="00FF275F">
        <w:rPr>
          <w:rFonts w:ascii="Arial" w:hAnsi="Arial" w:cs="Arial"/>
          <w:sz w:val="20"/>
          <w:szCs w:val="20"/>
        </w:rPr>
        <w:t>Makhanda</w:t>
      </w:r>
      <w:proofErr w:type="spellEnd"/>
      <w:r w:rsidRPr="00FF275F">
        <w:rPr>
          <w:rFonts w:ascii="Arial" w:hAnsi="Arial" w:cs="Arial"/>
          <w:sz w:val="20"/>
          <w:szCs w:val="20"/>
        </w:rPr>
        <w:t>.</w:t>
      </w:r>
    </w:p>
    <w:p w14:paraId="424EEF92" w14:textId="77777777" w:rsidR="00F6293D" w:rsidRPr="002C2C21" w:rsidRDefault="00F6293D" w:rsidP="005F24AD">
      <w:pPr>
        <w:pStyle w:val="FootnoteText"/>
        <w:spacing w:line="360" w:lineRule="auto"/>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14:paraId="416AFB70" w14:textId="77777777" w:rsidR="00921456" w:rsidRPr="00921456" w:rsidRDefault="007E6314">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9D0E8F">
          <w:rPr>
            <w:rFonts w:ascii="Arial Narrow" w:hAnsi="Arial Narrow"/>
            <w:noProof/>
          </w:rPr>
          <w:t>10</w:t>
        </w:r>
        <w:r w:rsidRPr="00921456">
          <w:rPr>
            <w:rFonts w:ascii="Arial Narrow" w:hAnsi="Arial Narrow"/>
            <w:noProof/>
          </w:rPr>
          <w:fldChar w:fldCharType="end"/>
        </w:r>
      </w:p>
    </w:sdtContent>
  </w:sdt>
  <w:p w14:paraId="403CC83C" w14:textId="77777777" w:rsidR="00921456" w:rsidRDefault="00A90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5411" w14:textId="7B5CD96D" w:rsidR="00A37F5D" w:rsidRDefault="00A37F5D">
    <w:pPr>
      <w:pStyle w:val="Header"/>
      <w:jc w:val="right"/>
    </w:pPr>
  </w:p>
  <w:p w14:paraId="2222373B" w14:textId="77777777" w:rsidR="00A37F5D" w:rsidRDefault="00A37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2B1E"/>
    <w:multiLevelType w:val="hybridMultilevel"/>
    <w:tmpl w:val="5E5C6B58"/>
    <w:lvl w:ilvl="0" w:tplc="8B20D74C">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
    <w:nsid w:val="1B7D5362"/>
    <w:multiLevelType w:val="hybridMultilevel"/>
    <w:tmpl w:val="4D7AD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34BA2"/>
    <w:multiLevelType w:val="hybridMultilevel"/>
    <w:tmpl w:val="DC7E8156"/>
    <w:lvl w:ilvl="0" w:tplc="EBCA3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76918"/>
    <w:multiLevelType w:val="hybridMultilevel"/>
    <w:tmpl w:val="2F4A86C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F168B"/>
    <w:multiLevelType w:val="hybridMultilevel"/>
    <w:tmpl w:val="58542948"/>
    <w:lvl w:ilvl="0" w:tplc="51D6EAE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56087"/>
    <w:multiLevelType w:val="hybridMultilevel"/>
    <w:tmpl w:val="67546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C17BD"/>
    <w:multiLevelType w:val="hybridMultilevel"/>
    <w:tmpl w:val="AB603320"/>
    <w:lvl w:ilvl="0" w:tplc="1BAE3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DE4042"/>
    <w:multiLevelType w:val="hybridMultilevel"/>
    <w:tmpl w:val="89B20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10869"/>
    <w:multiLevelType w:val="multilevel"/>
    <w:tmpl w:val="CE868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77235"/>
    <w:multiLevelType w:val="hybridMultilevel"/>
    <w:tmpl w:val="E9EECC10"/>
    <w:lvl w:ilvl="0" w:tplc="E85A6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263DAC"/>
    <w:multiLevelType w:val="hybridMultilevel"/>
    <w:tmpl w:val="8264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00E70"/>
    <w:multiLevelType w:val="hybridMultilevel"/>
    <w:tmpl w:val="E9EECC10"/>
    <w:lvl w:ilvl="0" w:tplc="E85A6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5"/>
  </w:num>
  <w:num w:numId="5">
    <w:abstractNumId w:val="9"/>
  </w:num>
  <w:num w:numId="6">
    <w:abstractNumId w:val="11"/>
  </w:num>
  <w:num w:numId="7">
    <w:abstractNumId w:val="10"/>
  </w:num>
  <w:num w:numId="8">
    <w:abstractNumId w:val="4"/>
  </w:num>
  <w:num w:numId="9">
    <w:abstractNumId w:val="7"/>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22"/>
    <w:rsid w:val="000375F1"/>
    <w:rsid w:val="000F77BF"/>
    <w:rsid w:val="0013049C"/>
    <w:rsid w:val="001C6B30"/>
    <w:rsid w:val="00201852"/>
    <w:rsid w:val="00222025"/>
    <w:rsid w:val="00230931"/>
    <w:rsid w:val="00246D47"/>
    <w:rsid w:val="0026385A"/>
    <w:rsid w:val="002B7168"/>
    <w:rsid w:val="0030169C"/>
    <w:rsid w:val="00303078"/>
    <w:rsid w:val="003642C3"/>
    <w:rsid w:val="003B4936"/>
    <w:rsid w:val="003C3F40"/>
    <w:rsid w:val="00411660"/>
    <w:rsid w:val="00412B71"/>
    <w:rsid w:val="00431CCA"/>
    <w:rsid w:val="0045438B"/>
    <w:rsid w:val="00461A4F"/>
    <w:rsid w:val="004A5057"/>
    <w:rsid w:val="00521E89"/>
    <w:rsid w:val="00591E00"/>
    <w:rsid w:val="005F24AD"/>
    <w:rsid w:val="00645C5D"/>
    <w:rsid w:val="006B0F56"/>
    <w:rsid w:val="00774F7E"/>
    <w:rsid w:val="007908B4"/>
    <w:rsid w:val="007B0507"/>
    <w:rsid w:val="007C0692"/>
    <w:rsid w:val="007C2DBB"/>
    <w:rsid w:val="007D290B"/>
    <w:rsid w:val="007E6314"/>
    <w:rsid w:val="00806722"/>
    <w:rsid w:val="00812766"/>
    <w:rsid w:val="00864484"/>
    <w:rsid w:val="008B57C4"/>
    <w:rsid w:val="008B76EC"/>
    <w:rsid w:val="008E190B"/>
    <w:rsid w:val="00944F7D"/>
    <w:rsid w:val="009D0E8F"/>
    <w:rsid w:val="009F2677"/>
    <w:rsid w:val="009F3792"/>
    <w:rsid w:val="00A03918"/>
    <w:rsid w:val="00A37F5D"/>
    <w:rsid w:val="00A72FBB"/>
    <w:rsid w:val="00A90B55"/>
    <w:rsid w:val="00A927F8"/>
    <w:rsid w:val="00A93AF1"/>
    <w:rsid w:val="00A94090"/>
    <w:rsid w:val="00AB5211"/>
    <w:rsid w:val="00AE4F87"/>
    <w:rsid w:val="00AF7C6C"/>
    <w:rsid w:val="00B348CC"/>
    <w:rsid w:val="00B773F6"/>
    <w:rsid w:val="00B83B6C"/>
    <w:rsid w:val="00B85507"/>
    <w:rsid w:val="00C032F6"/>
    <w:rsid w:val="00C04AFF"/>
    <w:rsid w:val="00C300AD"/>
    <w:rsid w:val="00C41628"/>
    <w:rsid w:val="00C651F2"/>
    <w:rsid w:val="00C91B07"/>
    <w:rsid w:val="00C963C0"/>
    <w:rsid w:val="00CA0D70"/>
    <w:rsid w:val="00CE1C63"/>
    <w:rsid w:val="00CE1E5E"/>
    <w:rsid w:val="00CE6814"/>
    <w:rsid w:val="00CF48D6"/>
    <w:rsid w:val="00D128A7"/>
    <w:rsid w:val="00D42C3F"/>
    <w:rsid w:val="00DB73A8"/>
    <w:rsid w:val="00DE11BB"/>
    <w:rsid w:val="00EE2D2C"/>
    <w:rsid w:val="00F42131"/>
    <w:rsid w:val="00F4596D"/>
    <w:rsid w:val="00F46D28"/>
    <w:rsid w:val="00F6293D"/>
    <w:rsid w:val="00F752DC"/>
    <w:rsid w:val="00FD0F6A"/>
    <w:rsid w:val="00FF3B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DD42"/>
  <w15:chartTrackingRefBased/>
  <w15:docId w15:val="{9DA193FF-F398-4DA1-9314-5A1BA963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293D"/>
    <w:pPr>
      <w:keepNext/>
      <w:spacing w:line="259" w:lineRule="auto"/>
      <w:jc w:val="left"/>
      <w:outlineLvl w:val="0"/>
    </w:pPr>
    <w:rPr>
      <w:rFonts w:ascii="Arial" w:hAnsi="Arial" w:cs="Arial"/>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22"/>
    <w:pPr>
      <w:tabs>
        <w:tab w:val="center" w:pos="4513"/>
        <w:tab w:val="right" w:pos="9026"/>
      </w:tabs>
      <w:spacing w:line="240" w:lineRule="auto"/>
    </w:pPr>
  </w:style>
  <w:style w:type="character" w:customStyle="1" w:styleId="HeaderChar">
    <w:name w:val="Header Char"/>
    <w:basedOn w:val="DefaultParagraphFont"/>
    <w:link w:val="Header"/>
    <w:uiPriority w:val="99"/>
    <w:rsid w:val="00806722"/>
  </w:style>
  <w:style w:type="paragraph" w:styleId="FootnoteText">
    <w:name w:val="footnote text"/>
    <w:basedOn w:val="Normal"/>
    <w:link w:val="FootnoteTextChar"/>
    <w:uiPriority w:val="99"/>
    <w:unhideWhenUsed/>
    <w:rsid w:val="00806722"/>
    <w:pPr>
      <w:spacing w:line="240" w:lineRule="auto"/>
      <w:jc w:val="left"/>
    </w:pPr>
    <w:rPr>
      <w:sz w:val="20"/>
      <w:szCs w:val="20"/>
      <w:lang w:val="en-GB"/>
    </w:rPr>
  </w:style>
  <w:style w:type="character" w:customStyle="1" w:styleId="FootnoteTextChar">
    <w:name w:val="Footnote Text Char"/>
    <w:basedOn w:val="DefaultParagraphFont"/>
    <w:link w:val="FootnoteText"/>
    <w:uiPriority w:val="99"/>
    <w:rsid w:val="00806722"/>
    <w:rPr>
      <w:sz w:val="20"/>
      <w:szCs w:val="20"/>
      <w:lang w:val="en-GB"/>
    </w:rPr>
  </w:style>
  <w:style w:type="character" w:styleId="FootnoteReference">
    <w:name w:val="footnote reference"/>
    <w:basedOn w:val="DefaultParagraphFont"/>
    <w:uiPriority w:val="99"/>
    <w:unhideWhenUsed/>
    <w:rsid w:val="00806722"/>
    <w:rPr>
      <w:vertAlign w:val="superscript"/>
    </w:rPr>
  </w:style>
  <w:style w:type="table" w:styleId="TableGrid">
    <w:name w:val="Table Grid"/>
    <w:basedOn w:val="TableNormal"/>
    <w:uiPriority w:val="39"/>
    <w:rsid w:val="0080672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6814"/>
    <w:rPr>
      <w:color w:val="0000FF"/>
      <w:u w:val="single"/>
    </w:rPr>
  </w:style>
  <w:style w:type="paragraph" w:styleId="ListParagraph">
    <w:name w:val="List Paragraph"/>
    <w:basedOn w:val="Normal"/>
    <w:uiPriority w:val="34"/>
    <w:qFormat/>
    <w:rsid w:val="00A03918"/>
    <w:pPr>
      <w:ind w:left="720"/>
      <w:contextualSpacing/>
    </w:pPr>
  </w:style>
  <w:style w:type="paragraph" w:styleId="BalloonText">
    <w:name w:val="Balloon Text"/>
    <w:basedOn w:val="Normal"/>
    <w:link w:val="BalloonTextChar"/>
    <w:uiPriority w:val="99"/>
    <w:semiHidden/>
    <w:unhideWhenUsed/>
    <w:rsid w:val="00CA0D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70"/>
    <w:rPr>
      <w:rFonts w:ascii="Segoe UI" w:hAnsi="Segoe UI" w:cs="Segoe UI"/>
      <w:sz w:val="18"/>
      <w:szCs w:val="18"/>
    </w:rPr>
  </w:style>
  <w:style w:type="character" w:styleId="CommentReference">
    <w:name w:val="annotation reference"/>
    <w:basedOn w:val="DefaultParagraphFont"/>
    <w:uiPriority w:val="99"/>
    <w:semiHidden/>
    <w:unhideWhenUsed/>
    <w:rsid w:val="00C300AD"/>
    <w:rPr>
      <w:sz w:val="16"/>
      <w:szCs w:val="16"/>
    </w:rPr>
  </w:style>
  <w:style w:type="paragraph" w:styleId="CommentText">
    <w:name w:val="annotation text"/>
    <w:basedOn w:val="Normal"/>
    <w:link w:val="CommentTextChar"/>
    <w:uiPriority w:val="99"/>
    <w:semiHidden/>
    <w:unhideWhenUsed/>
    <w:rsid w:val="00C300AD"/>
    <w:pPr>
      <w:spacing w:line="240" w:lineRule="auto"/>
    </w:pPr>
    <w:rPr>
      <w:sz w:val="20"/>
      <w:szCs w:val="20"/>
    </w:rPr>
  </w:style>
  <w:style w:type="character" w:customStyle="1" w:styleId="CommentTextChar">
    <w:name w:val="Comment Text Char"/>
    <w:basedOn w:val="DefaultParagraphFont"/>
    <w:link w:val="CommentText"/>
    <w:uiPriority w:val="99"/>
    <w:semiHidden/>
    <w:rsid w:val="00C300AD"/>
    <w:rPr>
      <w:sz w:val="20"/>
      <w:szCs w:val="20"/>
    </w:rPr>
  </w:style>
  <w:style w:type="paragraph" w:styleId="CommentSubject">
    <w:name w:val="annotation subject"/>
    <w:basedOn w:val="CommentText"/>
    <w:next w:val="CommentText"/>
    <w:link w:val="CommentSubjectChar"/>
    <w:uiPriority w:val="99"/>
    <w:semiHidden/>
    <w:unhideWhenUsed/>
    <w:rsid w:val="00C300AD"/>
    <w:rPr>
      <w:b/>
      <w:bCs/>
    </w:rPr>
  </w:style>
  <w:style w:type="character" w:customStyle="1" w:styleId="CommentSubjectChar">
    <w:name w:val="Comment Subject Char"/>
    <w:basedOn w:val="CommentTextChar"/>
    <w:link w:val="CommentSubject"/>
    <w:uiPriority w:val="99"/>
    <w:semiHidden/>
    <w:rsid w:val="00C300AD"/>
    <w:rPr>
      <w:b/>
      <w:bCs/>
      <w:sz w:val="20"/>
      <w:szCs w:val="20"/>
    </w:rPr>
  </w:style>
  <w:style w:type="paragraph" w:styleId="NormalWeb">
    <w:name w:val="Normal (Web)"/>
    <w:basedOn w:val="Normal"/>
    <w:uiPriority w:val="99"/>
    <w:unhideWhenUsed/>
    <w:rsid w:val="00C91B0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91B07"/>
    <w:rPr>
      <w:b/>
      <w:bCs/>
    </w:rPr>
  </w:style>
  <w:style w:type="character" w:customStyle="1" w:styleId="Heading1Char">
    <w:name w:val="Heading 1 Char"/>
    <w:basedOn w:val="DefaultParagraphFont"/>
    <w:link w:val="Heading1"/>
    <w:uiPriority w:val="9"/>
    <w:rsid w:val="00F6293D"/>
    <w:rPr>
      <w:rFonts w:ascii="Arial" w:hAnsi="Arial" w:cs="Arial"/>
      <w:sz w:val="24"/>
      <w:szCs w:val="24"/>
      <w:u w:val="single"/>
      <w:lang w:val="en-US"/>
    </w:rPr>
  </w:style>
  <w:style w:type="paragraph" w:styleId="BodyText">
    <w:name w:val="Body Text"/>
    <w:basedOn w:val="Normal"/>
    <w:link w:val="BodyTextChar"/>
    <w:uiPriority w:val="99"/>
    <w:unhideWhenUsed/>
    <w:rsid w:val="00F6293D"/>
    <w:pPr>
      <w:spacing w:after="160"/>
    </w:pPr>
    <w:rPr>
      <w:rFonts w:ascii="Arial" w:hAnsi="Arial" w:cs="Arial"/>
      <w:sz w:val="24"/>
      <w:szCs w:val="24"/>
      <w:lang w:val="en-US"/>
    </w:rPr>
  </w:style>
  <w:style w:type="character" w:customStyle="1" w:styleId="BodyTextChar">
    <w:name w:val="Body Text Char"/>
    <w:basedOn w:val="DefaultParagraphFont"/>
    <w:link w:val="BodyText"/>
    <w:uiPriority w:val="99"/>
    <w:rsid w:val="00F6293D"/>
    <w:rPr>
      <w:rFonts w:ascii="Arial" w:hAnsi="Arial" w:cs="Arial"/>
      <w:sz w:val="24"/>
      <w:szCs w:val="24"/>
      <w:lang w:val="en-US"/>
    </w:rPr>
  </w:style>
  <w:style w:type="paragraph" w:styleId="BodyTextIndent">
    <w:name w:val="Body Text Indent"/>
    <w:basedOn w:val="Normal"/>
    <w:link w:val="BodyTextIndentChar"/>
    <w:uiPriority w:val="99"/>
    <w:semiHidden/>
    <w:unhideWhenUsed/>
    <w:rsid w:val="00B773F6"/>
    <w:pPr>
      <w:spacing w:after="120"/>
      <w:ind w:left="283"/>
    </w:pPr>
  </w:style>
  <w:style w:type="character" w:customStyle="1" w:styleId="BodyTextIndentChar">
    <w:name w:val="Body Text Indent Char"/>
    <w:basedOn w:val="DefaultParagraphFont"/>
    <w:link w:val="BodyTextIndent"/>
    <w:uiPriority w:val="99"/>
    <w:rsid w:val="00B773F6"/>
  </w:style>
  <w:style w:type="paragraph" w:styleId="Footer">
    <w:name w:val="footer"/>
    <w:basedOn w:val="Normal"/>
    <w:link w:val="FooterChar"/>
    <w:uiPriority w:val="99"/>
    <w:unhideWhenUsed/>
    <w:rsid w:val="00A37F5D"/>
    <w:pPr>
      <w:tabs>
        <w:tab w:val="center" w:pos="4680"/>
        <w:tab w:val="right" w:pos="9360"/>
      </w:tabs>
      <w:spacing w:line="240" w:lineRule="auto"/>
    </w:pPr>
  </w:style>
  <w:style w:type="character" w:customStyle="1" w:styleId="FooterChar">
    <w:name w:val="Footer Char"/>
    <w:basedOn w:val="DefaultParagraphFont"/>
    <w:link w:val="Footer"/>
    <w:uiPriority w:val="99"/>
    <w:rsid w:val="00A3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276">
      <w:bodyDiv w:val="1"/>
      <w:marLeft w:val="0"/>
      <w:marRight w:val="0"/>
      <w:marTop w:val="0"/>
      <w:marBottom w:val="0"/>
      <w:divBdr>
        <w:top w:val="none" w:sz="0" w:space="0" w:color="auto"/>
        <w:left w:val="none" w:sz="0" w:space="0" w:color="auto"/>
        <w:bottom w:val="none" w:sz="0" w:space="0" w:color="auto"/>
        <w:right w:val="none" w:sz="0" w:space="0" w:color="auto"/>
      </w:divBdr>
      <w:divsChild>
        <w:div w:id="761877051">
          <w:marLeft w:val="0"/>
          <w:marRight w:val="0"/>
          <w:marTop w:val="0"/>
          <w:marBottom w:val="0"/>
          <w:divBdr>
            <w:top w:val="none" w:sz="0" w:space="0" w:color="auto"/>
            <w:left w:val="none" w:sz="0" w:space="0" w:color="auto"/>
            <w:bottom w:val="none" w:sz="0" w:space="0" w:color="auto"/>
            <w:right w:val="none" w:sz="0" w:space="0" w:color="auto"/>
          </w:divBdr>
          <w:divsChild>
            <w:div w:id="2040857915">
              <w:marLeft w:val="-195"/>
              <w:marRight w:val="-195"/>
              <w:marTop w:val="0"/>
              <w:marBottom w:val="225"/>
              <w:divBdr>
                <w:top w:val="none" w:sz="0" w:space="0" w:color="auto"/>
                <w:left w:val="none" w:sz="0" w:space="0" w:color="auto"/>
                <w:bottom w:val="none" w:sz="0" w:space="0" w:color="auto"/>
                <w:right w:val="none" w:sz="0" w:space="0" w:color="auto"/>
              </w:divBdr>
              <w:divsChild>
                <w:div w:id="9106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2023-03-23T18:30:00+00:00</Judgment_x0020_Date>
    <Year xmlns="c1afb1bd-f2fb-40fd-9abb-aea55b4d7662">2023</Year>
  </documentManagement>
</p:properties>
</file>

<file path=customXml/itemProps1.xml><?xml version="1.0" encoding="utf-8"?>
<ds:datastoreItem xmlns:ds="http://schemas.openxmlformats.org/officeDocument/2006/customXml" ds:itemID="{90360320-9DCC-44D2-9591-9E83DFA2080B}"/>
</file>

<file path=customXml/itemProps2.xml><?xml version="1.0" encoding="utf-8"?>
<ds:datastoreItem xmlns:ds="http://schemas.openxmlformats.org/officeDocument/2006/customXml" ds:itemID="{57778301-0086-441E-9EDF-FB0A59703D7D}"/>
</file>

<file path=customXml/itemProps3.xml><?xml version="1.0" encoding="utf-8"?>
<ds:datastoreItem xmlns:ds="http://schemas.openxmlformats.org/officeDocument/2006/customXml" ds:itemID="{A13729C9-2C1C-4248-B52F-2A74B3751B3D}"/>
</file>

<file path=customXml/itemProps4.xml><?xml version="1.0" encoding="utf-8"?>
<ds:datastoreItem xmlns:ds="http://schemas.openxmlformats.org/officeDocument/2006/customXml" ds:itemID="{DAFC39F3-9365-4751-8B81-72650467DC4A}"/>
</file>

<file path=docProps/app.xml><?xml version="1.0" encoding="utf-8"?>
<Properties xmlns="http://schemas.openxmlformats.org/officeDocument/2006/extended-properties" xmlns:vt="http://schemas.openxmlformats.org/officeDocument/2006/docPropsVTypes">
  <Template>Normal</Template>
  <TotalTime>1</TotalTime>
  <Pages>11</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Kambwa Trading CC v Valued  Electrical Construction CC  (HC-MD-CIV-ACT-OTH-2019-03313) [2023] NAHCMD 142 (24 March 2023)</dc:title>
  <dc:subject/>
  <dc:creator>Hazel Davids</dc:creator>
  <cp:keywords/>
  <dc:description/>
  <cp:lastModifiedBy>Collins Omalu</cp:lastModifiedBy>
  <cp:revision>3</cp:revision>
  <cp:lastPrinted>2023-03-24T08:47:00Z</cp:lastPrinted>
  <dcterms:created xsi:type="dcterms:W3CDTF">2023-03-24T08:59:00Z</dcterms:created>
  <dcterms:modified xsi:type="dcterms:W3CDTF">2023-03-27T05:39:00Z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c43b7573c68c2beef6071e1c1229657be22b1a664735bc8d5706d4adb6bdf39b</vt:lpwstr>
  </property>
  <property fmtid="{D5CDD505-2E9C-101B-9397-08002B2CF9AE}" pid="3" name="ContentTypeId">
    <vt:lpwstr>0x0101000ECE0F99B3F8644397ECB0C536651393</vt:lpwstr>
  </property>
</Properties>
</file>