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487B" w14:textId="77777777" w:rsidR="00853524" w:rsidRPr="00167E9F" w:rsidRDefault="00853524" w:rsidP="00FD2B70">
      <w:pPr>
        <w:jc w:val="center"/>
        <w:rPr>
          <w:b/>
        </w:rPr>
      </w:pPr>
      <w:bookmarkStart w:id="0" w:name="_Hlk95725994"/>
      <w:r w:rsidRPr="00167E9F">
        <w:rPr>
          <w:b/>
        </w:rPr>
        <w:t>REPUBLIC OF NAMIBIA</w:t>
      </w:r>
    </w:p>
    <w:p w14:paraId="1C6D7060" w14:textId="77777777" w:rsidR="00853524" w:rsidRPr="00167E9F" w:rsidRDefault="00A44EF2" w:rsidP="00FD2B70">
      <w:pPr>
        <w:jc w:val="center"/>
        <w:rPr>
          <w:b/>
          <w:sz w:val="32"/>
          <w:szCs w:val="32"/>
        </w:rPr>
      </w:pPr>
      <w:r>
        <w:rPr>
          <w:b/>
          <w:sz w:val="32"/>
          <w:szCs w:val="32"/>
        </w:rPr>
        <w:pict w14:anchorId="741FD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oat of Arms.bmp" style="width:100.2pt;height:104.4pt;visibility:visible">
            <v:imagedata r:id="rId12" o:title="Coat of Arms"/>
          </v:shape>
        </w:pict>
      </w:r>
    </w:p>
    <w:p w14:paraId="2D7CD69D" w14:textId="77777777" w:rsidR="00853524" w:rsidRPr="00167E9F" w:rsidRDefault="00853524" w:rsidP="00FD2B70">
      <w:pPr>
        <w:jc w:val="center"/>
        <w:rPr>
          <w:b/>
        </w:rPr>
      </w:pPr>
    </w:p>
    <w:p w14:paraId="2942004E" w14:textId="77777777" w:rsidR="00853524" w:rsidRPr="00167E9F" w:rsidRDefault="00853524" w:rsidP="00FD2B70">
      <w:pPr>
        <w:jc w:val="center"/>
        <w:rPr>
          <w:b/>
        </w:rPr>
      </w:pPr>
      <w:r w:rsidRPr="00167E9F">
        <w:rPr>
          <w:b/>
        </w:rPr>
        <w:t>HIGH COURT OF NAMIBIA MAIN DIVISION, WINDHOEK</w:t>
      </w:r>
    </w:p>
    <w:p w14:paraId="64127DCF" w14:textId="77777777" w:rsidR="00790F9D" w:rsidRPr="00167E9F" w:rsidRDefault="00790F9D" w:rsidP="00FD2B70">
      <w:pPr>
        <w:jc w:val="center"/>
        <w:rPr>
          <w:b/>
        </w:rPr>
      </w:pPr>
      <w:r w:rsidRPr="00167E9F">
        <w:rPr>
          <w:b/>
        </w:rPr>
        <w:t xml:space="preserve">JUDGMENT </w:t>
      </w:r>
    </w:p>
    <w:p w14:paraId="3471675C" w14:textId="77777777" w:rsidR="00853524" w:rsidRPr="00167E9F" w:rsidRDefault="00853524" w:rsidP="00FD2B70">
      <w:pPr>
        <w:jc w:val="center"/>
        <w:rPr>
          <w:b/>
        </w:rPr>
      </w:pPr>
    </w:p>
    <w:p w14:paraId="7D97033E" w14:textId="070D2922" w:rsidR="00853524" w:rsidRPr="00167E9F" w:rsidRDefault="00853524" w:rsidP="00FD2B70">
      <w:pPr>
        <w:jc w:val="right"/>
      </w:pPr>
      <w:r w:rsidRPr="00167E9F">
        <w:t xml:space="preserve">             Case no:</w:t>
      </w:r>
      <w:r w:rsidR="00CA7A0D" w:rsidRPr="00167E9F">
        <w:t xml:space="preserve"> </w:t>
      </w:r>
      <w:r w:rsidR="0027726D">
        <w:t>HC-MD-CIV-ACT-CON-2020/02469</w:t>
      </w:r>
    </w:p>
    <w:p w14:paraId="25646506" w14:textId="77777777" w:rsidR="00853524" w:rsidRPr="00167E9F" w:rsidRDefault="00853524" w:rsidP="00FD2B70"/>
    <w:p w14:paraId="178468A1" w14:textId="77777777" w:rsidR="00853524" w:rsidRPr="00167E9F" w:rsidRDefault="00853524" w:rsidP="00FD2B70">
      <w:r w:rsidRPr="00167E9F">
        <w:t>In the matter between:</w:t>
      </w:r>
    </w:p>
    <w:p w14:paraId="4DAEACF9" w14:textId="77777777" w:rsidR="00853524" w:rsidRPr="00167E9F" w:rsidRDefault="00853524" w:rsidP="00FD2B70"/>
    <w:p w14:paraId="412EA70C" w14:textId="5F385A97" w:rsidR="00693234" w:rsidRPr="00167E9F" w:rsidRDefault="0027726D" w:rsidP="00FD2B70">
      <w:pPr>
        <w:tabs>
          <w:tab w:val="right" w:pos="8280"/>
        </w:tabs>
        <w:rPr>
          <w:b/>
        </w:rPr>
      </w:pPr>
      <w:r>
        <w:rPr>
          <w:b/>
        </w:rPr>
        <w:t>STANDARD BANK NAMIBIA LIMITED</w:t>
      </w:r>
      <w:r w:rsidR="00693234" w:rsidRPr="00167E9F">
        <w:rPr>
          <w:b/>
        </w:rPr>
        <w:tab/>
      </w:r>
      <w:r w:rsidR="00BB5369">
        <w:rPr>
          <w:b/>
        </w:rPr>
        <w:t xml:space="preserve">       </w:t>
      </w:r>
      <w:r w:rsidR="00693234" w:rsidRPr="00167E9F">
        <w:rPr>
          <w:b/>
        </w:rPr>
        <w:t>PLAINTIFF</w:t>
      </w:r>
    </w:p>
    <w:p w14:paraId="781224F4" w14:textId="77777777" w:rsidR="00BB5369" w:rsidRDefault="00BB5369" w:rsidP="00FD2B70">
      <w:pPr>
        <w:tabs>
          <w:tab w:val="right" w:pos="8280"/>
        </w:tabs>
      </w:pPr>
    </w:p>
    <w:p w14:paraId="51AF5D74" w14:textId="77777777" w:rsidR="00C85BDB" w:rsidRPr="00167E9F" w:rsidRDefault="00FD2B70" w:rsidP="00FD2B70">
      <w:pPr>
        <w:tabs>
          <w:tab w:val="right" w:pos="8280"/>
        </w:tabs>
      </w:pPr>
      <w:r w:rsidRPr="00167E9F">
        <w:t>a</w:t>
      </w:r>
      <w:r w:rsidR="00853524" w:rsidRPr="00167E9F">
        <w:t>nd</w:t>
      </w:r>
    </w:p>
    <w:p w14:paraId="6B20AA76" w14:textId="77777777" w:rsidR="00BB5369" w:rsidRDefault="00BB5369" w:rsidP="00FD2B70">
      <w:pPr>
        <w:tabs>
          <w:tab w:val="right" w:pos="8280"/>
        </w:tabs>
        <w:rPr>
          <w:b/>
          <w:color w:val="000000"/>
        </w:rPr>
      </w:pPr>
    </w:p>
    <w:p w14:paraId="4FA0FD1D" w14:textId="16ED6C94" w:rsidR="00693234" w:rsidRPr="00167E9F" w:rsidRDefault="0027726D" w:rsidP="00FD2B70">
      <w:pPr>
        <w:tabs>
          <w:tab w:val="right" w:pos="8280"/>
        </w:tabs>
        <w:rPr>
          <w:b/>
          <w:color w:val="000000"/>
        </w:rPr>
      </w:pPr>
      <w:r>
        <w:rPr>
          <w:b/>
          <w:color w:val="000000"/>
        </w:rPr>
        <w:t xml:space="preserve">RICARDO </w:t>
      </w:r>
      <w:r w:rsidR="00513374">
        <w:rPr>
          <w:b/>
          <w:color w:val="000000"/>
        </w:rPr>
        <w:t xml:space="preserve">MATIAS </w:t>
      </w:r>
      <w:r>
        <w:rPr>
          <w:b/>
          <w:color w:val="000000"/>
        </w:rPr>
        <w:t>GOAGOSEB</w:t>
      </w:r>
      <w:r>
        <w:rPr>
          <w:b/>
          <w:color w:val="000000"/>
        </w:rPr>
        <w:tab/>
      </w:r>
      <w:r w:rsidR="00FD2B70" w:rsidRPr="00167E9F">
        <w:rPr>
          <w:b/>
          <w:color w:val="000000"/>
        </w:rPr>
        <w:t xml:space="preserve"> </w:t>
      </w:r>
      <w:r w:rsidR="00BB5369">
        <w:rPr>
          <w:b/>
          <w:color w:val="000000"/>
        </w:rPr>
        <w:t xml:space="preserve">   </w:t>
      </w:r>
      <w:r w:rsidR="00693234" w:rsidRPr="00167E9F">
        <w:rPr>
          <w:b/>
          <w:color w:val="000000"/>
        </w:rPr>
        <w:t>DEFENDANT</w:t>
      </w:r>
    </w:p>
    <w:p w14:paraId="34CA8737" w14:textId="77777777" w:rsidR="00693234" w:rsidRPr="00167E9F" w:rsidRDefault="00693234" w:rsidP="00FD2B70">
      <w:pPr>
        <w:ind w:left="2160" w:hanging="2160"/>
        <w:rPr>
          <w:b/>
        </w:rPr>
      </w:pPr>
    </w:p>
    <w:p w14:paraId="58B206DF" w14:textId="7E4A0D7C" w:rsidR="00853524" w:rsidRPr="00167E9F" w:rsidRDefault="00853524" w:rsidP="00BB5369">
      <w:pPr>
        <w:ind w:left="2160" w:hanging="2160"/>
      </w:pPr>
      <w:r w:rsidRPr="00167E9F">
        <w:rPr>
          <w:b/>
        </w:rPr>
        <w:t>Neutral citation</w:t>
      </w:r>
      <w:r w:rsidR="00C82A83" w:rsidRPr="00167E9F">
        <w:rPr>
          <w:b/>
        </w:rPr>
        <w:t>:</w:t>
      </w:r>
      <w:r w:rsidRPr="00167E9F">
        <w:rPr>
          <w:b/>
        </w:rPr>
        <w:tab/>
      </w:r>
      <w:r w:rsidR="0027726D">
        <w:rPr>
          <w:i/>
          <w:iCs/>
          <w:color w:val="000000"/>
        </w:rPr>
        <w:t>Standard Bank</w:t>
      </w:r>
      <w:r w:rsidR="00FC161D">
        <w:rPr>
          <w:i/>
          <w:iCs/>
          <w:color w:val="000000"/>
        </w:rPr>
        <w:t xml:space="preserve"> Namibia Limited</w:t>
      </w:r>
      <w:r w:rsidR="006106A3">
        <w:rPr>
          <w:i/>
          <w:iCs/>
          <w:color w:val="000000"/>
        </w:rPr>
        <w:t xml:space="preserve"> v</w:t>
      </w:r>
      <w:r w:rsidR="0027726D">
        <w:rPr>
          <w:i/>
          <w:iCs/>
          <w:color w:val="000000"/>
        </w:rPr>
        <w:t xml:space="preserve"> Goagoseb </w:t>
      </w:r>
      <w:r w:rsidR="0027726D">
        <w:rPr>
          <w:color w:val="000000"/>
        </w:rPr>
        <w:t>(</w:t>
      </w:r>
      <w:r w:rsidR="0027726D">
        <w:t>HC-MD-CIV-ACT-CON-2020/02469)</w:t>
      </w:r>
      <w:r w:rsidR="004B1A8D" w:rsidRPr="00167E9F">
        <w:t xml:space="preserve"> </w:t>
      </w:r>
      <w:r w:rsidR="006106A3">
        <w:t xml:space="preserve">[2023] NAHCMD </w:t>
      </w:r>
      <w:r w:rsidR="00783CD5" w:rsidRPr="00783CD5">
        <w:t>146</w:t>
      </w:r>
      <w:r w:rsidR="006106A3" w:rsidRPr="00783CD5">
        <w:t xml:space="preserve"> </w:t>
      </w:r>
      <w:r w:rsidR="00DD1112" w:rsidRPr="00167E9F">
        <w:t>(</w:t>
      </w:r>
      <w:r w:rsidR="0027726D">
        <w:t>27</w:t>
      </w:r>
      <w:r w:rsidR="006106A3">
        <w:t xml:space="preserve"> </w:t>
      </w:r>
      <w:r w:rsidR="0027726D">
        <w:t xml:space="preserve">March </w:t>
      </w:r>
      <w:r w:rsidR="00693234" w:rsidRPr="00167E9F">
        <w:t>2023</w:t>
      </w:r>
      <w:r w:rsidR="004B1A8D" w:rsidRPr="00167E9F">
        <w:t>)</w:t>
      </w:r>
    </w:p>
    <w:p w14:paraId="40BE7433" w14:textId="77777777" w:rsidR="00853524" w:rsidRPr="00167E9F" w:rsidRDefault="00853524" w:rsidP="00FD2B70">
      <w:pPr>
        <w:ind w:left="2160" w:hanging="2160"/>
      </w:pPr>
    </w:p>
    <w:p w14:paraId="657CA48A" w14:textId="77777777" w:rsidR="004B1A8D" w:rsidRPr="00167E9F" w:rsidRDefault="00853524" w:rsidP="00FD2B70">
      <w:pPr>
        <w:ind w:left="2160" w:hanging="2160"/>
        <w:rPr>
          <w:b/>
          <w:bCs/>
        </w:rPr>
      </w:pPr>
      <w:r w:rsidRPr="00167E9F">
        <w:rPr>
          <w:b/>
        </w:rPr>
        <w:t>Coram</w:t>
      </w:r>
      <w:r w:rsidR="00D01FBD" w:rsidRPr="00167E9F">
        <w:rPr>
          <w:b/>
        </w:rPr>
        <w:t>:</w:t>
      </w:r>
      <w:r w:rsidRPr="00167E9F">
        <w:tab/>
        <w:t>Schimming-Chase J</w:t>
      </w:r>
    </w:p>
    <w:p w14:paraId="79C11E11" w14:textId="464E6F42" w:rsidR="00853524" w:rsidRPr="00167E9F" w:rsidRDefault="00853524" w:rsidP="00FD2B70">
      <w:pPr>
        <w:ind w:left="2160" w:hanging="2160"/>
        <w:rPr>
          <w:bCs/>
        </w:rPr>
      </w:pPr>
      <w:r w:rsidRPr="00167E9F">
        <w:rPr>
          <w:b/>
          <w:bCs/>
        </w:rPr>
        <w:t>Heard</w:t>
      </w:r>
      <w:r w:rsidR="00D01FBD" w:rsidRPr="00167E9F">
        <w:rPr>
          <w:b/>
          <w:bCs/>
        </w:rPr>
        <w:t>:</w:t>
      </w:r>
      <w:r w:rsidRPr="00167E9F">
        <w:rPr>
          <w:b/>
        </w:rPr>
        <w:tab/>
      </w:r>
      <w:r w:rsidR="0027726D">
        <w:rPr>
          <w:bCs/>
        </w:rPr>
        <w:t>3 February 2023</w:t>
      </w:r>
    </w:p>
    <w:p w14:paraId="00AB6D83" w14:textId="11A3A315" w:rsidR="00853524" w:rsidRPr="00167E9F" w:rsidRDefault="00117DD9" w:rsidP="00FD2B70">
      <w:pPr>
        <w:ind w:left="2160" w:hanging="2160"/>
        <w:rPr>
          <w:bCs/>
        </w:rPr>
      </w:pPr>
      <w:r w:rsidRPr="00167E9F">
        <w:rPr>
          <w:b/>
          <w:bCs/>
        </w:rPr>
        <w:t>Delivered</w:t>
      </w:r>
      <w:r w:rsidR="00D01FBD" w:rsidRPr="00167E9F">
        <w:rPr>
          <w:b/>
          <w:bCs/>
        </w:rPr>
        <w:t>:</w:t>
      </w:r>
      <w:r w:rsidR="00853524" w:rsidRPr="00167E9F">
        <w:rPr>
          <w:b/>
        </w:rPr>
        <w:tab/>
      </w:r>
      <w:r w:rsidR="0027726D">
        <w:rPr>
          <w:bCs/>
        </w:rPr>
        <w:t>27 March</w:t>
      </w:r>
      <w:r w:rsidR="009701D0" w:rsidRPr="00167E9F">
        <w:rPr>
          <w:bCs/>
        </w:rPr>
        <w:t xml:space="preserve"> 2023</w:t>
      </w:r>
    </w:p>
    <w:p w14:paraId="4B94ED77" w14:textId="77777777" w:rsidR="00853524" w:rsidRPr="00167E9F" w:rsidRDefault="00853524" w:rsidP="00FD2B70">
      <w:pPr>
        <w:ind w:left="1440" w:hanging="1440"/>
      </w:pPr>
    </w:p>
    <w:p w14:paraId="4E9C7786" w14:textId="751E59E7" w:rsidR="00041F29" w:rsidRDefault="00853524" w:rsidP="00FD2B70">
      <w:pPr>
        <w:rPr>
          <w:b/>
        </w:rPr>
      </w:pPr>
      <w:r w:rsidRPr="00167E9F">
        <w:rPr>
          <w:b/>
        </w:rPr>
        <w:t>Flynote</w:t>
      </w:r>
      <w:r w:rsidR="00D01FBD" w:rsidRPr="00167E9F">
        <w:rPr>
          <w:b/>
        </w:rPr>
        <w:t>:</w:t>
      </w:r>
      <w:r w:rsidRPr="00167E9F">
        <w:rPr>
          <w:b/>
        </w:rPr>
        <w:tab/>
      </w:r>
      <w:r w:rsidR="0027726D" w:rsidRPr="006F2DCE">
        <w:t>Execution</w:t>
      </w:r>
      <w:r w:rsidR="0027726D" w:rsidRPr="0027726D">
        <w:rPr>
          <w:b/>
        </w:rPr>
        <w:t xml:space="preserve"> </w:t>
      </w:r>
      <w:r w:rsidR="0027726D" w:rsidRPr="00041F29">
        <w:rPr>
          <w:bCs/>
        </w:rPr>
        <w:t xml:space="preserve">— Sale in execution — Immovable property </w:t>
      </w:r>
      <w:r w:rsidR="00041F29">
        <w:rPr>
          <w:bCs/>
        </w:rPr>
        <w:t xml:space="preserve"> </w:t>
      </w:r>
      <w:r w:rsidR="00041F29" w:rsidRPr="00041F29">
        <w:rPr>
          <w:bCs/>
        </w:rPr>
        <w:t>—</w:t>
      </w:r>
      <w:r w:rsidR="00041F29">
        <w:rPr>
          <w:bCs/>
        </w:rPr>
        <w:t xml:space="preserve"> Application to </w:t>
      </w:r>
      <w:r w:rsidR="0027726D" w:rsidRPr="00041F29">
        <w:rPr>
          <w:bCs/>
        </w:rPr>
        <w:t xml:space="preserve">declare </w:t>
      </w:r>
      <w:r w:rsidR="00041F29">
        <w:rPr>
          <w:bCs/>
        </w:rPr>
        <w:t xml:space="preserve">immovable </w:t>
      </w:r>
      <w:r w:rsidR="0027726D" w:rsidRPr="00041F29">
        <w:rPr>
          <w:bCs/>
        </w:rPr>
        <w:t>property specially executable</w:t>
      </w:r>
      <w:r w:rsidR="00041F29">
        <w:rPr>
          <w:bCs/>
        </w:rPr>
        <w:t xml:space="preserve"> </w:t>
      </w:r>
      <w:r w:rsidR="00041F29" w:rsidRPr="00041F29">
        <w:rPr>
          <w:bCs/>
        </w:rPr>
        <w:t>—</w:t>
      </w:r>
      <w:r w:rsidR="0027726D" w:rsidRPr="00041F29">
        <w:rPr>
          <w:bCs/>
        </w:rPr>
        <w:t xml:space="preserve"> Duty of court where </w:t>
      </w:r>
      <w:r w:rsidR="00041F29">
        <w:rPr>
          <w:bCs/>
        </w:rPr>
        <w:t xml:space="preserve">immovable </w:t>
      </w:r>
      <w:r w:rsidR="0027726D" w:rsidRPr="00041F29">
        <w:rPr>
          <w:bCs/>
        </w:rPr>
        <w:t xml:space="preserve">property </w:t>
      </w:r>
      <w:r w:rsidR="00041F29">
        <w:rPr>
          <w:bCs/>
        </w:rPr>
        <w:t xml:space="preserve">is </w:t>
      </w:r>
      <w:r w:rsidR="0027726D" w:rsidRPr="00041F29">
        <w:rPr>
          <w:bCs/>
        </w:rPr>
        <w:t xml:space="preserve">primary home of legally unrepresented debtor </w:t>
      </w:r>
      <w:bookmarkStart w:id="1" w:name="_Hlk130124701"/>
      <w:r w:rsidR="0027726D" w:rsidRPr="00041F29">
        <w:rPr>
          <w:bCs/>
        </w:rPr>
        <w:t>—</w:t>
      </w:r>
      <w:bookmarkEnd w:id="1"/>
      <w:r w:rsidR="0027726D" w:rsidRPr="00041F29">
        <w:rPr>
          <w:bCs/>
        </w:rPr>
        <w:t xml:space="preserve"> </w:t>
      </w:r>
      <w:r w:rsidR="00041F29" w:rsidRPr="00041F29">
        <w:rPr>
          <w:bCs/>
        </w:rPr>
        <w:t>Judicial oversight required</w:t>
      </w:r>
      <w:r w:rsidR="00041F29">
        <w:rPr>
          <w:bCs/>
        </w:rPr>
        <w:t>.</w:t>
      </w:r>
    </w:p>
    <w:p w14:paraId="60505747" w14:textId="77777777" w:rsidR="00041F29" w:rsidRDefault="00041F29" w:rsidP="00FD2B70">
      <w:pPr>
        <w:rPr>
          <w:b/>
        </w:rPr>
      </w:pPr>
    </w:p>
    <w:p w14:paraId="2B66D4E3" w14:textId="7D7926F1" w:rsidR="00853524" w:rsidRPr="00041F29" w:rsidRDefault="00041F29" w:rsidP="00FD2B70">
      <w:pPr>
        <w:rPr>
          <w:bCs/>
        </w:rPr>
      </w:pPr>
      <w:r w:rsidRPr="006106A3">
        <w:lastRenderedPageBreak/>
        <w:t>Practice</w:t>
      </w:r>
      <w:r w:rsidR="006106A3">
        <w:t xml:space="preserve"> </w:t>
      </w:r>
      <w:r w:rsidR="006106A3" w:rsidRPr="006106A3">
        <w:t>—</w:t>
      </w:r>
      <w:r>
        <w:rPr>
          <w:b/>
        </w:rPr>
        <w:t xml:space="preserve"> </w:t>
      </w:r>
      <w:r w:rsidR="006106A3">
        <w:rPr>
          <w:bCs/>
        </w:rPr>
        <w:t xml:space="preserve">Rules of the High Court </w:t>
      </w:r>
      <w:r w:rsidR="006106A3" w:rsidRPr="006106A3">
        <w:rPr>
          <w:bCs/>
        </w:rPr>
        <w:t>—</w:t>
      </w:r>
      <w:r w:rsidR="006106A3">
        <w:rPr>
          <w:bCs/>
        </w:rPr>
        <w:t xml:space="preserve"> R</w:t>
      </w:r>
      <w:r w:rsidR="0027726D" w:rsidRPr="00041F29">
        <w:rPr>
          <w:bCs/>
        </w:rPr>
        <w:t>ule 108</w:t>
      </w:r>
      <w:r>
        <w:rPr>
          <w:bCs/>
        </w:rPr>
        <w:t xml:space="preserve"> </w:t>
      </w:r>
      <w:r w:rsidR="0027726D" w:rsidRPr="00041F29">
        <w:rPr>
          <w:bCs/>
        </w:rPr>
        <w:t xml:space="preserve">— </w:t>
      </w:r>
      <w:r>
        <w:rPr>
          <w:bCs/>
        </w:rPr>
        <w:t>In exercising judicial oversight, c</w:t>
      </w:r>
      <w:r w:rsidR="0027726D" w:rsidRPr="00041F29">
        <w:rPr>
          <w:bCs/>
        </w:rPr>
        <w:t xml:space="preserve">ourt must consider all relevant circumstances including 'less drastic measures than a sale in execution'. </w:t>
      </w:r>
    </w:p>
    <w:p w14:paraId="2301C190" w14:textId="77777777" w:rsidR="009701D0" w:rsidRPr="00167E9F" w:rsidRDefault="009701D0" w:rsidP="00FD2B70">
      <w:pPr>
        <w:rPr>
          <w:bCs/>
        </w:rPr>
      </w:pPr>
    </w:p>
    <w:p w14:paraId="40F28E9F" w14:textId="12EF9A25" w:rsidR="00B134A7" w:rsidRDefault="00853524" w:rsidP="00B134A7">
      <w:pPr>
        <w:widowControl/>
        <w:contextualSpacing/>
        <w:rPr>
          <w:rFonts w:eastAsia="Calibri"/>
          <w:spacing w:val="0"/>
        </w:rPr>
      </w:pPr>
      <w:r w:rsidRPr="00167E9F">
        <w:rPr>
          <w:b/>
        </w:rPr>
        <w:t>Summary</w:t>
      </w:r>
      <w:r w:rsidR="00D01FBD" w:rsidRPr="00167E9F">
        <w:rPr>
          <w:b/>
        </w:rPr>
        <w:t>:</w:t>
      </w:r>
      <w:r w:rsidRPr="00167E9F">
        <w:rPr>
          <w:b/>
        </w:rPr>
        <w:tab/>
      </w:r>
      <w:r w:rsidR="00B134A7" w:rsidRPr="00B134A7">
        <w:rPr>
          <w:bCs/>
        </w:rPr>
        <w:t xml:space="preserve">The plaintiff sued the defendant </w:t>
      </w:r>
      <w:r w:rsidR="00B134A7">
        <w:rPr>
          <w:rFonts w:eastAsia="Calibri"/>
          <w:spacing w:val="0"/>
        </w:rPr>
        <w:t>for an</w:t>
      </w:r>
      <w:r w:rsidR="00B134A7" w:rsidRPr="00F87870">
        <w:rPr>
          <w:rFonts w:eastAsia="Calibri"/>
          <w:spacing w:val="0"/>
        </w:rPr>
        <w:t xml:space="preserve"> amount of N$1</w:t>
      </w:r>
      <w:r w:rsidR="00FC161D">
        <w:rPr>
          <w:rFonts w:eastAsia="Calibri"/>
          <w:spacing w:val="0"/>
        </w:rPr>
        <w:t xml:space="preserve"> </w:t>
      </w:r>
      <w:r w:rsidR="00B134A7" w:rsidRPr="00F87870">
        <w:rPr>
          <w:rFonts w:eastAsia="Calibri"/>
          <w:spacing w:val="0"/>
        </w:rPr>
        <w:t>563</w:t>
      </w:r>
      <w:r w:rsidR="00FC161D">
        <w:rPr>
          <w:rFonts w:eastAsia="Calibri"/>
          <w:spacing w:val="0"/>
        </w:rPr>
        <w:t xml:space="preserve"> </w:t>
      </w:r>
      <w:r w:rsidR="00B134A7" w:rsidRPr="00F87870">
        <w:rPr>
          <w:rFonts w:eastAsia="Calibri"/>
          <w:spacing w:val="0"/>
        </w:rPr>
        <w:t>379</w:t>
      </w:r>
      <w:r w:rsidR="00FC161D">
        <w:rPr>
          <w:rFonts w:eastAsia="Calibri"/>
          <w:spacing w:val="0"/>
        </w:rPr>
        <w:t>,</w:t>
      </w:r>
      <w:r w:rsidR="00B134A7" w:rsidRPr="00F87870">
        <w:rPr>
          <w:rFonts w:eastAsia="Calibri"/>
          <w:spacing w:val="0"/>
        </w:rPr>
        <w:t>39 plus compou</w:t>
      </w:r>
      <w:r w:rsidR="00513374">
        <w:rPr>
          <w:rFonts w:eastAsia="Calibri"/>
          <w:spacing w:val="0"/>
        </w:rPr>
        <w:t>nd interest at the rate of 9.00 percent</w:t>
      </w:r>
      <w:r w:rsidR="00B134A7" w:rsidRPr="00F87870">
        <w:rPr>
          <w:rFonts w:eastAsia="Calibri"/>
          <w:spacing w:val="0"/>
        </w:rPr>
        <w:t xml:space="preserve"> per annum from 15 May 2020 until date of final payment</w:t>
      </w:r>
      <w:r w:rsidR="00B134A7">
        <w:rPr>
          <w:rFonts w:eastAsia="Calibri"/>
          <w:spacing w:val="0"/>
        </w:rPr>
        <w:t xml:space="preserve">, as well as </w:t>
      </w:r>
      <w:r w:rsidR="00B134A7" w:rsidRPr="00F87870">
        <w:rPr>
          <w:rFonts w:eastAsia="Calibri"/>
          <w:spacing w:val="0"/>
        </w:rPr>
        <w:t>costs of suit on an attorney-and-client scale</w:t>
      </w:r>
      <w:r w:rsidR="00B134A7">
        <w:rPr>
          <w:rFonts w:eastAsia="Calibri"/>
          <w:spacing w:val="0"/>
        </w:rPr>
        <w:t xml:space="preserve">. The plaintiff’s case was that the defendant had </w:t>
      </w:r>
      <w:r w:rsidR="00B134A7" w:rsidRPr="00F87870">
        <w:rPr>
          <w:rFonts w:eastAsia="Calibri"/>
          <w:spacing w:val="0"/>
        </w:rPr>
        <w:t>breach</w:t>
      </w:r>
      <w:r w:rsidR="00B134A7">
        <w:rPr>
          <w:rFonts w:eastAsia="Calibri"/>
          <w:spacing w:val="0"/>
        </w:rPr>
        <w:t>ed</w:t>
      </w:r>
      <w:r w:rsidR="00B134A7" w:rsidRPr="00F87870">
        <w:rPr>
          <w:rFonts w:eastAsia="Calibri"/>
          <w:spacing w:val="0"/>
        </w:rPr>
        <w:t xml:space="preserve"> </w:t>
      </w:r>
      <w:r w:rsidR="00B134A7">
        <w:rPr>
          <w:rFonts w:eastAsia="Calibri"/>
          <w:spacing w:val="0"/>
        </w:rPr>
        <w:t>the terms of a written mortgage bond by failing to m</w:t>
      </w:r>
      <w:r w:rsidR="00B134A7" w:rsidRPr="00F87870">
        <w:rPr>
          <w:rFonts w:eastAsia="Calibri"/>
          <w:spacing w:val="0"/>
        </w:rPr>
        <w:t>ake payment on the bond instalments.</w:t>
      </w:r>
      <w:r w:rsidR="00B134A7">
        <w:rPr>
          <w:rFonts w:eastAsia="Calibri"/>
          <w:spacing w:val="0"/>
        </w:rPr>
        <w:t xml:space="preserve"> The plaintiff</w:t>
      </w:r>
      <w:r w:rsidR="00B134A7" w:rsidRPr="00F87870">
        <w:rPr>
          <w:rFonts w:eastAsia="Calibri"/>
          <w:spacing w:val="0"/>
        </w:rPr>
        <w:t xml:space="preserve"> obtained </w:t>
      </w:r>
      <w:r w:rsidR="00B134A7">
        <w:rPr>
          <w:rFonts w:eastAsia="Calibri"/>
          <w:spacing w:val="0"/>
        </w:rPr>
        <w:t xml:space="preserve">default </w:t>
      </w:r>
      <w:r w:rsidR="00B134A7" w:rsidRPr="00F87870">
        <w:rPr>
          <w:rFonts w:eastAsia="Calibri"/>
          <w:spacing w:val="0"/>
        </w:rPr>
        <w:t xml:space="preserve">judgment </w:t>
      </w:r>
      <w:r w:rsidR="00B134A7">
        <w:rPr>
          <w:rFonts w:eastAsia="Calibri"/>
          <w:spacing w:val="0"/>
        </w:rPr>
        <w:t>agai</w:t>
      </w:r>
      <w:r w:rsidR="006106A3">
        <w:rPr>
          <w:rFonts w:eastAsia="Calibri"/>
          <w:spacing w:val="0"/>
        </w:rPr>
        <w:t xml:space="preserve">nst the defendant and obtained </w:t>
      </w:r>
      <w:r w:rsidR="00B134A7">
        <w:rPr>
          <w:rFonts w:eastAsia="Calibri"/>
          <w:spacing w:val="0"/>
        </w:rPr>
        <w:t>writs of exec</w:t>
      </w:r>
      <w:r w:rsidR="00B134A7" w:rsidRPr="00F87870">
        <w:rPr>
          <w:rFonts w:eastAsia="Calibri"/>
          <w:spacing w:val="0"/>
        </w:rPr>
        <w:t xml:space="preserve">ution against </w:t>
      </w:r>
      <w:r w:rsidR="00B134A7">
        <w:rPr>
          <w:rFonts w:eastAsia="Calibri"/>
          <w:spacing w:val="0"/>
        </w:rPr>
        <w:t xml:space="preserve">the defendant’s </w:t>
      </w:r>
      <w:r w:rsidR="00B134A7" w:rsidRPr="00F87870">
        <w:rPr>
          <w:rFonts w:eastAsia="Calibri"/>
          <w:spacing w:val="0"/>
        </w:rPr>
        <w:t>movable property</w:t>
      </w:r>
      <w:r w:rsidR="00B134A7">
        <w:rPr>
          <w:rFonts w:eastAsia="Calibri"/>
          <w:spacing w:val="0"/>
        </w:rPr>
        <w:t>.</w:t>
      </w:r>
      <w:r w:rsidR="00B134A7" w:rsidRPr="00F87870">
        <w:rPr>
          <w:rFonts w:eastAsia="Calibri"/>
          <w:spacing w:val="0"/>
        </w:rPr>
        <w:t xml:space="preserve"> Th</w:t>
      </w:r>
      <w:r w:rsidR="00B134A7">
        <w:rPr>
          <w:rFonts w:eastAsia="Calibri"/>
          <w:spacing w:val="0"/>
        </w:rPr>
        <w:t xml:space="preserve">ereafter an application was launched to declare the defendant’s property specially executable. </w:t>
      </w:r>
    </w:p>
    <w:p w14:paraId="1CF90CE3" w14:textId="197012E5" w:rsidR="00B134A7" w:rsidRDefault="00B134A7" w:rsidP="00B134A7">
      <w:pPr>
        <w:widowControl/>
        <w:contextualSpacing/>
        <w:rPr>
          <w:rFonts w:eastAsia="Calibri"/>
          <w:spacing w:val="0"/>
        </w:rPr>
      </w:pPr>
    </w:p>
    <w:p w14:paraId="7B919808" w14:textId="10A9B340" w:rsidR="00B134A7" w:rsidRDefault="00B134A7" w:rsidP="00B134A7">
      <w:pPr>
        <w:widowControl/>
        <w:contextualSpacing/>
        <w:rPr>
          <w:rFonts w:eastAsia="Calibri"/>
          <w:spacing w:val="0"/>
          <w:shd w:val="clear" w:color="auto" w:fill="FFFFFF"/>
        </w:rPr>
      </w:pPr>
      <w:r>
        <w:rPr>
          <w:rFonts w:eastAsia="Calibri"/>
          <w:spacing w:val="0"/>
        </w:rPr>
        <w:t xml:space="preserve">The defendant was consistently and without delay paying monthly instalments of  </w:t>
      </w:r>
      <w:r w:rsidRPr="00F87870">
        <w:rPr>
          <w:rFonts w:eastAsia="Calibri"/>
          <w:spacing w:val="0"/>
          <w:shd w:val="clear" w:color="auto" w:fill="FFFFFF"/>
        </w:rPr>
        <w:t>N$13 473,55</w:t>
      </w:r>
      <w:r>
        <w:rPr>
          <w:rFonts w:eastAsia="Calibri"/>
          <w:spacing w:val="0"/>
          <w:shd w:val="clear" w:color="auto" w:fill="FFFFFF"/>
        </w:rPr>
        <w:t xml:space="preserve"> by agreement with the plaintiff. The plaintiff’s concern was with the arrear payment offers being to</w:t>
      </w:r>
      <w:r w:rsidR="0099218B">
        <w:rPr>
          <w:rFonts w:eastAsia="Calibri"/>
          <w:spacing w:val="0"/>
          <w:shd w:val="clear" w:color="auto" w:fill="FFFFFF"/>
        </w:rPr>
        <w:t>o</w:t>
      </w:r>
      <w:r>
        <w:rPr>
          <w:rFonts w:eastAsia="Calibri"/>
          <w:spacing w:val="0"/>
          <w:shd w:val="clear" w:color="auto" w:fill="FFFFFF"/>
        </w:rPr>
        <w:t xml:space="preserve"> small to effectively and legally reduce the arrears whi</w:t>
      </w:r>
      <w:r w:rsidR="00513374">
        <w:rPr>
          <w:rFonts w:eastAsia="Calibri"/>
          <w:spacing w:val="0"/>
          <w:shd w:val="clear" w:color="auto" w:fill="FFFFFF"/>
        </w:rPr>
        <w:t xml:space="preserve">ch stood at approximately N$400 </w:t>
      </w:r>
      <w:r>
        <w:rPr>
          <w:rFonts w:eastAsia="Calibri"/>
          <w:spacing w:val="0"/>
          <w:shd w:val="clear" w:color="auto" w:fill="FFFFFF"/>
        </w:rPr>
        <w:t>000. The defendant was placed on ITC</w:t>
      </w:r>
      <w:r w:rsidR="00134504">
        <w:rPr>
          <w:rFonts w:eastAsia="Calibri"/>
          <w:spacing w:val="0"/>
          <w:shd w:val="clear" w:color="auto" w:fill="FFFFFF"/>
        </w:rPr>
        <w:t xml:space="preserve"> and was unable to apply for finance to raise money to cover the arrears.</w:t>
      </w:r>
    </w:p>
    <w:p w14:paraId="1ED52490" w14:textId="71E85A49" w:rsidR="00134504" w:rsidRDefault="00134504" w:rsidP="00B134A7">
      <w:pPr>
        <w:widowControl/>
        <w:contextualSpacing/>
        <w:rPr>
          <w:rFonts w:eastAsia="Calibri"/>
          <w:spacing w:val="0"/>
          <w:shd w:val="clear" w:color="auto" w:fill="FFFFFF"/>
        </w:rPr>
      </w:pPr>
    </w:p>
    <w:p w14:paraId="424042ED" w14:textId="10E39EEC" w:rsidR="00134504" w:rsidRDefault="00134504" w:rsidP="00B134A7">
      <w:pPr>
        <w:widowControl/>
        <w:contextualSpacing/>
        <w:rPr>
          <w:rFonts w:eastAsia="Calibri"/>
          <w:spacing w:val="0"/>
          <w:sz w:val="22"/>
          <w:szCs w:val="22"/>
          <w:u w:val="single"/>
          <w:shd w:val="clear" w:color="auto" w:fill="FFFFFF"/>
        </w:rPr>
      </w:pPr>
      <w:r>
        <w:rPr>
          <w:rFonts w:eastAsia="Calibri"/>
          <w:i/>
          <w:iCs/>
          <w:spacing w:val="0"/>
          <w:shd w:val="clear" w:color="auto" w:fill="FFFFFF"/>
        </w:rPr>
        <w:t>Held</w:t>
      </w:r>
      <w:r w:rsidR="006106A3">
        <w:rPr>
          <w:rFonts w:eastAsia="Calibri"/>
          <w:spacing w:val="0"/>
          <w:shd w:val="clear" w:color="auto" w:fill="FFFFFF"/>
        </w:rPr>
        <w:t>,</w:t>
      </w:r>
      <w:r>
        <w:rPr>
          <w:rFonts w:eastAsia="Calibri"/>
          <w:spacing w:val="0"/>
          <w:shd w:val="clear" w:color="auto" w:fill="FFFFFF"/>
        </w:rPr>
        <w:t xml:space="preserve"> </w:t>
      </w:r>
      <w:r w:rsidR="006106A3">
        <w:rPr>
          <w:rFonts w:eastAsia="Calibri"/>
          <w:spacing w:val="0"/>
          <w:shd w:val="clear" w:color="auto" w:fill="FFFFFF"/>
        </w:rPr>
        <w:t>i</w:t>
      </w:r>
      <w:r w:rsidRPr="00F87870">
        <w:rPr>
          <w:rFonts w:eastAsia="Calibri"/>
          <w:spacing w:val="0"/>
          <w:shd w:val="clear" w:color="auto" w:fill="FFFFFF"/>
        </w:rPr>
        <w:t>f a property is a primary home, the court must be satisfied that there are no less drastic alternatives to a sale in execution. The judgment debtor bears the evidential burden. He or she should preferably lay the relevant information before court on affidavit</w:t>
      </w:r>
      <w:r>
        <w:rPr>
          <w:rFonts w:eastAsia="Calibri"/>
          <w:spacing w:val="0"/>
          <w:shd w:val="clear" w:color="auto" w:fill="FFFFFF"/>
        </w:rPr>
        <w:t>.</w:t>
      </w:r>
      <w:r w:rsidR="0099218B" w:rsidRPr="0099218B">
        <w:rPr>
          <w:rFonts w:eastAsia="Calibri"/>
          <w:spacing w:val="0"/>
          <w:sz w:val="22"/>
          <w:szCs w:val="22"/>
          <w:shd w:val="clear" w:color="auto" w:fill="FFFFFF"/>
        </w:rPr>
        <w:t xml:space="preserve"> </w:t>
      </w:r>
      <w:r w:rsidRPr="00134504">
        <w:rPr>
          <w:rFonts w:eastAsia="Calibri"/>
          <w:spacing w:val="0"/>
          <w:shd w:val="clear" w:color="auto" w:fill="FFFFFF"/>
        </w:rPr>
        <w:t>Such a debtor would ordinarily be listed with ITC and would not be able to secure any further loan finance</w:t>
      </w:r>
      <w:r>
        <w:rPr>
          <w:rFonts w:eastAsia="Calibri"/>
          <w:spacing w:val="0"/>
          <w:shd w:val="clear" w:color="auto" w:fill="FFFFFF"/>
        </w:rPr>
        <w:t>.</w:t>
      </w:r>
    </w:p>
    <w:p w14:paraId="2EFC63DC" w14:textId="77777777" w:rsidR="00134504" w:rsidRDefault="00134504" w:rsidP="00B134A7">
      <w:pPr>
        <w:widowControl/>
        <w:contextualSpacing/>
        <w:rPr>
          <w:rFonts w:eastAsia="Calibri"/>
          <w:spacing w:val="0"/>
          <w:sz w:val="22"/>
          <w:szCs w:val="22"/>
          <w:u w:val="single"/>
          <w:shd w:val="clear" w:color="auto" w:fill="FFFFFF"/>
        </w:rPr>
      </w:pPr>
    </w:p>
    <w:p w14:paraId="7CB348B4" w14:textId="7C0B4399" w:rsidR="00134504" w:rsidRPr="00134504" w:rsidRDefault="006106A3" w:rsidP="00134504">
      <w:pPr>
        <w:widowControl/>
        <w:contextualSpacing/>
        <w:rPr>
          <w:rFonts w:eastAsia="Calibri"/>
          <w:spacing w:val="0"/>
          <w:shd w:val="clear" w:color="auto" w:fill="FFFFFF"/>
        </w:rPr>
      </w:pPr>
      <w:r>
        <w:rPr>
          <w:rFonts w:eastAsia="Calibri"/>
          <w:i/>
          <w:iCs/>
          <w:spacing w:val="0"/>
          <w:shd w:val="clear" w:color="auto" w:fill="FFFFFF"/>
        </w:rPr>
        <w:t>Held,</w:t>
      </w:r>
      <w:r w:rsidR="00134504">
        <w:rPr>
          <w:rFonts w:eastAsia="Calibri"/>
          <w:i/>
          <w:iCs/>
          <w:spacing w:val="0"/>
          <w:shd w:val="clear" w:color="auto" w:fill="FFFFFF"/>
        </w:rPr>
        <w:t xml:space="preserve"> </w:t>
      </w:r>
      <w:r>
        <w:rPr>
          <w:rFonts w:eastAsia="Calibri"/>
          <w:spacing w:val="0"/>
          <w:shd w:val="clear" w:color="auto" w:fill="FFFFFF"/>
        </w:rPr>
        <w:t>t</w:t>
      </w:r>
      <w:r w:rsidR="00134504" w:rsidRPr="00134504">
        <w:rPr>
          <w:rFonts w:eastAsia="Calibri"/>
          <w:spacing w:val="0"/>
          <w:shd w:val="clear" w:color="auto" w:fill="FFFFFF"/>
        </w:rPr>
        <w:t>he court should also take into consideration the payment history of the debtor. Greater latitude should be given to the debtor who has a reasonably good payment history</w:t>
      </w:r>
      <w:r w:rsidR="0099218B">
        <w:rPr>
          <w:rFonts w:eastAsia="Calibri"/>
          <w:spacing w:val="0"/>
          <w:shd w:val="clear" w:color="auto" w:fill="FFFFFF"/>
        </w:rPr>
        <w:t>.</w:t>
      </w:r>
    </w:p>
    <w:p w14:paraId="2F324446" w14:textId="04F91695" w:rsidR="00134504" w:rsidRDefault="00134504" w:rsidP="00B134A7">
      <w:pPr>
        <w:widowControl/>
        <w:contextualSpacing/>
        <w:rPr>
          <w:rFonts w:eastAsia="Calibri"/>
          <w:spacing w:val="0"/>
          <w:shd w:val="clear" w:color="auto" w:fill="FFFFFF"/>
        </w:rPr>
      </w:pPr>
    </w:p>
    <w:p w14:paraId="2737EFA4" w14:textId="134D7EF8" w:rsidR="00134504" w:rsidRDefault="00134504" w:rsidP="00B134A7">
      <w:pPr>
        <w:widowControl/>
        <w:contextualSpacing/>
        <w:rPr>
          <w:rFonts w:eastAsia="Calibri"/>
          <w:spacing w:val="0"/>
          <w:shd w:val="clear" w:color="auto" w:fill="FFFFFF"/>
        </w:rPr>
      </w:pPr>
      <w:r>
        <w:rPr>
          <w:rFonts w:eastAsia="Calibri"/>
          <w:i/>
          <w:iCs/>
          <w:spacing w:val="0"/>
          <w:shd w:val="clear" w:color="auto" w:fill="FFFFFF"/>
        </w:rPr>
        <w:t>Held</w:t>
      </w:r>
      <w:r w:rsidR="006106A3">
        <w:rPr>
          <w:rFonts w:eastAsia="Calibri"/>
          <w:i/>
          <w:iCs/>
          <w:spacing w:val="0"/>
          <w:shd w:val="clear" w:color="auto" w:fill="FFFFFF"/>
        </w:rPr>
        <w:t>,</w:t>
      </w:r>
      <w:r>
        <w:rPr>
          <w:rFonts w:eastAsia="Calibri"/>
          <w:i/>
          <w:iCs/>
          <w:spacing w:val="0"/>
          <w:shd w:val="clear" w:color="auto" w:fill="FFFFFF"/>
        </w:rPr>
        <w:t xml:space="preserve"> </w:t>
      </w:r>
      <w:r w:rsidR="006106A3">
        <w:rPr>
          <w:rFonts w:eastAsia="Calibri"/>
          <w:spacing w:val="0"/>
          <w:shd w:val="clear" w:color="auto" w:fill="FFFFFF"/>
        </w:rPr>
        <w:t>i</w:t>
      </w:r>
      <w:r w:rsidRPr="00F87870">
        <w:rPr>
          <w:rFonts w:eastAsia="Calibri"/>
          <w:spacing w:val="0"/>
          <w:shd w:val="clear" w:color="auto" w:fill="FFFFFF"/>
        </w:rPr>
        <w:t>f the judgment debt can be satisfied in a reasonable manner, without involving those drastic consequences, an alternative course should be considered judicially before granting execution orders</w:t>
      </w:r>
      <w:r>
        <w:rPr>
          <w:rFonts w:eastAsia="Calibri"/>
          <w:spacing w:val="0"/>
          <w:shd w:val="clear" w:color="auto" w:fill="FFFFFF"/>
        </w:rPr>
        <w:t>.</w:t>
      </w:r>
    </w:p>
    <w:p w14:paraId="7CBF95C2" w14:textId="5CE1388C" w:rsidR="00134504" w:rsidRDefault="00134504" w:rsidP="00B134A7">
      <w:pPr>
        <w:widowControl/>
        <w:contextualSpacing/>
        <w:rPr>
          <w:rFonts w:eastAsia="Calibri"/>
          <w:spacing w:val="0"/>
          <w:shd w:val="clear" w:color="auto" w:fill="FFFFFF"/>
        </w:rPr>
      </w:pPr>
    </w:p>
    <w:p w14:paraId="7C6A62FA" w14:textId="14F9F741" w:rsidR="005B6574" w:rsidRPr="00167E9F" w:rsidRDefault="006106A3" w:rsidP="0027726D">
      <w:pPr>
        <w:rPr>
          <w:bCs/>
        </w:rPr>
      </w:pPr>
      <w:r>
        <w:rPr>
          <w:rFonts w:eastAsia="Calibri"/>
          <w:i/>
          <w:iCs/>
          <w:spacing w:val="0"/>
          <w:shd w:val="clear" w:color="auto" w:fill="FFFFFF"/>
        </w:rPr>
        <w:t>Held,</w:t>
      </w:r>
      <w:r w:rsidR="00134504">
        <w:rPr>
          <w:rFonts w:eastAsia="Calibri"/>
          <w:i/>
          <w:iCs/>
          <w:spacing w:val="0"/>
          <w:shd w:val="clear" w:color="auto" w:fill="FFFFFF"/>
        </w:rPr>
        <w:t xml:space="preserve"> </w:t>
      </w:r>
      <w:r>
        <w:rPr>
          <w:rFonts w:eastAsia="Calibri"/>
          <w:spacing w:val="0"/>
          <w:shd w:val="clear" w:color="auto" w:fill="FFFFFF"/>
        </w:rPr>
        <w:t>t</w:t>
      </w:r>
      <w:r w:rsidR="00134504" w:rsidRPr="00134504">
        <w:rPr>
          <w:rFonts w:eastAsia="Calibri"/>
          <w:spacing w:val="0"/>
          <w:shd w:val="clear" w:color="auto" w:fill="FFFFFF"/>
        </w:rPr>
        <w:t xml:space="preserve">he defendant debtor had been making regular payments to the plaintiff consistently and without delay. The issue was </w:t>
      </w:r>
      <w:r w:rsidR="0099218B">
        <w:rPr>
          <w:rFonts w:eastAsia="Calibri"/>
          <w:spacing w:val="0"/>
          <w:shd w:val="clear" w:color="auto" w:fill="FFFFFF"/>
        </w:rPr>
        <w:t xml:space="preserve">only </w:t>
      </w:r>
      <w:r w:rsidR="00134504" w:rsidRPr="00134504">
        <w:rPr>
          <w:rFonts w:eastAsia="Calibri"/>
          <w:spacing w:val="0"/>
          <w:shd w:val="clear" w:color="auto" w:fill="FFFFFF"/>
        </w:rPr>
        <w:t xml:space="preserve">with the arrears, </w:t>
      </w:r>
      <w:r w:rsidR="0099218B">
        <w:rPr>
          <w:rFonts w:eastAsia="Calibri"/>
          <w:spacing w:val="0"/>
          <w:shd w:val="clear" w:color="auto" w:fill="FFFFFF"/>
        </w:rPr>
        <w:t xml:space="preserve">which amount was too low. The </w:t>
      </w:r>
      <w:r w:rsidR="00134504" w:rsidRPr="00134504">
        <w:rPr>
          <w:rFonts w:eastAsia="Calibri"/>
          <w:spacing w:val="0"/>
          <w:shd w:val="clear" w:color="auto" w:fill="FFFFFF"/>
        </w:rPr>
        <w:t>debtor was unable to secure additional finance due to being listed on ITC. In the circumstances</w:t>
      </w:r>
      <w:r w:rsidR="00FF1C62">
        <w:rPr>
          <w:rFonts w:eastAsia="Calibri"/>
          <w:spacing w:val="0"/>
          <w:shd w:val="clear" w:color="auto" w:fill="FFFFFF"/>
        </w:rPr>
        <w:t>,</w:t>
      </w:r>
      <w:r w:rsidR="00134504" w:rsidRPr="00134504">
        <w:rPr>
          <w:rFonts w:eastAsia="Calibri"/>
          <w:spacing w:val="0"/>
          <w:shd w:val="clear" w:color="auto" w:fill="FFFFFF"/>
        </w:rPr>
        <w:t xml:space="preserve"> there was sufficient evidence placed to show that the plaintiff had other </w:t>
      </w:r>
      <w:r w:rsidR="0099218B">
        <w:rPr>
          <w:rFonts w:eastAsia="Calibri"/>
          <w:spacing w:val="0"/>
          <w:shd w:val="clear" w:color="auto" w:fill="FFFFFF"/>
        </w:rPr>
        <w:t xml:space="preserve">viable and </w:t>
      </w:r>
      <w:r w:rsidR="00134504" w:rsidRPr="00134504">
        <w:rPr>
          <w:rFonts w:eastAsia="Calibri"/>
          <w:spacing w:val="0"/>
          <w:shd w:val="clear" w:color="auto" w:fill="FFFFFF"/>
        </w:rPr>
        <w:t>less drastic measures available. One such less drastic measure was restructuring the debt. Application accordingly dismissed.</w:t>
      </w:r>
    </w:p>
    <w:p w14:paraId="186404D0" w14:textId="77777777" w:rsidR="00C26AB6" w:rsidRPr="00167E9F" w:rsidRDefault="00C26AB6" w:rsidP="00FD2B70">
      <w:pPr>
        <w:rPr>
          <w:bCs/>
        </w:rPr>
      </w:pPr>
    </w:p>
    <w:p w14:paraId="501959EE" w14:textId="77777777" w:rsidR="00853524" w:rsidRPr="00167E9F" w:rsidRDefault="00000000" w:rsidP="00FD2B70">
      <w:pPr>
        <w:rPr>
          <w:bCs/>
        </w:rPr>
      </w:pPr>
      <w:r>
        <w:rPr>
          <w:bCs/>
        </w:rPr>
        <w:pict w14:anchorId="0577953A">
          <v:rect id="_x0000_i1026" style="width:0;height:1.5pt" o:hralign="center" o:hrstd="t" o:hr="t" fillcolor="#a0a0a0" stroked="f"/>
        </w:pict>
      </w:r>
    </w:p>
    <w:p w14:paraId="779BEC67" w14:textId="77777777" w:rsidR="00853524" w:rsidRPr="00167E9F" w:rsidRDefault="001F6CB9" w:rsidP="00FD2B70">
      <w:pPr>
        <w:jc w:val="center"/>
        <w:rPr>
          <w:b/>
          <w:bCs/>
        </w:rPr>
      </w:pPr>
      <w:r w:rsidRPr="00167E9F">
        <w:rPr>
          <w:b/>
          <w:bCs/>
        </w:rPr>
        <w:t>ORDER</w:t>
      </w:r>
    </w:p>
    <w:p w14:paraId="33C92FAB" w14:textId="77777777" w:rsidR="00853524" w:rsidRPr="00167E9F" w:rsidRDefault="00000000" w:rsidP="00FD2B70">
      <w:pPr>
        <w:jc w:val="center"/>
        <w:rPr>
          <w:b/>
          <w:bCs/>
        </w:rPr>
      </w:pPr>
      <w:r>
        <w:rPr>
          <w:bCs/>
        </w:rPr>
        <w:pict w14:anchorId="57A495BB">
          <v:rect id="_x0000_i1027" style="width:0;height:1.5pt" o:hralign="center" o:hrstd="t" o:hr="t" fillcolor="#a0a0a0" stroked="f"/>
        </w:pict>
      </w:r>
    </w:p>
    <w:p w14:paraId="48367D86" w14:textId="77777777" w:rsidR="00853524" w:rsidRPr="00167E9F" w:rsidRDefault="00853524" w:rsidP="00FD2B70">
      <w:pPr>
        <w:rPr>
          <w:bCs/>
        </w:rPr>
      </w:pPr>
    </w:p>
    <w:p w14:paraId="0F089DCF" w14:textId="3861BA5A" w:rsidR="00041F29" w:rsidRPr="00041F29" w:rsidRDefault="00F5565E" w:rsidP="00041F29">
      <w:pPr>
        <w:ind w:left="720" w:hanging="720"/>
        <w:rPr>
          <w:bCs/>
        </w:rPr>
      </w:pPr>
      <w:r w:rsidRPr="00167E9F">
        <w:rPr>
          <w:bCs/>
        </w:rPr>
        <w:t>1.</w:t>
      </w:r>
      <w:r w:rsidRPr="00167E9F">
        <w:rPr>
          <w:bCs/>
        </w:rPr>
        <w:tab/>
      </w:r>
      <w:bookmarkStart w:id="2" w:name="_Hlk130124903"/>
      <w:r w:rsidR="00041F29" w:rsidRPr="00041F29">
        <w:rPr>
          <w:bCs/>
        </w:rPr>
        <w:t xml:space="preserve">The application to declare the immovable property described as Erf 1079, Section 13, Caroline Court, Dorado Park, Windhoek, Republic of Namibia, specially executable is </w:t>
      </w:r>
      <w:r w:rsidR="00041F29">
        <w:rPr>
          <w:bCs/>
        </w:rPr>
        <w:t xml:space="preserve">dismissed. </w:t>
      </w:r>
    </w:p>
    <w:bookmarkEnd w:id="2"/>
    <w:p w14:paraId="589AB529" w14:textId="77777777" w:rsidR="00041F29" w:rsidRPr="00041F29" w:rsidRDefault="00041F29" w:rsidP="00041F29">
      <w:pPr>
        <w:rPr>
          <w:bCs/>
        </w:rPr>
      </w:pPr>
    </w:p>
    <w:p w14:paraId="6CB7A2B5" w14:textId="3F78A1DB" w:rsidR="00F5565E" w:rsidRPr="00167E9F" w:rsidRDefault="00513374" w:rsidP="00041F29">
      <w:r>
        <w:rPr>
          <w:bCs/>
        </w:rPr>
        <w:t>2.</w:t>
      </w:r>
      <w:r>
        <w:rPr>
          <w:bCs/>
        </w:rPr>
        <w:tab/>
        <w:t>The plaintiff</w:t>
      </w:r>
      <w:r w:rsidR="00041F29" w:rsidRPr="00041F29">
        <w:rPr>
          <w:bCs/>
        </w:rPr>
        <w:t xml:space="preserve"> is ordered to pay the costs of this application.</w:t>
      </w:r>
      <w:bookmarkStart w:id="3" w:name="_Hlk125983276"/>
      <w:r w:rsidR="000C4C44">
        <w:t xml:space="preserve"> </w:t>
      </w:r>
    </w:p>
    <w:bookmarkEnd w:id="3"/>
    <w:p w14:paraId="5BE9EF64" w14:textId="77777777" w:rsidR="00C35B56" w:rsidRPr="00167E9F" w:rsidRDefault="00C35B56" w:rsidP="00FD2B70">
      <w:pPr>
        <w:pStyle w:val="NormalWeb"/>
        <w:spacing w:before="0" w:beforeAutospacing="0" w:after="0" w:afterAutospacing="0" w:line="360" w:lineRule="auto"/>
        <w:jc w:val="both"/>
        <w:rPr>
          <w:rFonts w:ascii="Arial" w:hAnsi="Arial" w:cs="Arial"/>
        </w:rPr>
      </w:pPr>
    </w:p>
    <w:p w14:paraId="3891B010" w14:textId="77777777" w:rsidR="00F5565E" w:rsidRPr="00167E9F" w:rsidRDefault="00693234" w:rsidP="00FD2B70">
      <w:pPr>
        <w:pStyle w:val="NormalWeb"/>
        <w:spacing w:before="0" w:beforeAutospacing="0" w:after="0" w:afterAutospacing="0" w:line="360" w:lineRule="auto"/>
        <w:jc w:val="both"/>
        <w:rPr>
          <w:rFonts w:ascii="Arial" w:hAnsi="Arial" w:cs="Arial"/>
        </w:rPr>
      </w:pPr>
      <w:r w:rsidRPr="00167E9F">
        <w:rPr>
          <w:rFonts w:ascii="Arial" w:hAnsi="Arial" w:cs="Arial"/>
        </w:rPr>
        <w:t>3</w:t>
      </w:r>
      <w:r w:rsidR="00C35B56" w:rsidRPr="00167E9F">
        <w:rPr>
          <w:rFonts w:ascii="Arial" w:hAnsi="Arial" w:cs="Arial"/>
        </w:rPr>
        <w:tab/>
        <w:t>The matter is final</w:t>
      </w:r>
      <w:r w:rsidR="006C62AA" w:rsidRPr="00167E9F">
        <w:rPr>
          <w:rFonts w:ascii="Arial" w:hAnsi="Arial" w:cs="Arial"/>
        </w:rPr>
        <w:t>ised and removed from the roll.</w:t>
      </w:r>
    </w:p>
    <w:p w14:paraId="481C1C65" w14:textId="77777777" w:rsidR="001A3CCC" w:rsidRPr="00167E9F" w:rsidRDefault="001A3CCC" w:rsidP="00FD2B70">
      <w:pPr>
        <w:pStyle w:val="NormalWeb"/>
        <w:spacing w:before="0" w:beforeAutospacing="0" w:after="0" w:afterAutospacing="0" w:line="360" w:lineRule="auto"/>
        <w:jc w:val="both"/>
        <w:rPr>
          <w:rFonts w:ascii="Arial" w:hAnsi="Arial" w:cs="Arial"/>
        </w:rPr>
      </w:pPr>
    </w:p>
    <w:p w14:paraId="797A2C93" w14:textId="77777777" w:rsidR="00853524" w:rsidRPr="00167E9F" w:rsidRDefault="00000000" w:rsidP="00FD2B70">
      <w:pPr>
        <w:rPr>
          <w:bCs/>
        </w:rPr>
      </w:pPr>
      <w:r>
        <w:rPr>
          <w:bCs/>
        </w:rPr>
        <w:pict w14:anchorId="60110198">
          <v:rect id="_x0000_i1028" style="width:0;height:1.5pt" o:hralign="center" o:hrstd="t" o:hr="t" fillcolor="#a0a0a0" stroked="f"/>
        </w:pict>
      </w:r>
    </w:p>
    <w:p w14:paraId="5F0CF418" w14:textId="77777777" w:rsidR="00853524" w:rsidRPr="00167E9F" w:rsidRDefault="001F6CB9" w:rsidP="00FD2B70">
      <w:pPr>
        <w:jc w:val="center"/>
        <w:rPr>
          <w:b/>
        </w:rPr>
      </w:pPr>
      <w:r w:rsidRPr="00167E9F">
        <w:rPr>
          <w:b/>
        </w:rPr>
        <w:t>JUDGMENT</w:t>
      </w:r>
    </w:p>
    <w:p w14:paraId="0EFD1DC1" w14:textId="77777777" w:rsidR="00853524" w:rsidRPr="00167E9F" w:rsidRDefault="00000000" w:rsidP="00FD2B70">
      <w:pPr>
        <w:jc w:val="center"/>
        <w:rPr>
          <w:b/>
        </w:rPr>
      </w:pPr>
      <w:r>
        <w:rPr>
          <w:bCs/>
        </w:rPr>
        <w:pict w14:anchorId="07771C2F">
          <v:rect id="_x0000_i1029" style="width:0;height:1.5pt" o:hralign="center" o:hrstd="t" o:hr="t" fillcolor="#a0a0a0" stroked="f"/>
        </w:pict>
      </w:r>
    </w:p>
    <w:p w14:paraId="1F6B3135" w14:textId="77777777" w:rsidR="0033760D" w:rsidRPr="00167E9F" w:rsidRDefault="0033760D" w:rsidP="00FD2B70"/>
    <w:p w14:paraId="645DC27E" w14:textId="15EFFC63" w:rsidR="00F87870" w:rsidRDefault="00853524" w:rsidP="002F3943">
      <w:pPr>
        <w:rPr>
          <w:b/>
          <w:i/>
        </w:rPr>
      </w:pPr>
      <w:r w:rsidRPr="00167E9F">
        <w:t>SCHIMMING-CHASE J</w:t>
      </w:r>
      <w:r w:rsidR="004D74FE" w:rsidRPr="00167E9F">
        <w:t xml:space="preserve">: </w:t>
      </w:r>
    </w:p>
    <w:p w14:paraId="32B21C1C" w14:textId="75ED3636" w:rsidR="002F3943" w:rsidRDefault="002F3943" w:rsidP="002F3943">
      <w:pPr>
        <w:rPr>
          <w:b/>
          <w:i/>
        </w:rPr>
      </w:pPr>
    </w:p>
    <w:p w14:paraId="28459FDE" w14:textId="3BA606CE" w:rsidR="002F3943" w:rsidRPr="006F2DCE" w:rsidRDefault="002F3943" w:rsidP="002F3943">
      <w:pPr>
        <w:rPr>
          <w:bCs/>
          <w:iCs/>
          <w:u w:val="single"/>
        </w:rPr>
      </w:pPr>
      <w:r w:rsidRPr="006F2DCE">
        <w:rPr>
          <w:bCs/>
          <w:iCs/>
          <w:u w:val="single"/>
        </w:rPr>
        <w:t>Introduction</w:t>
      </w:r>
    </w:p>
    <w:p w14:paraId="7BFB44E5" w14:textId="77777777" w:rsidR="00F87870" w:rsidRPr="00F87870" w:rsidRDefault="00F87870" w:rsidP="00F87870">
      <w:pPr>
        <w:widowControl/>
        <w:ind w:left="2160" w:hanging="2160"/>
        <w:rPr>
          <w:rFonts w:eastAsia="Calibri"/>
          <w:b/>
          <w:spacing w:val="0"/>
          <w:shd w:val="clear" w:color="auto" w:fill="FFFFFF"/>
        </w:rPr>
      </w:pPr>
    </w:p>
    <w:p w14:paraId="52ED35D9" w14:textId="525D7545" w:rsidR="00233FD2" w:rsidRDefault="00A44EF2" w:rsidP="00A44EF2">
      <w:pPr>
        <w:widowControl/>
        <w:contextualSpacing/>
        <w:rPr>
          <w:rFonts w:eastAsia="Calibri"/>
          <w:spacing w:val="0"/>
          <w:shd w:val="clear" w:color="auto" w:fill="FFFFFF"/>
        </w:rPr>
      </w:pPr>
      <w:r>
        <w:rPr>
          <w:rFonts w:eastAsia="Calibri"/>
          <w:spacing w:val="0"/>
        </w:rPr>
        <w:t>[1]</w:t>
      </w:r>
      <w:r>
        <w:rPr>
          <w:rFonts w:eastAsia="Calibri"/>
          <w:spacing w:val="0"/>
        </w:rPr>
        <w:tab/>
      </w:r>
      <w:r w:rsidR="00233FD2" w:rsidRPr="00F87870">
        <w:rPr>
          <w:rFonts w:eastAsia="Calibri"/>
          <w:spacing w:val="0"/>
          <w:shd w:val="clear" w:color="auto" w:fill="FFFFFF"/>
        </w:rPr>
        <w:t xml:space="preserve">Serving before me is an application under rule 108 of the High Court Rules to declare the </w:t>
      </w:r>
      <w:r w:rsidR="002D55FB">
        <w:rPr>
          <w:rFonts w:eastAsia="Calibri"/>
          <w:spacing w:val="0"/>
          <w:shd w:val="clear" w:color="auto" w:fill="FFFFFF"/>
        </w:rPr>
        <w:t xml:space="preserve">defendant’s </w:t>
      </w:r>
      <w:r w:rsidR="00233FD2" w:rsidRPr="00F87870">
        <w:rPr>
          <w:rFonts w:eastAsia="Calibri"/>
          <w:spacing w:val="0"/>
          <w:shd w:val="clear" w:color="auto" w:fill="FFFFFF"/>
        </w:rPr>
        <w:t>home specially executable</w:t>
      </w:r>
      <w:r w:rsidR="002D55FB">
        <w:rPr>
          <w:rFonts w:eastAsia="Calibri"/>
          <w:spacing w:val="0"/>
          <w:shd w:val="clear" w:color="auto" w:fill="FFFFFF"/>
        </w:rPr>
        <w:t>.</w:t>
      </w:r>
    </w:p>
    <w:p w14:paraId="0042A0A6" w14:textId="77777777" w:rsidR="00233FD2" w:rsidRDefault="00233FD2" w:rsidP="00233FD2">
      <w:pPr>
        <w:widowControl/>
        <w:contextualSpacing/>
        <w:rPr>
          <w:rFonts w:eastAsia="Calibri"/>
          <w:spacing w:val="0"/>
          <w:shd w:val="clear" w:color="auto" w:fill="FFFFFF"/>
        </w:rPr>
      </w:pPr>
    </w:p>
    <w:p w14:paraId="159600DC" w14:textId="2861FE17" w:rsidR="00233FD2" w:rsidRDefault="00A44EF2" w:rsidP="00A44EF2">
      <w:pPr>
        <w:widowControl/>
        <w:contextualSpacing/>
        <w:rPr>
          <w:rFonts w:eastAsia="Calibri"/>
          <w:spacing w:val="0"/>
          <w:shd w:val="clear" w:color="auto" w:fill="FFFFFF"/>
        </w:rPr>
      </w:pPr>
      <w:r>
        <w:rPr>
          <w:rFonts w:eastAsia="Calibri"/>
          <w:spacing w:val="0"/>
        </w:rPr>
        <w:lastRenderedPageBreak/>
        <w:t>[2]</w:t>
      </w:r>
      <w:r>
        <w:rPr>
          <w:rFonts w:eastAsia="Calibri"/>
          <w:spacing w:val="0"/>
        </w:rPr>
        <w:tab/>
      </w:r>
      <w:r w:rsidR="00041F29">
        <w:rPr>
          <w:rFonts w:eastAsia="Calibri"/>
          <w:spacing w:val="0"/>
          <w:shd w:val="clear" w:color="auto" w:fill="FFFFFF"/>
        </w:rPr>
        <w:t xml:space="preserve">In </w:t>
      </w:r>
      <w:r w:rsidR="00041F29">
        <w:rPr>
          <w:i/>
        </w:rPr>
        <w:t>First National Bank of Namibia Limited v Ganaseb,</w:t>
      </w:r>
      <w:r w:rsidR="00FC161D">
        <w:rPr>
          <w:rStyle w:val="FootnoteReference"/>
          <w:i/>
        </w:rPr>
        <w:footnoteReference w:id="1"/>
      </w:r>
      <w:r w:rsidR="00041F29">
        <w:rPr>
          <w:i/>
        </w:rPr>
        <w:t xml:space="preserve"> </w:t>
      </w:r>
      <w:r w:rsidR="00041F29" w:rsidRPr="006F2DCE">
        <w:t>Masuku J</w:t>
      </w:r>
      <w:r w:rsidR="00041F29">
        <w:rPr>
          <w:i/>
        </w:rPr>
        <w:t xml:space="preserve"> </w:t>
      </w:r>
      <w:r w:rsidR="00F87870" w:rsidRPr="00F87870">
        <w:rPr>
          <w:rFonts w:eastAsia="Calibri"/>
          <w:spacing w:val="0"/>
          <w:shd w:val="clear" w:color="auto" w:fill="FFFFFF"/>
        </w:rPr>
        <w:t xml:space="preserve">stated that </w:t>
      </w:r>
    </w:p>
    <w:p w14:paraId="4FA2C649" w14:textId="77777777" w:rsidR="00645659" w:rsidRDefault="00645659" w:rsidP="00645659">
      <w:pPr>
        <w:widowControl/>
        <w:contextualSpacing/>
        <w:rPr>
          <w:rFonts w:eastAsia="Calibri"/>
          <w:spacing w:val="0"/>
          <w:shd w:val="clear" w:color="auto" w:fill="FFFFFF"/>
        </w:rPr>
      </w:pPr>
    </w:p>
    <w:p w14:paraId="718EFF52" w14:textId="26B138FC" w:rsidR="00F87870" w:rsidRPr="00FB51D0" w:rsidRDefault="00F87870" w:rsidP="006F2DCE">
      <w:pPr>
        <w:widowControl/>
        <w:ind w:firstLine="720"/>
        <w:contextualSpacing/>
        <w:rPr>
          <w:rFonts w:eastAsia="Calibri"/>
          <w:spacing w:val="0"/>
          <w:sz w:val="22"/>
          <w:szCs w:val="22"/>
          <w:shd w:val="clear" w:color="auto" w:fill="FFFFFF"/>
        </w:rPr>
      </w:pPr>
      <w:r w:rsidRPr="00FB51D0">
        <w:rPr>
          <w:rFonts w:eastAsia="Calibri"/>
          <w:spacing w:val="0"/>
          <w:sz w:val="22"/>
          <w:szCs w:val="22"/>
          <w:shd w:val="clear" w:color="auto" w:fill="FFFFFF"/>
        </w:rPr>
        <w:t>‘</w:t>
      </w:r>
      <w:r w:rsidR="00041F29" w:rsidRPr="00FB51D0">
        <w:rPr>
          <w:rFonts w:eastAsia="Calibri"/>
          <w:spacing w:val="0"/>
          <w:sz w:val="22"/>
          <w:szCs w:val="22"/>
          <w:shd w:val="clear" w:color="auto" w:fill="FFFFFF"/>
        </w:rPr>
        <w:t>…</w:t>
      </w:r>
      <w:r w:rsidRPr="00FB51D0">
        <w:rPr>
          <w:rFonts w:eastAsia="Calibri"/>
          <w:spacing w:val="0"/>
          <w:sz w:val="22"/>
          <w:szCs w:val="22"/>
          <w:shd w:val="clear" w:color="auto" w:fill="FFFFFF"/>
        </w:rPr>
        <w:t>the issue of people losing their homes following unpaid debts is a source of concern in this country</w:t>
      </w:r>
      <w:r w:rsidR="00645659" w:rsidRPr="00FB51D0">
        <w:rPr>
          <w:rFonts w:eastAsia="Calibri"/>
          <w:spacing w:val="0"/>
          <w:sz w:val="22"/>
          <w:szCs w:val="22"/>
          <w:shd w:val="clear" w:color="auto" w:fill="FFFFFF"/>
        </w:rPr>
        <w:t>,</w:t>
      </w:r>
      <w:r w:rsidRPr="00FB51D0">
        <w:rPr>
          <w:rFonts w:eastAsia="Calibri"/>
          <w:spacing w:val="0"/>
          <w:sz w:val="22"/>
          <w:szCs w:val="22"/>
          <w:shd w:val="clear" w:color="auto" w:fill="FFFFFF"/>
        </w:rPr>
        <w:t xml:space="preserve"> and therefore </w:t>
      </w:r>
      <w:r w:rsidR="00041F29" w:rsidRPr="00FB51D0">
        <w:rPr>
          <w:rFonts w:eastAsia="Calibri"/>
          <w:spacing w:val="0"/>
          <w:sz w:val="22"/>
          <w:szCs w:val="22"/>
          <w:shd w:val="clear" w:color="auto" w:fill="FFFFFF"/>
        </w:rPr>
        <w:t>[</w:t>
      </w:r>
      <w:r w:rsidRPr="00FB51D0">
        <w:rPr>
          <w:rFonts w:eastAsia="Calibri"/>
          <w:spacing w:val="0"/>
          <w:sz w:val="22"/>
          <w:szCs w:val="22"/>
          <w:shd w:val="clear" w:color="auto" w:fill="FFFFFF"/>
        </w:rPr>
        <w:t>rule</w:t>
      </w:r>
      <w:r w:rsidR="00041F29" w:rsidRPr="00FB51D0">
        <w:rPr>
          <w:rFonts w:eastAsia="Calibri"/>
          <w:spacing w:val="0"/>
          <w:sz w:val="22"/>
          <w:szCs w:val="22"/>
          <w:shd w:val="clear" w:color="auto" w:fill="FFFFFF"/>
        </w:rPr>
        <w:t xml:space="preserve"> 108] </w:t>
      </w:r>
      <w:r w:rsidRPr="00FB51D0">
        <w:rPr>
          <w:rFonts w:eastAsia="Calibri"/>
          <w:spacing w:val="0"/>
          <w:sz w:val="22"/>
          <w:szCs w:val="22"/>
          <w:shd w:val="clear" w:color="auto" w:fill="FFFFFF"/>
        </w:rPr>
        <w:t>was promulgated to balance two interests. The firs</w:t>
      </w:r>
      <w:r w:rsidR="00233FD2" w:rsidRPr="00FB51D0">
        <w:rPr>
          <w:rFonts w:eastAsia="Calibri"/>
          <w:spacing w:val="0"/>
          <w:sz w:val="22"/>
          <w:szCs w:val="22"/>
          <w:shd w:val="clear" w:color="auto" w:fill="FFFFFF"/>
        </w:rPr>
        <w:t xml:space="preserve">t was </w:t>
      </w:r>
      <w:r w:rsidRPr="00FB51D0">
        <w:rPr>
          <w:rFonts w:eastAsia="Calibri"/>
          <w:spacing w:val="0"/>
          <w:sz w:val="22"/>
          <w:szCs w:val="22"/>
          <w:shd w:val="clear" w:color="auto" w:fill="FFFFFF"/>
        </w:rPr>
        <w:t>to regulate the sale of homes in execution when the property in question was a home. The second</w:t>
      </w:r>
      <w:r w:rsidR="00FB51D0" w:rsidRPr="00FB51D0">
        <w:rPr>
          <w:rFonts w:eastAsia="Calibri"/>
          <w:spacing w:val="0"/>
          <w:sz w:val="22"/>
          <w:szCs w:val="22"/>
          <w:shd w:val="clear" w:color="auto" w:fill="FFFFFF"/>
        </w:rPr>
        <w:t>,</w:t>
      </w:r>
      <w:r w:rsidRPr="00FB51D0">
        <w:rPr>
          <w:rFonts w:eastAsia="Calibri"/>
          <w:spacing w:val="0"/>
          <w:sz w:val="22"/>
          <w:szCs w:val="22"/>
          <w:shd w:val="clear" w:color="auto" w:fill="FFFFFF"/>
        </w:rPr>
        <w:t xml:space="preserve"> </w:t>
      </w:r>
      <w:r w:rsidR="00233FD2" w:rsidRPr="00FB51D0">
        <w:rPr>
          <w:rFonts w:eastAsia="Calibri"/>
          <w:spacing w:val="0"/>
          <w:sz w:val="22"/>
          <w:szCs w:val="22"/>
          <w:shd w:val="clear" w:color="auto" w:fill="FFFFFF"/>
        </w:rPr>
        <w:t>was</w:t>
      </w:r>
      <w:r w:rsidR="00FB51D0" w:rsidRPr="00FB51D0">
        <w:rPr>
          <w:rFonts w:eastAsia="Calibri"/>
          <w:spacing w:val="0"/>
          <w:sz w:val="22"/>
          <w:szCs w:val="22"/>
          <w:shd w:val="clear" w:color="auto" w:fill="FFFFFF"/>
        </w:rPr>
        <w:t xml:space="preserve"> to</w:t>
      </w:r>
      <w:r w:rsidRPr="00FB51D0">
        <w:rPr>
          <w:rFonts w:eastAsia="Calibri"/>
          <w:spacing w:val="0"/>
          <w:sz w:val="22"/>
          <w:szCs w:val="22"/>
          <w:shd w:val="clear" w:color="auto" w:fill="FFFFFF"/>
        </w:rPr>
        <w:t xml:space="preserve"> ensure that the giving of credit by financial institutions remained effectual and was not rendered unserviceable.’</w:t>
      </w:r>
      <w:r w:rsidRPr="00FB51D0">
        <w:rPr>
          <w:rFonts w:eastAsia="Calibri"/>
          <w:spacing w:val="0"/>
          <w:sz w:val="22"/>
          <w:szCs w:val="22"/>
          <w:shd w:val="clear" w:color="auto" w:fill="FFFFFF"/>
          <w:vertAlign w:val="superscript"/>
        </w:rPr>
        <w:footnoteReference w:id="2"/>
      </w:r>
    </w:p>
    <w:p w14:paraId="15E5EFFE" w14:textId="77777777" w:rsidR="00F87870" w:rsidRPr="00F87870" w:rsidRDefault="00F87870" w:rsidP="00F87870">
      <w:pPr>
        <w:widowControl/>
        <w:contextualSpacing/>
        <w:rPr>
          <w:rFonts w:eastAsia="Calibri"/>
          <w:spacing w:val="0"/>
          <w:shd w:val="clear" w:color="auto" w:fill="FFFFFF"/>
        </w:rPr>
      </w:pPr>
    </w:p>
    <w:p w14:paraId="3D241361" w14:textId="52A53EAB" w:rsidR="002D55FB" w:rsidRDefault="00A44EF2" w:rsidP="00A44EF2">
      <w:pPr>
        <w:widowControl/>
        <w:contextualSpacing/>
        <w:rPr>
          <w:rFonts w:eastAsia="Calibri"/>
          <w:spacing w:val="0"/>
          <w:shd w:val="clear" w:color="auto" w:fill="FFFFFF"/>
        </w:rPr>
      </w:pPr>
      <w:r>
        <w:rPr>
          <w:rFonts w:eastAsia="Calibri"/>
          <w:spacing w:val="0"/>
        </w:rPr>
        <w:t>[3]</w:t>
      </w:r>
      <w:r>
        <w:rPr>
          <w:rFonts w:eastAsia="Calibri"/>
          <w:spacing w:val="0"/>
        </w:rPr>
        <w:tab/>
      </w:r>
      <w:r w:rsidR="002D55FB">
        <w:rPr>
          <w:rFonts w:eastAsia="Calibri"/>
          <w:iCs/>
          <w:spacing w:val="0"/>
          <w:shd w:val="clear" w:color="auto" w:fill="FFFFFF"/>
        </w:rPr>
        <w:t xml:space="preserve">The Supreme Court held in </w:t>
      </w:r>
      <w:r w:rsidR="002D55FB" w:rsidRPr="00F87870">
        <w:rPr>
          <w:rFonts w:eastAsia="Calibri"/>
          <w:i/>
          <w:spacing w:val="0"/>
          <w:shd w:val="clear" w:color="auto" w:fill="FFFFFF"/>
        </w:rPr>
        <w:t>Kisilipile and Another v First National Bank of Namibia Limited</w:t>
      </w:r>
      <w:r w:rsidR="002D55FB">
        <w:rPr>
          <w:rStyle w:val="FootnoteReference"/>
          <w:rFonts w:eastAsia="Calibri"/>
          <w:i/>
          <w:spacing w:val="0"/>
          <w:shd w:val="clear" w:color="auto" w:fill="FFFFFF"/>
        </w:rPr>
        <w:footnoteReference w:id="3"/>
      </w:r>
      <w:r w:rsidR="002D55FB" w:rsidRPr="002D55FB">
        <w:rPr>
          <w:rFonts w:eastAsia="Calibri"/>
          <w:spacing w:val="0"/>
          <w:shd w:val="clear" w:color="auto" w:fill="FFFFFF"/>
        </w:rPr>
        <w:t xml:space="preserve"> </w:t>
      </w:r>
      <w:r w:rsidR="002D55FB">
        <w:rPr>
          <w:rFonts w:eastAsia="Calibri"/>
          <w:spacing w:val="0"/>
          <w:shd w:val="clear" w:color="auto" w:fill="FFFFFF"/>
        </w:rPr>
        <w:t>that a court must exercise judicial oversight when determining an application to declare the primary home of a debtor in proceedings executable in terms of Rule 10</w:t>
      </w:r>
      <w:r w:rsidR="00645659">
        <w:rPr>
          <w:rFonts w:eastAsia="Calibri"/>
          <w:spacing w:val="0"/>
          <w:shd w:val="clear" w:color="auto" w:fill="FFFFFF"/>
        </w:rPr>
        <w:t>8</w:t>
      </w:r>
      <w:r w:rsidR="002D55FB">
        <w:rPr>
          <w:rFonts w:eastAsia="Calibri"/>
          <w:spacing w:val="0"/>
          <w:shd w:val="clear" w:color="auto" w:fill="FFFFFF"/>
        </w:rPr>
        <w:t xml:space="preserve">. The ambit </w:t>
      </w:r>
      <w:r w:rsidR="00645659">
        <w:rPr>
          <w:rFonts w:eastAsia="Calibri"/>
          <w:spacing w:val="0"/>
          <w:shd w:val="clear" w:color="auto" w:fill="FFFFFF"/>
        </w:rPr>
        <w:t xml:space="preserve">and rationale </w:t>
      </w:r>
      <w:r w:rsidR="002D55FB">
        <w:rPr>
          <w:rFonts w:eastAsia="Calibri"/>
          <w:spacing w:val="0"/>
          <w:shd w:val="clear" w:color="auto" w:fill="FFFFFF"/>
        </w:rPr>
        <w:t>of judicial overs</w:t>
      </w:r>
      <w:r w:rsidR="00FB51D0">
        <w:rPr>
          <w:rFonts w:eastAsia="Calibri"/>
          <w:spacing w:val="0"/>
          <w:shd w:val="clear" w:color="auto" w:fill="FFFFFF"/>
        </w:rPr>
        <w:t>ight was succinctly set out</w:t>
      </w:r>
      <w:r w:rsidR="002D55FB">
        <w:rPr>
          <w:rFonts w:eastAsia="Calibri"/>
          <w:spacing w:val="0"/>
          <w:shd w:val="clear" w:color="auto" w:fill="FFFFFF"/>
        </w:rPr>
        <w:t xml:space="preserve">: </w:t>
      </w:r>
    </w:p>
    <w:p w14:paraId="46093C53" w14:textId="77777777" w:rsidR="002D55FB" w:rsidRPr="00F87870" w:rsidRDefault="002D55FB" w:rsidP="002D55FB">
      <w:pPr>
        <w:widowControl/>
        <w:contextualSpacing/>
        <w:rPr>
          <w:rFonts w:eastAsia="Calibri"/>
          <w:spacing w:val="0"/>
          <w:shd w:val="clear" w:color="auto" w:fill="FFFFFF"/>
        </w:rPr>
      </w:pPr>
    </w:p>
    <w:p w14:paraId="61C4003B" w14:textId="15BE1002" w:rsidR="002D55FB" w:rsidRDefault="002D55FB" w:rsidP="006F2DCE">
      <w:pPr>
        <w:widowControl/>
        <w:ind w:firstLine="720"/>
        <w:contextualSpacing/>
        <w:rPr>
          <w:rFonts w:eastAsia="Calibri"/>
          <w:spacing w:val="0"/>
          <w:sz w:val="22"/>
          <w:shd w:val="clear" w:color="auto" w:fill="FFFFFF"/>
        </w:rPr>
      </w:pPr>
      <w:r w:rsidRPr="00F87870">
        <w:rPr>
          <w:rFonts w:eastAsia="Calibri"/>
          <w:spacing w:val="0"/>
          <w:sz w:val="22"/>
          <w:shd w:val="clear" w:color="auto" w:fill="FFFFFF"/>
        </w:rPr>
        <w:t>‘[18]</w:t>
      </w:r>
      <w:r w:rsidRPr="00F87870">
        <w:rPr>
          <w:rFonts w:eastAsia="Calibri"/>
          <w:spacing w:val="0"/>
          <w:sz w:val="22"/>
          <w:shd w:val="clear" w:color="auto" w:fill="FFFFFF"/>
        </w:rPr>
        <w:tab/>
        <w:t>In Namibia, judicial oversight takes the following form when it comes to declaring a primary home specially executable. If a property is a primary home, the court must be satisfied that there are no less drastic alternatives to a sale in execution. The judgment debtor bears the evidential burden. He or she should preferably lay the relevant information before court on affidavit especially if assisted by a legal practitioner, either in resisting default judgment or summary judgment. The failure to do so however does</w:t>
      </w:r>
      <w:r w:rsidR="00FB51D0">
        <w:rPr>
          <w:rFonts w:eastAsia="Calibri"/>
          <w:spacing w:val="0"/>
          <w:sz w:val="22"/>
          <w:shd w:val="clear" w:color="auto" w:fill="FFFFFF"/>
        </w:rPr>
        <w:t xml:space="preserve"> not</w:t>
      </w:r>
      <w:r w:rsidRPr="00F87870">
        <w:rPr>
          <w:rFonts w:eastAsia="Calibri"/>
          <w:spacing w:val="0"/>
          <w:sz w:val="22"/>
          <w:shd w:val="clear" w:color="auto" w:fill="FFFFFF"/>
        </w:rPr>
        <w:t xml:space="preserve"> relieve the court of its obligation to inquire into the availability of less drastic alternatives</w:t>
      </w:r>
      <w:r>
        <w:rPr>
          <w:rFonts w:eastAsia="Calibri"/>
          <w:spacing w:val="0"/>
          <w:sz w:val="22"/>
          <w:shd w:val="clear" w:color="auto" w:fill="FFFFFF"/>
        </w:rPr>
        <w:t>.</w:t>
      </w:r>
    </w:p>
    <w:p w14:paraId="79915D86" w14:textId="77777777" w:rsidR="002D55FB" w:rsidRDefault="002D55FB" w:rsidP="002D55FB">
      <w:pPr>
        <w:widowControl/>
        <w:contextualSpacing/>
        <w:rPr>
          <w:rFonts w:eastAsia="Calibri"/>
          <w:spacing w:val="0"/>
          <w:sz w:val="22"/>
          <w:shd w:val="clear" w:color="auto" w:fill="FFFFFF"/>
        </w:rPr>
      </w:pPr>
    </w:p>
    <w:p w14:paraId="60486AF3" w14:textId="5E05F6E9" w:rsidR="002D55FB" w:rsidRDefault="002D55FB" w:rsidP="002D55FB">
      <w:pPr>
        <w:widowControl/>
        <w:contextualSpacing/>
        <w:rPr>
          <w:rFonts w:eastAsia="Calibri"/>
          <w:spacing w:val="0"/>
          <w:sz w:val="22"/>
          <w:szCs w:val="22"/>
          <w:shd w:val="clear" w:color="auto" w:fill="FFFFFF"/>
        </w:rPr>
      </w:pPr>
      <w:r w:rsidRPr="002D55FB">
        <w:rPr>
          <w:rFonts w:eastAsia="Calibri"/>
          <w:spacing w:val="0"/>
          <w:sz w:val="22"/>
          <w:szCs w:val="22"/>
          <w:shd w:val="clear" w:color="auto" w:fill="FFFFFF"/>
        </w:rPr>
        <w:t xml:space="preserve">[19] The debtor must be invited to present alternatives that the court should consider to avoid a sale in execution but bearing in mind that the credit giver has a right to satisfaction of the bargain. The alternatives must be viable in that it must not amount to defeating the commercial interest of the creditor by in effect amounting to non-payment and stringing the creditor along until someday the debtor has the means to pay the debt. Should the circumstances justify, the court must stand the matter down </w:t>
      </w:r>
      <w:r w:rsidRPr="002D55FB">
        <w:rPr>
          <w:rFonts w:eastAsia="Calibri"/>
          <w:spacing w:val="0"/>
          <w:sz w:val="22"/>
          <w:szCs w:val="22"/>
          <w:shd w:val="clear" w:color="auto" w:fill="FFFFFF"/>
        </w:rPr>
        <w:lastRenderedPageBreak/>
        <w:t>or postpone to a date suitable to itself and the parties to conduct the inquiry. A failure to conduct the inquiry is a reversible misdirection</w:t>
      </w:r>
      <w:r>
        <w:rPr>
          <w:rFonts w:eastAsia="Calibri"/>
          <w:spacing w:val="0"/>
          <w:sz w:val="22"/>
          <w:szCs w:val="22"/>
          <w:shd w:val="clear" w:color="auto" w:fill="FFFFFF"/>
        </w:rPr>
        <w:t>…</w:t>
      </w:r>
    </w:p>
    <w:p w14:paraId="25DE2615" w14:textId="77777777" w:rsidR="002D55FB" w:rsidRPr="002D55FB" w:rsidRDefault="002D55FB" w:rsidP="002D55FB">
      <w:pPr>
        <w:widowControl/>
        <w:contextualSpacing/>
        <w:rPr>
          <w:rFonts w:eastAsia="Calibri"/>
          <w:spacing w:val="0"/>
          <w:sz w:val="22"/>
          <w:szCs w:val="22"/>
          <w:shd w:val="clear" w:color="auto" w:fill="FFFFFF"/>
        </w:rPr>
      </w:pPr>
    </w:p>
    <w:p w14:paraId="06526756" w14:textId="184FC630" w:rsidR="002D55FB" w:rsidRDefault="002D55FB" w:rsidP="00645659">
      <w:pPr>
        <w:widowControl/>
        <w:contextualSpacing/>
        <w:rPr>
          <w:rFonts w:eastAsia="Calibri"/>
          <w:spacing w:val="0"/>
          <w:shd w:val="clear" w:color="auto" w:fill="FFFFFF"/>
        </w:rPr>
      </w:pPr>
      <w:r w:rsidRPr="002D55FB">
        <w:rPr>
          <w:rFonts w:eastAsia="Calibri"/>
          <w:spacing w:val="0"/>
          <w:sz w:val="22"/>
          <w:szCs w:val="22"/>
          <w:shd w:val="clear" w:color="auto" w:fill="FFFFFF"/>
        </w:rPr>
        <w:t>[20] Judicial oversight exists to ensure that debtors are not made homeless unnecessarily and that the sale in execution of a primary home is a last resort. The court is</w:t>
      </w:r>
      <w:r w:rsidR="00FB51D0">
        <w:rPr>
          <w:rFonts w:eastAsia="Calibri"/>
          <w:spacing w:val="0"/>
          <w:sz w:val="22"/>
          <w:szCs w:val="22"/>
          <w:shd w:val="clear" w:color="auto" w:fill="FFFFFF"/>
        </w:rPr>
        <w:t xml:space="preserve"> required to take into account “all the relevant circumstances”</w:t>
      </w:r>
      <w:r w:rsidRPr="002D55FB">
        <w:rPr>
          <w:rFonts w:eastAsia="Calibri"/>
          <w:spacing w:val="0"/>
          <w:sz w:val="22"/>
          <w:szCs w:val="22"/>
          <w:shd w:val="clear" w:color="auto" w:fill="FFFFFF"/>
        </w:rPr>
        <w:t>. When exercising the discretion under rule 108 the court should bear in mind that a sale in execution of a primary home does not necessarily extinguish the debt. The reality is often the contrary. In other words, the debtor remains indebted to the credit giver for the balance of the debt, considering that under the current rule framework the property is to be sold to the highest bidder for not less than 75% of either the local authority council or regional council valuation or in the absence of that, at not less than 75% of a sworn valuation. There is no requirement that the highest bid be not less than the actual indebtedness of the judgment debtor to the credit giver.</w:t>
      </w:r>
      <w:r w:rsidR="00645659">
        <w:rPr>
          <w:rFonts w:eastAsia="Calibri"/>
          <w:spacing w:val="0"/>
          <w:sz w:val="22"/>
          <w:szCs w:val="22"/>
          <w:shd w:val="clear" w:color="auto" w:fill="FFFFFF"/>
        </w:rPr>
        <w:t>’</w:t>
      </w:r>
    </w:p>
    <w:p w14:paraId="2252FC70" w14:textId="77777777" w:rsidR="002D55FB" w:rsidRDefault="002D55FB" w:rsidP="002D55FB">
      <w:pPr>
        <w:pStyle w:val="ListParagraph"/>
        <w:rPr>
          <w:rFonts w:eastAsia="Calibri"/>
          <w:sz w:val="24"/>
          <w:shd w:val="clear" w:color="auto" w:fill="FFFFFF"/>
        </w:rPr>
      </w:pPr>
    </w:p>
    <w:p w14:paraId="49603BF5" w14:textId="27FA914F" w:rsidR="00645659" w:rsidRDefault="00A44EF2" w:rsidP="00A44EF2">
      <w:pPr>
        <w:widowControl/>
        <w:contextualSpacing/>
        <w:rPr>
          <w:rFonts w:eastAsia="Calibri"/>
          <w:spacing w:val="0"/>
          <w:shd w:val="clear" w:color="auto" w:fill="FFFFFF"/>
        </w:rPr>
      </w:pPr>
      <w:r>
        <w:rPr>
          <w:rFonts w:eastAsia="Calibri"/>
          <w:spacing w:val="0"/>
        </w:rPr>
        <w:t>[4]</w:t>
      </w:r>
      <w:r>
        <w:rPr>
          <w:rFonts w:eastAsia="Calibri"/>
          <w:spacing w:val="0"/>
        </w:rPr>
        <w:tab/>
      </w:r>
      <w:r w:rsidR="00645659">
        <w:rPr>
          <w:rFonts w:eastAsia="Calibri"/>
          <w:spacing w:val="0"/>
          <w:shd w:val="clear" w:color="auto" w:fill="FFFFFF"/>
        </w:rPr>
        <w:t xml:space="preserve">Bearing the above principles in mind, I now consider the application. </w:t>
      </w:r>
    </w:p>
    <w:p w14:paraId="037B20DA" w14:textId="77777777" w:rsidR="00645659" w:rsidRDefault="00645659" w:rsidP="00645659">
      <w:pPr>
        <w:widowControl/>
        <w:contextualSpacing/>
        <w:rPr>
          <w:rFonts w:eastAsia="Calibri"/>
          <w:spacing w:val="0"/>
          <w:shd w:val="clear" w:color="auto" w:fill="FFFFFF"/>
        </w:rPr>
      </w:pPr>
    </w:p>
    <w:p w14:paraId="145E3E91" w14:textId="20B702FE" w:rsidR="00F87870" w:rsidRPr="00F87870" w:rsidRDefault="00A44EF2" w:rsidP="00A44EF2">
      <w:pPr>
        <w:widowControl/>
        <w:contextualSpacing/>
        <w:rPr>
          <w:rFonts w:eastAsia="Calibri"/>
          <w:spacing w:val="0"/>
          <w:shd w:val="clear" w:color="auto" w:fill="FFFFFF"/>
        </w:rPr>
      </w:pPr>
      <w:r w:rsidRPr="00F87870">
        <w:rPr>
          <w:rFonts w:eastAsia="Calibri"/>
          <w:spacing w:val="0"/>
        </w:rPr>
        <w:t>[5]</w:t>
      </w:r>
      <w:r w:rsidRPr="00F87870">
        <w:rPr>
          <w:rFonts w:eastAsia="Calibri"/>
          <w:spacing w:val="0"/>
        </w:rPr>
        <w:tab/>
      </w:r>
      <w:r w:rsidR="00F87870" w:rsidRPr="00F87870">
        <w:rPr>
          <w:rFonts w:eastAsia="Calibri"/>
          <w:spacing w:val="0"/>
          <w:shd w:val="clear" w:color="auto" w:fill="FFFFFF"/>
        </w:rPr>
        <w:t xml:space="preserve">The </w:t>
      </w:r>
      <w:r w:rsidR="00645659">
        <w:rPr>
          <w:rFonts w:eastAsia="Calibri"/>
          <w:spacing w:val="0"/>
          <w:shd w:val="clear" w:color="auto" w:fill="FFFFFF"/>
        </w:rPr>
        <w:t xml:space="preserve">plaintiff and applicant in these proceedings is </w:t>
      </w:r>
      <w:r w:rsidR="00F87870" w:rsidRPr="00F87870">
        <w:rPr>
          <w:rFonts w:eastAsia="Calibri"/>
          <w:spacing w:val="0"/>
          <w:shd w:val="clear" w:color="auto" w:fill="FFFFFF"/>
        </w:rPr>
        <w:t xml:space="preserve">Standard </w:t>
      </w:r>
      <w:r w:rsidR="00645659">
        <w:rPr>
          <w:rFonts w:eastAsia="Calibri"/>
          <w:spacing w:val="0"/>
          <w:shd w:val="clear" w:color="auto" w:fill="FFFFFF"/>
        </w:rPr>
        <w:t xml:space="preserve">Bank </w:t>
      </w:r>
      <w:r w:rsidR="00F87870" w:rsidRPr="00F87870">
        <w:rPr>
          <w:rFonts w:eastAsia="Calibri"/>
          <w:spacing w:val="0"/>
          <w:shd w:val="clear" w:color="auto" w:fill="FFFFFF"/>
        </w:rPr>
        <w:t xml:space="preserve">of Namibia Limited, a commercial bank duly registered in terms of the relevant and company laws of the Republic of Namibia. The </w:t>
      </w:r>
      <w:r w:rsidR="00645659">
        <w:rPr>
          <w:rFonts w:eastAsia="Calibri"/>
          <w:spacing w:val="0"/>
          <w:shd w:val="clear" w:color="auto" w:fill="FFFFFF"/>
        </w:rPr>
        <w:t xml:space="preserve">defendant </w:t>
      </w:r>
      <w:r w:rsidR="00F87870" w:rsidRPr="00F87870">
        <w:rPr>
          <w:rFonts w:eastAsia="Calibri"/>
          <w:spacing w:val="0"/>
          <w:shd w:val="clear" w:color="auto" w:fill="FFFFFF"/>
        </w:rPr>
        <w:t>is</w:t>
      </w:r>
      <w:r w:rsidR="00645659">
        <w:rPr>
          <w:rFonts w:eastAsia="Calibri"/>
          <w:spacing w:val="0"/>
          <w:shd w:val="clear" w:color="auto" w:fill="FFFFFF"/>
        </w:rPr>
        <w:t xml:space="preserve"> </w:t>
      </w:r>
      <w:r w:rsidR="00F87870" w:rsidRPr="00F87870">
        <w:rPr>
          <w:rFonts w:eastAsia="Calibri"/>
          <w:spacing w:val="0"/>
          <w:shd w:val="clear" w:color="auto" w:fill="FFFFFF"/>
        </w:rPr>
        <w:t xml:space="preserve">Ricardo Matias Goagoseb, a major male person. I will refer to the </w:t>
      </w:r>
      <w:r w:rsidR="00645659">
        <w:rPr>
          <w:rFonts w:eastAsia="Calibri"/>
          <w:spacing w:val="0"/>
          <w:shd w:val="clear" w:color="auto" w:fill="FFFFFF"/>
        </w:rPr>
        <w:t xml:space="preserve">plaintiff as </w:t>
      </w:r>
      <w:r w:rsidR="00F87870" w:rsidRPr="00F87870">
        <w:rPr>
          <w:rFonts w:eastAsia="Calibri"/>
          <w:spacing w:val="0"/>
          <w:shd w:val="clear" w:color="auto" w:fill="FFFFFF"/>
        </w:rPr>
        <w:t xml:space="preserve">“Standard Bank” or “the Bank” </w:t>
      </w:r>
      <w:r w:rsidR="00645659">
        <w:rPr>
          <w:rFonts w:eastAsia="Calibri"/>
          <w:spacing w:val="0"/>
          <w:shd w:val="clear" w:color="auto" w:fill="FFFFFF"/>
        </w:rPr>
        <w:t>interchangeably, and to the defendant as</w:t>
      </w:r>
      <w:r w:rsidR="00F87870" w:rsidRPr="00F87870">
        <w:rPr>
          <w:rFonts w:eastAsia="Calibri"/>
          <w:spacing w:val="0"/>
          <w:shd w:val="clear" w:color="auto" w:fill="FFFFFF"/>
        </w:rPr>
        <w:t xml:space="preserve"> “Mr Goagoseb”.</w:t>
      </w:r>
    </w:p>
    <w:p w14:paraId="7E92F306" w14:textId="77777777" w:rsidR="00F87870" w:rsidRPr="00F87870" w:rsidRDefault="00F87870" w:rsidP="00F87870">
      <w:pPr>
        <w:widowControl/>
        <w:ind w:left="720"/>
        <w:contextualSpacing/>
        <w:rPr>
          <w:rFonts w:eastAsia="Calibri"/>
          <w:spacing w:val="0"/>
          <w:shd w:val="clear" w:color="auto" w:fill="FFFFFF"/>
        </w:rPr>
      </w:pPr>
    </w:p>
    <w:p w14:paraId="66822FC7" w14:textId="206368C5" w:rsidR="00F87870" w:rsidRPr="00F87870" w:rsidRDefault="00A44EF2" w:rsidP="00A44EF2">
      <w:pPr>
        <w:widowControl/>
        <w:contextualSpacing/>
        <w:rPr>
          <w:rFonts w:eastAsia="Calibri"/>
          <w:spacing w:val="0"/>
          <w:shd w:val="clear" w:color="auto" w:fill="FFFFFF"/>
        </w:rPr>
      </w:pPr>
      <w:r w:rsidRPr="00F87870">
        <w:rPr>
          <w:rFonts w:eastAsia="Calibri"/>
          <w:spacing w:val="0"/>
        </w:rPr>
        <w:t>[6]</w:t>
      </w:r>
      <w:r w:rsidRPr="00F87870">
        <w:rPr>
          <w:rFonts w:eastAsia="Calibri"/>
          <w:spacing w:val="0"/>
        </w:rPr>
        <w:tab/>
      </w:r>
      <w:r w:rsidR="00645659">
        <w:rPr>
          <w:rFonts w:eastAsia="Calibri"/>
          <w:spacing w:val="0"/>
          <w:shd w:val="clear" w:color="auto" w:fill="FFFFFF"/>
        </w:rPr>
        <w:t>Standard Bank is r</w:t>
      </w:r>
      <w:r w:rsidR="00F87870" w:rsidRPr="00F87870">
        <w:rPr>
          <w:rFonts w:eastAsia="Calibri"/>
          <w:spacing w:val="0"/>
          <w:shd w:val="clear" w:color="auto" w:fill="FFFFFF"/>
        </w:rPr>
        <w:t xml:space="preserve">epresented </w:t>
      </w:r>
      <w:r w:rsidR="00645659">
        <w:rPr>
          <w:rFonts w:eastAsia="Calibri"/>
          <w:spacing w:val="0"/>
          <w:shd w:val="clear" w:color="auto" w:fill="FFFFFF"/>
        </w:rPr>
        <w:t xml:space="preserve">in these proceedings </w:t>
      </w:r>
      <w:r w:rsidR="00F87870" w:rsidRPr="00F87870">
        <w:rPr>
          <w:rFonts w:eastAsia="Calibri"/>
          <w:spacing w:val="0"/>
          <w:shd w:val="clear" w:color="auto" w:fill="FFFFFF"/>
        </w:rPr>
        <w:t xml:space="preserve">by Ms Nyashanu </w:t>
      </w:r>
      <w:r w:rsidR="00645659">
        <w:rPr>
          <w:rFonts w:eastAsia="Calibri"/>
          <w:spacing w:val="0"/>
          <w:shd w:val="clear" w:color="auto" w:fill="FFFFFF"/>
        </w:rPr>
        <w:t xml:space="preserve">of Koep &amp; Partners, and Mr Goagoseb is represented by </w:t>
      </w:r>
      <w:r w:rsidR="00F87870" w:rsidRPr="00F87870">
        <w:rPr>
          <w:rFonts w:eastAsia="Calibri"/>
          <w:spacing w:val="0"/>
          <w:shd w:val="clear" w:color="auto" w:fill="FFFFFF"/>
        </w:rPr>
        <w:t>Ms Kamarenga</w:t>
      </w:r>
      <w:r w:rsidR="00645659">
        <w:rPr>
          <w:rFonts w:eastAsia="Calibri"/>
          <w:spacing w:val="0"/>
          <w:shd w:val="clear" w:color="auto" w:fill="FFFFFF"/>
        </w:rPr>
        <w:t xml:space="preserve"> of </w:t>
      </w:r>
      <w:r w:rsidR="00645659">
        <w:t>Muluti &amp; Partners</w:t>
      </w:r>
      <w:r w:rsidR="00F87870" w:rsidRPr="00F87870">
        <w:rPr>
          <w:rFonts w:eastAsia="Calibri"/>
          <w:spacing w:val="0"/>
          <w:shd w:val="clear" w:color="auto" w:fill="FFFFFF"/>
        </w:rPr>
        <w:t>.</w:t>
      </w:r>
    </w:p>
    <w:p w14:paraId="2B6FD636" w14:textId="77777777" w:rsidR="00F87870" w:rsidRPr="00F87870" w:rsidRDefault="00F87870" w:rsidP="00F87870">
      <w:pPr>
        <w:widowControl/>
        <w:contextualSpacing/>
        <w:rPr>
          <w:rFonts w:eastAsia="Calibri"/>
          <w:spacing w:val="0"/>
          <w:shd w:val="clear" w:color="auto" w:fill="FFFFFF"/>
        </w:rPr>
      </w:pPr>
    </w:p>
    <w:p w14:paraId="7C79A530" w14:textId="70581C09" w:rsidR="00F87870" w:rsidRPr="00F87870" w:rsidRDefault="00F87870" w:rsidP="00F87870">
      <w:pPr>
        <w:widowControl/>
        <w:contextualSpacing/>
        <w:rPr>
          <w:rFonts w:eastAsia="Calibri"/>
          <w:spacing w:val="0"/>
          <w:u w:val="single"/>
          <w:shd w:val="clear" w:color="auto" w:fill="FFFFFF"/>
        </w:rPr>
      </w:pPr>
      <w:r w:rsidRPr="00F87870">
        <w:rPr>
          <w:rFonts w:eastAsia="Calibri"/>
          <w:spacing w:val="0"/>
          <w:u w:val="single"/>
          <w:shd w:val="clear" w:color="auto" w:fill="FFFFFF"/>
        </w:rPr>
        <w:t xml:space="preserve">Relevant </w:t>
      </w:r>
      <w:r w:rsidR="002F3943">
        <w:rPr>
          <w:rFonts w:eastAsia="Calibri"/>
          <w:spacing w:val="0"/>
          <w:u w:val="single"/>
          <w:shd w:val="clear" w:color="auto" w:fill="FFFFFF"/>
        </w:rPr>
        <w:t xml:space="preserve">factual </w:t>
      </w:r>
      <w:r w:rsidRPr="00F87870">
        <w:rPr>
          <w:rFonts w:eastAsia="Calibri"/>
          <w:spacing w:val="0"/>
          <w:u w:val="single"/>
          <w:shd w:val="clear" w:color="auto" w:fill="FFFFFF"/>
        </w:rPr>
        <w:t>background</w:t>
      </w:r>
    </w:p>
    <w:p w14:paraId="61C31EE4" w14:textId="77777777" w:rsidR="00F87870" w:rsidRPr="00F87870" w:rsidRDefault="00F87870" w:rsidP="00F87870">
      <w:pPr>
        <w:widowControl/>
        <w:contextualSpacing/>
        <w:rPr>
          <w:rFonts w:eastAsia="Calibri"/>
          <w:spacing w:val="0"/>
          <w:shd w:val="clear" w:color="auto" w:fill="FFFFFF"/>
        </w:rPr>
      </w:pPr>
    </w:p>
    <w:p w14:paraId="158505CB" w14:textId="55A46FD7" w:rsidR="00F87870" w:rsidRPr="00F87870" w:rsidRDefault="00A44EF2" w:rsidP="00A44EF2">
      <w:pPr>
        <w:widowControl/>
        <w:contextualSpacing/>
        <w:rPr>
          <w:rFonts w:eastAsia="Calibri"/>
          <w:spacing w:val="0"/>
          <w:shd w:val="clear" w:color="auto" w:fill="FFFFFF"/>
        </w:rPr>
      </w:pPr>
      <w:r w:rsidRPr="00F87870">
        <w:rPr>
          <w:rFonts w:eastAsia="Calibri"/>
          <w:spacing w:val="0"/>
        </w:rPr>
        <w:t>[7]</w:t>
      </w:r>
      <w:r w:rsidRPr="00F87870">
        <w:rPr>
          <w:rFonts w:eastAsia="Calibri"/>
          <w:spacing w:val="0"/>
        </w:rPr>
        <w:tab/>
      </w:r>
      <w:r w:rsidR="00F87870" w:rsidRPr="00F87870">
        <w:rPr>
          <w:rFonts w:eastAsia="Calibri"/>
          <w:spacing w:val="0"/>
        </w:rPr>
        <w:t xml:space="preserve">On 30 June 2020, </w:t>
      </w:r>
      <w:bookmarkStart w:id="4" w:name="_Hlk130215628"/>
      <w:r w:rsidR="00F87870" w:rsidRPr="00F87870">
        <w:rPr>
          <w:rFonts w:eastAsia="Calibri"/>
          <w:spacing w:val="0"/>
        </w:rPr>
        <w:t xml:space="preserve">Standard Bank </w:t>
      </w:r>
      <w:r w:rsidR="002F3943">
        <w:rPr>
          <w:rFonts w:eastAsia="Calibri"/>
          <w:spacing w:val="0"/>
        </w:rPr>
        <w:t>sued the defendant</w:t>
      </w:r>
      <w:r w:rsidR="00F87870" w:rsidRPr="00F87870">
        <w:rPr>
          <w:rFonts w:eastAsia="Calibri"/>
          <w:spacing w:val="0"/>
        </w:rPr>
        <w:t xml:space="preserve"> claiming an amount of N$1</w:t>
      </w:r>
      <w:r w:rsidR="00FC161D">
        <w:rPr>
          <w:rFonts w:eastAsia="Calibri"/>
          <w:spacing w:val="0"/>
        </w:rPr>
        <w:t xml:space="preserve"> </w:t>
      </w:r>
      <w:r w:rsidR="00F87870" w:rsidRPr="00F87870">
        <w:rPr>
          <w:rFonts w:eastAsia="Calibri"/>
          <w:spacing w:val="0"/>
        </w:rPr>
        <w:t>563</w:t>
      </w:r>
      <w:r w:rsidR="00FC161D">
        <w:rPr>
          <w:rFonts w:eastAsia="Calibri"/>
          <w:spacing w:val="0"/>
        </w:rPr>
        <w:t xml:space="preserve"> </w:t>
      </w:r>
      <w:r w:rsidR="00F87870" w:rsidRPr="00F87870">
        <w:rPr>
          <w:rFonts w:eastAsia="Calibri"/>
          <w:spacing w:val="0"/>
        </w:rPr>
        <w:t>379</w:t>
      </w:r>
      <w:r w:rsidR="00FC161D">
        <w:rPr>
          <w:rFonts w:eastAsia="Calibri"/>
          <w:spacing w:val="0"/>
        </w:rPr>
        <w:t>,</w:t>
      </w:r>
      <w:r w:rsidR="00F87870" w:rsidRPr="00F87870">
        <w:rPr>
          <w:rFonts w:eastAsia="Calibri"/>
          <w:spacing w:val="0"/>
        </w:rPr>
        <w:t>39 plus compou</w:t>
      </w:r>
      <w:r w:rsidR="0050653E">
        <w:rPr>
          <w:rFonts w:eastAsia="Calibri"/>
          <w:spacing w:val="0"/>
        </w:rPr>
        <w:t>nd interest at the rate of 9.00 percent</w:t>
      </w:r>
      <w:r w:rsidR="00F87870" w:rsidRPr="00F87870">
        <w:rPr>
          <w:rFonts w:eastAsia="Calibri"/>
          <w:spacing w:val="0"/>
        </w:rPr>
        <w:t xml:space="preserve"> per annum from 15 May 2020 until date of final payment</w:t>
      </w:r>
      <w:r w:rsidR="002F3943">
        <w:rPr>
          <w:rFonts w:eastAsia="Calibri"/>
          <w:spacing w:val="0"/>
        </w:rPr>
        <w:t xml:space="preserve">, as well as </w:t>
      </w:r>
      <w:r w:rsidR="00F87870" w:rsidRPr="00F87870">
        <w:rPr>
          <w:rFonts w:eastAsia="Calibri"/>
          <w:spacing w:val="0"/>
        </w:rPr>
        <w:t>costs of suit on an attorney-and-client scale</w:t>
      </w:r>
      <w:r w:rsidR="002F3943">
        <w:rPr>
          <w:rFonts w:eastAsia="Calibri"/>
          <w:spacing w:val="0"/>
        </w:rPr>
        <w:t xml:space="preserve">. The basis of Standard Bank’s case was that </w:t>
      </w:r>
      <w:r w:rsidR="00F87870" w:rsidRPr="00F87870">
        <w:rPr>
          <w:rFonts w:eastAsia="Calibri"/>
          <w:spacing w:val="0"/>
        </w:rPr>
        <w:t>Mr Goagoseb</w:t>
      </w:r>
      <w:r w:rsidR="002F3943">
        <w:rPr>
          <w:rFonts w:eastAsia="Calibri"/>
          <w:spacing w:val="0"/>
        </w:rPr>
        <w:t xml:space="preserve"> had </w:t>
      </w:r>
      <w:r w:rsidR="00F87870" w:rsidRPr="00F87870">
        <w:rPr>
          <w:rFonts w:eastAsia="Calibri"/>
          <w:spacing w:val="0"/>
        </w:rPr>
        <w:t>breach</w:t>
      </w:r>
      <w:r w:rsidR="002F3943">
        <w:rPr>
          <w:rFonts w:eastAsia="Calibri"/>
          <w:spacing w:val="0"/>
        </w:rPr>
        <w:t>ed</w:t>
      </w:r>
      <w:r w:rsidR="00F87870" w:rsidRPr="00F87870">
        <w:rPr>
          <w:rFonts w:eastAsia="Calibri"/>
          <w:spacing w:val="0"/>
        </w:rPr>
        <w:t xml:space="preserve"> </w:t>
      </w:r>
      <w:r w:rsidR="002F3943">
        <w:rPr>
          <w:rFonts w:eastAsia="Calibri"/>
          <w:spacing w:val="0"/>
        </w:rPr>
        <w:t xml:space="preserve">the terms of a written mortgage bond </w:t>
      </w:r>
      <w:r w:rsidR="002F3943">
        <w:rPr>
          <w:rFonts w:eastAsia="Calibri"/>
          <w:spacing w:val="0"/>
        </w:rPr>
        <w:lastRenderedPageBreak/>
        <w:t>executed by Mr Goagoseb in its favour by failing to m</w:t>
      </w:r>
      <w:r w:rsidR="00F87870" w:rsidRPr="00F87870">
        <w:rPr>
          <w:rFonts w:eastAsia="Calibri"/>
          <w:spacing w:val="0"/>
        </w:rPr>
        <w:t>ake payment on the bond instalments.</w:t>
      </w:r>
    </w:p>
    <w:p w14:paraId="2B3C04FB" w14:textId="77777777" w:rsidR="00F87870" w:rsidRPr="00F87870" w:rsidRDefault="00F87870" w:rsidP="00F87870">
      <w:pPr>
        <w:widowControl/>
        <w:contextualSpacing/>
        <w:rPr>
          <w:rFonts w:eastAsia="Calibri"/>
          <w:spacing w:val="0"/>
          <w:shd w:val="clear" w:color="auto" w:fill="FFFFFF"/>
        </w:rPr>
      </w:pPr>
    </w:p>
    <w:p w14:paraId="3897C88E" w14:textId="3FC7235D" w:rsidR="00F87870" w:rsidRPr="00F87870" w:rsidRDefault="00A44EF2" w:rsidP="00A44EF2">
      <w:pPr>
        <w:widowControl/>
        <w:contextualSpacing/>
        <w:rPr>
          <w:rFonts w:eastAsia="Calibri"/>
          <w:spacing w:val="0"/>
          <w:shd w:val="clear" w:color="auto" w:fill="FFFFFF"/>
        </w:rPr>
      </w:pPr>
      <w:r w:rsidRPr="00F87870">
        <w:rPr>
          <w:rFonts w:eastAsia="Calibri"/>
          <w:spacing w:val="0"/>
        </w:rPr>
        <w:t>[8]</w:t>
      </w:r>
      <w:r w:rsidRPr="00F87870">
        <w:rPr>
          <w:rFonts w:eastAsia="Calibri"/>
          <w:spacing w:val="0"/>
        </w:rPr>
        <w:tab/>
      </w:r>
      <w:r w:rsidR="00F87870" w:rsidRPr="00F87870">
        <w:rPr>
          <w:rFonts w:eastAsia="Calibri"/>
          <w:spacing w:val="0"/>
          <w:shd w:val="clear" w:color="auto" w:fill="FFFFFF"/>
        </w:rPr>
        <w:t xml:space="preserve">On </w:t>
      </w:r>
      <w:r w:rsidR="00F87870" w:rsidRPr="00F87870">
        <w:rPr>
          <w:rFonts w:eastAsia="Calibri"/>
          <w:spacing w:val="0"/>
        </w:rPr>
        <w:t xml:space="preserve">24 September 2020, Standard Bank obtained </w:t>
      </w:r>
      <w:r w:rsidR="002F3943">
        <w:rPr>
          <w:rFonts w:eastAsia="Calibri"/>
          <w:spacing w:val="0"/>
        </w:rPr>
        <w:t xml:space="preserve">default </w:t>
      </w:r>
      <w:r w:rsidR="00F87870" w:rsidRPr="00F87870">
        <w:rPr>
          <w:rFonts w:eastAsia="Calibri"/>
          <w:spacing w:val="0"/>
        </w:rPr>
        <w:t xml:space="preserve">judgment </w:t>
      </w:r>
      <w:r w:rsidR="002F3943">
        <w:rPr>
          <w:rFonts w:eastAsia="Calibri"/>
          <w:spacing w:val="0"/>
        </w:rPr>
        <w:t xml:space="preserve">in this court </w:t>
      </w:r>
      <w:r w:rsidR="00F87870" w:rsidRPr="00F87870">
        <w:rPr>
          <w:rFonts w:eastAsia="Calibri"/>
          <w:spacing w:val="0"/>
        </w:rPr>
        <w:t>against Mr Goagoseb in the amount of N$1 563 379,39</w:t>
      </w:r>
      <w:r w:rsidR="002F3943">
        <w:rPr>
          <w:rFonts w:eastAsia="Calibri"/>
          <w:spacing w:val="0"/>
        </w:rPr>
        <w:t xml:space="preserve">. Thereafter Standard Bank duly </w:t>
      </w:r>
      <w:r w:rsidR="00F87870" w:rsidRPr="00F87870">
        <w:rPr>
          <w:rFonts w:eastAsia="Calibri"/>
          <w:spacing w:val="0"/>
        </w:rPr>
        <w:t>sought writs of execution against Mr Goagoseb’s movable property</w:t>
      </w:r>
      <w:r w:rsidR="002F3943">
        <w:rPr>
          <w:rFonts w:eastAsia="Calibri"/>
          <w:spacing w:val="0"/>
        </w:rPr>
        <w:t>.</w:t>
      </w:r>
      <w:r w:rsidR="00F87870" w:rsidRPr="00F87870">
        <w:rPr>
          <w:rFonts w:eastAsia="Calibri"/>
          <w:spacing w:val="0"/>
        </w:rPr>
        <w:t xml:space="preserve"> This was done on 2 December 2020.</w:t>
      </w:r>
    </w:p>
    <w:p w14:paraId="31F5D258" w14:textId="77777777" w:rsidR="00F87870" w:rsidRPr="00F87870" w:rsidRDefault="00F87870" w:rsidP="00F87870">
      <w:pPr>
        <w:widowControl/>
        <w:ind w:left="720"/>
        <w:contextualSpacing/>
        <w:rPr>
          <w:rFonts w:eastAsia="Calibri"/>
          <w:spacing w:val="0"/>
          <w:shd w:val="clear" w:color="auto" w:fill="FFFFFF"/>
        </w:rPr>
      </w:pPr>
    </w:p>
    <w:bookmarkEnd w:id="4"/>
    <w:p w14:paraId="3E933CE1" w14:textId="3CAFCFE4" w:rsidR="00F87870" w:rsidRPr="00F87870" w:rsidRDefault="00A44EF2" w:rsidP="00A44EF2">
      <w:pPr>
        <w:widowControl/>
        <w:contextualSpacing/>
        <w:rPr>
          <w:rFonts w:eastAsia="Calibri"/>
          <w:spacing w:val="0"/>
          <w:shd w:val="clear" w:color="auto" w:fill="FFFFFF"/>
        </w:rPr>
      </w:pPr>
      <w:r w:rsidRPr="00F87870">
        <w:rPr>
          <w:rFonts w:eastAsia="Calibri"/>
          <w:spacing w:val="0"/>
        </w:rPr>
        <w:t>[9]</w:t>
      </w:r>
      <w:r w:rsidRPr="00F87870">
        <w:rPr>
          <w:rFonts w:eastAsia="Calibri"/>
          <w:spacing w:val="0"/>
        </w:rPr>
        <w:tab/>
      </w:r>
      <w:r w:rsidR="00665516">
        <w:rPr>
          <w:rFonts w:eastAsia="Calibri"/>
          <w:spacing w:val="0"/>
          <w:shd w:val="clear" w:color="auto" w:fill="FFFFFF"/>
        </w:rPr>
        <w:t>O</w:t>
      </w:r>
      <w:r w:rsidR="00F87870" w:rsidRPr="00F87870">
        <w:rPr>
          <w:rFonts w:eastAsia="Calibri"/>
          <w:spacing w:val="0"/>
          <w:shd w:val="clear" w:color="auto" w:fill="FFFFFF"/>
        </w:rPr>
        <w:t xml:space="preserve">n 3 August 2021, Standard Bank applied for an order in terms of rule 12 to serve Mr Goagoseb with the intended rule 108 application via substituted service, which </w:t>
      </w:r>
      <w:r w:rsidR="00665516">
        <w:rPr>
          <w:rFonts w:eastAsia="Calibri"/>
          <w:spacing w:val="0"/>
          <w:shd w:val="clear" w:color="auto" w:fill="FFFFFF"/>
        </w:rPr>
        <w:t>was</w:t>
      </w:r>
      <w:r w:rsidR="00F87870" w:rsidRPr="00F87870">
        <w:rPr>
          <w:rFonts w:eastAsia="Calibri"/>
          <w:spacing w:val="0"/>
          <w:shd w:val="clear" w:color="auto" w:fill="FFFFFF"/>
        </w:rPr>
        <w:t xml:space="preserve"> granted on 12 August 2021. Standard Bank was granted leave to serve the rule 108 application on Mr Goagoseb through one publication in</w:t>
      </w:r>
      <w:r w:rsidR="00513374">
        <w:rPr>
          <w:rFonts w:eastAsia="Calibri"/>
          <w:spacing w:val="0"/>
          <w:shd w:val="clear" w:color="auto" w:fill="FFFFFF"/>
        </w:rPr>
        <w:t xml:space="preserve"> the</w:t>
      </w:r>
      <w:r w:rsidR="00F87870" w:rsidRPr="00F87870">
        <w:rPr>
          <w:rFonts w:eastAsia="Calibri"/>
          <w:spacing w:val="0"/>
          <w:shd w:val="clear" w:color="auto" w:fill="FFFFFF"/>
        </w:rPr>
        <w:t xml:space="preserve"> </w:t>
      </w:r>
      <w:r w:rsidR="001F4155">
        <w:rPr>
          <w:rFonts w:eastAsia="Calibri"/>
          <w:spacing w:val="0"/>
          <w:shd w:val="clear" w:color="auto" w:fill="FFFFFF"/>
        </w:rPr>
        <w:t>The</w:t>
      </w:r>
      <w:r w:rsidR="00F87870" w:rsidRPr="00F87870">
        <w:rPr>
          <w:rFonts w:eastAsia="Calibri"/>
          <w:spacing w:val="0"/>
          <w:shd w:val="clear" w:color="auto" w:fill="FFFFFF"/>
        </w:rPr>
        <w:t xml:space="preserve"> </w:t>
      </w:r>
      <w:r w:rsidR="0099218B" w:rsidRPr="00F87870">
        <w:rPr>
          <w:rFonts w:eastAsia="Calibri"/>
          <w:spacing w:val="0"/>
          <w:shd w:val="clear" w:color="auto" w:fill="FFFFFF"/>
        </w:rPr>
        <w:t>Republi</w:t>
      </w:r>
      <w:r w:rsidR="0099218B">
        <w:rPr>
          <w:rFonts w:eastAsia="Calibri"/>
          <w:spacing w:val="0"/>
          <w:shd w:val="clear" w:color="auto" w:fill="FFFFFF"/>
        </w:rPr>
        <w:t>kein</w:t>
      </w:r>
      <w:r w:rsidR="00F87870" w:rsidRPr="00F87870">
        <w:rPr>
          <w:rFonts w:eastAsia="Calibri"/>
          <w:spacing w:val="0"/>
          <w:shd w:val="clear" w:color="auto" w:fill="FFFFFF"/>
        </w:rPr>
        <w:t xml:space="preserve"> and </w:t>
      </w:r>
      <w:r w:rsidR="0050653E">
        <w:rPr>
          <w:rFonts w:eastAsia="Calibri"/>
          <w:spacing w:val="0"/>
          <w:shd w:val="clear" w:color="auto" w:fill="FFFFFF"/>
        </w:rPr>
        <w:t xml:space="preserve">The </w:t>
      </w:r>
      <w:r w:rsidR="00F87870" w:rsidRPr="00F87870">
        <w:rPr>
          <w:rFonts w:eastAsia="Calibri"/>
          <w:spacing w:val="0"/>
          <w:shd w:val="clear" w:color="auto" w:fill="FFFFFF"/>
        </w:rPr>
        <w:t>Namibian newspapers and via his email</w:t>
      </w:r>
      <w:r w:rsidR="00665516">
        <w:rPr>
          <w:rFonts w:eastAsia="Calibri"/>
          <w:spacing w:val="0"/>
          <w:shd w:val="clear" w:color="auto" w:fill="FFFFFF"/>
        </w:rPr>
        <w:t xml:space="preserve"> address</w:t>
      </w:r>
      <w:r w:rsidR="00F87870" w:rsidRPr="00F87870">
        <w:rPr>
          <w:rFonts w:eastAsia="Calibri"/>
          <w:spacing w:val="0"/>
          <w:shd w:val="clear" w:color="auto" w:fill="FFFFFF"/>
        </w:rPr>
        <w:t>.</w:t>
      </w:r>
    </w:p>
    <w:p w14:paraId="31936572" w14:textId="77777777" w:rsidR="00F87870" w:rsidRPr="00F87870" w:rsidRDefault="00F87870" w:rsidP="00F87870">
      <w:pPr>
        <w:widowControl/>
        <w:ind w:left="720"/>
        <w:contextualSpacing/>
        <w:rPr>
          <w:rFonts w:eastAsia="Calibri"/>
          <w:spacing w:val="0"/>
          <w:shd w:val="clear" w:color="auto" w:fill="FFFFFF"/>
        </w:rPr>
      </w:pPr>
    </w:p>
    <w:p w14:paraId="6900AB98" w14:textId="17413C37" w:rsidR="00F87870" w:rsidRPr="00665516" w:rsidRDefault="00A44EF2" w:rsidP="00A44EF2">
      <w:pPr>
        <w:widowControl/>
        <w:contextualSpacing/>
        <w:rPr>
          <w:rFonts w:eastAsia="Calibri"/>
          <w:spacing w:val="0"/>
          <w:shd w:val="clear" w:color="auto" w:fill="FFFFFF"/>
        </w:rPr>
      </w:pPr>
      <w:r w:rsidRPr="00665516">
        <w:rPr>
          <w:rFonts w:eastAsia="Calibri"/>
          <w:spacing w:val="0"/>
        </w:rPr>
        <w:t>[10]</w:t>
      </w:r>
      <w:r w:rsidRPr="00665516">
        <w:rPr>
          <w:rFonts w:eastAsia="Calibri"/>
          <w:spacing w:val="0"/>
        </w:rPr>
        <w:tab/>
      </w:r>
      <w:r w:rsidR="00665516" w:rsidRPr="00665516">
        <w:rPr>
          <w:rFonts w:eastAsia="Calibri"/>
          <w:spacing w:val="0"/>
          <w:shd w:val="clear" w:color="auto" w:fill="FFFFFF"/>
        </w:rPr>
        <w:t>S</w:t>
      </w:r>
      <w:r w:rsidR="00F87870" w:rsidRPr="00F87870">
        <w:rPr>
          <w:rFonts w:eastAsia="Calibri"/>
          <w:spacing w:val="0"/>
          <w:shd w:val="clear" w:color="auto" w:fill="FFFFFF"/>
        </w:rPr>
        <w:t>ubsequent thereto</w:t>
      </w:r>
      <w:r w:rsidR="00665516" w:rsidRPr="00665516">
        <w:rPr>
          <w:rFonts w:eastAsia="Calibri"/>
          <w:spacing w:val="0"/>
          <w:shd w:val="clear" w:color="auto" w:fill="FFFFFF"/>
        </w:rPr>
        <w:t xml:space="preserve">, </w:t>
      </w:r>
      <w:r w:rsidR="00F87870" w:rsidRPr="00F87870">
        <w:rPr>
          <w:rFonts w:eastAsia="Calibri"/>
          <w:spacing w:val="0"/>
          <w:shd w:val="clear" w:color="auto" w:fill="FFFFFF"/>
        </w:rPr>
        <w:t xml:space="preserve">Standard Bank applied for an order </w:t>
      </w:r>
      <w:r w:rsidR="00665516" w:rsidRPr="00665516">
        <w:rPr>
          <w:rFonts w:eastAsia="Calibri"/>
          <w:spacing w:val="0"/>
          <w:shd w:val="clear" w:color="auto" w:fill="FFFFFF"/>
        </w:rPr>
        <w:t xml:space="preserve">declaring Mr Goagoseb’s immovable property executable in terms of rule 108. The property is described as </w:t>
      </w:r>
      <w:r w:rsidR="00F87870" w:rsidRPr="00F87870">
        <w:rPr>
          <w:rFonts w:eastAsia="Calibri"/>
          <w:iCs/>
          <w:spacing w:val="0"/>
        </w:rPr>
        <w:t>Erf 1079, Section 13, Caroline Court, Dorado Park, Windhoek, Republic of Namibia</w:t>
      </w:r>
      <w:r w:rsidR="00665516">
        <w:rPr>
          <w:rFonts w:eastAsia="Calibri"/>
          <w:iCs/>
          <w:spacing w:val="0"/>
        </w:rPr>
        <w:t>.</w:t>
      </w:r>
    </w:p>
    <w:p w14:paraId="7B92B15E" w14:textId="77777777" w:rsidR="00665516" w:rsidRPr="00F87870" w:rsidRDefault="00665516" w:rsidP="00665516">
      <w:pPr>
        <w:widowControl/>
        <w:contextualSpacing/>
        <w:rPr>
          <w:rFonts w:eastAsia="Calibri"/>
          <w:spacing w:val="0"/>
          <w:shd w:val="clear" w:color="auto" w:fill="FFFFFF"/>
        </w:rPr>
      </w:pPr>
    </w:p>
    <w:p w14:paraId="59C3CE25" w14:textId="798C5261" w:rsidR="00F87870" w:rsidRPr="00F87870" w:rsidRDefault="00A44EF2" w:rsidP="00A44EF2">
      <w:pPr>
        <w:widowControl/>
        <w:contextualSpacing/>
        <w:rPr>
          <w:rFonts w:eastAsia="Calibri"/>
          <w:spacing w:val="0"/>
          <w:shd w:val="clear" w:color="auto" w:fill="FFFFFF"/>
        </w:rPr>
      </w:pPr>
      <w:r w:rsidRPr="00F87870">
        <w:rPr>
          <w:rFonts w:eastAsia="Calibri"/>
          <w:spacing w:val="0"/>
        </w:rPr>
        <w:t>[11]</w:t>
      </w:r>
      <w:r w:rsidRPr="00F87870">
        <w:rPr>
          <w:rFonts w:eastAsia="Calibri"/>
          <w:spacing w:val="0"/>
        </w:rPr>
        <w:tab/>
      </w:r>
      <w:r w:rsidR="00F87870" w:rsidRPr="00F87870">
        <w:rPr>
          <w:rFonts w:eastAsia="Calibri"/>
          <w:spacing w:val="0"/>
          <w:shd w:val="clear" w:color="auto" w:fill="FFFFFF"/>
        </w:rPr>
        <w:t>Mr Goagoseb, through his legal practitioners</w:t>
      </w:r>
      <w:r w:rsidR="0050653E">
        <w:rPr>
          <w:rFonts w:eastAsia="Calibri"/>
          <w:spacing w:val="0"/>
          <w:shd w:val="clear" w:color="auto" w:fill="FFFFFF"/>
        </w:rPr>
        <w:t>,</w:t>
      </w:r>
      <w:r w:rsidR="00F87870" w:rsidRPr="00F87870">
        <w:rPr>
          <w:rFonts w:eastAsia="Calibri"/>
          <w:spacing w:val="0"/>
          <w:shd w:val="clear" w:color="auto" w:fill="FFFFFF"/>
        </w:rPr>
        <w:t xml:space="preserve"> opposed the rule 108 application and affidavits were exchanged between the parties.</w:t>
      </w:r>
    </w:p>
    <w:p w14:paraId="47C838CF" w14:textId="77777777" w:rsidR="00F87870" w:rsidRPr="00F87870" w:rsidRDefault="00F87870" w:rsidP="00F87870">
      <w:pPr>
        <w:widowControl/>
        <w:contextualSpacing/>
        <w:rPr>
          <w:rFonts w:eastAsia="Calibri"/>
          <w:spacing w:val="0"/>
          <w:shd w:val="clear" w:color="auto" w:fill="FFFFFF"/>
        </w:rPr>
      </w:pPr>
    </w:p>
    <w:p w14:paraId="67382F18" w14:textId="624B3064" w:rsidR="00F87870" w:rsidRPr="00F87870" w:rsidRDefault="00A44EF2" w:rsidP="00A44EF2">
      <w:pPr>
        <w:widowControl/>
        <w:contextualSpacing/>
        <w:rPr>
          <w:rFonts w:eastAsia="Calibri"/>
          <w:spacing w:val="0"/>
          <w:shd w:val="clear" w:color="auto" w:fill="FFFFFF"/>
        </w:rPr>
      </w:pPr>
      <w:r w:rsidRPr="00F87870">
        <w:rPr>
          <w:rFonts w:eastAsia="Calibri"/>
          <w:spacing w:val="0"/>
        </w:rPr>
        <w:t>[12]</w:t>
      </w:r>
      <w:r w:rsidRPr="00F87870">
        <w:rPr>
          <w:rFonts w:eastAsia="Calibri"/>
          <w:spacing w:val="0"/>
        </w:rPr>
        <w:tab/>
      </w:r>
      <w:r w:rsidR="00F87870" w:rsidRPr="00F87870">
        <w:rPr>
          <w:rFonts w:eastAsia="Calibri"/>
          <w:spacing w:val="0"/>
          <w:shd w:val="clear" w:color="auto" w:fill="FFFFFF"/>
        </w:rPr>
        <w:t xml:space="preserve">From a perusal of the record, the parties </w:t>
      </w:r>
      <w:r w:rsidR="00665516">
        <w:rPr>
          <w:rFonts w:eastAsia="Calibri"/>
          <w:spacing w:val="0"/>
          <w:shd w:val="clear" w:color="auto" w:fill="FFFFFF"/>
        </w:rPr>
        <w:t xml:space="preserve">initially </w:t>
      </w:r>
      <w:r w:rsidR="00F87870" w:rsidRPr="00F87870">
        <w:rPr>
          <w:rFonts w:eastAsia="Calibri"/>
          <w:spacing w:val="0"/>
          <w:shd w:val="clear" w:color="auto" w:fill="FFFFFF"/>
        </w:rPr>
        <w:t xml:space="preserve">attended court-connected mediation in hopes of amicably settling the dispute between them. These settlement negotiations </w:t>
      </w:r>
      <w:r w:rsidR="00665516">
        <w:rPr>
          <w:rFonts w:eastAsia="Calibri"/>
          <w:spacing w:val="0"/>
          <w:shd w:val="clear" w:color="auto" w:fill="FFFFFF"/>
        </w:rPr>
        <w:t>failed</w:t>
      </w:r>
      <w:r w:rsidR="00F87870" w:rsidRPr="00F87870">
        <w:rPr>
          <w:rFonts w:eastAsia="Calibri"/>
          <w:spacing w:val="0"/>
          <w:shd w:val="clear" w:color="auto" w:fill="FFFFFF"/>
        </w:rPr>
        <w:t xml:space="preserve">. Thereafter, Mr Goagoseb </w:t>
      </w:r>
      <w:r w:rsidR="00665516">
        <w:rPr>
          <w:rFonts w:eastAsia="Calibri"/>
          <w:spacing w:val="0"/>
          <w:shd w:val="clear" w:color="auto" w:fill="FFFFFF"/>
        </w:rPr>
        <w:t xml:space="preserve">attempted to apply to </w:t>
      </w:r>
      <w:r w:rsidR="00F87870" w:rsidRPr="00F87870">
        <w:rPr>
          <w:rFonts w:eastAsia="Calibri"/>
          <w:spacing w:val="0"/>
          <w:shd w:val="clear" w:color="auto" w:fill="FFFFFF"/>
        </w:rPr>
        <w:t xml:space="preserve">the Supreme Court </w:t>
      </w:r>
      <w:r w:rsidR="00665516">
        <w:rPr>
          <w:rFonts w:eastAsia="Calibri"/>
          <w:spacing w:val="0"/>
          <w:shd w:val="clear" w:color="auto" w:fill="FFFFFF"/>
        </w:rPr>
        <w:t xml:space="preserve">to </w:t>
      </w:r>
      <w:r w:rsidR="00F87870" w:rsidRPr="00F87870">
        <w:rPr>
          <w:rFonts w:eastAsia="Calibri"/>
          <w:spacing w:val="0"/>
          <w:shd w:val="clear" w:color="auto" w:fill="FFFFFF"/>
        </w:rPr>
        <w:t xml:space="preserve">invoke its reviewing procedures under </w:t>
      </w:r>
      <w:r w:rsidR="00513374">
        <w:rPr>
          <w:rFonts w:eastAsia="Calibri"/>
          <w:spacing w:val="0"/>
          <w:shd w:val="clear" w:color="auto" w:fill="FFFFFF"/>
        </w:rPr>
        <w:t>s 16 of the Supreme Court Act</w:t>
      </w:r>
      <w:r w:rsidR="00F87870" w:rsidRPr="00F87870">
        <w:rPr>
          <w:rFonts w:eastAsia="Calibri"/>
          <w:spacing w:val="0"/>
          <w:shd w:val="clear" w:color="auto" w:fill="FFFFFF"/>
        </w:rPr>
        <w:t xml:space="preserve"> 15 of 1995. This </w:t>
      </w:r>
      <w:r w:rsidR="00665516">
        <w:rPr>
          <w:rFonts w:eastAsia="Calibri"/>
          <w:spacing w:val="0"/>
          <w:shd w:val="clear" w:color="auto" w:fill="FFFFFF"/>
        </w:rPr>
        <w:t>application</w:t>
      </w:r>
      <w:r w:rsidR="00F87870" w:rsidRPr="00F87870">
        <w:rPr>
          <w:rFonts w:eastAsia="Calibri"/>
          <w:spacing w:val="0"/>
          <w:shd w:val="clear" w:color="auto" w:fill="FFFFFF"/>
        </w:rPr>
        <w:t xml:space="preserve"> was aptly withdrawn by Mr Goagoseb on 22 November 2022 and the matter was set down for hearing of th</w:t>
      </w:r>
      <w:r w:rsidR="00665516">
        <w:rPr>
          <w:rFonts w:eastAsia="Calibri"/>
          <w:spacing w:val="0"/>
          <w:shd w:val="clear" w:color="auto" w:fill="FFFFFF"/>
        </w:rPr>
        <w:t>e</w:t>
      </w:r>
      <w:r w:rsidR="00F87870" w:rsidRPr="00F87870">
        <w:rPr>
          <w:rFonts w:eastAsia="Calibri"/>
          <w:spacing w:val="0"/>
          <w:shd w:val="clear" w:color="auto" w:fill="FFFFFF"/>
        </w:rPr>
        <w:t xml:space="preserve"> application</w:t>
      </w:r>
      <w:r w:rsidR="00665516">
        <w:rPr>
          <w:rFonts w:eastAsia="Calibri"/>
          <w:spacing w:val="0"/>
          <w:shd w:val="clear" w:color="auto" w:fill="FFFFFF"/>
        </w:rPr>
        <w:t xml:space="preserve"> in terms of rule 108.</w:t>
      </w:r>
    </w:p>
    <w:p w14:paraId="71739A03" w14:textId="77777777" w:rsidR="00F87870" w:rsidRDefault="00F87870" w:rsidP="00F87870">
      <w:pPr>
        <w:widowControl/>
        <w:contextualSpacing/>
        <w:rPr>
          <w:rFonts w:eastAsia="Calibri"/>
          <w:spacing w:val="0"/>
          <w:shd w:val="clear" w:color="auto" w:fill="FFFFFF"/>
        </w:rPr>
      </w:pPr>
    </w:p>
    <w:p w14:paraId="0366B4E6" w14:textId="77777777" w:rsidR="0050653E" w:rsidRDefault="0050653E" w:rsidP="00F87870">
      <w:pPr>
        <w:widowControl/>
        <w:contextualSpacing/>
        <w:rPr>
          <w:rFonts w:eastAsia="Calibri"/>
          <w:spacing w:val="0"/>
          <w:shd w:val="clear" w:color="auto" w:fill="FFFFFF"/>
        </w:rPr>
      </w:pPr>
    </w:p>
    <w:p w14:paraId="16369C38" w14:textId="77777777" w:rsidR="0050653E" w:rsidRDefault="0050653E" w:rsidP="00F87870">
      <w:pPr>
        <w:widowControl/>
        <w:contextualSpacing/>
        <w:rPr>
          <w:rFonts w:eastAsia="Calibri"/>
          <w:spacing w:val="0"/>
          <w:shd w:val="clear" w:color="auto" w:fill="FFFFFF"/>
        </w:rPr>
      </w:pPr>
    </w:p>
    <w:p w14:paraId="4813E0D1" w14:textId="77777777" w:rsidR="0050653E" w:rsidRPr="00F87870" w:rsidRDefault="0050653E" w:rsidP="00F87870">
      <w:pPr>
        <w:widowControl/>
        <w:contextualSpacing/>
        <w:rPr>
          <w:rFonts w:eastAsia="Calibri"/>
          <w:spacing w:val="0"/>
          <w:shd w:val="clear" w:color="auto" w:fill="FFFFFF"/>
        </w:rPr>
      </w:pPr>
    </w:p>
    <w:p w14:paraId="7AE84D50" w14:textId="3B29FBA8" w:rsidR="00F87870" w:rsidRPr="00F87870" w:rsidRDefault="00F87870" w:rsidP="00F87870">
      <w:pPr>
        <w:widowControl/>
        <w:contextualSpacing/>
        <w:rPr>
          <w:rFonts w:eastAsia="Calibri"/>
          <w:spacing w:val="0"/>
          <w:u w:val="single"/>
          <w:shd w:val="clear" w:color="auto" w:fill="FFFFFF"/>
        </w:rPr>
      </w:pPr>
      <w:r w:rsidRPr="00F87870">
        <w:rPr>
          <w:rFonts w:eastAsia="Calibri"/>
          <w:spacing w:val="0"/>
          <w:u w:val="single"/>
          <w:shd w:val="clear" w:color="auto" w:fill="FFFFFF"/>
        </w:rPr>
        <w:lastRenderedPageBreak/>
        <w:t>The parties</w:t>
      </w:r>
      <w:r w:rsidR="00665516">
        <w:rPr>
          <w:rFonts w:eastAsia="Calibri"/>
          <w:spacing w:val="0"/>
          <w:u w:val="single"/>
          <w:shd w:val="clear" w:color="auto" w:fill="FFFFFF"/>
        </w:rPr>
        <w:t xml:space="preserve"> evidence and contentions</w:t>
      </w:r>
    </w:p>
    <w:p w14:paraId="3CEAE961" w14:textId="77777777" w:rsidR="00F87870" w:rsidRPr="00F87870" w:rsidRDefault="00F87870" w:rsidP="00F87870">
      <w:pPr>
        <w:widowControl/>
        <w:contextualSpacing/>
        <w:rPr>
          <w:rFonts w:eastAsia="Calibri"/>
          <w:spacing w:val="0"/>
          <w:shd w:val="clear" w:color="auto" w:fill="FFFFFF"/>
        </w:rPr>
      </w:pPr>
    </w:p>
    <w:p w14:paraId="1B8FD6F2" w14:textId="24DD8BDC" w:rsidR="00F87870" w:rsidRDefault="00A44EF2" w:rsidP="00A44EF2">
      <w:pPr>
        <w:widowControl/>
        <w:contextualSpacing/>
        <w:rPr>
          <w:rFonts w:eastAsia="Calibri"/>
          <w:spacing w:val="0"/>
          <w:shd w:val="clear" w:color="auto" w:fill="FFFFFF"/>
        </w:rPr>
      </w:pPr>
      <w:r>
        <w:rPr>
          <w:rFonts w:eastAsia="Calibri"/>
          <w:spacing w:val="0"/>
        </w:rPr>
        <w:t>[13]</w:t>
      </w:r>
      <w:r>
        <w:rPr>
          <w:rFonts w:eastAsia="Calibri"/>
          <w:spacing w:val="0"/>
        </w:rPr>
        <w:tab/>
      </w:r>
      <w:r w:rsidR="00F87870" w:rsidRPr="00F87870">
        <w:rPr>
          <w:rFonts w:eastAsia="Calibri"/>
          <w:spacing w:val="0"/>
          <w:shd w:val="clear" w:color="auto" w:fill="FFFFFF"/>
        </w:rPr>
        <w:t xml:space="preserve">It is Standard Bank’s evidence that Mr Goagoseb is the registered owner of the property, Erf 1079, Section 13, Caroline Court, Dorado Park, Windhoek, Republic of Namibia, so sought to be declared specially executable, which is bonded to Standard Bank. It is further </w:t>
      </w:r>
      <w:r w:rsidR="00665516" w:rsidRPr="00AE41F5">
        <w:rPr>
          <w:rFonts w:eastAsia="Calibri"/>
          <w:spacing w:val="0"/>
          <w:shd w:val="clear" w:color="auto" w:fill="FFFFFF"/>
        </w:rPr>
        <w:t xml:space="preserve">stated </w:t>
      </w:r>
      <w:r w:rsidR="00F87870" w:rsidRPr="00F87870">
        <w:rPr>
          <w:rFonts w:eastAsia="Calibri"/>
          <w:spacing w:val="0"/>
          <w:shd w:val="clear" w:color="auto" w:fill="FFFFFF"/>
        </w:rPr>
        <w:t>by Standard Bank that the property is not Mr Goagoseb’s primary home</w:t>
      </w:r>
      <w:r w:rsidR="00665516" w:rsidRPr="00AE41F5">
        <w:rPr>
          <w:rFonts w:eastAsia="Calibri"/>
          <w:spacing w:val="0"/>
          <w:shd w:val="clear" w:color="auto" w:fill="FFFFFF"/>
        </w:rPr>
        <w:t>,</w:t>
      </w:r>
      <w:r w:rsidR="00F87870" w:rsidRPr="00F87870">
        <w:rPr>
          <w:rFonts w:eastAsia="Calibri"/>
          <w:spacing w:val="0"/>
          <w:shd w:val="clear" w:color="auto" w:fill="FFFFFF"/>
        </w:rPr>
        <w:t xml:space="preserve"> and that despite engagement and attempts to settle the matter</w:t>
      </w:r>
      <w:r w:rsidR="0050653E">
        <w:rPr>
          <w:rFonts w:eastAsia="Calibri"/>
          <w:spacing w:val="0"/>
          <w:shd w:val="clear" w:color="auto" w:fill="FFFFFF"/>
        </w:rPr>
        <w:t>,</w:t>
      </w:r>
      <w:r w:rsidR="00F87870" w:rsidRPr="00F87870">
        <w:rPr>
          <w:rFonts w:eastAsia="Calibri"/>
          <w:spacing w:val="0"/>
          <w:shd w:val="clear" w:color="auto" w:fill="FFFFFF"/>
        </w:rPr>
        <w:t xml:space="preserve"> Mr Goagoseb has been unable to service the bond and the arrears</w:t>
      </w:r>
      <w:r w:rsidR="00665516" w:rsidRPr="00AE41F5">
        <w:rPr>
          <w:rFonts w:eastAsia="Calibri"/>
          <w:spacing w:val="0"/>
          <w:shd w:val="clear" w:color="auto" w:fill="FFFFFF"/>
        </w:rPr>
        <w:t xml:space="preserve">. He has accordingly </w:t>
      </w:r>
      <w:r w:rsidR="00F87870" w:rsidRPr="00F87870">
        <w:rPr>
          <w:rFonts w:eastAsia="Calibri"/>
          <w:spacing w:val="0"/>
          <w:shd w:val="clear" w:color="auto" w:fill="FFFFFF"/>
        </w:rPr>
        <w:t>failed to comply with his undertakings to pay</w:t>
      </w:r>
      <w:r w:rsidR="00665516" w:rsidRPr="00AE41F5">
        <w:rPr>
          <w:rFonts w:eastAsia="Calibri"/>
          <w:spacing w:val="0"/>
          <w:shd w:val="clear" w:color="auto" w:fill="FFFFFF"/>
        </w:rPr>
        <w:t>, and t</w:t>
      </w:r>
      <w:r w:rsidR="00F87870" w:rsidRPr="00F87870">
        <w:rPr>
          <w:rFonts w:eastAsia="Calibri"/>
          <w:spacing w:val="0"/>
          <w:shd w:val="clear" w:color="auto" w:fill="FFFFFF"/>
        </w:rPr>
        <w:t xml:space="preserve">his is causing prejudice </w:t>
      </w:r>
      <w:r w:rsidR="00AE41F5" w:rsidRPr="00AE41F5">
        <w:rPr>
          <w:rFonts w:eastAsia="Calibri"/>
          <w:spacing w:val="0"/>
          <w:shd w:val="clear" w:color="auto" w:fill="FFFFFF"/>
        </w:rPr>
        <w:t>to</w:t>
      </w:r>
      <w:r w:rsidR="00F87870" w:rsidRPr="00F87870">
        <w:rPr>
          <w:rFonts w:eastAsia="Calibri"/>
          <w:spacing w:val="0"/>
          <w:shd w:val="clear" w:color="auto" w:fill="FFFFFF"/>
        </w:rPr>
        <w:t xml:space="preserve"> Standard Bank</w:t>
      </w:r>
      <w:r w:rsidR="00AE41F5" w:rsidRPr="00AE41F5">
        <w:rPr>
          <w:rFonts w:eastAsia="Calibri"/>
          <w:spacing w:val="0"/>
          <w:shd w:val="clear" w:color="auto" w:fill="FFFFFF"/>
        </w:rPr>
        <w:t>, especially in light of Mr Goagoseb</w:t>
      </w:r>
      <w:r w:rsidR="0050653E">
        <w:rPr>
          <w:rFonts w:eastAsia="Calibri"/>
          <w:spacing w:val="0"/>
          <w:shd w:val="clear" w:color="auto" w:fill="FFFFFF"/>
        </w:rPr>
        <w:t xml:space="preserve">’s contractual obligations to the </w:t>
      </w:r>
      <w:r w:rsidR="001F4155" w:rsidRPr="001F4155">
        <w:rPr>
          <w:rFonts w:eastAsia="Calibri"/>
          <w:spacing w:val="0"/>
          <w:shd w:val="clear" w:color="auto" w:fill="FFFFFF"/>
        </w:rPr>
        <w:t>B</w:t>
      </w:r>
      <w:r w:rsidR="0050653E">
        <w:rPr>
          <w:rFonts w:eastAsia="Calibri"/>
          <w:spacing w:val="0"/>
          <w:shd w:val="clear" w:color="auto" w:fill="FFFFFF"/>
        </w:rPr>
        <w:t>ank</w:t>
      </w:r>
      <w:r w:rsidR="00AE41F5" w:rsidRPr="00AE41F5">
        <w:rPr>
          <w:rFonts w:eastAsia="Calibri"/>
          <w:spacing w:val="0"/>
          <w:shd w:val="clear" w:color="auto" w:fill="FFFFFF"/>
        </w:rPr>
        <w:t xml:space="preserve">. </w:t>
      </w:r>
    </w:p>
    <w:p w14:paraId="45584061" w14:textId="77777777" w:rsidR="00B134A7" w:rsidRPr="00F87870" w:rsidRDefault="00B134A7" w:rsidP="00B134A7">
      <w:pPr>
        <w:widowControl/>
        <w:contextualSpacing/>
        <w:rPr>
          <w:rFonts w:eastAsia="Calibri"/>
          <w:spacing w:val="0"/>
          <w:shd w:val="clear" w:color="auto" w:fill="FFFFFF"/>
        </w:rPr>
      </w:pPr>
    </w:p>
    <w:p w14:paraId="6FD5533D" w14:textId="45E2B243" w:rsidR="00AE41F5" w:rsidRDefault="00A44EF2" w:rsidP="00A44EF2">
      <w:pPr>
        <w:widowControl/>
        <w:contextualSpacing/>
        <w:rPr>
          <w:rFonts w:eastAsia="Calibri"/>
          <w:spacing w:val="0"/>
          <w:shd w:val="clear" w:color="auto" w:fill="FFFFFF"/>
        </w:rPr>
      </w:pPr>
      <w:r>
        <w:rPr>
          <w:rFonts w:eastAsia="Calibri"/>
          <w:spacing w:val="0"/>
        </w:rPr>
        <w:t>[14]</w:t>
      </w:r>
      <w:r>
        <w:rPr>
          <w:rFonts w:eastAsia="Calibri"/>
          <w:spacing w:val="0"/>
        </w:rPr>
        <w:tab/>
      </w:r>
      <w:r w:rsidR="00F87870" w:rsidRPr="00F87870">
        <w:rPr>
          <w:rFonts w:eastAsia="Calibri"/>
          <w:spacing w:val="0"/>
          <w:shd w:val="clear" w:color="auto" w:fill="FFFFFF"/>
        </w:rPr>
        <w:t xml:space="preserve">Mr Goagoseb </w:t>
      </w:r>
      <w:r w:rsidR="00AE41F5">
        <w:rPr>
          <w:rFonts w:eastAsia="Calibri"/>
          <w:spacing w:val="0"/>
          <w:shd w:val="clear" w:color="auto" w:fill="FFFFFF"/>
        </w:rPr>
        <w:t>denied that the aforementioned property is not his primary home</w:t>
      </w:r>
      <w:r w:rsidR="0050653E">
        <w:rPr>
          <w:rFonts w:eastAsia="Calibri"/>
          <w:spacing w:val="0"/>
          <w:shd w:val="clear" w:color="auto" w:fill="FFFFFF"/>
        </w:rPr>
        <w:t>,</w:t>
      </w:r>
      <w:r w:rsidR="00AE41F5">
        <w:rPr>
          <w:rFonts w:eastAsia="Calibri"/>
          <w:spacing w:val="0"/>
          <w:shd w:val="clear" w:color="auto" w:fill="FFFFFF"/>
        </w:rPr>
        <w:t xml:space="preserve"> and alleged that same is indeed his primary home</w:t>
      </w:r>
      <w:r w:rsidR="0050653E">
        <w:rPr>
          <w:rFonts w:eastAsia="Calibri"/>
          <w:spacing w:val="0"/>
          <w:shd w:val="clear" w:color="auto" w:fill="FFFFFF"/>
        </w:rPr>
        <w:t>,</w:t>
      </w:r>
      <w:r w:rsidR="00AE41F5">
        <w:rPr>
          <w:rFonts w:eastAsia="Calibri"/>
          <w:spacing w:val="0"/>
          <w:shd w:val="clear" w:color="auto" w:fill="FFFFFF"/>
        </w:rPr>
        <w:t xml:space="preserve"> where he resides </w:t>
      </w:r>
      <w:r w:rsidR="00513374">
        <w:rPr>
          <w:rFonts w:eastAsia="Calibri"/>
          <w:spacing w:val="0"/>
          <w:shd w:val="clear" w:color="auto" w:fill="FFFFFF"/>
        </w:rPr>
        <w:t>with his</w:t>
      </w:r>
      <w:r w:rsidR="00FC161D">
        <w:rPr>
          <w:rFonts w:eastAsia="Calibri"/>
          <w:spacing w:val="0"/>
          <w:shd w:val="clear" w:color="auto" w:fill="FFFFFF"/>
        </w:rPr>
        <w:t xml:space="preserve"> two</w:t>
      </w:r>
      <w:r w:rsidR="00AE41F5">
        <w:rPr>
          <w:rFonts w:eastAsia="Calibri"/>
          <w:spacing w:val="0"/>
          <w:shd w:val="clear" w:color="auto" w:fill="FFFFFF"/>
        </w:rPr>
        <w:t xml:space="preserve"> minor children since its purchase. </w:t>
      </w:r>
    </w:p>
    <w:p w14:paraId="72A53EBD" w14:textId="77777777" w:rsidR="00AE41F5" w:rsidRDefault="00AE41F5" w:rsidP="00AE41F5">
      <w:pPr>
        <w:widowControl/>
        <w:contextualSpacing/>
        <w:rPr>
          <w:rFonts w:eastAsia="Calibri"/>
          <w:spacing w:val="0"/>
          <w:shd w:val="clear" w:color="auto" w:fill="FFFFFF"/>
        </w:rPr>
      </w:pPr>
    </w:p>
    <w:p w14:paraId="7835B1F1" w14:textId="0C30C42D" w:rsidR="00F87870" w:rsidRPr="00F87870" w:rsidRDefault="00A44EF2" w:rsidP="00A44EF2">
      <w:pPr>
        <w:widowControl/>
        <w:contextualSpacing/>
        <w:rPr>
          <w:rFonts w:eastAsia="Calibri"/>
          <w:spacing w:val="0"/>
          <w:shd w:val="clear" w:color="auto" w:fill="FFFFFF"/>
        </w:rPr>
      </w:pPr>
      <w:r w:rsidRPr="00F87870">
        <w:rPr>
          <w:rFonts w:eastAsia="Calibri"/>
          <w:spacing w:val="0"/>
        </w:rPr>
        <w:t>[15]</w:t>
      </w:r>
      <w:r w:rsidRPr="00F87870">
        <w:rPr>
          <w:rFonts w:eastAsia="Calibri"/>
          <w:spacing w:val="0"/>
        </w:rPr>
        <w:tab/>
      </w:r>
      <w:r w:rsidR="00F87870" w:rsidRPr="00F87870">
        <w:rPr>
          <w:rFonts w:eastAsia="Calibri"/>
          <w:spacing w:val="0"/>
          <w:shd w:val="clear" w:color="auto" w:fill="FFFFFF"/>
        </w:rPr>
        <w:t>Mr Goagoseb acknowledge</w:t>
      </w:r>
      <w:r w:rsidR="00AE41F5">
        <w:rPr>
          <w:rFonts w:eastAsia="Calibri"/>
          <w:spacing w:val="0"/>
          <w:shd w:val="clear" w:color="auto" w:fill="FFFFFF"/>
        </w:rPr>
        <w:t>d</w:t>
      </w:r>
      <w:r w:rsidR="00F87870" w:rsidRPr="00F87870">
        <w:rPr>
          <w:rFonts w:eastAsia="Calibri"/>
          <w:spacing w:val="0"/>
          <w:shd w:val="clear" w:color="auto" w:fill="FFFFFF"/>
        </w:rPr>
        <w:t xml:space="preserve"> his de</w:t>
      </w:r>
      <w:r w:rsidR="0050653E">
        <w:rPr>
          <w:rFonts w:eastAsia="Calibri"/>
          <w:spacing w:val="0"/>
          <w:shd w:val="clear" w:color="auto" w:fill="FFFFFF"/>
        </w:rPr>
        <w:t>fault, but disputes that it was</w:t>
      </w:r>
      <w:r w:rsidR="00513374">
        <w:rPr>
          <w:rFonts w:eastAsia="Calibri"/>
          <w:spacing w:val="0"/>
          <w:shd w:val="clear" w:color="auto" w:fill="FFFFFF"/>
        </w:rPr>
        <w:t xml:space="preserve"> </w:t>
      </w:r>
      <w:r w:rsidR="00F87870" w:rsidRPr="00F87870">
        <w:rPr>
          <w:rFonts w:eastAsia="Calibri"/>
          <w:spacing w:val="0"/>
          <w:shd w:val="clear" w:color="auto" w:fill="FFFFFF"/>
        </w:rPr>
        <w:t>wilful as he was dismissed from his employment and upon appealing t</w:t>
      </w:r>
      <w:r w:rsidR="0050653E">
        <w:rPr>
          <w:rFonts w:eastAsia="Calibri"/>
          <w:spacing w:val="0"/>
          <w:shd w:val="clear" w:color="auto" w:fill="FFFFFF"/>
        </w:rPr>
        <w:t>he said dismissal on unfairness,</w:t>
      </w:r>
      <w:r w:rsidR="00F87870" w:rsidRPr="00F87870">
        <w:rPr>
          <w:rFonts w:eastAsia="Calibri"/>
          <w:spacing w:val="0"/>
          <w:shd w:val="clear" w:color="auto" w:fill="FFFFFF"/>
        </w:rPr>
        <w:t xml:space="preserve"> such appeal was only successful on 28 November 2018.</w:t>
      </w:r>
    </w:p>
    <w:p w14:paraId="3EF854F3" w14:textId="77777777" w:rsidR="00F87870" w:rsidRPr="00F87870" w:rsidRDefault="00F87870" w:rsidP="00F87870">
      <w:pPr>
        <w:widowControl/>
        <w:ind w:left="720"/>
        <w:contextualSpacing/>
        <w:rPr>
          <w:rFonts w:eastAsia="Calibri"/>
          <w:spacing w:val="0"/>
          <w:shd w:val="clear" w:color="auto" w:fill="FFFFFF"/>
        </w:rPr>
      </w:pPr>
    </w:p>
    <w:p w14:paraId="57DFC56B" w14:textId="6F438420" w:rsidR="00F87870" w:rsidRPr="00F87870" w:rsidRDefault="00A44EF2" w:rsidP="00A44EF2">
      <w:pPr>
        <w:widowControl/>
        <w:contextualSpacing/>
        <w:rPr>
          <w:rFonts w:eastAsia="Calibri"/>
          <w:spacing w:val="0"/>
          <w:shd w:val="clear" w:color="auto" w:fill="FFFFFF"/>
        </w:rPr>
      </w:pPr>
      <w:r w:rsidRPr="00F87870">
        <w:rPr>
          <w:rFonts w:eastAsia="Calibri"/>
          <w:spacing w:val="0"/>
        </w:rPr>
        <w:t>[16]</w:t>
      </w:r>
      <w:r w:rsidRPr="00F87870">
        <w:rPr>
          <w:rFonts w:eastAsia="Calibri"/>
          <w:spacing w:val="0"/>
        </w:rPr>
        <w:tab/>
      </w:r>
      <w:r w:rsidR="00F87870" w:rsidRPr="00F87870">
        <w:rPr>
          <w:rFonts w:eastAsia="Calibri"/>
          <w:spacing w:val="0"/>
          <w:shd w:val="clear" w:color="auto" w:fill="FFFFFF"/>
        </w:rPr>
        <w:t xml:space="preserve">Despite such successful appeal, his erstwhile employers refused to reinstate him. He </w:t>
      </w:r>
      <w:r w:rsidR="00AE41F5">
        <w:rPr>
          <w:rFonts w:eastAsia="Calibri"/>
          <w:spacing w:val="0"/>
          <w:shd w:val="clear" w:color="auto" w:fill="FFFFFF"/>
        </w:rPr>
        <w:t xml:space="preserve">stated further </w:t>
      </w:r>
      <w:r w:rsidR="00F87870" w:rsidRPr="00F87870">
        <w:rPr>
          <w:rFonts w:eastAsia="Calibri"/>
          <w:spacing w:val="0"/>
          <w:shd w:val="clear" w:color="auto" w:fill="FFFFFF"/>
        </w:rPr>
        <w:t>that he obtained gainful employment with the Government of Namibia on 6 October 2022</w:t>
      </w:r>
      <w:r w:rsidR="0050653E">
        <w:rPr>
          <w:rFonts w:eastAsia="Calibri"/>
          <w:spacing w:val="0"/>
          <w:shd w:val="clear" w:color="auto" w:fill="FFFFFF"/>
        </w:rPr>
        <w:t>,</w:t>
      </w:r>
      <w:r w:rsidR="00F87870" w:rsidRPr="00F87870">
        <w:rPr>
          <w:rFonts w:eastAsia="Calibri"/>
          <w:spacing w:val="0"/>
          <w:shd w:val="clear" w:color="auto" w:fill="FFFFFF"/>
        </w:rPr>
        <w:t xml:space="preserve"> and subsequently approached Standard Bank with an offer of payment in the amount of </w:t>
      </w:r>
      <w:bookmarkStart w:id="5" w:name="_Hlk130215874"/>
      <w:r w:rsidR="00F87870" w:rsidRPr="00F87870">
        <w:rPr>
          <w:rFonts w:eastAsia="Calibri"/>
          <w:spacing w:val="0"/>
          <w:shd w:val="clear" w:color="auto" w:fill="FFFFFF"/>
        </w:rPr>
        <w:t xml:space="preserve">N$13 473,55 </w:t>
      </w:r>
      <w:bookmarkEnd w:id="5"/>
      <w:r w:rsidR="00F87870" w:rsidRPr="00F87870">
        <w:rPr>
          <w:rFonts w:eastAsia="Calibri"/>
          <w:spacing w:val="0"/>
          <w:shd w:val="clear" w:color="auto" w:fill="FFFFFF"/>
        </w:rPr>
        <w:t xml:space="preserve">per month on the monthly instalments, which Standard Bank </w:t>
      </w:r>
      <w:r w:rsidR="00AE41F5">
        <w:rPr>
          <w:rFonts w:eastAsia="Calibri"/>
          <w:spacing w:val="0"/>
          <w:shd w:val="clear" w:color="auto" w:fill="FFFFFF"/>
        </w:rPr>
        <w:t xml:space="preserve">initially </w:t>
      </w:r>
      <w:r w:rsidR="00F87870" w:rsidRPr="00F87870">
        <w:rPr>
          <w:rFonts w:eastAsia="Calibri"/>
          <w:spacing w:val="0"/>
          <w:shd w:val="clear" w:color="auto" w:fill="FFFFFF"/>
        </w:rPr>
        <w:t>accepted.</w:t>
      </w:r>
    </w:p>
    <w:p w14:paraId="3EA57D3A" w14:textId="77777777" w:rsidR="00F87870" w:rsidRPr="00F87870" w:rsidRDefault="00F87870" w:rsidP="00F87870">
      <w:pPr>
        <w:widowControl/>
        <w:ind w:left="720"/>
        <w:contextualSpacing/>
        <w:rPr>
          <w:rFonts w:eastAsia="Calibri"/>
          <w:spacing w:val="0"/>
          <w:shd w:val="clear" w:color="auto" w:fill="FFFFFF"/>
        </w:rPr>
      </w:pPr>
    </w:p>
    <w:p w14:paraId="6DC1EE5D" w14:textId="62B906B7" w:rsidR="00F87870" w:rsidRPr="00F87870" w:rsidRDefault="00A44EF2" w:rsidP="00A44EF2">
      <w:pPr>
        <w:widowControl/>
        <w:contextualSpacing/>
        <w:rPr>
          <w:rFonts w:eastAsia="Calibri"/>
          <w:spacing w:val="0"/>
          <w:shd w:val="clear" w:color="auto" w:fill="FFFFFF"/>
        </w:rPr>
      </w:pPr>
      <w:r w:rsidRPr="00F87870">
        <w:rPr>
          <w:rFonts w:eastAsia="Calibri"/>
          <w:spacing w:val="0"/>
        </w:rPr>
        <w:t>[17]</w:t>
      </w:r>
      <w:r w:rsidRPr="00F87870">
        <w:rPr>
          <w:rFonts w:eastAsia="Calibri"/>
          <w:spacing w:val="0"/>
        </w:rPr>
        <w:tab/>
      </w:r>
      <w:r w:rsidR="00F87870" w:rsidRPr="00F87870">
        <w:rPr>
          <w:rFonts w:eastAsia="Calibri"/>
          <w:spacing w:val="0"/>
          <w:shd w:val="clear" w:color="auto" w:fill="FFFFFF"/>
        </w:rPr>
        <w:t>He allege</w:t>
      </w:r>
      <w:r w:rsidR="00AE41F5">
        <w:rPr>
          <w:rFonts w:eastAsia="Calibri"/>
          <w:spacing w:val="0"/>
          <w:shd w:val="clear" w:color="auto" w:fill="FFFFFF"/>
        </w:rPr>
        <w:t xml:space="preserve">d </w:t>
      </w:r>
      <w:r w:rsidR="00F87870" w:rsidRPr="00F87870">
        <w:rPr>
          <w:rFonts w:eastAsia="Calibri"/>
          <w:spacing w:val="0"/>
          <w:shd w:val="clear" w:color="auto" w:fill="FFFFFF"/>
        </w:rPr>
        <w:t xml:space="preserve">that </w:t>
      </w:r>
      <w:r w:rsidR="00AE41F5">
        <w:rPr>
          <w:rFonts w:eastAsia="Calibri"/>
          <w:spacing w:val="0"/>
          <w:shd w:val="clear" w:color="auto" w:fill="FFFFFF"/>
        </w:rPr>
        <w:t xml:space="preserve">the above was </w:t>
      </w:r>
      <w:r w:rsidR="00F87870" w:rsidRPr="00F87870">
        <w:rPr>
          <w:rFonts w:eastAsia="Calibri"/>
          <w:spacing w:val="0"/>
          <w:shd w:val="clear" w:color="auto" w:fill="FFFFFF"/>
        </w:rPr>
        <w:t>honoured and attache</w:t>
      </w:r>
      <w:r w:rsidR="00AE41F5">
        <w:rPr>
          <w:rFonts w:eastAsia="Calibri"/>
          <w:spacing w:val="0"/>
          <w:shd w:val="clear" w:color="auto" w:fill="FFFFFF"/>
        </w:rPr>
        <w:t xml:space="preserve">d to his </w:t>
      </w:r>
      <w:r w:rsidR="00F87870" w:rsidRPr="00F87870">
        <w:rPr>
          <w:rFonts w:eastAsia="Calibri"/>
          <w:spacing w:val="0"/>
          <w:shd w:val="clear" w:color="auto" w:fill="FFFFFF"/>
        </w:rPr>
        <w:t xml:space="preserve"> opposing affidavit various proof of payments to that effect. To this end, Mr Goagoseb refute</w:t>
      </w:r>
      <w:r w:rsidR="006B43BC">
        <w:rPr>
          <w:rFonts w:eastAsia="Calibri"/>
          <w:spacing w:val="0"/>
          <w:shd w:val="clear" w:color="auto" w:fill="FFFFFF"/>
        </w:rPr>
        <w:t>d</w:t>
      </w:r>
      <w:r w:rsidR="00F87870" w:rsidRPr="00F87870">
        <w:rPr>
          <w:rFonts w:eastAsia="Calibri"/>
          <w:spacing w:val="0"/>
          <w:shd w:val="clear" w:color="auto" w:fill="FFFFFF"/>
        </w:rPr>
        <w:t xml:space="preserve"> Standard Bank’s averment that it is prejudiced and </w:t>
      </w:r>
      <w:r w:rsidR="006B43BC">
        <w:rPr>
          <w:rFonts w:eastAsia="Calibri"/>
          <w:spacing w:val="0"/>
          <w:shd w:val="clear" w:color="auto" w:fill="FFFFFF"/>
        </w:rPr>
        <w:t>a</w:t>
      </w:r>
      <w:r w:rsidR="00F87870" w:rsidRPr="00F87870">
        <w:rPr>
          <w:rFonts w:eastAsia="Calibri"/>
          <w:spacing w:val="0"/>
          <w:shd w:val="clear" w:color="auto" w:fill="FFFFFF"/>
        </w:rPr>
        <w:t>llege</w:t>
      </w:r>
      <w:r w:rsidR="006B43BC">
        <w:rPr>
          <w:rFonts w:eastAsia="Calibri"/>
          <w:spacing w:val="0"/>
          <w:shd w:val="clear" w:color="auto" w:fill="FFFFFF"/>
        </w:rPr>
        <w:t>d</w:t>
      </w:r>
      <w:r w:rsidR="00F87870" w:rsidRPr="00F87870">
        <w:rPr>
          <w:rFonts w:eastAsia="Calibri"/>
          <w:spacing w:val="0"/>
          <w:shd w:val="clear" w:color="auto" w:fill="FFFFFF"/>
        </w:rPr>
        <w:t xml:space="preserve"> that there are less drastic measures </w:t>
      </w:r>
      <w:r w:rsidR="006B43BC">
        <w:rPr>
          <w:rFonts w:eastAsia="Calibri"/>
          <w:spacing w:val="0"/>
          <w:shd w:val="clear" w:color="auto" w:fill="FFFFFF"/>
        </w:rPr>
        <w:t>that could</w:t>
      </w:r>
      <w:r w:rsidR="00513374">
        <w:rPr>
          <w:rFonts w:eastAsia="Calibri"/>
          <w:spacing w:val="0"/>
          <w:shd w:val="clear" w:color="auto" w:fill="FFFFFF"/>
        </w:rPr>
        <w:t xml:space="preserve"> be</w:t>
      </w:r>
      <w:r w:rsidR="006B43BC">
        <w:rPr>
          <w:rFonts w:eastAsia="Calibri"/>
          <w:spacing w:val="0"/>
          <w:shd w:val="clear" w:color="auto" w:fill="FFFFFF"/>
        </w:rPr>
        <w:t xml:space="preserve"> </w:t>
      </w:r>
      <w:r w:rsidR="00F87870" w:rsidRPr="00F87870">
        <w:rPr>
          <w:rFonts w:eastAsia="Calibri"/>
          <w:spacing w:val="0"/>
          <w:shd w:val="clear" w:color="auto" w:fill="FFFFFF"/>
        </w:rPr>
        <w:t>employed</w:t>
      </w:r>
      <w:r w:rsidR="006B43BC">
        <w:rPr>
          <w:rFonts w:eastAsia="Calibri"/>
          <w:spacing w:val="0"/>
          <w:shd w:val="clear" w:color="auto" w:fill="FFFFFF"/>
        </w:rPr>
        <w:t>, given his regular payments as promised</w:t>
      </w:r>
      <w:r w:rsidR="00F87870" w:rsidRPr="00F87870">
        <w:rPr>
          <w:rFonts w:eastAsia="Calibri"/>
          <w:spacing w:val="0"/>
          <w:shd w:val="clear" w:color="auto" w:fill="FFFFFF"/>
        </w:rPr>
        <w:t>.</w:t>
      </w:r>
    </w:p>
    <w:p w14:paraId="3168DE82" w14:textId="1F2CEFC1" w:rsidR="0099218B" w:rsidRDefault="0099218B" w:rsidP="0099218B">
      <w:pPr>
        <w:widowControl/>
        <w:contextualSpacing/>
        <w:rPr>
          <w:rFonts w:eastAsia="Calibri"/>
          <w:spacing w:val="0"/>
          <w:shd w:val="clear" w:color="auto" w:fill="FFFFFF"/>
        </w:rPr>
      </w:pPr>
    </w:p>
    <w:p w14:paraId="633FFF65" w14:textId="77777777" w:rsidR="0050653E" w:rsidRDefault="0050653E" w:rsidP="0099218B">
      <w:pPr>
        <w:widowControl/>
        <w:contextualSpacing/>
        <w:rPr>
          <w:rFonts w:eastAsia="Calibri"/>
          <w:spacing w:val="0"/>
          <w:shd w:val="clear" w:color="auto" w:fill="FFFFFF"/>
        </w:rPr>
      </w:pPr>
    </w:p>
    <w:p w14:paraId="383B3F49" w14:textId="77777777" w:rsidR="0099218B" w:rsidRPr="0099218B" w:rsidRDefault="0099218B" w:rsidP="0099218B">
      <w:pPr>
        <w:widowControl/>
        <w:contextualSpacing/>
        <w:rPr>
          <w:rFonts w:eastAsia="Calibri"/>
          <w:spacing w:val="0"/>
          <w:u w:val="single"/>
          <w:shd w:val="clear" w:color="auto" w:fill="FFFFFF"/>
        </w:rPr>
      </w:pPr>
      <w:r w:rsidRPr="0099218B">
        <w:rPr>
          <w:rFonts w:eastAsia="Calibri"/>
          <w:spacing w:val="0"/>
          <w:u w:val="single"/>
          <w:shd w:val="clear" w:color="auto" w:fill="FFFFFF"/>
        </w:rPr>
        <w:lastRenderedPageBreak/>
        <w:t>Parties’ submissions</w:t>
      </w:r>
    </w:p>
    <w:p w14:paraId="19F68061" w14:textId="5C86BE31" w:rsidR="0099218B" w:rsidRPr="00F87870" w:rsidRDefault="0099218B" w:rsidP="0099218B">
      <w:pPr>
        <w:widowControl/>
        <w:contextualSpacing/>
        <w:rPr>
          <w:rFonts w:eastAsia="Calibri"/>
          <w:spacing w:val="0"/>
          <w:shd w:val="clear" w:color="auto" w:fill="FFFFFF"/>
        </w:rPr>
      </w:pPr>
      <w:r>
        <w:rPr>
          <w:rFonts w:eastAsia="Calibri"/>
          <w:spacing w:val="0"/>
          <w:shd w:val="clear" w:color="auto" w:fill="FFFFFF"/>
        </w:rPr>
        <w:t xml:space="preserve"> </w:t>
      </w:r>
    </w:p>
    <w:p w14:paraId="5BAC77E8" w14:textId="3FD17D19" w:rsidR="00F87870" w:rsidRPr="00F87870" w:rsidRDefault="00A44EF2" w:rsidP="00A44EF2">
      <w:pPr>
        <w:widowControl/>
        <w:contextualSpacing/>
        <w:rPr>
          <w:rFonts w:eastAsia="Calibri"/>
          <w:spacing w:val="0"/>
          <w:shd w:val="clear" w:color="auto" w:fill="FFFFFF"/>
        </w:rPr>
      </w:pPr>
      <w:r w:rsidRPr="00F87870">
        <w:rPr>
          <w:rFonts w:eastAsia="Calibri"/>
          <w:spacing w:val="0"/>
        </w:rPr>
        <w:t>[18]</w:t>
      </w:r>
      <w:r w:rsidRPr="00F87870">
        <w:rPr>
          <w:rFonts w:eastAsia="Calibri"/>
          <w:spacing w:val="0"/>
        </w:rPr>
        <w:tab/>
      </w:r>
      <w:r w:rsidR="00F87870" w:rsidRPr="00F87870">
        <w:rPr>
          <w:rFonts w:eastAsia="Calibri"/>
          <w:spacing w:val="0"/>
          <w:shd w:val="clear" w:color="auto" w:fill="FFFFFF"/>
        </w:rPr>
        <w:t>At the hearing, Ms Nyashanu</w:t>
      </w:r>
      <w:r w:rsidR="006B43BC">
        <w:rPr>
          <w:rFonts w:eastAsia="Calibri"/>
          <w:spacing w:val="0"/>
          <w:shd w:val="clear" w:color="auto" w:fill="FFFFFF"/>
        </w:rPr>
        <w:t xml:space="preserve"> on behalf </w:t>
      </w:r>
      <w:r w:rsidR="00F87870" w:rsidRPr="00F87870">
        <w:rPr>
          <w:rFonts w:eastAsia="Calibri"/>
          <w:spacing w:val="0"/>
          <w:shd w:val="clear" w:color="auto" w:fill="FFFFFF"/>
        </w:rPr>
        <w:t>of Standard Bank conceded that Mr Goagoseb has consistently been making payment</w:t>
      </w:r>
      <w:r w:rsidR="006B43BC">
        <w:rPr>
          <w:rFonts w:eastAsia="Calibri"/>
          <w:spacing w:val="0"/>
          <w:shd w:val="clear" w:color="auto" w:fill="FFFFFF"/>
        </w:rPr>
        <w:t>s</w:t>
      </w:r>
      <w:r w:rsidR="00F87870" w:rsidRPr="00F87870">
        <w:rPr>
          <w:rFonts w:eastAsia="Calibri"/>
          <w:spacing w:val="0"/>
          <w:shd w:val="clear" w:color="auto" w:fill="FFFFFF"/>
        </w:rPr>
        <w:t xml:space="preserve"> in the amount of N$13 473,55 per month on the monthly instalment</w:t>
      </w:r>
      <w:r w:rsidR="00FC161D">
        <w:rPr>
          <w:rFonts w:eastAsia="Calibri"/>
          <w:spacing w:val="0"/>
          <w:shd w:val="clear" w:color="auto" w:fill="FFFFFF"/>
        </w:rPr>
        <w:t>s</w:t>
      </w:r>
      <w:r w:rsidR="00F87870" w:rsidRPr="00F87870">
        <w:rPr>
          <w:rFonts w:eastAsia="Calibri"/>
          <w:spacing w:val="0"/>
          <w:shd w:val="clear" w:color="auto" w:fill="FFFFFF"/>
        </w:rPr>
        <w:t>, as undertaken by him. Ms Nyashanu, however, argue</w:t>
      </w:r>
      <w:r w:rsidR="006B43BC">
        <w:rPr>
          <w:rFonts w:eastAsia="Calibri"/>
          <w:spacing w:val="0"/>
          <w:shd w:val="clear" w:color="auto" w:fill="FFFFFF"/>
        </w:rPr>
        <w:t>d</w:t>
      </w:r>
      <w:r w:rsidR="00F87870" w:rsidRPr="00F87870">
        <w:rPr>
          <w:rFonts w:eastAsia="Calibri"/>
          <w:spacing w:val="0"/>
          <w:shd w:val="clear" w:color="auto" w:fill="FFFFFF"/>
        </w:rPr>
        <w:t xml:space="preserve"> that such payment is not enough to settle his </w:t>
      </w:r>
      <w:bookmarkStart w:id="6" w:name="_Hlk130213000"/>
      <w:r w:rsidR="00F87870" w:rsidRPr="00F87870">
        <w:rPr>
          <w:rFonts w:eastAsia="Calibri"/>
          <w:spacing w:val="0"/>
          <w:shd w:val="clear" w:color="auto" w:fill="FFFFFF"/>
        </w:rPr>
        <w:t xml:space="preserve">arrears which she estimated being at an amount of N$450 000 </w:t>
      </w:r>
      <w:r w:rsidR="0050653E">
        <w:rPr>
          <w:rFonts w:eastAsia="Calibri"/>
          <w:spacing w:val="0"/>
          <w:shd w:val="clear" w:color="auto" w:fill="FFFFFF"/>
        </w:rPr>
        <w:t xml:space="preserve">as </w:t>
      </w:r>
      <w:r w:rsidR="001F4155">
        <w:rPr>
          <w:rFonts w:eastAsia="Calibri"/>
          <w:spacing w:val="0"/>
          <w:shd w:val="clear" w:color="auto" w:fill="FFFFFF"/>
        </w:rPr>
        <w:t>at</w:t>
      </w:r>
      <w:r w:rsidR="006B43BC">
        <w:rPr>
          <w:rFonts w:eastAsia="Calibri"/>
          <w:spacing w:val="0"/>
          <w:shd w:val="clear" w:color="auto" w:fill="FFFFFF"/>
        </w:rPr>
        <w:t xml:space="preserve"> 3 February 2023 </w:t>
      </w:r>
      <w:r w:rsidR="00F87870" w:rsidRPr="00F87870">
        <w:rPr>
          <w:rFonts w:eastAsia="Calibri"/>
          <w:spacing w:val="0"/>
          <w:shd w:val="clear" w:color="auto" w:fill="FFFFFF"/>
        </w:rPr>
        <w:t>(at the time of filing the replying affidavit on 3 June 2022, the arrears stood at an amount of N$299 74,89).</w:t>
      </w:r>
    </w:p>
    <w:bookmarkEnd w:id="6"/>
    <w:p w14:paraId="0280D826" w14:textId="77777777" w:rsidR="00F87870" w:rsidRPr="00F87870" w:rsidRDefault="00F87870" w:rsidP="00F87870">
      <w:pPr>
        <w:widowControl/>
        <w:ind w:left="720"/>
        <w:contextualSpacing/>
        <w:rPr>
          <w:rFonts w:eastAsia="Calibri"/>
          <w:spacing w:val="0"/>
          <w:shd w:val="clear" w:color="auto" w:fill="FFFFFF"/>
        </w:rPr>
      </w:pPr>
    </w:p>
    <w:p w14:paraId="27490E93" w14:textId="745018BA" w:rsidR="006B43BC" w:rsidRDefault="00A44EF2" w:rsidP="00A44EF2">
      <w:pPr>
        <w:widowControl/>
        <w:contextualSpacing/>
        <w:rPr>
          <w:rFonts w:eastAsia="Calibri"/>
          <w:spacing w:val="0"/>
          <w:shd w:val="clear" w:color="auto" w:fill="FFFFFF"/>
        </w:rPr>
      </w:pPr>
      <w:r>
        <w:rPr>
          <w:rFonts w:eastAsia="Calibri"/>
          <w:spacing w:val="0"/>
        </w:rPr>
        <w:t>[19]</w:t>
      </w:r>
      <w:r>
        <w:rPr>
          <w:rFonts w:eastAsia="Calibri"/>
          <w:spacing w:val="0"/>
        </w:rPr>
        <w:tab/>
      </w:r>
      <w:r w:rsidR="00F87870" w:rsidRPr="00F87870">
        <w:rPr>
          <w:rFonts w:eastAsia="Calibri"/>
          <w:spacing w:val="0"/>
          <w:shd w:val="clear" w:color="auto" w:fill="FFFFFF"/>
        </w:rPr>
        <w:t xml:space="preserve">Ms Nyashanu argued that Mr Goagoseb undertook to settle the arrears </w:t>
      </w:r>
      <w:r w:rsidR="006B43BC">
        <w:rPr>
          <w:rFonts w:eastAsia="Calibri"/>
          <w:spacing w:val="0"/>
          <w:shd w:val="clear" w:color="auto" w:fill="FFFFFF"/>
        </w:rPr>
        <w:t xml:space="preserve">within 12 months, and </w:t>
      </w:r>
      <w:r w:rsidR="00F87870" w:rsidRPr="00F87870">
        <w:rPr>
          <w:rFonts w:eastAsia="Calibri"/>
          <w:spacing w:val="0"/>
          <w:shd w:val="clear" w:color="auto" w:fill="FFFFFF"/>
        </w:rPr>
        <w:t xml:space="preserve">by February 2021, </w:t>
      </w:r>
      <w:r w:rsidR="006B43BC">
        <w:rPr>
          <w:rFonts w:eastAsia="Calibri"/>
          <w:spacing w:val="0"/>
          <w:shd w:val="clear" w:color="auto" w:fill="FFFFFF"/>
        </w:rPr>
        <w:t xml:space="preserve"> he failed to do </w:t>
      </w:r>
      <w:r w:rsidR="006E6E0C">
        <w:rPr>
          <w:rFonts w:eastAsia="Calibri"/>
          <w:spacing w:val="0"/>
          <w:shd w:val="clear" w:color="auto" w:fill="FFFFFF"/>
        </w:rPr>
        <w:t xml:space="preserve">so, </w:t>
      </w:r>
      <w:r w:rsidR="006B43BC">
        <w:rPr>
          <w:rFonts w:eastAsia="Calibri"/>
          <w:spacing w:val="0"/>
          <w:shd w:val="clear" w:color="auto" w:fill="FFFFFF"/>
        </w:rPr>
        <w:t xml:space="preserve">resulting in an escalation of arrears and loss of </w:t>
      </w:r>
      <w:r w:rsidR="00F87870" w:rsidRPr="00F87870">
        <w:rPr>
          <w:rFonts w:eastAsia="Calibri"/>
          <w:spacing w:val="0"/>
          <w:shd w:val="clear" w:color="auto" w:fill="FFFFFF"/>
        </w:rPr>
        <w:t>value</w:t>
      </w:r>
      <w:r w:rsidR="006B43BC">
        <w:rPr>
          <w:rFonts w:eastAsia="Calibri"/>
          <w:spacing w:val="0"/>
          <w:shd w:val="clear" w:color="auto" w:fill="FFFFFF"/>
        </w:rPr>
        <w:t xml:space="preserve"> </w:t>
      </w:r>
      <w:r w:rsidR="006E6E0C">
        <w:rPr>
          <w:rFonts w:eastAsia="Calibri"/>
          <w:spacing w:val="0"/>
          <w:shd w:val="clear" w:color="auto" w:fill="FFFFFF"/>
        </w:rPr>
        <w:t xml:space="preserve">to </w:t>
      </w:r>
      <w:r w:rsidR="006B43BC">
        <w:rPr>
          <w:rFonts w:eastAsia="Calibri"/>
          <w:spacing w:val="0"/>
          <w:shd w:val="clear" w:color="auto" w:fill="FFFFFF"/>
        </w:rPr>
        <w:t>the property</w:t>
      </w:r>
      <w:r w:rsidR="00F87870" w:rsidRPr="00F87870">
        <w:rPr>
          <w:rFonts w:eastAsia="Calibri"/>
          <w:spacing w:val="0"/>
          <w:shd w:val="clear" w:color="auto" w:fill="FFFFFF"/>
        </w:rPr>
        <w:t xml:space="preserve">. </w:t>
      </w:r>
    </w:p>
    <w:p w14:paraId="38C0DB5E" w14:textId="77777777" w:rsidR="006B43BC" w:rsidRDefault="006B43BC" w:rsidP="006B43BC">
      <w:pPr>
        <w:pStyle w:val="ListParagraph"/>
        <w:rPr>
          <w:rFonts w:eastAsia="Calibri"/>
          <w:sz w:val="24"/>
          <w:shd w:val="clear" w:color="auto" w:fill="FFFFFF"/>
        </w:rPr>
      </w:pPr>
    </w:p>
    <w:p w14:paraId="49FEB593" w14:textId="793EABC2" w:rsidR="00F87870" w:rsidRDefault="00A44EF2" w:rsidP="00A44EF2">
      <w:pPr>
        <w:widowControl/>
        <w:contextualSpacing/>
        <w:rPr>
          <w:rFonts w:eastAsia="Calibri"/>
          <w:spacing w:val="0"/>
          <w:shd w:val="clear" w:color="auto" w:fill="FFFFFF"/>
        </w:rPr>
      </w:pPr>
      <w:r>
        <w:rPr>
          <w:rFonts w:eastAsia="Calibri"/>
          <w:spacing w:val="0"/>
        </w:rPr>
        <w:t>[20]</w:t>
      </w:r>
      <w:r>
        <w:rPr>
          <w:rFonts w:eastAsia="Calibri"/>
          <w:spacing w:val="0"/>
        </w:rPr>
        <w:tab/>
      </w:r>
      <w:r w:rsidR="006E6E0C">
        <w:rPr>
          <w:rFonts w:eastAsia="Calibri"/>
          <w:spacing w:val="0"/>
          <w:shd w:val="clear" w:color="auto" w:fill="FFFFFF"/>
        </w:rPr>
        <w:t xml:space="preserve">She </w:t>
      </w:r>
      <w:r w:rsidR="00F87870" w:rsidRPr="00F87870">
        <w:rPr>
          <w:rFonts w:eastAsia="Calibri"/>
          <w:spacing w:val="0"/>
          <w:shd w:val="clear" w:color="auto" w:fill="FFFFFF"/>
        </w:rPr>
        <w:t xml:space="preserve">argued </w:t>
      </w:r>
      <w:r w:rsidR="006B43BC">
        <w:rPr>
          <w:rFonts w:eastAsia="Calibri"/>
          <w:spacing w:val="0"/>
          <w:shd w:val="clear" w:color="auto" w:fill="FFFFFF"/>
        </w:rPr>
        <w:t xml:space="preserve">further </w:t>
      </w:r>
      <w:r w:rsidR="00F87870" w:rsidRPr="00F87870">
        <w:rPr>
          <w:rFonts w:eastAsia="Calibri"/>
          <w:spacing w:val="0"/>
          <w:shd w:val="clear" w:color="auto" w:fill="FFFFFF"/>
        </w:rPr>
        <w:t>that it appear</w:t>
      </w:r>
      <w:r w:rsidR="006B43BC">
        <w:rPr>
          <w:rFonts w:eastAsia="Calibri"/>
          <w:spacing w:val="0"/>
          <w:shd w:val="clear" w:color="auto" w:fill="FFFFFF"/>
        </w:rPr>
        <w:t>ed</w:t>
      </w:r>
      <w:r w:rsidR="00F87870" w:rsidRPr="00F87870">
        <w:rPr>
          <w:rFonts w:eastAsia="Calibri"/>
          <w:spacing w:val="0"/>
          <w:shd w:val="clear" w:color="auto" w:fill="FFFFFF"/>
        </w:rPr>
        <w:t xml:space="preserve"> that Mr Goagoseb is self-employed</w:t>
      </w:r>
      <w:r w:rsidR="006E6E0C">
        <w:rPr>
          <w:rFonts w:eastAsia="Calibri"/>
          <w:spacing w:val="0"/>
          <w:shd w:val="clear" w:color="auto" w:fill="FFFFFF"/>
        </w:rPr>
        <w:t>, however</w:t>
      </w:r>
      <w:r w:rsidR="00F87870" w:rsidRPr="00F87870">
        <w:rPr>
          <w:rFonts w:eastAsia="Calibri"/>
          <w:spacing w:val="0"/>
          <w:shd w:val="clear" w:color="auto" w:fill="FFFFFF"/>
        </w:rPr>
        <w:t xml:space="preserve"> no statements </w:t>
      </w:r>
      <w:r w:rsidR="006B43BC">
        <w:rPr>
          <w:rFonts w:eastAsia="Calibri"/>
          <w:spacing w:val="0"/>
          <w:shd w:val="clear" w:color="auto" w:fill="FFFFFF"/>
        </w:rPr>
        <w:t>were</w:t>
      </w:r>
      <w:r w:rsidR="00F87870" w:rsidRPr="00F87870">
        <w:rPr>
          <w:rFonts w:eastAsia="Calibri"/>
          <w:spacing w:val="0"/>
          <w:shd w:val="clear" w:color="auto" w:fill="FFFFFF"/>
        </w:rPr>
        <w:t xml:space="preserve"> provided </w:t>
      </w:r>
      <w:r w:rsidR="006B43BC">
        <w:rPr>
          <w:rFonts w:eastAsia="Calibri"/>
          <w:spacing w:val="0"/>
          <w:shd w:val="clear" w:color="auto" w:fill="FFFFFF"/>
        </w:rPr>
        <w:t xml:space="preserve">by him to enable a proper assessment. </w:t>
      </w:r>
      <w:r w:rsidR="00F87870" w:rsidRPr="00F87870">
        <w:rPr>
          <w:rFonts w:eastAsia="Calibri"/>
          <w:spacing w:val="0"/>
          <w:shd w:val="clear" w:color="auto" w:fill="FFFFFF"/>
        </w:rPr>
        <w:t>I</w:t>
      </w:r>
      <w:r w:rsidR="006E6E0C">
        <w:rPr>
          <w:rFonts w:eastAsia="Calibri"/>
          <w:spacing w:val="0"/>
          <w:shd w:val="clear" w:color="auto" w:fill="FFFFFF"/>
        </w:rPr>
        <w:t xml:space="preserve">n addition, </w:t>
      </w:r>
      <w:r w:rsidR="00F87870" w:rsidRPr="00F87870">
        <w:rPr>
          <w:rFonts w:eastAsia="Calibri"/>
          <w:spacing w:val="0"/>
          <w:shd w:val="clear" w:color="auto" w:fill="FFFFFF"/>
        </w:rPr>
        <w:t xml:space="preserve">that the offer of the sum of N$2500 towards the arrears made by Mr Goagoseb is simply not enough as the internal procedures and Bank of Namibia regulations stipulate that </w:t>
      </w:r>
      <w:r w:rsidR="006E6E0C">
        <w:rPr>
          <w:rFonts w:eastAsia="Calibri"/>
          <w:spacing w:val="0"/>
          <w:shd w:val="clear" w:color="auto" w:fill="FFFFFF"/>
        </w:rPr>
        <w:t xml:space="preserve">in his case, </w:t>
      </w:r>
      <w:r w:rsidR="00F87870" w:rsidRPr="00F87870">
        <w:rPr>
          <w:rFonts w:eastAsia="Calibri"/>
          <w:spacing w:val="0"/>
          <w:shd w:val="clear" w:color="auto" w:fill="FFFFFF"/>
        </w:rPr>
        <w:t>an amount of N$38 506,21 must be paid monthly on the arrears if a party intends to fully pay the arrears within 12 months.</w:t>
      </w:r>
    </w:p>
    <w:p w14:paraId="5C54590E" w14:textId="77777777" w:rsidR="00846CFA" w:rsidRDefault="00846CFA" w:rsidP="00846CFA">
      <w:pPr>
        <w:pStyle w:val="ListParagraph"/>
        <w:rPr>
          <w:rFonts w:eastAsia="Calibri"/>
          <w:sz w:val="24"/>
          <w:shd w:val="clear" w:color="auto" w:fill="FFFFFF"/>
        </w:rPr>
      </w:pPr>
    </w:p>
    <w:p w14:paraId="596A98F7" w14:textId="679FD1C0" w:rsidR="00846CFA" w:rsidRPr="00846CFA" w:rsidRDefault="00A44EF2" w:rsidP="00A44EF2">
      <w:pPr>
        <w:widowControl/>
        <w:contextualSpacing/>
        <w:rPr>
          <w:rFonts w:eastAsia="Calibri"/>
          <w:spacing w:val="0"/>
          <w:shd w:val="clear" w:color="auto" w:fill="FFFFFF"/>
        </w:rPr>
      </w:pPr>
      <w:r w:rsidRPr="00846CFA">
        <w:rPr>
          <w:rFonts w:eastAsia="Calibri"/>
          <w:spacing w:val="0"/>
        </w:rPr>
        <w:t>[21]</w:t>
      </w:r>
      <w:r w:rsidRPr="00846CFA">
        <w:rPr>
          <w:rFonts w:eastAsia="Calibri"/>
          <w:spacing w:val="0"/>
        </w:rPr>
        <w:tab/>
      </w:r>
      <w:r w:rsidR="00846CFA" w:rsidRPr="00846CFA">
        <w:rPr>
          <w:rFonts w:eastAsia="Calibri"/>
          <w:spacing w:val="0"/>
          <w:shd w:val="clear" w:color="auto" w:fill="FFFFFF"/>
        </w:rPr>
        <w:t xml:space="preserve">Ms Nyashanu </w:t>
      </w:r>
      <w:r w:rsidR="00846CFA">
        <w:rPr>
          <w:rFonts w:eastAsia="Calibri"/>
          <w:spacing w:val="0"/>
          <w:shd w:val="clear" w:color="auto" w:fill="FFFFFF"/>
        </w:rPr>
        <w:t xml:space="preserve">also </w:t>
      </w:r>
      <w:r w:rsidR="00846CFA" w:rsidRPr="00846CFA">
        <w:rPr>
          <w:rFonts w:eastAsia="Calibri"/>
          <w:spacing w:val="0"/>
          <w:shd w:val="clear" w:color="auto" w:fill="FFFFFF"/>
        </w:rPr>
        <w:t xml:space="preserve">argued that no evidence was proffered by Mr Goagoseb that he has any children and a mere blanket statement was made. She argued that evidence must be </w:t>
      </w:r>
      <w:r w:rsidR="00846CFA">
        <w:rPr>
          <w:rFonts w:eastAsia="Calibri"/>
          <w:spacing w:val="0"/>
          <w:shd w:val="clear" w:color="auto" w:fill="FFFFFF"/>
        </w:rPr>
        <w:t>presented that</w:t>
      </w:r>
      <w:r w:rsidR="00846CFA" w:rsidRPr="00846CFA">
        <w:rPr>
          <w:rFonts w:eastAsia="Calibri"/>
          <w:spacing w:val="0"/>
          <w:shd w:val="clear" w:color="auto" w:fill="FFFFFF"/>
        </w:rPr>
        <w:t xml:space="preserve"> the children exist.</w:t>
      </w:r>
    </w:p>
    <w:p w14:paraId="75421DF8" w14:textId="77777777" w:rsidR="00846CFA" w:rsidRDefault="00846CFA" w:rsidP="006F2DCE">
      <w:pPr>
        <w:pStyle w:val="ListParagraph"/>
        <w:ind w:left="0"/>
        <w:rPr>
          <w:rFonts w:eastAsia="Calibri"/>
          <w:sz w:val="24"/>
          <w:shd w:val="clear" w:color="auto" w:fill="FFFFFF"/>
        </w:rPr>
      </w:pPr>
    </w:p>
    <w:p w14:paraId="516F1118" w14:textId="34778115" w:rsidR="00F87870" w:rsidRPr="00F87870" w:rsidRDefault="00A44EF2" w:rsidP="00A44EF2">
      <w:pPr>
        <w:widowControl/>
        <w:contextualSpacing/>
        <w:rPr>
          <w:rFonts w:eastAsia="Calibri"/>
          <w:spacing w:val="0"/>
          <w:shd w:val="clear" w:color="auto" w:fill="FFFFFF"/>
        </w:rPr>
      </w:pPr>
      <w:r w:rsidRPr="00F87870">
        <w:rPr>
          <w:rFonts w:eastAsia="Calibri"/>
          <w:spacing w:val="0"/>
        </w:rPr>
        <w:t>[22]</w:t>
      </w:r>
      <w:r w:rsidRPr="00F87870">
        <w:rPr>
          <w:rFonts w:eastAsia="Calibri"/>
          <w:spacing w:val="0"/>
        </w:rPr>
        <w:tab/>
      </w:r>
      <w:r w:rsidR="00F87870" w:rsidRPr="00F87870">
        <w:rPr>
          <w:rFonts w:eastAsia="Calibri"/>
          <w:spacing w:val="0"/>
          <w:shd w:val="clear" w:color="auto" w:fill="FFFFFF"/>
        </w:rPr>
        <w:t>Ms Kamarenga</w:t>
      </w:r>
      <w:r w:rsidR="00FC161D">
        <w:rPr>
          <w:rFonts w:eastAsia="Calibri"/>
          <w:spacing w:val="0"/>
          <w:shd w:val="clear" w:color="auto" w:fill="FFFFFF"/>
        </w:rPr>
        <w:t>,</w:t>
      </w:r>
      <w:r w:rsidR="00F87870" w:rsidRPr="00F87870">
        <w:rPr>
          <w:rFonts w:eastAsia="Calibri"/>
          <w:spacing w:val="0"/>
          <w:shd w:val="clear" w:color="auto" w:fill="FFFFFF"/>
        </w:rPr>
        <w:t xml:space="preserve"> on behalf of Mr Goagoseb, </w:t>
      </w:r>
      <w:r w:rsidR="006B43BC">
        <w:rPr>
          <w:rFonts w:eastAsia="Calibri"/>
          <w:spacing w:val="0"/>
          <w:shd w:val="clear" w:color="auto" w:fill="FFFFFF"/>
        </w:rPr>
        <w:t xml:space="preserve">submitted </w:t>
      </w:r>
      <w:r w:rsidR="00F87870" w:rsidRPr="00F87870">
        <w:rPr>
          <w:rFonts w:eastAsia="Calibri"/>
          <w:spacing w:val="0"/>
          <w:shd w:val="clear" w:color="auto" w:fill="FFFFFF"/>
        </w:rPr>
        <w:t xml:space="preserve">that </w:t>
      </w:r>
      <w:r w:rsidR="006B43BC">
        <w:rPr>
          <w:rFonts w:eastAsia="Calibri"/>
          <w:spacing w:val="0"/>
          <w:shd w:val="clear" w:color="auto" w:fill="FFFFFF"/>
        </w:rPr>
        <w:t xml:space="preserve">there are </w:t>
      </w:r>
      <w:r w:rsidR="00F87870" w:rsidRPr="00F87870">
        <w:rPr>
          <w:rFonts w:eastAsia="Calibri"/>
          <w:spacing w:val="0"/>
          <w:shd w:val="clear" w:color="auto" w:fill="FFFFFF"/>
        </w:rPr>
        <w:t>less drastic measures available other than declaring the property specially executable</w:t>
      </w:r>
      <w:r w:rsidR="00FC161D">
        <w:rPr>
          <w:rFonts w:eastAsia="Calibri"/>
          <w:spacing w:val="0"/>
          <w:shd w:val="clear" w:color="auto" w:fill="FFFFFF"/>
        </w:rPr>
        <w:t>,</w:t>
      </w:r>
      <w:r w:rsidR="006E6E0C">
        <w:rPr>
          <w:rFonts w:eastAsia="Calibri"/>
          <w:spacing w:val="0"/>
          <w:shd w:val="clear" w:color="auto" w:fill="FFFFFF"/>
        </w:rPr>
        <w:t xml:space="preserve"> on the facts of this case</w:t>
      </w:r>
      <w:r w:rsidR="00F87870" w:rsidRPr="00F87870">
        <w:rPr>
          <w:rFonts w:eastAsia="Calibri"/>
          <w:spacing w:val="0"/>
          <w:shd w:val="clear" w:color="auto" w:fill="FFFFFF"/>
        </w:rPr>
        <w:t xml:space="preserve">. In this regard, </w:t>
      </w:r>
      <w:r w:rsidR="006E6E0C">
        <w:rPr>
          <w:rFonts w:eastAsia="Calibri"/>
          <w:spacing w:val="0"/>
          <w:shd w:val="clear" w:color="auto" w:fill="FFFFFF"/>
        </w:rPr>
        <w:t xml:space="preserve">and </w:t>
      </w:r>
      <w:r w:rsidR="00F87870" w:rsidRPr="00F87870">
        <w:rPr>
          <w:rFonts w:eastAsia="Calibri"/>
          <w:spacing w:val="0"/>
          <w:shd w:val="clear" w:color="auto" w:fill="FFFFFF"/>
        </w:rPr>
        <w:t>since November 202</w:t>
      </w:r>
      <w:r w:rsidR="0050653E">
        <w:rPr>
          <w:rFonts w:eastAsia="Calibri"/>
          <w:spacing w:val="0"/>
          <w:shd w:val="clear" w:color="auto" w:fill="FFFFFF"/>
        </w:rPr>
        <w:t>0,</w:t>
      </w:r>
      <w:r w:rsidR="00F87870" w:rsidRPr="00F87870">
        <w:rPr>
          <w:rFonts w:eastAsia="Calibri"/>
          <w:spacing w:val="0"/>
          <w:shd w:val="clear" w:color="auto" w:fill="FFFFFF"/>
        </w:rPr>
        <w:t xml:space="preserve"> Mr Goagoseb </w:t>
      </w:r>
      <w:r w:rsidR="006E6E0C">
        <w:rPr>
          <w:rFonts w:eastAsia="Calibri"/>
          <w:spacing w:val="0"/>
          <w:shd w:val="clear" w:color="auto" w:fill="FFFFFF"/>
        </w:rPr>
        <w:t xml:space="preserve">was making </w:t>
      </w:r>
      <w:r w:rsidR="006B43BC">
        <w:rPr>
          <w:rFonts w:eastAsia="Calibri"/>
          <w:spacing w:val="0"/>
          <w:shd w:val="clear" w:color="auto" w:fill="FFFFFF"/>
        </w:rPr>
        <w:t>consistent monthly</w:t>
      </w:r>
      <w:r w:rsidR="0050653E">
        <w:rPr>
          <w:rFonts w:eastAsia="Calibri"/>
          <w:spacing w:val="0"/>
          <w:shd w:val="clear" w:color="auto" w:fill="FFFFFF"/>
        </w:rPr>
        <w:t xml:space="preserve"> instalment</w:t>
      </w:r>
      <w:r w:rsidR="006B43BC">
        <w:rPr>
          <w:rFonts w:eastAsia="Calibri"/>
          <w:spacing w:val="0"/>
          <w:shd w:val="clear" w:color="auto" w:fill="FFFFFF"/>
        </w:rPr>
        <w:t xml:space="preserve"> </w:t>
      </w:r>
      <w:r w:rsidR="0050653E">
        <w:rPr>
          <w:rFonts w:eastAsia="Calibri"/>
          <w:spacing w:val="0"/>
          <w:shd w:val="clear" w:color="auto" w:fill="FFFFFF"/>
        </w:rPr>
        <w:t>payments</w:t>
      </w:r>
      <w:r w:rsidR="006B43BC">
        <w:rPr>
          <w:rFonts w:eastAsia="Calibri"/>
          <w:spacing w:val="0"/>
          <w:shd w:val="clear" w:color="auto" w:fill="FFFFFF"/>
        </w:rPr>
        <w:t xml:space="preserve"> </w:t>
      </w:r>
      <w:r w:rsidR="0050653E">
        <w:rPr>
          <w:rFonts w:eastAsia="Calibri"/>
          <w:spacing w:val="0"/>
          <w:shd w:val="clear" w:color="auto" w:fill="FFFFFF"/>
        </w:rPr>
        <w:t>in the</w:t>
      </w:r>
      <w:r w:rsidR="00F87870" w:rsidRPr="00F87870">
        <w:rPr>
          <w:rFonts w:eastAsia="Calibri"/>
          <w:spacing w:val="0"/>
          <w:shd w:val="clear" w:color="auto" w:fill="FFFFFF"/>
        </w:rPr>
        <w:t xml:space="preserve"> amount of N$13 473,55</w:t>
      </w:r>
      <w:r w:rsidR="007A0214">
        <w:rPr>
          <w:rFonts w:eastAsia="Calibri"/>
          <w:spacing w:val="0"/>
          <w:shd w:val="clear" w:color="auto" w:fill="FFFFFF"/>
        </w:rPr>
        <w:t>,</w:t>
      </w:r>
      <w:r w:rsidR="00F87870" w:rsidRPr="00F87870">
        <w:rPr>
          <w:rFonts w:eastAsia="Calibri"/>
          <w:spacing w:val="0"/>
          <w:shd w:val="clear" w:color="auto" w:fill="FFFFFF"/>
        </w:rPr>
        <w:t xml:space="preserve"> without default and/or delay</w:t>
      </w:r>
      <w:r w:rsidR="006B43BC">
        <w:rPr>
          <w:rFonts w:eastAsia="Calibri"/>
          <w:spacing w:val="0"/>
          <w:shd w:val="clear" w:color="auto" w:fill="FFFFFF"/>
        </w:rPr>
        <w:t xml:space="preserve">. </w:t>
      </w:r>
      <w:r w:rsidR="00F87870" w:rsidRPr="00F87870">
        <w:rPr>
          <w:rFonts w:eastAsia="Calibri"/>
          <w:spacing w:val="0"/>
          <w:shd w:val="clear" w:color="auto" w:fill="FFFFFF"/>
        </w:rPr>
        <w:t xml:space="preserve"> </w:t>
      </w:r>
    </w:p>
    <w:p w14:paraId="2CEFAC4C" w14:textId="77777777" w:rsidR="00F87870" w:rsidRPr="00F87870" w:rsidRDefault="00F87870" w:rsidP="00F87870">
      <w:pPr>
        <w:widowControl/>
        <w:ind w:left="720"/>
        <w:contextualSpacing/>
        <w:rPr>
          <w:rFonts w:eastAsia="Calibri"/>
          <w:spacing w:val="0"/>
          <w:shd w:val="clear" w:color="auto" w:fill="FFFFFF"/>
        </w:rPr>
      </w:pPr>
    </w:p>
    <w:p w14:paraId="01B1ACA4" w14:textId="515E9499" w:rsidR="00F87870" w:rsidRPr="00F87870" w:rsidRDefault="00A44EF2" w:rsidP="00A44EF2">
      <w:pPr>
        <w:widowControl/>
        <w:contextualSpacing/>
        <w:rPr>
          <w:rFonts w:eastAsia="Calibri"/>
          <w:spacing w:val="0"/>
          <w:shd w:val="clear" w:color="auto" w:fill="FFFFFF"/>
        </w:rPr>
      </w:pPr>
      <w:r w:rsidRPr="00F87870">
        <w:rPr>
          <w:rFonts w:eastAsia="Calibri"/>
          <w:spacing w:val="0"/>
        </w:rPr>
        <w:lastRenderedPageBreak/>
        <w:t>[23]</w:t>
      </w:r>
      <w:r w:rsidRPr="00F87870">
        <w:rPr>
          <w:rFonts w:eastAsia="Calibri"/>
          <w:spacing w:val="0"/>
        </w:rPr>
        <w:tab/>
      </w:r>
      <w:r w:rsidR="00F87870" w:rsidRPr="00F87870">
        <w:rPr>
          <w:rFonts w:eastAsia="Calibri"/>
          <w:spacing w:val="0"/>
          <w:shd w:val="clear" w:color="auto" w:fill="FFFFFF"/>
        </w:rPr>
        <w:t xml:space="preserve">Ms Kamarenga </w:t>
      </w:r>
      <w:r w:rsidR="006E6E0C">
        <w:rPr>
          <w:rFonts w:eastAsia="Calibri"/>
          <w:spacing w:val="0"/>
          <w:shd w:val="clear" w:color="auto" w:fill="FFFFFF"/>
        </w:rPr>
        <w:t xml:space="preserve">argued </w:t>
      </w:r>
      <w:r w:rsidR="00F87870" w:rsidRPr="00F87870">
        <w:rPr>
          <w:rFonts w:eastAsia="Calibri"/>
          <w:spacing w:val="0"/>
          <w:shd w:val="clear" w:color="auto" w:fill="FFFFFF"/>
        </w:rPr>
        <w:t xml:space="preserve">that Standard Bank’s issue </w:t>
      </w:r>
      <w:r w:rsidR="006E6E0C">
        <w:rPr>
          <w:rFonts w:eastAsia="Calibri"/>
          <w:spacing w:val="0"/>
          <w:shd w:val="clear" w:color="auto" w:fill="FFFFFF"/>
        </w:rPr>
        <w:t xml:space="preserve">was not with the regular monthly instalments paid by </w:t>
      </w:r>
      <w:r w:rsidR="00F87870" w:rsidRPr="00F87870">
        <w:rPr>
          <w:rFonts w:eastAsia="Calibri"/>
          <w:spacing w:val="0"/>
          <w:shd w:val="clear" w:color="auto" w:fill="FFFFFF"/>
        </w:rPr>
        <w:t>Mr Goagoseb</w:t>
      </w:r>
      <w:r w:rsidR="006E6E0C">
        <w:rPr>
          <w:rFonts w:eastAsia="Calibri"/>
          <w:spacing w:val="0"/>
          <w:shd w:val="clear" w:color="auto" w:fill="FFFFFF"/>
        </w:rPr>
        <w:t>,</w:t>
      </w:r>
      <w:r w:rsidR="00F87870" w:rsidRPr="00F87870">
        <w:rPr>
          <w:rFonts w:eastAsia="Calibri"/>
          <w:spacing w:val="0"/>
          <w:shd w:val="clear" w:color="auto" w:fill="FFFFFF"/>
        </w:rPr>
        <w:t xml:space="preserve"> but appears to be in respect of the arrears. </w:t>
      </w:r>
      <w:r w:rsidR="006E6E0C">
        <w:rPr>
          <w:rFonts w:eastAsia="Calibri"/>
          <w:spacing w:val="0"/>
          <w:shd w:val="clear" w:color="auto" w:fill="FFFFFF"/>
        </w:rPr>
        <w:t xml:space="preserve">In this regard, she argued that Mr </w:t>
      </w:r>
      <w:r w:rsidR="00F87870" w:rsidRPr="00F87870">
        <w:rPr>
          <w:rFonts w:eastAsia="Calibri"/>
          <w:spacing w:val="0"/>
          <w:shd w:val="clear" w:color="auto" w:fill="FFFFFF"/>
        </w:rPr>
        <w:t>Goagoseb ha</w:t>
      </w:r>
      <w:r w:rsidR="006E6E0C">
        <w:rPr>
          <w:rFonts w:eastAsia="Calibri"/>
          <w:spacing w:val="0"/>
          <w:shd w:val="clear" w:color="auto" w:fill="FFFFFF"/>
        </w:rPr>
        <w:t>d</w:t>
      </w:r>
      <w:r w:rsidR="00F87870" w:rsidRPr="00F87870">
        <w:rPr>
          <w:rFonts w:eastAsia="Calibri"/>
          <w:spacing w:val="0"/>
          <w:shd w:val="clear" w:color="auto" w:fill="FFFFFF"/>
        </w:rPr>
        <w:t xml:space="preserve"> made an offer to pay an amount of N$2500 on the arrears</w:t>
      </w:r>
      <w:r w:rsidR="00AA37CF">
        <w:rPr>
          <w:rFonts w:eastAsia="Calibri"/>
          <w:spacing w:val="0"/>
          <w:shd w:val="clear" w:color="auto" w:fill="FFFFFF"/>
        </w:rPr>
        <w:t>,</w:t>
      </w:r>
      <w:r w:rsidR="00F87870" w:rsidRPr="00F87870">
        <w:rPr>
          <w:rFonts w:eastAsia="Calibri"/>
          <w:spacing w:val="0"/>
          <w:shd w:val="clear" w:color="auto" w:fill="FFFFFF"/>
        </w:rPr>
        <w:t xml:space="preserve"> plus the continuous </w:t>
      </w:r>
      <w:r w:rsidR="006E6E0C">
        <w:rPr>
          <w:rFonts w:eastAsia="Calibri"/>
          <w:spacing w:val="0"/>
          <w:shd w:val="clear" w:color="auto" w:fill="FFFFFF"/>
        </w:rPr>
        <w:t xml:space="preserve">monthly instalment </w:t>
      </w:r>
      <w:r w:rsidR="00F87870" w:rsidRPr="00F87870">
        <w:rPr>
          <w:rFonts w:eastAsia="Calibri"/>
          <w:spacing w:val="0"/>
          <w:shd w:val="clear" w:color="auto" w:fill="FFFFFF"/>
        </w:rPr>
        <w:t>of N$13 473,55.</w:t>
      </w:r>
      <w:r w:rsidR="006E6E0C">
        <w:rPr>
          <w:rFonts w:eastAsia="Calibri"/>
          <w:spacing w:val="0"/>
          <w:shd w:val="clear" w:color="auto" w:fill="FFFFFF"/>
        </w:rPr>
        <w:t xml:space="preserve"> This was at least something that Mr Goagoseb was att</w:t>
      </w:r>
      <w:r w:rsidR="00AA37CF">
        <w:rPr>
          <w:rFonts w:eastAsia="Calibri"/>
          <w:spacing w:val="0"/>
          <w:shd w:val="clear" w:color="auto" w:fill="FFFFFF"/>
        </w:rPr>
        <w:t xml:space="preserve">empting to reduce the arrears, </w:t>
      </w:r>
      <w:r w:rsidR="006E6E0C">
        <w:rPr>
          <w:rFonts w:eastAsia="Calibri"/>
          <w:spacing w:val="0"/>
          <w:shd w:val="clear" w:color="auto" w:fill="FFFFFF"/>
        </w:rPr>
        <w:t>and given the capital amount owing, the Bank remain</w:t>
      </w:r>
      <w:r w:rsidR="001F4155">
        <w:rPr>
          <w:rFonts w:eastAsia="Calibri"/>
          <w:spacing w:val="0"/>
          <w:shd w:val="clear" w:color="auto" w:fill="FFFFFF"/>
        </w:rPr>
        <w:t>s</w:t>
      </w:r>
      <w:r w:rsidR="006E6E0C">
        <w:rPr>
          <w:rFonts w:eastAsia="Calibri"/>
          <w:spacing w:val="0"/>
          <w:shd w:val="clear" w:color="auto" w:fill="FFFFFF"/>
        </w:rPr>
        <w:t xml:space="preserve"> unyielding in considering less drastic measures. </w:t>
      </w:r>
    </w:p>
    <w:p w14:paraId="1838B891" w14:textId="77777777" w:rsidR="00F87870" w:rsidRPr="00F87870" w:rsidRDefault="00F87870" w:rsidP="00F87870">
      <w:pPr>
        <w:widowControl/>
        <w:ind w:left="720"/>
        <w:contextualSpacing/>
        <w:rPr>
          <w:rFonts w:eastAsia="Calibri"/>
          <w:spacing w:val="0"/>
          <w:shd w:val="clear" w:color="auto" w:fill="FFFFFF"/>
        </w:rPr>
      </w:pPr>
    </w:p>
    <w:p w14:paraId="530D53DD" w14:textId="7608F9A8" w:rsidR="00F87870" w:rsidRPr="00F87870" w:rsidRDefault="00A44EF2" w:rsidP="00A44EF2">
      <w:pPr>
        <w:widowControl/>
        <w:contextualSpacing/>
        <w:rPr>
          <w:rFonts w:eastAsia="Calibri"/>
          <w:spacing w:val="0"/>
          <w:shd w:val="clear" w:color="auto" w:fill="FFFFFF"/>
        </w:rPr>
      </w:pPr>
      <w:r w:rsidRPr="00F87870">
        <w:rPr>
          <w:rFonts w:eastAsia="Calibri"/>
          <w:spacing w:val="0"/>
        </w:rPr>
        <w:t>[24]</w:t>
      </w:r>
      <w:r w:rsidRPr="00F87870">
        <w:rPr>
          <w:rFonts w:eastAsia="Calibri"/>
          <w:spacing w:val="0"/>
        </w:rPr>
        <w:tab/>
      </w:r>
      <w:r w:rsidR="00F87870" w:rsidRPr="00F87870">
        <w:rPr>
          <w:rFonts w:eastAsia="Calibri"/>
          <w:spacing w:val="0"/>
          <w:shd w:val="clear" w:color="auto" w:fill="FFFFFF"/>
        </w:rPr>
        <w:t>Ms Kamarenga argued that it is Standard Bank’s own doing that the arrears cannot be paid in full by Mr Goagoseb because he is currently listed on the TransUnion Bureau (ITC) by Standard Bank and after numerous requests by Mr Goagoseb to have him removed, Standard Bank has refused.</w:t>
      </w:r>
    </w:p>
    <w:p w14:paraId="4157372D" w14:textId="77777777" w:rsidR="00F87870" w:rsidRPr="00F87870" w:rsidRDefault="00F87870" w:rsidP="00F87870">
      <w:pPr>
        <w:widowControl/>
        <w:ind w:left="720"/>
        <w:contextualSpacing/>
        <w:rPr>
          <w:rFonts w:eastAsia="Calibri"/>
          <w:spacing w:val="0"/>
          <w:shd w:val="clear" w:color="auto" w:fill="FFFFFF"/>
        </w:rPr>
      </w:pPr>
    </w:p>
    <w:p w14:paraId="49EC96C8" w14:textId="415F09D5" w:rsidR="00F87870" w:rsidRPr="00F87870" w:rsidRDefault="00A44EF2" w:rsidP="00A44EF2">
      <w:pPr>
        <w:widowControl/>
        <w:contextualSpacing/>
        <w:rPr>
          <w:rFonts w:eastAsia="Calibri"/>
          <w:spacing w:val="0"/>
          <w:shd w:val="clear" w:color="auto" w:fill="FFFFFF"/>
        </w:rPr>
      </w:pPr>
      <w:r w:rsidRPr="00F87870">
        <w:rPr>
          <w:rFonts w:eastAsia="Calibri"/>
          <w:spacing w:val="0"/>
        </w:rPr>
        <w:t>[25]</w:t>
      </w:r>
      <w:r w:rsidRPr="00F87870">
        <w:rPr>
          <w:rFonts w:eastAsia="Calibri"/>
          <w:spacing w:val="0"/>
        </w:rPr>
        <w:tab/>
      </w:r>
      <w:r w:rsidR="00F87870" w:rsidRPr="00F87870">
        <w:rPr>
          <w:rFonts w:eastAsia="Calibri"/>
          <w:spacing w:val="0"/>
          <w:shd w:val="clear" w:color="auto" w:fill="FFFFFF"/>
        </w:rPr>
        <w:t xml:space="preserve">Ms Kamarenga </w:t>
      </w:r>
      <w:r w:rsidR="00846CFA">
        <w:rPr>
          <w:rFonts w:eastAsia="Calibri"/>
          <w:spacing w:val="0"/>
          <w:shd w:val="clear" w:color="auto" w:fill="FFFFFF"/>
        </w:rPr>
        <w:t xml:space="preserve">pointed out that on the papers before court, </w:t>
      </w:r>
      <w:r w:rsidR="00F87870" w:rsidRPr="00F87870">
        <w:rPr>
          <w:rFonts w:eastAsia="Calibri"/>
          <w:spacing w:val="0"/>
          <w:shd w:val="clear" w:color="auto" w:fill="FFFFFF"/>
        </w:rPr>
        <w:t xml:space="preserve">Mr Goagoseb </w:t>
      </w:r>
      <w:r w:rsidR="00846CFA">
        <w:rPr>
          <w:rFonts w:eastAsia="Calibri"/>
          <w:spacing w:val="0"/>
          <w:shd w:val="clear" w:color="auto" w:fill="FFFFFF"/>
        </w:rPr>
        <w:t xml:space="preserve">requested </w:t>
      </w:r>
      <w:r w:rsidR="00F87870" w:rsidRPr="00F87870">
        <w:rPr>
          <w:rFonts w:eastAsia="Calibri"/>
          <w:spacing w:val="0"/>
          <w:shd w:val="clear" w:color="auto" w:fill="FFFFFF"/>
        </w:rPr>
        <w:t xml:space="preserve">Standard Bank to have him removed from ITC to enable him to obtain financial assistance or a loan elsewhere to settle the arrears, but this, Standard Bank has </w:t>
      </w:r>
      <w:r w:rsidR="00846CFA">
        <w:rPr>
          <w:rFonts w:eastAsia="Calibri"/>
          <w:spacing w:val="0"/>
          <w:shd w:val="clear" w:color="auto" w:fill="FFFFFF"/>
        </w:rPr>
        <w:t xml:space="preserve">also </w:t>
      </w:r>
      <w:r w:rsidR="00F87870" w:rsidRPr="00F87870">
        <w:rPr>
          <w:rFonts w:eastAsia="Calibri"/>
          <w:spacing w:val="0"/>
          <w:shd w:val="clear" w:color="auto" w:fill="FFFFFF"/>
        </w:rPr>
        <w:t xml:space="preserve">refused. </w:t>
      </w:r>
      <w:r w:rsidR="00846CFA">
        <w:rPr>
          <w:rFonts w:eastAsia="Calibri"/>
          <w:spacing w:val="0"/>
          <w:shd w:val="clear" w:color="auto" w:fill="FFFFFF"/>
        </w:rPr>
        <w:t xml:space="preserve"> Ms Ka</w:t>
      </w:r>
      <w:r w:rsidR="00F87870" w:rsidRPr="00F87870">
        <w:rPr>
          <w:rFonts w:eastAsia="Calibri"/>
          <w:spacing w:val="0"/>
          <w:shd w:val="clear" w:color="auto" w:fill="FFFFFF"/>
        </w:rPr>
        <w:t>marenga</w:t>
      </w:r>
      <w:r w:rsidR="007A0214">
        <w:rPr>
          <w:rFonts w:eastAsia="Calibri"/>
          <w:spacing w:val="0"/>
          <w:shd w:val="clear" w:color="auto" w:fill="FFFFFF"/>
        </w:rPr>
        <w:t xml:space="preserve"> </w:t>
      </w:r>
      <w:r w:rsidR="00846CFA">
        <w:rPr>
          <w:rFonts w:eastAsia="Calibri"/>
          <w:spacing w:val="0"/>
          <w:shd w:val="clear" w:color="auto" w:fill="FFFFFF"/>
        </w:rPr>
        <w:t>submitted that in these</w:t>
      </w:r>
      <w:r w:rsidR="00513374">
        <w:rPr>
          <w:rFonts w:eastAsia="Calibri"/>
          <w:spacing w:val="0"/>
          <w:shd w:val="clear" w:color="auto" w:fill="FFFFFF"/>
        </w:rPr>
        <w:t xml:space="preserve"> </w:t>
      </w:r>
      <w:r w:rsidR="007A0214">
        <w:rPr>
          <w:rFonts w:eastAsia="Calibri"/>
          <w:spacing w:val="0"/>
          <w:shd w:val="clear" w:color="auto" w:fill="FFFFFF"/>
        </w:rPr>
        <w:t>circumstances</w:t>
      </w:r>
      <w:r w:rsidR="00846CFA">
        <w:rPr>
          <w:rFonts w:eastAsia="Calibri"/>
          <w:spacing w:val="0"/>
          <w:shd w:val="clear" w:color="auto" w:fill="FFFFFF"/>
        </w:rPr>
        <w:t xml:space="preserve">, the court had an unfettered discretion to consider a less drastic measure. Reference was made to the decision of </w:t>
      </w:r>
      <w:r w:rsidR="00F87870" w:rsidRPr="00F87870">
        <w:rPr>
          <w:rFonts w:eastAsia="Calibri"/>
          <w:i/>
          <w:spacing w:val="0"/>
          <w:shd w:val="clear" w:color="auto" w:fill="FFFFFF"/>
        </w:rPr>
        <w:t>Standard Bank Namibia Ltd v Bock.</w:t>
      </w:r>
      <w:r w:rsidR="00F87870" w:rsidRPr="00F87870">
        <w:rPr>
          <w:rFonts w:eastAsia="Calibri"/>
          <w:spacing w:val="0"/>
          <w:shd w:val="clear" w:color="auto" w:fill="FFFFFF"/>
          <w:vertAlign w:val="superscript"/>
        </w:rPr>
        <w:footnoteReference w:id="4"/>
      </w:r>
    </w:p>
    <w:p w14:paraId="146163E8" w14:textId="77777777" w:rsidR="00F87870" w:rsidRPr="00F87870" w:rsidRDefault="00F87870" w:rsidP="00F87870">
      <w:pPr>
        <w:widowControl/>
        <w:ind w:left="720"/>
        <w:contextualSpacing/>
        <w:rPr>
          <w:rFonts w:eastAsia="Calibri"/>
          <w:spacing w:val="0"/>
          <w:shd w:val="clear" w:color="auto" w:fill="FFFFFF"/>
        </w:rPr>
      </w:pPr>
    </w:p>
    <w:p w14:paraId="7C723DDC" w14:textId="45FACB88" w:rsidR="00846CFA" w:rsidRDefault="00A44EF2" w:rsidP="00A44EF2">
      <w:pPr>
        <w:widowControl/>
        <w:contextualSpacing/>
        <w:rPr>
          <w:rFonts w:eastAsia="Calibri"/>
          <w:spacing w:val="0"/>
          <w:shd w:val="clear" w:color="auto" w:fill="FFFFFF"/>
        </w:rPr>
      </w:pPr>
      <w:r>
        <w:rPr>
          <w:rFonts w:eastAsia="Calibri"/>
          <w:spacing w:val="0"/>
        </w:rPr>
        <w:t>[26]</w:t>
      </w:r>
      <w:r>
        <w:rPr>
          <w:rFonts w:eastAsia="Calibri"/>
          <w:spacing w:val="0"/>
        </w:rPr>
        <w:tab/>
      </w:r>
      <w:r w:rsidR="00F87870" w:rsidRPr="00F87870">
        <w:rPr>
          <w:rFonts w:eastAsia="Calibri"/>
          <w:spacing w:val="0"/>
          <w:shd w:val="clear" w:color="auto" w:fill="FFFFFF"/>
        </w:rPr>
        <w:t xml:space="preserve">In </w:t>
      </w:r>
      <w:r w:rsidR="00F87870" w:rsidRPr="00F87870">
        <w:rPr>
          <w:rFonts w:eastAsia="Calibri"/>
          <w:i/>
          <w:spacing w:val="0"/>
          <w:shd w:val="clear" w:color="auto" w:fill="FFFFFF"/>
        </w:rPr>
        <w:t>Standard Bank Namibia Ltd v Bock</w:t>
      </w:r>
      <w:r w:rsidR="00F87870" w:rsidRPr="00F87870">
        <w:rPr>
          <w:rFonts w:eastAsia="Calibri"/>
          <w:spacing w:val="0"/>
          <w:shd w:val="clear" w:color="auto" w:fill="FFFFFF"/>
        </w:rPr>
        <w:t>, two less drastic measures were proffered to the court, which included that the first respondent in the ma</w:t>
      </w:r>
      <w:r w:rsidR="00513374">
        <w:rPr>
          <w:rFonts w:eastAsia="Calibri"/>
          <w:spacing w:val="0"/>
          <w:shd w:val="clear" w:color="auto" w:fill="FFFFFF"/>
        </w:rPr>
        <w:t>tter was due to receive his</w:t>
      </w:r>
      <w:r w:rsidR="00F87870" w:rsidRPr="00F87870">
        <w:rPr>
          <w:rFonts w:eastAsia="Calibri"/>
          <w:spacing w:val="0"/>
          <w:shd w:val="clear" w:color="auto" w:fill="FFFFFF"/>
        </w:rPr>
        <w:t xml:space="preserve"> home loan which would have enabled him to settle the arrears and proceed with the monthly instalment payments, but this would only have occurred if the applicant removed the respondents’ from ITC, which it refused to do. </w:t>
      </w:r>
    </w:p>
    <w:p w14:paraId="45BC1882" w14:textId="77777777" w:rsidR="00846CFA" w:rsidRDefault="00846CFA" w:rsidP="00846CFA">
      <w:pPr>
        <w:pStyle w:val="ListParagraph"/>
        <w:rPr>
          <w:rFonts w:eastAsia="Calibri"/>
          <w:sz w:val="24"/>
          <w:shd w:val="clear" w:color="auto" w:fill="FFFFFF"/>
        </w:rPr>
      </w:pPr>
    </w:p>
    <w:p w14:paraId="7742684F" w14:textId="59DE7351" w:rsidR="00F87870" w:rsidRPr="00F87870" w:rsidRDefault="00A44EF2" w:rsidP="00A44EF2">
      <w:pPr>
        <w:widowControl/>
        <w:contextualSpacing/>
        <w:rPr>
          <w:rFonts w:eastAsia="Calibri"/>
          <w:spacing w:val="0"/>
          <w:shd w:val="clear" w:color="auto" w:fill="FFFFFF"/>
        </w:rPr>
      </w:pPr>
      <w:r w:rsidRPr="00F87870">
        <w:rPr>
          <w:rFonts w:eastAsia="Calibri"/>
          <w:spacing w:val="0"/>
        </w:rPr>
        <w:t>[27]</w:t>
      </w:r>
      <w:r w:rsidRPr="00F87870">
        <w:rPr>
          <w:rFonts w:eastAsia="Calibri"/>
          <w:spacing w:val="0"/>
        </w:rPr>
        <w:tab/>
      </w:r>
      <w:r w:rsidR="00F87870" w:rsidRPr="00F87870">
        <w:rPr>
          <w:rFonts w:eastAsia="Calibri"/>
          <w:spacing w:val="0"/>
          <w:shd w:val="clear" w:color="auto" w:fill="FFFFFF"/>
        </w:rPr>
        <w:t xml:space="preserve">Ms Kamarenga argued that the court has an unfettered discretion to consider a less drastic measure, and Mr Goagoseb’s removal from ITC to </w:t>
      </w:r>
      <w:r w:rsidR="00F87870" w:rsidRPr="00F87870">
        <w:rPr>
          <w:rFonts w:eastAsia="Calibri"/>
          <w:spacing w:val="0"/>
          <w:shd w:val="clear" w:color="auto" w:fill="FFFFFF"/>
        </w:rPr>
        <w:lastRenderedPageBreak/>
        <w:t>enable him to obtain another loan or financial assistance would constitute such less drastic measure.</w:t>
      </w:r>
    </w:p>
    <w:p w14:paraId="49A8A545" w14:textId="77777777" w:rsidR="00F87870" w:rsidRPr="00F87870" w:rsidRDefault="00F87870" w:rsidP="00F87870">
      <w:pPr>
        <w:widowControl/>
        <w:ind w:left="720"/>
        <w:contextualSpacing/>
        <w:rPr>
          <w:rFonts w:eastAsia="Calibri"/>
          <w:spacing w:val="0"/>
          <w:shd w:val="clear" w:color="auto" w:fill="FFFFFF"/>
        </w:rPr>
      </w:pPr>
    </w:p>
    <w:p w14:paraId="65D92A98" w14:textId="4E10140F" w:rsidR="00F87870" w:rsidRPr="00F87870" w:rsidRDefault="00A44EF2" w:rsidP="00A44EF2">
      <w:pPr>
        <w:widowControl/>
        <w:contextualSpacing/>
        <w:rPr>
          <w:rFonts w:eastAsia="Calibri"/>
          <w:spacing w:val="0"/>
          <w:shd w:val="clear" w:color="auto" w:fill="FFFFFF"/>
        </w:rPr>
      </w:pPr>
      <w:r w:rsidRPr="00F87870">
        <w:rPr>
          <w:rFonts w:eastAsia="Calibri"/>
          <w:spacing w:val="0"/>
        </w:rPr>
        <w:t>[28]</w:t>
      </w:r>
      <w:r w:rsidRPr="00F87870">
        <w:rPr>
          <w:rFonts w:eastAsia="Calibri"/>
          <w:spacing w:val="0"/>
        </w:rPr>
        <w:tab/>
      </w:r>
      <w:r w:rsidR="00846CFA">
        <w:rPr>
          <w:rFonts w:eastAsia="Calibri"/>
          <w:spacing w:val="0"/>
          <w:shd w:val="clear" w:color="auto" w:fill="FFFFFF"/>
        </w:rPr>
        <w:t>O</w:t>
      </w:r>
      <w:r w:rsidR="00F87870" w:rsidRPr="00F87870">
        <w:rPr>
          <w:rFonts w:eastAsia="Calibri"/>
          <w:spacing w:val="0"/>
          <w:shd w:val="clear" w:color="auto" w:fill="FFFFFF"/>
        </w:rPr>
        <w:t xml:space="preserve">n </w:t>
      </w:r>
      <w:r w:rsidR="00846CFA">
        <w:rPr>
          <w:rFonts w:eastAsia="Calibri"/>
          <w:spacing w:val="0"/>
          <w:shd w:val="clear" w:color="auto" w:fill="FFFFFF"/>
        </w:rPr>
        <w:t>this particular issue, Ms Nyashanu submitted that</w:t>
      </w:r>
      <w:r w:rsidR="00F87870" w:rsidRPr="00F87870">
        <w:rPr>
          <w:rFonts w:eastAsia="Calibri"/>
          <w:spacing w:val="0"/>
          <w:shd w:val="clear" w:color="auto" w:fill="FFFFFF"/>
        </w:rPr>
        <w:t xml:space="preserve"> being listed on ITC is merely regulatory,</w:t>
      </w:r>
      <w:r w:rsidR="00846CFA">
        <w:rPr>
          <w:rFonts w:eastAsia="Calibri"/>
          <w:spacing w:val="0"/>
          <w:shd w:val="clear" w:color="auto" w:fill="FFFFFF"/>
        </w:rPr>
        <w:t xml:space="preserve"> and this </w:t>
      </w:r>
      <w:r w:rsidR="00F87870" w:rsidRPr="00F87870">
        <w:rPr>
          <w:rFonts w:eastAsia="Calibri"/>
          <w:spacing w:val="0"/>
          <w:shd w:val="clear" w:color="auto" w:fill="FFFFFF"/>
        </w:rPr>
        <w:t xml:space="preserve">forum </w:t>
      </w:r>
      <w:r w:rsidR="001F4155">
        <w:rPr>
          <w:rFonts w:eastAsia="Calibri"/>
          <w:spacing w:val="0"/>
          <w:shd w:val="clear" w:color="auto" w:fill="FFFFFF"/>
        </w:rPr>
        <w:t xml:space="preserve">only </w:t>
      </w:r>
      <w:r w:rsidR="00F87870" w:rsidRPr="00F87870">
        <w:rPr>
          <w:rFonts w:eastAsia="Calibri"/>
          <w:spacing w:val="0"/>
          <w:shd w:val="clear" w:color="auto" w:fill="FFFFFF"/>
        </w:rPr>
        <w:t xml:space="preserve">informs financial institutions </w:t>
      </w:r>
      <w:r w:rsidR="00846CFA">
        <w:rPr>
          <w:rFonts w:eastAsia="Calibri"/>
          <w:spacing w:val="0"/>
          <w:shd w:val="clear" w:color="auto" w:fill="FFFFFF"/>
        </w:rPr>
        <w:t>that undertake</w:t>
      </w:r>
      <w:r w:rsidR="00F87870" w:rsidRPr="00F87870">
        <w:rPr>
          <w:rFonts w:eastAsia="Calibri"/>
          <w:spacing w:val="0"/>
          <w:shd w:val="clear" w:color="auto" w:fill="FFFFFF"/>
        </w:rPr>
        <w:t xml:space="preserve"> background </w:t>
      </w:r>
      <w:r w:rsidR="00846CFA">
        <w:rPr>
          <w:rFonts w:eastAsia="Calibri"/>
          <w:spacing w:val="0"/>
          <w:shd w:val="clear" w:color="auto" w:fill="FFFFFF"/>
        </w:rPr>
        <w:t xml:space="preserve">financial investigations </w:t>
      </w:r>
      <w:r w:rsidR="00F87870" w:rsidRPr="00F87870">
        <w:rPr>
          <w:rFonts w:eastAsia="Calibri"/>
          <w:spacing w:val="0"/>
          <w:shd w:val="clear" w:color="auto" w:fill="FFFFFF"/>
        </w:rPr>
        <w:t xml:space="preserve">on a party, </w:t>
      </w:r>
      <w:r w:rsidR="00846CFA">
        <w:rPr>
          <w:rFonts w:eastAsia="Calibri"/>
          <w:spacing w:val="0"/>
          <w:shd w:val="clear" w:color="auto" w:fill="FFFFFF"/>
        </w:rPr>
        <w:t>on whether</w:t>
      </w:r>
      <w:r w:rsidR="00F87870" w:rsidRPr="00F87870">
        <w:rPr>
          <w:rFonts w:eastAsia="Calibri"/>
          <w:spacing w:val="0"/>
          <w:shd w:val="clear" w:color="auto" w:fill="FFFFFF"/>
        </w:rPr>
        <w:t xml:space="preserve"> </w:t>
      </w:r>
      <w:r w:rsidR="007A0214">
        <w:rPr>
          <w:rFonts w:eastAsia="Calibri"/>
          <w:spacing w:val="0"/>
          <w:shd w:val="clear" w:color="auto" w:fill="FFFFFF"/>
        </w:rPr>
        <w:t xml:space="preserve">a </w:t>
      </w:r>
      <w:r w:rsidR="00F87870" w:rsidRPr="00F87870">
        <w:rPr>
          <w:rFonts w:eastAsia="Calibri"/>
          <w:spacing w:val="0"/>
          <w:shd w:val="clear" w:color="auto" w:fill="FFFFFF"/>
        </w:rPr>
        <w:t>party already has a debt elsewhere. She argued that being listed on ITC does not prohibit Mr Goagoseb from obtaining a loan or financial assistance.</w:t>
      </w:r>
    </w:p>
    <w:p w14:paraId="574403F3" w14:textId="77777777" w:rsidR="00F87870" w:rsidRPr="00F87870" w:rsidRDefault="00F87870" w:rsidP="00F87870">
      <w:pPr>
        <w:widowControl/>
        <w:ind w:left="720"/>
        <w:contextualSpacing/>
        <w:rPr>
          <w:rFonts w:eastAsia="Calibri"/>
          <w:spacing w:val="0"/>
          <w:shd w:val="clear" w:color="auto" w:fill="FFFFFF"/>
        </w:rPr>
      </w:pPr>
    </w:p>
    <w:p w14:paraId="46B47CA7" w14:textId="499757CC" w:rsidR="00F87870" w:rsidRPr="002E3E2C" w:rsidRDefault="00A44EF2" w:rsidP="00A44EF2">
      <w:pPr>
        <w:widowControl/>
        <w:contextualSpacing/>
        <w:rPr>
          <w:rFonts w:eastAsia="Calibri"/>
          <w:spacing w:val="0"/>
          <w:shd w:val="clear" w:color="auto" w:fill="FFFFFF"/>
        </w:rPr>
      </w:pPr>
      <w:r w:rsidRPr="002E3E2C">
        <w:rPr>
          <w:rFonts w:eastAsia="Calibri"/>
          <w:spacing w:val="0"/>
        </w:rPr>
        <w:t>[29]</w:t>
      </w:r>
      <w:r w:rsidRPr="002E3E2C">
        <w:rPr>
          <w:rFonts w:eastAsia="Calibri"/>
          <w:spacing w:val="0"/>
        </w:rPr>
        <w:tab/>
      </w:r>
      <w:r w:rsidR="00F87870" w:rsidRPr="00F87870">
        <w:rPr>
          <w:rFonts w:eastAsia="Calibri"/>
          <w:spacing w:val="0"/>
          <w:shd w:val="clear" w:color="auto" w:fill="FFFFFF"/>
        </w:rPr>
        <w:t xml:space="preserve">This argument is contradictory, in my view, as a financial institution </w:t>
      </w:r>
      <w:r w:rsidR="00513374">
        <w:rPr>
          <w:rFonts w:eastAsia="Calibri"/>
          <w:spacing w:val="0"/>
          <w:shd w:val="clear" w:color="auto" w:fill="FFFFFF"/>
        </w:rPr>
        <w:t xml:space="preserve">that </w:t>
      </w:r>
      <w:r w:rsidR="00513374" w:rsidRPr="00F87870">
        <w:rPr>
          <w:rFonts w:eastAsia="Calibri"/>
          <w:spacing w:val="0"/>
          <w:shd w:val="clear" w:color="auto" w:fill="FFFFFF"/>
        </w:rPr>
        <w:t>runs</w:t>
      </w:r>
      <w:r w:rsidR="00F87870" w:rsidRPr="00F87870">
        <w:rPr>
          <w:rFonts w:eastAsia="Calibri"/>
          <w:spacing w:val="0"/>
          <w:shd w:val="clear" w:color="auto" w:fill="FFFFFF"/>
        </w:rPr>
        <w:t xml:space="preserve"> a background check on a party and finds that such party is listed on ITC would not necessarily grant such financial assistance or loan to the </w:t>
      </w:r>
      <w:r w:rsidR="007A0214">
        <w:rPr>
          <w:rFonts w:eastAsia="Calibri"/>
          <w:spacing w:val="0"/>
          <w:shd w:val="clear" w:color="auto" w:fill="FFFFFF"/>
        </w:rPr>
        <w:t xml:space="preserve">said </w:t>
      </w:r>
      <w:r w:rsidR="00F87870" w:rsidRPr="00F87870">
        <w:rPr>
          <w:rFonts w:eastAsia="Calibri"/>
          <w:spacing w:val="0"/>
          <w:shd w:val="clear" w:color="auto" w:fill="FFFFFF"/>
        </w:rPr>
        <w:t>party</w:t>
      </w:r>
      <w:r w:rsidR="0099218B">
        <w:rPr>
          <w:rFonts w:eastAsia="Calibri"/>
          <w:spacing w:val="0"/>
          <w:shd w:val="clear" w:color="auto" w:fill="FFFFFF"/>
        </w:rPr>
        <w:t>,</w:t>
      </w:r>
      <w:r w:rsidR="00F87870" w:rsidRPr="00F87870">
        <w:rPr>
          <w:rFonts w:eastAsia="Calibri"/>
          <w:spacing w:val="0"/>
          <w:shd w:val="clear" w:color="auto" w:fill="FFFFFF"/>
        </w:rPr>
        <w:t xml:space="preserve"> </w:t>
      </w:r>
      <w:r w:rsidR="00513374" w:rsidRPr="00F87870">
        <w:rPr>
          <w:rFonts w:eastAsia="Calibri"/>
          <w:spacing w:val="0"/>
          <w:shd w:val="clear" w:color="auto" w:fill="FFFFFF"/>
        </w:rPr>
        <w:t>thus</w:t>
      </w:r>
      <w:r w:rsidR="00513374">
        <w:rPr>
          <w:rFonts w:eastAsia="Calibri"/>
          <w:spacing w:val="0"/>
          <w:shd w:val="clear" w:color="auto" w:fill="FFFFFF"/>
        </w:rPr>
        <w:t>,</w:t>
      </w:r>
      <w:r w:rsidR="00513374" w:rsidRPr="00F87870">
        <w:rPr>
          <w:rFonts w:eastAsia="Calibri"/>
          <w:spacing w:val="0"/>
          <w:shd w:val="clear" w:color="auto" w:fill="FFFFFF"/>
        </w:rPr>
        <w:t xml:space="preserve"> prohibiting</w:t>
      </w:r>
      <w:r w:rsidR="00F87870" w:rsidRPr="00F87870">
        <w:rPr>
          <w:rFonts w:eastAsia="Calibri"/>
          <w:spacing w:val="0"/>
          <w:shd w:val="clear" w:color="auto" w:fill="FFFFFF"/>
        </w:rPr>
        <w:t xml:space="preserve"> the party from obtaining such financial assistance or loan, in any event.</w:t>
      </w:r>
    </w:p>
    <w:p w14:paraId="5E4D09EE" w14:textId="77777777" w:rsidR="00F87870" w:rsidRPr="00F87870" w:rsidRDefault="00F87870" w:rsidP="00F87870">
      <w:pPr>
        <w:widowControl/>
        <w:rPr>
          <w:rFonts w:eastAsia="Calibri"/>
          <w:spacing w:val="0"/>
          <w:shd w:val="clear" w:color="auto" w:fill="FFFFFF"/>
        </w:rPr>
      </w:pPr>
    </w:p>
    <w:p w14:paraId="4C82E9D2" w14:textId="77777777" w:rsidR="00F87870" w:rsidRPr="00F87870" w:rsidRDefault="00F87870" w:rsidP="00F87870">
      <w:pPr>
        <w:widowControl/>
        <w:contextualSpacing/>
        <w:rPr>
          <w:rFonts w:eastAsia="Calibri"/>
          <w:spacing w:val="0"/>
          <w:u w:val="single"/>
          <w:shd w:val="clear" w:color="auto" w:fill="FFFFFF"/>
        </w:rPr>
      </w:pPr>
      <w:r w:rsidRPr="00F87870">
        <w:rPr>
          <w:rFonts w:eastAsia="Calibri"/>
          <w:spacing w:val="0"/>
          <w:u w:val="single"/>
          <w:shd w:val="clear" w:color="auto" w:fill="FFFFFF"/>
        </w:rPr>
        <w:t>Discussion</w:t>
      </w:r>
    </w:p>
    <w:p w14:paraId="6A59419C" w14:textId="77777777" w:rsidR="00F87870" w:rsidRPr="00F87870" w:rsidRDefault="00F87870" w:rsidP="00F87870">
      <w:pPr>
        <w:widowControl/>
        <w:contextualSpacing/>
        <w:rPr>
          <w:rFonts w:eastAsia="Calibri"/>
          <w:spacing w:val="0"/>
          <w:shd w:val="clear" w:color="auto" w:fill="FFFFFF"/>
        </w:rPr>
      </w:pPr>
    </w:p>
    <w:p w14:paraId="7D36E3CC" w14:textId="3F235597" w:rsidR="00F87870" w:rsidRPr="00F87870" w:rsidRDefault="00A44EF2" w:rsidP="00A44EF2">
      <w:pPr>
        <w:widowControl/>
        <w:contextualSpacing/>
        <w:rPr>
          <w:rFonts w:eastAsia="Calibri"/>
          <w:spacing w:val="0"/>
          <w:shd w:val="clear" w:color="auto" w:fill="FFFFFF"/>
        </w:rPr>
      </w:pPr>
      <w:r w:rsidRPr="00F87870">
        <w:rPr>
          <w:rFonts w:eastAsia="Calibri"/>
          <w:spacing w:val="0"/>
        </w:rPr>
        <w:t>[30]</w:t>
      </w:r>
      <w:r w:rsidRPr="00F87870">
        <w:rPr>
          <w:rFonts w:eastAsia="Calibri"/>
          <w:spacing w:val="0"/>
        </w:rPr>
        <w:tab/>
      </w:r>
      <w:r w:rsidR="00F87870" w:rsidRPr="00F87870">
        <w:rPr>
          <w:rFonts w:eastAsia="Calibri"/>
          <w:spacing w:val="0"/>
          <w:shd w:val="clear" w:color="auto" w:fill="FFFFFF"/>
        </w:rPr>
        <w:t xml:space="preserve">To determine an application under rule 108 of this court’s rules, </w:t>
      </w:r>
      <w:r w:rsidR="000B4551">
        <w:rPr>
          <w:rFonts w:eastAsia="Calibri"/>
          <w:spacing w:val="0"/>
          <w:shd w:val="clear" w:color="auto" w:fill="FFFFFF"/>
        </w:rPr>
        <w:t>the court is</w:t>
      </w:r>
      <w:r w:rsidR="00F87870" w:rsidRPr="00F87870">
        <w:rPr>
          <w:rFonts w:eastAsia="Calibri"/>
          <w:spacing w:val="0"/>
          <w:shd w:val="clear" w:color="auto" w:fill="FFFFFF"/>
        </w:rPr>
        <w:t xml:space="preserve"> </w:t>
      </w:r>
      <w:r w:rsidR="000B4551">
        <w:rPr>
          <w:rFonts w:eastAsia="Calibri"/>
          <w:spacing w:val="0"/>
          <w:shd w:val="clear" w:color="auto" w:fill="FFFFFF"/>
        </w:rPr>
        <w:t>required</w:t>
      </w:r>
      <w:r w:rsidR="00F87870" w:rsidRPr="00F87870">
        <w:rPr>
          <w:rFonts w:eastAsia="Calibri"/>
          <w:spacing w:val="0"/>
          <w:shd w:val="clear" w:color="auto" w:fill="FFFFFF"/>
        </w:rPr>
        <w:t xml:space="preserve"> to consider whether there are less drastic measures that can be employed before declaring the property specially executable.</w:t>
      </w:r>
      <w:r w:rsidR="00F87870" w:rsidRPr="00F87870">
        <w:rPr>
          <w:rFonts w:eastAsia="Calibri"/>
          <w:spacing w:val="0"/>
          <w:shd w:val="clear" w:color="auto" w:fill="FFFFFF"/>
          <w:vertAlign w:val="superscript"/>
        </w:rPr>
        <w:footnoteReference w:id="5"/>
      </w:r>
      <w:r w:rsidR="00F87870" w:rsidRPr="00F87870">
        <w:rPr>
          <w:rFonts w:eastAsia="Calibri"/>
          <w:spacing w:val="0"/>
          <w:shd w:val="clear" w:color="auto" w:fill="FFFFFF"/>
        </w:rPr>
        <w:t xml:space="preserve"> I am alive to the fact that in considering the less drastic measures, same should not amount to defeating the commercial interest of Standard Bank.</w:t>
      </w:r>
      <w:r w:rsidR="00F87870" w:rsidRPr="00F87870">
        <w:rPr>
          <w:rFonts w:eastAsia="Calibri"/>
          <w:spacing w:val="0"/>
          <w:shd w:val="clear" w:color="auto" w:fill="FFFFFF"/>
          <w:vertAlign w:val="superscript"/>
        </w:rPr>
        <w:footnoteReference w:id="6"/>
      </w:r>
    </w:p>
    <w:p w14:paraId="3DCDF90D" w14:textId="77777777" w:rsidR="00F87870" w:rsidRPr="00F87870" w:rsidRDefault="00F87870" w:rsidP="00F87870">
      <w:pPr>
        <w:widowControl/>
        <w:contextualSpacing/>
        <w:rPr>
          <w:rFonts w:eastAsia="Calibri"/>
          <w:spacing w:val="0"/>
          <w:shd w:val="clear" w:color="auto" w:fill="FFFFFF"/>
        </w:rPr>
      </w:pPr>
    </w:p>
    <w:p w14:paraId="1485FB48" w14:textId="4A6FD3F6" w:rsidR="00796490" w:rsidRDefault="00A44EF2" w:rsidP="00A44EF2">
      <w:pPr>
        <w:widowControl/>
        <w:contextualSpacing/>
        <w:rPr>
          <w:rFonts w:eastAsia="Calibri"/>
          <w:spacing w:val="0"/>
          <w:shd w:val="clear" w:color="auto" w:fill="FFFFFF"/>
        </w:rPr>
      </w:pPr>
      <w:r>
        <w:rPr>
          <w:rFonts w:eastAsia="Calibri"/>
          <w:spacing w:val="0"/>
        </w:rPr>
        <w:t>[31]</w:t>
      </w:r>
      <w:r>
        <w:rPr>
          <w:rFonts w:eastAsia="Calibri"/>
          <w:spacing w:val="0"/>
        </w:rPr>
        <w:tab/>
      </w:r>
      <w:r w:rsidR="00F87870" w:rsidRPr="00F87870">
        <w:rPr>
          <w:rFonts w:eastAsia="Calibri"/>
          <w:spacing w:val="0"/>
          <w:shd w:val="clear" w:color="auto" w:fill="FFFFFF"/>
        </w:rPr>
        <w:t xml:space="preserve">It is common cause that Mr Goagoseb has kept to his undertaking and consistently makes payment in the sum of N$13 473,55 to Standard Bank. There is no dispute regarding this. </w:t>
      </w:r>
    </w:p>
    <w:p w14:paraId="7305A97B" w14:textId="77777777" w:rsidR="00796490" w:rsidRDefault="00796490" w:rsidP="00796490">
      <w:pPr>
        <w:pStyle w:val="ListParagraph"/>
        <w:rPr>
          <w:rFonts w:eastAsia="Calibri"/>
          <w:sz w:val="24"/>
          <w:shd w:val="clear" w:color="auto" w:fill="FFFFFF"/>
        </w:rPr>
      </w:pPr>
    </w:p>
    <w:p w14:paraId="23BF2E35" w14:textId="5AE97D11" w:rsidR="00796490" w:rsidRPr="00F87870" w:rsidRDefault="00A44EF2" w:rsidP="00A44EF2">
      <w:pPr>
        <w:widowControl/>
        <w:contextualSpacing/>
        <w:rPr>
          <w:rFonts w:eastAsia="Calibri"/>
          <w:spacing w:val="0"/>
          <w:shd w:val="clear" w:color="auto" w:fill="FFFFFF"/>
        </w:rPr>
      </w:pPr>
      <w:r w:rsidRPr="00F87870">
        <w:rPr>
          <w:rFonts w:eastAsia="Calibri"/>
          <w:spacing w:val="0"/>
        </w:rPr>
        <w:t>[32]</w:t>
      </w:r>
      <w:r w:rsidRPr="00F87870">
        <w:rPr>
          <w:rFonts w:eastAsia="Calibri"/>
          <w:spacing w:val="0"/>
        </w:rPr>
        <w:tab/>
      </w:r>
      <w:r w:rsidR="00796490">
        <w:rPr>
          <w:rFonts w:eastAsia="Calibri"/>
          <w:spacing w:val="0"/>
          <w:shd w:val="clear" w:color="auto" w:fill="FFFFFF"/>
        </w:rPr>
        <w:t>The issue here is with the amount offered for arrears. Mr Goagoseb offered to pay the amount of N$2500</w:t>
      </w:r>
      <w:r w:rsidR="00513374">
        <w:rPr>
          <w:rFonts w:eastAsia="Calibri"/>
          <w:spacing w:val="0"/>
          <w:shd w:val="clear" w:color="auto" w:fill="FFFFFF"/>
        </w:rPr>
        <w:t xml:space="preserve"> </w:t>
      </w:r>
      <w:r w:rsidR="00796490">
        <w:rPr>
          <w:rFonts w:eastAsia="Calibri"/>
          <w:spacing w:val="0"/>
          <w:shd w:val="clear" w:color="auto" w:fill="FFFFFF"/>
        </w:rPr>
        <w:t>for the arrears, which Standard Bank submits is wholly insufficient. Arrears are curre</w:t>
      </w:r>
      <w:r w:rsidR="00162970">
        <w:rPr>
          <w:rFonts w:eastAsia="Calibri"/>
          <w:spacing w:val="0"/>
          <w:shd w:val="clear" w:color="auto" w:fill="FFFFFF"/>
        </w:rPr>
        <w:t>ntly estimated at approximately</w:t>
      </w:r>
      <w:r w:rsidR="00796490" w:rsidRPr="00F87870">
        <w:rPr>
          <w:rFonts w:eastAsia="Calibri"/>
          <w:spacing w:val="0"/>
          <w:shd w:val="clear" w:color="auto" w:fill="FFFFFF"/>
        </w:rPr>
        <w:t xml:space="preserve"> </w:t>
      </w:r>
      <w:r w:rsidR="00796490" w:rsidRPr="00F87870">
        <w:rPr>
          <w:rFonts w:eastAsia="Calibri"/>
          <w:spacing w:val="0"/>
          <w:shd w:val="clear" w:color="auto" w:fill="FFFFFF"/>
        </w:rPr>
        <w:lastRenderedPageBreak/>
        <w:t xml:space="preserve">N$450 000 </w:t>
      </w:r>
      <w:r w:rsidR="00162970">
        <w:rPr>
          <w:rFonts w:eastAsia="Calibri"/>
          <w:spacing w:val="0"/>
          <w:shd w:val="clear" w:color="auto" w:fill="FFFFFF"/>
        </w:rPr>
        <w:t>as of</w:t>
      </w:r>
      <w:r w:rsidR="00796490">
        <w:rPr>
          <w:rFonts w:eastAsia="Calibri"/>
          <w:spacing w:val="0"/>
          <w:shd w:val="clear" w:color="auto" w:fill="FFFFFF"/>
        </w:rPr>
        <w:t xml:space="preserve"> 3 February 2023 </w:t>
      </w:r>
      <w:r w:rsidR="00796490" w:rsidRPr="00F87870">
        <w:rPr>
          <w:rFonts w:eastAsia="Calibri"/>
          <w:spacing w:val="0"/>
          <w:shd w:val="clear" w:color="auto" w:fill="FFFFFF"/>
        </w:rPr>
        <w:t>(at the time of filing the replying affidavit on 3 June 2022, the arrears stood at an amount of N$299 74,89).</w:t>
      </w:r>
    </w:p>
    <w:p w14:paraId="4B723BC2" w14:textId="77777777" w:rsidR="000B4551" w:rsidRDefault="000B4551" w:rsidP="000B4551">
      <w:pPr>
        <w:pStyle w:val="ListParagraph"/>
        <w:rPr>
          <w:rFonts w:eastAsia="Calibri"/>
          <w:sz w:val="24"/>
          <w:shd w:val="clear" w:color="auto" w:fill="FFFFFF"/>
        </w:rPr>
      </w:pPr>
    </w:p>
    <w:p w14:paraId="49048E3B" w14:textId="64B6FBDF" w:rsidR="00796490" w:rsidRPr="00796490" w:rsidRDefault="00A44EF2" w:rsidP="00A44EF2">
      <w:pPr>
        <w:widowControl/>
        <w:contextualSpacing/>
        <w:rPr>
          <w:rFonts w:eastAsia="Calibri"/>
          <w:spacing w:val="0"/>
          <w:shd w:val="clear" w:color="auto" w:fill="FFFFFF"/>
        </w:rPr>
      </w:pPr>
      <w:r w:rsidRPr="00796490">
        <w:rPr>
          <w:rFonts w:eastAsia="Calibri"/>
          <w:spacing w:val="0"/>
        </w:rPr>
        <w:t>[33]</w:t>
      </w:r>
      <w:r w:rsidRPr="00796490">
        <w:rPr>
          <w:rFonts w:eastAsia="Calibri"/>
          <w:spacing w:val="0"/>
        </w:rPr>
        <w:tab/>
      </w:r>
      <w:r w:rsidR="000B4551" w:rsidRPr="00796490">
        <w:rPr>
          <w:rFonts w:eastAsia="Calibri"/>
          <w:spacing w:val="0"/>
          <w:shd w:val="clear" w:color="auto" w:fill="FFFFFF"/>
        </w:rPr>
        <w:t>It cannot be disputed that being listed on ITC significantly, if not completely</w:t>
      </w:r>
      <w:r w:rsidR="007A0214">
        <w:rPr>
          <w:rFonts w:eastAsia="Calibri"/>
          <w:spacing w:val="0"/>
          <w:shd w:val="clear" w:color="auto" w:fill="FFFFFF"/>
        </w:rPr>
        <w:t>,</w:t>
      </w:r>
      <w:r w:rsidR="000B4551" w:rsidRPr="00796490">
        <w:rPr>
          <w:rFonts w:eastAsia="Calibri"/>
          <w:spacing w:val="0"/>
          <w:shd w:val="clear" w:color="auto" w:fill="FFFFFF"/>
        </w:rPr>
        <w:t xml:space="preserve"> reduces Mr Goagoseb’s ability to apply for a loan so as to increase the </w:t>
      </w:r>
      <w:r w:rsidR="008F6D39">
        <w:rPr>
          <w:rFonts w:eastAsia="Calibri"/>
          <w:spacing w:val="0"/>
          <w:shd w:val="clear" w:color="auto" w:fill="FFFFFF"/>
        </w:rPr>
        <w:t xml:space="preserve">offer and payments on </w:t>
      </w:r>
      <w:r w:rsidR="00162970">
        <w:rPr>
          <w:rFonts w:eastAsia="Calibri"/>
          <w:spacing w:val="0"/>
          <w:shd w:val="clear" w:color="auto" w:fill="FFFFFF"/>
        </w:rPr>
        <w:t xml:space="preserve">the </w:t>
      </w:r>
      <w:r w:rsidR="000B4551" w:rsidRPr="00796490">
        <w:rPr>
          <w:rFonts w:eastAsia="Calibri"/>
          <w:spacing w:val="0"/>
          <w:shd w:val="clear" w:color="auto" w:fill="FFFFFF"/>
        </w:rPr>
        <w:t xml:space="preserve">arrear amount. </w:t>
      </w:r>
      <w:r w:rsidR="00513374">
        <w:rPr>
          <w:rFonts w:eastAsia="Calibri"/>
          <w:spacing w:val="0"/>
          <w:shd w:val="clear" w:color="auto" w:fill="FFFFFF"/>
        </w:rPr>
        <w:t>In</w:t>
      </w:r>
      <w:r w:rsidR="00796490">
        <w:rPr>
          <w:rFonts w:eastAsia="Calibri"/>
          <w:i/>
          <w:iCs/>
          <w:spacing w:val="0"/>
          <w:shd w:val="clear" w:color="auto" w:fill="FFFFFF"/>
        </w:rPr>
        <w:t xml:space="preserve"> Kisilipile v First National Bank</w:t>
      </w:r>
      <w:r w:rsidR="00796490" w:rsidRPr="006F2DCE">
        <w:rPr>
          <w:rStyle w:val="FootnoteReference"/>
          <w:rFonts w:eastAsia="Calibri"/>
          <w:iCs/>
          <w:spacing w:val="0"/>
          <w:shd w:val="clear" w:color="auto" w:fill="FFFFFF"/>
        </w:rPr>
        <w:footnoteReference w:id="7"/>
      </w:r>
      <w:r w:rsidR="00796490">
        <w:rPr>
          <w:rFonts w:eastAsia="Calibri"/>
          <w:i/>
          <w:iCs/>
          <w:spacing w:val="0"/>
          <w:shd w:val="clear" w:color="auto" w:fill="FFFFFF"/>
        </w:rPr>
        <w:t xml:space="preserve"> </w:t>
      </w:r>
      <w:r w:rsidR="00796490" w:rsidRPr="00796490">
        <w:rPr>
          <w:rFonts w:eastAsia="Calibri"/>
          <w:spacing w:val="0"/>
          <w:shd w:val="clear" w:color="auto" w:fill="FFFFFF"/>
        </w:rPr>
        <w:t xml:space="preserve">the </w:t>
      </w:r>
      <w:r w:rsidR="006073AD">
        <w:rPr>
          <w:rFonts w:eastAsia="Calibri"/>
          <w:spacing w:val="0"/>
          <w:shd w:val="clear" w:color="auto" w:fill="FFFFFF"/>
        </w:rPr>
        <w:t xml:space="preserve">Supreme Court </w:t>
      </w:r>
      <w:r w:rsidR="00796490" w:rsidRPr="00796490">
        <w:rPr>
          <w:rFonts w:eastAsia="Calibri"/>
          <w:spacing w:val="0"/>
          <w:shd w:val="clear" w:color="auto" w:fill="FFFFFF"/>
        </w:rPr>
        <w:t>had this to say in explaining the rationale of judicial oversight</w:t>
      </w:r>
      <w:r w:rsidR="00707393">
        <w:rPr>
          <w:rFonts w:eastAsia="Calibri"/>
          <w:spacing w:val="0"/>
          <w:shd w:val="clear" w:color="auto" w:fill="FFFFFF"/>
        </w:rPr>
        <w:t xml:space="preserve">: </w:t>
      </w:r>
    </w:p>
    <w:p w14:paraId="25EE7BBB" w14:textId="77777777" w:rsidR="00796490" w:rsidRDefault="00796490" w:rsidP="00796490">
      <w:pPr>
        <w:pStyle w:val="ListParagraph"/>
        <w:rPr>
          <w:rFonts w:eastAsia="Calibri"/>
          <w:sz w:val="24"/>
          <w:shd w:val="clear" w:color="auto" w:fill="FFFFFF"/>
        </w:rPr>
      </w:pPr>
    </w:p>
    <w:p w14:paraId="2A0C7F4C" w14:textId="11136C76" w:rsidR="00796490" w:rsidRPr="006073AD" w:rsidRDefault="00707393" w:rsidP="006F2DCE">
      <w:pPr>
        <w:widowControl/>
        <w:ind w:firstLine="720"/>
        <w:contextualSpacing/>
        <w:rPr>
          <w:rFonts w:eastAsia="Calibri"/>
          <w:spacing w:val="0"/>
          <w:sz w:val="22"/>
          <w:szCs w:val="22"/>
          <w:shd w:val="clear" w:color="auto" w:fill="FFFFFF"/>
        </w:rPr>
      </w:pPr>
      <w:r w:rsidRPr="006073AD">
        <w:rPr>
          <w:rFonts w:eastAsia="Calibri"/>
          <w:spacing w:val="0"/>
          <w:sz w:val="22"/>
          <w:szCs w:val="22"/>
          <w:shd w:val="clear" w:color="auto" w:fill="FFFFFF"/>
        </w:rPr>
        <w:t>‘</w:t>
      </w:r>
      <w:r w:rsidR="00796490" w:rsidRPr="006073AD">
        <w:rPr>
          <w:rFonts w:eastAsia="Calibri"/>
          <w:spacing w:val="0"/>
          <w:sz w:val="22"/>
          <w:szCs w:val="22"/>
          <w:shd w:val="clear" w:color="auto" w:fill="FFFFFF"/>
        </w:rPr>
        <w:t>[20] Judicial oversight exists to ensure that debtors are not made homeless unnecessarily and that the sale in execution of a primary home is a last resort. The court is required to take into account 'all the relevant circumstances'. When exercising the discretion under rule 108 the court should bear in mind that a sale in execution of a primary home does not necessarily extinguish the debt. The reality is often the contrary. In other words, the debtor remains indebted to the credit giver for the balance of the debt, considering that under the current rule framework the property is to be sold to the highest bidder for not less than 75% of either the local authority council or regional council valuation or in the absence of that, at not less than 75% of a sworn valuation.  There is no requirement that the highest bid be not less than the actual indebtedness of the judgment debtor to the credit giver.</w:t>
      </w:r>
    </w:p>
    <w:p w14:paraId="3134B845" w14:textId="77777777" w:rsidR="00707393" w:rsidRPr="006073AD" w:rsidRDefault="00707393" w:rsidP="00796490">
      <w:pPr>
        <w:widowControl/>
        <w:contextualSpacing/>
        <w:rPr>
          <w:rFonts w:eastAsia="Calibri"/>
          <w:spacing w:val="0"/>
          <w:sz w:val="22"/>
          <w:szCs w:val="22"/>
          <w:shd w:val="clear" w:color="auto" w:fill="FFFFFF"/>
        </w:rPr>
      </w:pPr>
    </w:p>
    <w:p w14:paraId="40F22E7E" w14:textId="693F8A59" w:rsidR="00796490" w:rsidRPr="00707393" w:rsidRDefault="00796490" w:rsidP="00796490">
      <w:pPr>
        <w:widowControl/>
        <w:contextualSpacing/>
        <w:rPr>
          <w:rFonts w:eastAsia="Calibri"/>
          <w:spacing w:val="0"/>
          <w:shd w:val="clear" w:color="auto" w:fill="FFFFFF"/>
        </w:rPr>
      </w:pPr>
      <w:r w:rsidRPr="006073AD">
        <w:rPr>
          <w:rFonts w:eastAsia="Calibri"/>
          <w:spacing w:val="0"/>
          <w:sz w:val="22"/>
          <w:szCs w:val="22"/>
          <w:shd w:val="clear" w:color="auto" w:fill="FFFFFF"/>
        </w:rPr>
        <w:t xml:space="preserve">[21] </w:t>
      </w:r>
      <w:bookmarkStart w:id="8" w:name="_Hlk130216204"/>
      <w:r w:rsidRPr="006073AD">
        <w:rPr>
          <w:rFonts w:eastAsia="Calibri"/>
          <w:spacing w:val="0"/>
          <w:sz w:val="22"/>
          <w:szCs w:val="22"/>
          <w:u w:val="single"/>
          <w:shd w:val="clear" w:color="auto" w:fill="FFFFFF"/>
        </w:rPr>
        <w:t>Such a debtor would ordinarily be listed with ITC and would not be able to secure any further loan finance</w:t>
      </w:r>
      <w:bookmarkEnd w:id="8"/>
      <w:r w:rsidRPr="006073AD">
        <w:rPr>
          <w:rFonts w:eastAsia="Calibri"/>
          <w:spacing w:val="0"/>
          <w:sz w:val="22"/>
          <w:szCs w:val="22"/>
          <w:shd w:val="clear" w:color="auto" w:fill="FFFFFF"/>
        </w:rPr>
        <w:t>. The prospect of securing another mortgage to buy a home is therefore almost nil</w:t>
      </w:r>
      <w:r w:rsidRPr="006073AD">
        <w:rPr>
          <w:rFonts w:eastAsia="Calibri"/>
          <w:spacing w:val="0"/>
          <w:sz w:val="22"/>
          <w:szCs w:val="22"/>
          <w:u w:val="single"/>
          <w:shd w:val="clear" w:color="auto" w:fill="FFFFFF"/>
        </w:rPr>
        <w:t>. The court should also take into consideration the payment history of the debtor. Greater latitude should be given to the debtor who has a reasonably good payment history; the extent of the balance outstanding; and the age of the debtor — which is an important factor whether or not the debtor will be able to secure another loan to buy a home</w:t>
      </w:r>
      <w:r w:rsidR="006073AD" w:rsidRPr="006073AD">
        <w:rPr>
          <w:rFonts w:eastAsia="Calibri"/>
          <w:spacing w:val="0"/>
          <w:sz w:val="22"/>
          <w:szCs w:val="22"/>
          <w:u w:val="single"/>
          <w:shd w:val="clear" w:color="auto" w:fill="FFFFFF"/>
        </w:rPr>
        <w:t>’</w:t>
      </w:r>
      <w:r w:rsidR="00707393">
        <w:rPr>
          <w:rFonts w:eastAsia="Calibri"/>
          <w:spacing w:val="0"/>
          <w:shd w:val="clear" w:color="auto" w:fill="FFFFFF"/>
        </w:rPr>
        <w:t xml:space="preserve"> (emphasis supplied).</w:t>
      </w:r>
    </w:p>
    <w:p w14:paraId="358B2A59" w14:textId="77777777" w:rsidR="00F87870" w:rsidRPr="00F87870" w:rsidRDefault="00F87870" w:rsidP="00F87870">
      <w:pPr>
        <w:widowControl/>
        <w:contextualSpacing/>
        <w:rPr>
          <w:rFonts w:eastAsia="Calibri"/>
          <w:spacing w:val="0"/>
          <w:shd w:val="clear" w:color="auto" w:fill="FFFFFF"/>
        </w:rPr>
      </w:pPr>
    </w:p>
    <w:p w14:paraId="36E4631B" w14:textId="3E3DD23B" w:rsidR="00F87870" w:rsidRPr="00F87870" w:rsidRDefault="00A44EF2" w:rsidP="00A44EF2">
      <w:pPr>
        <w:widowControl/>
        <w:contextualSpacing/>
        <w:rPr>
          <w:rFonts w:eastAsia="Calibri"/>
          <w:spacing w:val="0"/>
          <w:shd w:val="clear" w:color="auto" w:fill="FFFFFF"/>
        </w:rPr>
      </w:pPr>
      <w:r w:rsidRPr="00F87870">
        <w:rPr>
          <w:rFonts w:eastAsia="Calibri"/>
          <w:spacing w:val="0"/>
        </w:rPr>
        <w:t>[34]</w:t>
      </w:r>
      <w:r w:rsidRPr="00F87870">
        <w:rPr>
          <w:rFonts w:eastAsia="Calibri"/>
          <w:spacing w:val="0"/>
        </w:rPr>
        <w:tab/>
      </w:r>
      <w:r w:rsidR="00F87870" w:rsidRPr="00F87870">
        <w:rPr>
          <w:rFonts w:eastAsia="Calibri"/>
          <w:spacing w:val="0"/>
          <w:shd w:val="clear" w:color="auto" w:fill="FFFFFF"/>
        </w:rPr>
        <w:t xml:space="preserve">In </w:t>
      </w:r>
      <w:r w:rsidR="00F87870" w:rsidRPr="00F87870">
        <w:rPr>
          <w:rFonts w:eastAsia="Calibri"/>
          <w:i/>
          <w:spacing w:val="0"/>
          <w:shd w:val="clear" w:color="auto" w:fill="FFFFFF"/>
        </w:rPr>
        <w:t>Standard Bank v Augisto and Others</w:t>
      </w:r>
      <w:r w:rsidR="00F87870" w:rsidRPr="00F87870">
        <w:rPr>
          <w:rFonts w:eastAsia="Calibri"/>
          <w:spacing w:val="0"/>
          <w:shd w:val="clear" w:color="auto" w:fill="FFFFFF"/>
          <w:vertAlign w:val="superscript"/>
        </w:rPr>
        <w:footnoteReference w:id="8"/>
      </w:r>
      <w:r w:rsidR="00F87870" w:rsidRPr="00F87870">
        <w:rPr>
          <w:rFonts w:eastAsia="Calibri"/>
          <w:spacing w:val="0"/>
          <w:shd w:val="clear" w:color="auto" w:fill="FFFFFF"/>
        </w:rPr>
        <w:t xml:space="preserve"> the court held </w:t>
      </w:r>
      <w:r w:rsidR="008F6D39">
        <w:rPr>
          <w:rFonts w:eastAsia="Calibri"/>
          <w:spacing w:val="0"/>
          <w:shd w:val="clear" w:color="auto" w:fill="FFFFFF"/>
        </w:rPr>
        <w:t>that:</w:t>
      </w:r>
    </w:p>
    <w:p w14:paraId="72BAD706" w14:textId="77777777" w:rsidR="00F87870" w:rsidRPr="00F87870" w:rsidRDefault="00F87870" w:rsidP="00F87870">
      <w:pPr>
        <w:widowControl/>
        <w:contextualSpacing/>
        <w:rPr>
          <w:rFonts w:eastAsia="Calibri"/>
          <w:spacing w:val="0"/>
          <w:shd w:val="clear" w:color="auto" w:fill="FFFFFF"/>
        </w:rPr>
      </w:pPr>
    </w:p>
    <w:p w14:paraId="6EAB537C" w14:textId="17B8D9DC" w:rsidR="00F87870" w:rsidRPr="00162970" w:rsidRDefault="00513374" w:rsidP="00162970">
      <w:pPr>
        <w:widowControl/>
        <w:ind w:firstLine="720"/>
        <w:contextualSpacing/>
        <w:rPr>
          <w:rFonts w:eastAsia="Calibri"/>
          <w:spacing w:val="0"/>
          <w:sz w:val="22"/>
          <w:shd w:val="clear" w:color="auto" w:fill="FFFFFF"/>
        </w:rPr>
      </w:pPr>
      <w:bookmarkStart w:id="9" w:name="_Hlk130216260"/>
      <w:r>
        <w:rPr>
          <w:rFonts w:eastAsia="Calibri"/>
          <w:spacing w:val="0"/>
          <w:sz w:val="22"/>
          <w:shd w:val="clear" w:color="auto" w:fill="FFFFFF"/>
        </w:rPr>
        <w:lastRenderedPageBreak/>
        <w:t>‘</w:t>
      </w:r>
      <w:r w:rsidR="00F87870" w:rsidRPr="00F87870">
        <w:rPr>
          <w:rFonts w:eastAsia="Calibri"/>
          <w:spacing w:val="0"/>
          <w:sz w:val="22"/>
          <w:shd w:val="clear" w:color="auto" w:fill="FFFFFF"/>
        </w:rPr>
        <w:t>If the judgment debt can be satisfied in a reasonable manner, without involving those drastic consequences, an alternative course should be considered judicially before granting execution orders</w:t>
      </w:r>
      <w:bookmarkEnd w:id="9"/>
      <w:r>
        <w:rPr>
          <w:rFonts w:eastAsia="Calibri"/>
          <w:spacing w:val="0"/>
          <w:sz w:val="22"/>
          <w:shd w:val="clear" w:color="auto" w:fill="FFFFFF"/>
        </w:rPr>
        <w:t>.’</w:t>
      </w:r>
    </w:p>
    <w:p w14:paraId="6E908D96" w14:textId="77777777" w:rsidR="00F87870" w:rsidRPr="00F87870" w:rsidRDefault="00F87870" w:rsidP="00F87870">
      <w:pPr>
        <w:widowControl/>
        <w:contextualSpacing/>
        <w:rPr>
          <w:rFonts w:eastAsia="Calibri"/>
          <w:spacing w:val="0"/>
          <w:shd w:val="clear" w:color="auto" w:fill="FFFFFF"/>
        </w:rPr>
      </w:pPr>
    </w:p>
    <w:p w14:paraId="3A9498A5" w14:textId="7C07470E" w:rsidR="00F87870" w:rsidRPr="00F87870" w:rsidRDefault="00A44EF2" w:rsidP="00A44EF2">
      <w:pPr>
        <w:widowControl/>
        <w:contextualSpacing/>
        <w:rPr>
          <w:rFonts w:eastAsia="Calibri"/>
          <w:spacing w:val="0"/>
          <w:shd w:val="clear" w:color="auto" w:fill="FFFFFF"/>
        </w:rPr>
      </w:pPr>
      <w:r w:rsidRPr="00F87870">
        <w:rPr>
          <w:rFonts w:eastAsia="Calibri"/>
          <w:spacing w:val="0"/>
        </w:rPr>
        <w:t>[35]</w:t>
      </w:r>
      <w:r w:rsidRPr="00F87870">
        <w:rPr>
          <w:rFonts w:eastAsia="Calibri"/>
          <w:spacing w:val="0"/>
        </w:rPr>
        <w:tab/>
      </w:r>
      <w:r w:rsidR="008F6D39">
        <w:rPr>
          <w:rFonts w:eastAsia="Calibri"/>
          <w:spacing w:val="0"/>
          <w:shd w:val="clear" w:color="auto" w:fill="FFFFFF"/>
        </w:rPr>
        <w:t>In</w:t>
      </w:r>
      <w:r w:rsidR="00F87870" w:rsidRPr="00F87870">
        <w:rPr>
          <w:rFonts w:eastAsia="Calibri"/>
          <w:spacing w:val="0"/>
          <w:shd w:val="clear" w:color="auto" w:fill="FFFFFF"/>
        </w:rPr>
        <w:t xml:space="preserve"> </w:t>
      </w:r>
      <w:r w:rsidR="00F87870" w:rsidRPr="00F87870">
        <w:rPr>
          <w:rFonts w:eastAsia="Calibri"/>
          <w:i/>
          <w:spacing w:val="0"/>
          <w:shd w:val="clear" w:color="auto" w:fill="FFFFFF"/>
        </w:rPr>
        <w:t>First National Bank v Musheti</w:t>
      </w:r>
      <w:r w:rsidR="00F87870" w:rsidRPr="00F87870">
        <w:rPr>
          <w:rFonts w:eastAsia="Calibri"/>
          <w:spacing w:val="0"/>
          <w:shd w:val="clear" w:color="auto" w:fill="FFFFFF"/>
          <w:vertAlign w:val="superscript"/>
        </w:rPr>
        <w:footnoteReference w:id="9"/>
      </w:r>
      <w:r w:rsidR="00F87870" w:rsidRPr="00F87870">
        <w:rPr>
          <w:rFonts w:eastAsia="Calibri"/>
          <w:spacing w:val="0"/>
          <w:shd w:val="clear" w:color="auto" w:fill="FFFFFF"/>
        </w:rPr>
        <w:t xml:space="preserve"> </w:t>
      </w:r>
      <w:r w:rsidR="008F6D39">
        <w:rPr>
          <w:rFonts w:eastAsia="Calibri"/>
          <w:spacing w:val="0"/>
          <w:shd w:val="clear" w:color="auto" w:fill="FFFFFF"/>
        </w:rPr>
        <w:t>Angula DJP stated that</w:t>
      </w:r>
      <w:r w:rsidR="00F87870" w:rsidRPr="00F87870">
        <w:rPr>
          <w:rFonts w:eastAsia="Calibri"/>
          <w:spacing w:val="0"/>
          <w:shd w:val="clear" w:color="auto" w:fill="FFFFFF"/>
        </w:rPr>
        <w:t>:</w:t>
      </w:r>
    </w:p>
    <w:p w14:paraId="71B0D42B" w14:textId="77777777" w:rsidR="00F87870" w:rsidRPr="00F87870" w:rsidRDefault="00F87870" w:rsidP="00F87870">
      <w:pPr>
        <w:widowControl/>
        <w:ind w:left="720"/>
        <w:contextualSpacing/>
        <w:rPr>
          <w:rFonts w:eastAsia="Calibri"/>
          <w:spacing w:val="0"/>
          <w:shd w:val="clear" w:color="auto" w:fill="FFFFFF"/>
        </w:rPr>
      </w:pPr>
    </w:p>
    <w:p w14:paraId="27C87AD8" w14:textId="77777777" w:rsidR="00F87870" w:rsidRPr="00F87870" w:rsidRDefault="00F87870" w:rsidP="00F87870">
      <w:pPr>
        <w:widowControl/>
        <w:ind w:firstLine="720"/>
        <w:contextualSpacing/>
        <w:rPr>
          <w:rFonts w:eastAsia="Calibri"/>
          <w:spacing w:val="0"/>
          <w:sz w:val="22"/>
          <w:shd w:val="clear" w:color="auto" w:fill="FFFFFF"/>
        </w:rPr>
      </w:pPr>
      <w:r w:rsidRPr="00F87870">
        <w:rPr>
          <w:rFonts w:eastAsia="Calibri"/>
          <w:spacing w:val="0"/>
          <w:sz w:val="22"/>
          <w:shd w:val="clear" w:color="auto" w:fill="FFFFFF"/>
        </w:rPr>
        <w:t>‘… I also take into account the fact that banks, such as FNB in the present matters, are not in the business of repossessing immovable properties and selling such properties in execution but they are in the business of lending money to their customers on which loans they charge interest. In my view it will be in the interest of both parties to reinstate the agreement and continue to earn interest on the money lent.’</w:t>
      </w:r>
    </w:p>
    <w:p w14:paraId="2299A516" w14:textId="77777777" w:rsidR="008F6D39" w:rsidRPr="00F87870" w:rsidRDefault="008F6D39" w:rsidP="008F6D39">
      <w:pPr>
        <w:widowControl/>
        <w:contextualSpacing/>
        <w:rPr>
          <w:rFonts w:eastAsia="Calibri"/>
          <w:spacing w:val="0"/>
          <w:shd w:val="clear" w:color="auto" w:fill="FFFFFF"/>
        </w:rPr>
      </w:pPr>
    </w:p>
    <w:p w14:paraId="1D226619" w14:textId="74A4D17F" w:rsidR="008F6D39" w:rsidRDefault="00A44EF2" w:rsidP="00A44EF2">
      <w:pPr>
        <w:widowControl/>
        <w:contextualSpacing/>
        <w:rPr>
          <w:rFonts w:eastAsia="Calibri"/>
          <w:spacing w:val="0"/>
          <w:shd w:val="clear" w:color="auto" w:fill="FFFFFF"/>
        </w:rPr>
      </w:pPr>
      <w:r>
        <w:rPr>
          <w:rFonts w:eastAsia="Calibri"/>
          <w:spacing w:val="0"/>
        </w:rPr>
        <w:t>[36]</w:t>
      </w:r>
      <w:r>
        <w:rPr>
          <w:rFonts w:eastAsia="Calibri"/>
          <w:spacing w:val="0"/>
        </w:rPr>
        <w:tab/>
      </w:r>
      <w:r w:rsidR="008F6D39">
        <w:rPr>
          <w:rFonts w:eastAsia="Calibri"/>
          <w:spacing w:val="0"/>
          <w:shd w:val="clear" w:color="auto" w:fill="FFFFFF"/>
        </w:rPr>
        <w:t>Applying the above principles, and considering the facts placed before court, i</w:t>
      </w:r>
      <w:r w:rsidR="008F6D39" w:rsidRPr="00F87870">
        <w:rPr>
          <w:rFonts w:eastAsia="Calibri"/>
          <w:spacing w:val="0"/>
          <w:shd w:val="clear" w:color="auto" w:fill="FFFFFF"/>
        </w:rPr>
        <w:t xml:space="preserve">t cannot be gainsaid that </w:t>
      </w:r>
      <w:r w:rsidR="008F6D39">
        <w:rPr>
          <w:rFonts w:eastAsia="Calibri"/>
          <w:spacing w:val="0"/>
          <w:shd w:val="clear" w:color="auto" w:fill="FFFFFF"/>
        </w:rPr>
        <w:t xml:space="preserve">there are </w:t>
      </w:r>
      <w:r w:rsidR="008F6D39" w:rsidRPr="00F87870">
        <w:rPr>
          <w:rFonts w:eastAsia="Calibri"/>
          <w:spacing w:val="0"/>
          <w:shd w:val="clear" w:color="auto" w:fill="FFFFFF"/>
        </w:rPr>
        <w:t>no less drastic measures available</w:t>
      </w:r>
      <w:r w:rsidR="008F6D39">
        <w:rPr>
          <w:rFonts w:eastAsia="Calibri"/>
          <w:spacing w:val="0"/>
          <w:shd w:val="clear" w:color="auto" w:fill="FFFFFF"/>
        </w:rPr>
        <w:t xml:space="preserve"> to be considered,</w:t>
      </w:r>
      <w:r w:rsidR="008F6D39" w:rsidRPr="00F87870">
        <w:rPr>
          <w:rFonts w:eastAsia="Calibri"/>
          <w:spacing w:val="0"/>
          <w:shd w:val="clear" w:color="auto" w:fill="FFFFFF"/>
        </w:rPr>
        <w:t xml:space="preserve"> other than to declare Mr Goagoseb’s immovable property specially executable</w:t>
      </w:r>
      <w:r w:rsidR="008F6D39">
        <w:rPr>
          <w:rFonts w:eastAsia="Calibri"/>
          <w:spacing w:val="0"/>
          <w:shd w:val="clear" w:color="auto" w:fill="FFFFFF"/>
        </w:rPr>
        <w:t xml:space="preserve">. It has been shown that </w:t>
      </w:r>
      <w:r w:rsidR="008F6D39" w:rsidRPr="00F87870">
        <w:rPr>
          <w:rFonts w:eastAsia="Calibri"/>
          <w:spacing w:val="0"/>
          <w:shd w:val="clear" w:color="auto" w:fill="FFFFFF"/>
        </w:rPr>
        <w:t>Standard Bank consistently receives payment in the sum of N$13 473,55</w:t>
      </w:r>
      <w:r w:rsidR="00162970">
        <w:rPr>
          <w:rFonts w:eastAsia="Calibri"/>
          <w:spacing w:val="0"/>
          <w:shd w:val="clear" w:color="auto" w:fill="FFFFFF"/>
        </w:rPr>
        <w:t>,</w:t>
      </w:r>
      <w:r w:rsidR="008F6D39" w:rsidRPr="00F87870">
        <w:rPr>
          <w:rFonts w:eastAsia="Calibri"/>
          <w:spacing w:val="0"/>
          <w:shd w:val="clear" w:color="auto" w:fill="FFFFFF"/>
        </w:rPr>
        <w:t xml:space="preserve"> coupled with Mr Goagoseb’s offer to make payment in the amount of N$2500 per month on the arrears.</w:t>
      </w:r>
    </w:p>
    <w:p w14:paraId="70CBBA80" w14:textId="77777777" w:rsidR="00B134A7" w:rsidRDefault="00B134A7" w:rsidP="00B134A7">
      <w:pPr>
        <w:widowControl/>
        <w:contextualSpacing/>
        <w:rPr>
          <w:rFonts w:eastAsia="Calibri"/>
          <w:spacing w:val="0"/>
          <w:shd w:val="clear" w:color="auto" w:fill="FFFFFF"/>
        </w:rPr>
      </w:pPr>
    </w:p>
    <w:p w14:paraId="657A0FD2" w14:textId="2F15DBFA" w:rsidR="008F6D39" w:rsidRDefault="00A44EF2" w:rsidP="00A44EF2">
      <w:pPr>
        <w:widowControl/>
        <w:contextualSpacing/>
        <w:rPr>
          <w:rFonts w:eastAsia="Calibri"/>
          <w:spacing w:val="0"/>
          <w:shd w:val="clear" w:color="auto" w:fill="FFFFFF"/>
        </w:rPr>
      </w:pPr>
      <w:r>
        <w:rPr>
          <w:rFonts w:eastAsia="Calibri"/>
          <w:spacing w:val="0"/>
        </w:rPr>
        <w:t>[37]</w:t>
      </w:r>
      <w:r>
        <w:rPr>
          <w:rFonts w:eastAsia="Calibri"/>
          <w:spacing w:val="0"/>
        </w:rPr>
        <w:tab/>
      </w:r>
      <w:r w:rsidR="008F6D39" w:rsidRPr="00B134A7">
        <w:rPr>
          <w:rFonts w:eastAsia="Calibri"/>
          <w:spacing w:val="0"/>
          <w:shd w:val="clear" w:color="auto" w:fill="FFFFFF"/>
        </w:rPr>
        <w:t>Without being able to apply for additional financing whilst listed on ITC</w:t>
      </w:r>
      <w:r w:rsidR="00B134A7">
        <w:rPr>
          <w:rFonts w:eastAsia="Calibri"/>
          <w:spacing w:val="0"/>
          <w:shd w:val="clear" w:color="auto" w:fill="FFFFFF"/>
        </w:rPr>
        <w:t xml:space="preserve"> </w:t>
      </w:r>
      <w:r w:rsidR="008F6D39" w:rsidRPr="00B134A7">
        <w:rPr>
          <w:rFonts w:eastAsia="Calibri"/>
          <w:spacing w:val="0"/>
          <w:shd w:val="clear" w:color="auto" w:fill="FFFFFF"/>
        </w:rPr>
        <w:t xml:space="preserve">negatively affects Mr Goagoseb’s ability to pay a higher amount in arrears. </w:t>
      </w:r>
      <w:r w:rsidR="008F6D39" w:rsidRPr="00F87870">
        <w:rPr>
          <w:rFonts w:eastAsia="Calibri"/>
          <w:spacing w:val="0"/>
          <w:shd w:val="clear" w:color="auto" w:fill="FFFFFF"/>
        </w:rPr>
        <w:t>Interestingly enough, Ms Nyashanu argued that a restructure with Standard Bank could take place, as well, but that Mr Goagoseb has not indicated that he intends to do so.</w:t>
      </w:r>
    </w:p>
    <w:p w14:paraId="3B1AC37D" w14:textId="77777777" w:rsidR="0099218B" w:rsidRDefault="0099218B" w:rsidP="0099218B">
      <w:pPr>
        <w:pStyle w:val="ListParagraph"/>
        <w:rPr>
          <w:rFonts w:eastAsia="Calibri"/>
          <w:sz w:val="24"/>
          <w:shd w:val="clear" w:color="auto" w:fill="FFFFFF"/>
        </w:rPr>
      </w:pPr>
    </w:p>
    <w:p w14:paraId="422907BD" w14:textId="78205E0E" w:rsidR="0099218B" w:rsidRPr="0099218B" w:rsidRDefault="0099218B" w:rsidP="0099218B">
      <w:pPr>
        <w:widowControl/>
        <w:contextualSpacing/>
        <w:rPr>
          <w:rFonts w:eastAsia="Calibri"/>
          <w:spacing w:val="0"/>
          <w:u w:val="single"/>
          <w:shd w:val="clear" w:color="auto" w:fill="FFFFFF"/>
        </w:rPr>
      </w:pPr>
      <w:r w:rsidRPr="0099218B">
        <w:rPr>
          <w:rFonts w:eastAsia="Calibri"/>
          <w:spacing w:val="0"/>
          <w:u w:val="single"/>
          <w:shd w:val="clear" w:color="auto" w:fill="FFFFFF"/>
        </w:rPr>
        <w:t>Conclusion</w:t>
      </w:r>
    </w:p>
    <w:p w14:paraId="0B5E43C7" w14:textId="77777777" w:rsidR="00B134A7" w:rsidRDefault="00B134A7" w:rsidP="00B134A7">
      <w:pPr>
        <w:pStyle w:val="ListParagraph"/>
        <w:rPr>
          <w:rFonts w:eastAsia="Calibri"/>
          <w:sz w:val="24"/>
          <w:shd w:val="clear" w:color="auto" w:fill="FFFFFF"/>
        </w:rPr>
      </w:pPr>
    </w:p>
    <w:p w14:paraId="57023955" w14:textId="301EF7D1" w:rsidR="00B134A7" w:rsidRDefault="00A44EF2" w:rsidP="00A44EF2">
      <w:pPr>
        <w:widowControl/>
        <w:contextualSpacing/>
        <w:rPr>
          <w:rFonts w:eastAsia="Calibri"/>
          <w:spacing w:val="0"/>
          <w:shd w:val="clear" w:color="auto" w:fill="FFFFFF"/>
        </w:rPr>
      </w:pPr>
      <w:r>
        <w:rPr>
          <w:rFonts w:eastAsia="Calibri"/>
          <w:spacing w:val="0"/>
        </w:rPr>
        <w:t>[38]</w:t>
      </w:r>
      <w:r>
        <w:rPr>
          <w:rFonts w:eastAsia="Calibri"/>
          <w:spacing w:val="0"/>
        </w:rPr>
        <w:tab/>
      </w:r>
      <w:r w:rsidR="00B134A7">
        <w:rPr>
          <w:rFonts w:eastAsia="Calibri"/>
          <w:spacing w:val="0"/>
          <w:shd w:val="clear" w:color="auto" w:fill="FFFFFF"/>
        </w:rPr>
        <w:t xml:space="preserve">This is a case where the court exercises its discretion in favour of Mr Goagoseb because on the facts presented it has been shown that Standard Bank could consider and apply less drastic measures and obtain payment of </w:t>
      </w:r>
      <w:r w:rsidR="00B134A7">
        <w:rPr>
          <w:rFonts w:eastAsia="Calibri"/>
          <w:spacing w:val="0"/>
          <w:shd w:val="clear" w:color="auto" w:fill="FFFFFF"/>
        </w:rPr>
        <w:lastRenderedPageBreak/>
        <w:t>the capital amount plus the arr</w:t>
      </w:r>
      <w:r w:rsidR="00162970">
        <w:rPr>
          <w:rFonts w:eastAsia="Calibri"/>
          <w:spacing w:val="0"/>
          <w:shd w:val="clear" w:color="auto" w:fill="FFFFFF"/>
        </w:rPr>
        <w:t>ears. This is not a situation whe</w:t>
      </w:r>
      <w:r w:rsidR="00B134A7">
        <w:rPr>
          <w:rFonts w:eastAsia="Calibri"/>
          <w:spacing w:val="0"/>
          <w:shd w:val="clear" w:color="auto" w:fill="FFFFFF"/>
        </w:rPr>
        <w:t xml:space="preserve">re a debtor is paying nothing </w:t>
      </w:r>
      <w:r w:rsidR="007A0214">
        <w:rPr>
          <w:rFonts w:eastAsia="Calibri"/>
          <w:spacing w:val="0"/>
          <w:shd w:val="clear" w:color="auto" w:fill="FFFFFF"/>
        </w:rPr>
        <w:t>a</w:t>
      </w:r>
      <w:r w:rsidR="00B134A7">
        <w:rPr>
          <w:rFonts w:eastAsia="Calibri"/>
          <w:spacing w:val="0"/>
          <w:shd w:val="clear" w:color="auto" w:fill="FFFFFF"/>
        </w:rPr>
        <w:t xml:space="preserve">nd making no efforts to comply with his payment obligations. </w:t>
      </w:r>
    </w:p>
    <w:p w14:paraId="366470CD" w14:textId="77777777" w:rsidR="00B134A7" w:rsidRDefault="00B134A7" w:rsidP="00B134A7">
      <w:pPr>
        <w:pStyle w:val="ListParagraph"/>
        <w:rPr>
          <w:rFonts w:eastAsia="Calibri"/>
          <w:sz w:val="24"/>
          <w:shd w:val="clear" w:color="auto" w:fill="FFFFFF"/>
        </w:rPr>
      </w:pPr>
    </w:p>
    <w:p w14:paraId="7E4513D8" w14:textId="66359195" w:rsidR="00F87870" w:rsidRDefault="00A44EF2" w:rsidP="00A44EF2">
      <w:pPr>
        <w:widowControl/>
        <w:contextualSpacing/>
        <w:rPr>
          <w:rFonts w:eastAsia="Calibri"/>
          <w:spacing w:val="0"/>
          <w:shd w:val="clear" w:color="auto" w:fill="FFFFFF"/>
        </w:rPr>
      </w:pPr>
      <w:r>
        <w:rPr>
          <w:rFonts w:eastAsia="Calibri"/>
          <w:spacing w:val="0"/>
        </w:rPr>
        <w:t>[39]</w:t>
      </w:r>
      <w:r>
        <w:rPr>
          <w:rFonts w:eastAsia="Calibri"/>
          <w:spacing w:val="0"/>
        </w:rPr>
        <w:tab/>
      </w:r>
      <w:r w:rsidR="00F87870" w:rsidRPr="00F87870">
        <w:rPr>
          <w:rFonts w:eastAsia="Calibri"/>
          <w:spacing w:val="0"/>
          <w:shd w:val="clear" w:color="auto" w:fill="FFFFFF"/>
        </w:rPr>
        <w:t>As it pertains to costs, neither party made submissions thereto, and I see no reason why the court should deviate from the general principle.</w:t>
      </w:r>
    </w:p>
    <w:p w14:paraId="2B24C90A" w14:textId="77777777" w:rsidR="00B134A7" w:rsidRDefault="00B134A7" w:rsidP="00B134A7">
      <w:pPr>
        <w:pStyle w:val="ListParagraph"/>
        <w:rPr>
          <w:rFonts w:eastAsia="Calibri"/>
          <w:sz w:val="24"/>
          <w:shd w:val="clear" w:color="auto" w:fill="FFFFFF"/>
        </w:rPr>
      </w:pPr>
    </w:p>
    <w:p w14:paraId="0884F5E4" w14:textId="0783CBFE" w:rsidR="00F87870" w:rsidRPr="00F87870" w:rsidRDefault="00A44EF2" w:rsidP="00A44EF2">
      <w:pPr>
        <w:widowControl/>
        <w:contextualSpacing/>
        <w:rPr>
          <w:rFonts w:eastAsia="Calibri"/>
          <w:spacing w:val="0"/>
          <w:shd w:val="clear" w:color="auto" w:fill="FFFFFF"/>
        </w:rPr>
      </w:pPr>
      <w:r w:rsidRPr="00F87870">
        <w:rPr>
          <w:rFonts w:eastAsia="Calibri"/>
          <w:spacing w:val="0"/>
        </w:rPr>
        <w:t>[40]</w:t>
      </w:r>
      <w:r w:rsidRPr="00F87870">
        <w:rPr>
          <w:rFonts w:eastAsia="Calibri"/>
          <w:spacing w:val="0"/>
        </w:rPr>
        <w:tab/>
      </w:r>
      <w:r w:rsidR="00F87870" w:rsidRPr="00F87870">
        <w:rPr>
          <w:rFonts w:eastAsia="Calibri"/>
          <w:spacing w:val="0"/>
          <w:shd w:val="clear" w:color="auto" w:fill="FFFFFF"/>
        </w:rPr>
        <w:t>In the result, I make the following order:</w:t>
      </w:r>
    </w:p>
    <w:p w14:paraId="6FD9DEA0" w14:textId="77777777" w:rsidR="00F87870" w:rsidRPr="00F87870" w:rsidRDefault="00F87870" w:rsidP="00F87870">
      <w:pPr>
        <w:widowControl/>
        <w:ind w:left="720"/>
        <w:contextualSpacing/>
        <w:rPr>
          <w:rFonts w:eastAsia="Calibri"/>
          <w:spacing w:val="0"/>
          <w:shd w:val="clear" w:color="auto" w:fill="FFFFFF"/>
        </w:rPr>
      </w:pPr>
    </w:p>
    <w:p w14:paraId="33890D88" w14:textId="670E00A5" w:rsidR="00041F29" w:rsidRDefault="00A44EF2" w:rsidP="00A44EF2">
      <w:pPr>
        <w:widowControl/>
        <w:ind w:left="1440" w:hanging="720"/>
        <w:contextualSpacing/>
        <w:rPr>
          <w:rFonts w:eastAsia="Calibri"/>
          <w:spacing w:val="0"/>
          <w:shd w:val="clear" w:color="auto" w:fill="FFFFFF"/>
        </w:rPr>
      </w:pPr>
      <w:bookmarkStart w:id="10" w:name="_Hlk130124829"/>
      <w:r>
        <w:rPr>
          <w:rFonts w:eastAsia="Calibri"/>
          <w:spacing w:val="0"/>
        </w:rPr>
        <w:t>1.</w:t>
      </w:r>
      <w:r>
        <w:rPr>
          <w:rFonts w:eastAsia="Calibri"/>
          <w:spacing w:val="0"/>
        </w:rPr>
        <w:tab/>
      </w:r>
      <w:r w:rsidR="00041F29" w:rsidRPr="00041F29">
        <w:rPr>
          <w:rFonts w:eastAsia="Calibri"/>
          <w:spacing w:val="0"/>
          <w:shd w:val="clear" w:color="auto" w:fill="FFFFFF"/>
        </w:rPr>
        <w:t>The application to declare the immovable property described as Erf 1079, Section 13, Caroline Court, Dorado Park, Windhoek, Republic of Namibia, specially executable is dismissed.</w:t>
      </w:r>
    </w:p>
    <w:p w14:paraId="3E591E67" w14:textId="77777777" w:rsidR="00041F29" w:rsidRDefault="00041F29" w:rsidP="00041F29">
      <w:pPr>
        <w:widowControl/>
        <w:ind w:left="1440"/>
        <w:contextualSpacing/>
        <w:rPr>
          <w:rFonts w:eastAsia="Calibri"/>
          <w:spacing w:val="0"/>
          <w:shd w:val="clear" w:color="auto" w:fill="FFFFFF"/>
        </w:rPr>
      </w:pPr>
    </w:p>
    <w:p w14:paraId="724BDE29" w14:textId="5CDB6066" w:rsidR="00041F29" w:rsidRDefault="00A44EF2" w:rsidP="00A44EF2">
      <w:pPr>
        <w:widowControl/>
        <w:ind w:left="1440" w:hanging="720"/>
        <w:contextualSpacing/>
        <w:rPr>
          <w:rFonts w:eastAsia="Calibri"/>
          <w:spacing w:val="0"/>
          <w:shd w:val="clear" w:color="auto" w:fill="FFFFFF"/>
        </w:rPr>
      </w:pPr>
      <w:r>
        <w:rPr>
          <w:rFonts w:eastAsia="Calibri"/>
          <w:spacing w:val="0"/>
        </w:rPr>
        <w:t>2.</w:t>
      </w:r>
      <w:r>
        <w:rPr>
          <w:rFonts w:eastAsia="Calibri"/>
          <w:spacing w:val="0"/>
        </w:rPr>
        <w:tab/>
      </w:r>
      <w:r w:rsidR="00041F29">
        <w:rPr>
          <w:rFonts w:eastAsia="Calibri"/>
          <w:spacing w:val="0"/>
          <w:shd w:val="clear" w:color="auto" w:fill="FFFFFF"/>
        </w:rPr>
        <w:t>The plaintiff is ordered to pay the defendant’s costs.</w:t>
      </w:r>
    </w:p>
    <w:p w14:paraId="52B3DCEE" w14:textId="77777777" w:rsidR="00041F29" w:rsidRDefault="00041F29" w:rsidP="00041F29">
      <w:pPr>
        <w:pStyle w:val="ListParagraph"/>
        <w:rPr>
          <w:rFonts w:eastAsia="Calibri"/>
          <w:sz w:val="24"/>
          <w:shd w:val="clear" w:color="auto" w:fill="FFFFFF"/>
        </w:rPr>
      </w:pPr>
    </w:p>
    <w:p w14:paraId="49ECD628" w14:textId="3F70939A" w:rsidR="00041F29" w:rsidRDefault="00A44EF2" w:rsidP="00A44EF2">
      <w:pPr>
        <w:widowControl/>
        <w:ind w:left="1440" w:hanging="720"/>
        <w:contextualSpacing/>
        <w:rPr>
          <w:rFonts w:eastAsia="Calibri"/>
          <w:spacing w:val="0"/>
          <w:shd w:val="clear" w:color="auto" w:fill="FFFFFF"/>
        </w:rPr>
      </w:pPr>
      <w:r>
        <w:rPr>
          <w:rFonts w:eastAsia="Calibri"/>
          <w:spacing w:val="0"/>
        </w:rPr>
        <w:t>3.</w:t>
      </w:r>
      <w:r>
        <w:rPr>
          <w:rFonts w:eastAsia="Calibri"/>
          <w:spacing w:val="0"/>
        </w:rPr>
        <w:tab/>
      </w:r>
      <w:r w:rsidR="00513374">
        <w:rPr>
          <w:rFonts w:eastAsia="Calibri"/>
          <w:spacing w:val="0"/>
          <w:shd w:val="clear" w:color="auto" w:fill="FFFFFF"/>
        </w:rPr>
        <w:t>The matter is</w:t>
      </w:r>
      <w:r w:rsidR="00041F29">
        <w:rPr>
          <w:rFonts w:eastAsia="Calibri"/>
          <w:spacing w:val="0"/>
          <w:shd w:val="clear" w:color="auto" w:fill="FFFFFF"/>
        </w:rPr>
        <w:t xml:space="preserve"> finalised and removed from the roll.</w:t>
      </w:r>
    </w:p>
    <w:p w14:paraId="5A266E6B" w14:textId="77777777" w:rsidR="00041F29" w:rsidRDefault="00041F29" w:rsidP="00041F29">
      <w:pPr>
        <w:pStyle w:val="ListParagraph"/>
        <w:rPr>
          <w:rFonts w:eastAsia="Calibri"/>
          <w:sz w:val="24"/>
          <w:shd w:val="clear" w:color="auto" w:fill="FFFFFF"/>
        </w:rPr>
      </w:pPr>
    </w:p>
    <w:bookmarkEnd w:id="10"/>
    <w:p w14:paraId="5B2334F1" w14:textId="25DF97B1" w:rsidR="00853524" w:rsidRDefault="00853524" w:rsidP="00FD2B70">
      <w:pPr>
        <w:jc w:val="right"/>
      </w:pPr>
    </w:p>
    <w:p w14:paraId="0DCB1A06" w14:textId="43B21EE9" w:rsidR="00F87870" w:rsidRDefault="00F87870" w:rsidP="00FD2B70">
      <w:pPr>
        <w:jc w:val="right"/>
      </w:pPr>
    </w:p>
    <w:p w14:paraId="2358BC78" w14:textId="1E4309AF" w:rsidR="00F87870" w:rsidRDefault="00F87870" w:rsidP="00FD2B70">
      <w:pPr>
        <w:jc w:val="right"/>
      </w:pPr>
    </w:p>
    <w:p w14:paraId="0CD739FF" w14:textId="37D8A0B0" w:rsidR="00F87870" w:rsidRDefault="00F87870" w:rsidP="00FD2B70">
      <w:pPr>
        <w:jc w:val="right"/>
      </w:pPr>
    </w:p>
    <w:p w14:paraId="0C994A7F" w14:textId="46DEED1D" w:rsidR="00F87870" w:rsidRDefault="007A0214" w:rsidP="00FD2B70">
      <w:pPr>
        <w:jc w:val="right"/>
      </w:pPr>
      <w:r>
        <w:t>______________________</w:t>
      </w:r>
    </w:p>
    <w:p w14:paraId="7770FC05" w14:textId="79803785" w:rsidR="007A0214" w:rsidRDefault="007A0214" w:rsidP="00FD2B70">
      <w:pPr>
        <w:jc w:val="right"/>
      </w:pPr>
      <w:r>
        <w:t>E M SCHIMMING-CHASE</w:t>
      </w:r>
    </w:p>
    <w:p w14:paraId="713B5EDA" w14:textId="202C26F9" w:rsidR="007A0214" w:rsidRDefault="007A0214" w:rsidP="00FD2B70">
      <w:pPr>
        <w:jc w:val="right"/>
      </w:pPr>
      <w:r>
        <w:t>Judge</w:t>
      </w:r>
    </w:p>
    <w:p w14:paraId="6FE0936C" w14:textId="77777777" w:rsidR="00F87870" w:rsidRPr="00167E9F" w:rsidRDefault="00F87870" w:rsidP="00FD2B70">
      <w:pPr>
        <w:jc w:val="right"/>
      </w:pPr>
    </w:p>
    <w:p w14:paraId="0541EF89" w14:textId="77777777" w:rsidR="007A0214" w:rsidRDefault="007A0214" w:rsidP="00FD2B70">
      <w:pPr>
        <w:pStyle w:val="BodyText"/>
        <w:autoSpaceDE w:val="0"/>
        <w:autoSpaceDN w:val="0"/>
        <w:adjustRightInd w:val="0"/>
        <w:spacing w:line="360" w:lineRule="auto"/>
        <w:jc w:val="both"/>
        <w:rPr>
          <w:rFonts w:ascii="Arial" w:hAnsi="Arial" w:cs="Arial"/>
        </w:rPr>
      </w:pPr>
    </w:p>
    <w:p w14:paraId="4D8EFC43" w14:textId="77777777" w:rsidR="007A0214" w:rsidRDefault="007A0214" w:rsidP="00FD2B70">
      <w:pPr>
        <w:pStyle w:val="BodyText"/>
        <w:autoSpaceDE w:val="0"/>
        <w:autoSpaceDN w:val="0"/>
        <w:adjustRightInd w:val="0"/>
        <w:spacing w:line="360" w:lineRule="auto"/>
        <w:jc w:val="both"/>
        <w:rPr>
          <w:rFonts w:ascii="Arial" w:hAnsi="Arial" w:cs="Arial"/>
        </w:rPr>
      </w:pPr>
    </w:p>
    <w:p w14:paraId="0170779A" w14:textId="77777777" w:rsidR="007A0214" w:rsidRDefault="007A0214" w:rsidP="00FD2B70">
      <w:pPr>
        <w:pStyle w:val="BodyText"/>
        <w:autoSpaceDE w:val="0"/>
        <w:autoSpaceDN w:val="0"/>
        <w:adjustRightInd w:val="0"/>
        <w:spacing w:line="360" w:lineRule="auto"/>
        <w:jc w:val="both"/>
        <w:rPr>
          <w:rFonts w:ascii="Arial" w:hAnsi="Arial" w:cs="Arial"/>
        </w:rPr>
      </w:pPr>
    </w:p>
    <w:p w14:paraId="52A8F994" w14:textId="77777777" w:rsidR="007A0214" w:rsidRDefault="007A0214" w:rsidP="00FD2B70">
      <w:pPr>
        <w:pStyle w:val="BodyText"/>
        <w:autoSpaceDE w:val="0"/>
        <w:autoSpaceDN w:val="0"/>
        <w:adjustRightInd w:val="0"/>
        <w:spacing w:line="360" w:lineRule="auto"/>
        <w:jc w:val="both"/>
        <w:rPr>
          <w:rFonts w:ascii="Arial" w:hAnsi="Arial" w:cs="Arial"/>
        </w:rPr>
      </w:pPr>
    </w:p>
    <w:p w14:paraId="377B8A2B" w14:textId="77777777" w:rsidR="007A0214" w:rsidRDefault="007A0214" w:rsidP="00FD2B70">
      <w:pPr>
        <w:pStyle w:val="BodyText"/>
        <w:autoSpaceDE w:val="0"/>
        <w:autoSpaceDN w:val="0"/>
        <w:adjustRightInd w:val="0"/>
        <w:spacing w:line="360" w:lineRule="auto"/>
        <w:jc w:val="both"/>
        <w:rPr>
          <w:rFonts w:ascii="Arial" w:hAnsi="Arial" w:cs="Arial"/>
        </w:rPr>
      </w:pPr>
    </w:p>
    <w:p w14:paraId="19706C0A" w14:textId="77777777" w:rsidR="007A0214" w:rsidRDefault="007A0214" w:rsidP="00FD2B70">
      <w:pPr>
        <w:pStyle w:val="BodyText"/>
        <w:autoSpaceDE w:val="0"/>
        <w:autoSpaceDN w:val="0"/>
        <w:adjustRightInd w:val="0"/>
        <w:spacing w:line="360" w:lineRule="auto"/>
        <w:jc w:val="both"/>
        <w:rPr>
          <w:rFonts w:ascii="Arial" w:hAnsi="Arial" w:cs="Arial"/>
        </w:rPr>
      </w:pPr>
    </w:p>
    <w:p w14:paraId="08ED7C00" w14:textId="77777777" w:rsidR="007A0214" w:rsidRDefault="007A0214" w:rsidP="00FD2B70">
      <w:pPr>
        <w:pStyle w:val="BodyText"/>
        <w:autoSpaceDE w:val="0"/>
        <w:autoSpaceDN w:val="0"/>
        <w:adjustRightInd w:val="0"/>
        <w:spacing w:line="360" w:lineRule="auto"/>
        <w:jc w:val="both"/>
        <w:rPr>
          <w:rFonts w:ascii="Arial" w:hAnsi="Arial" w:cs="Arial"/>
        </w:rPr>
      </w:pPr>
    </w:p>
    <w:p w14:paraId="2BC3B96C" w14:textId="77777777" w:rsidR="00513374" w:rsidRDefault="00513374" w:rsidP="00FD2B70">
      <w:pPr>
        <w:pStyle w:val="BodyText"/>
        <w:autoSpaceDE w:val="0"/>
        <w:autoSpaceDN w:val="0"/>
        <w:adjustRightInd w:val="0"/>
        <w:spacing w:line="360" w:lineRule="auto"/>
        <w:jc w:val="both"/>
        <w:rPr>
          <w:rFonts w:ascii="Arial" w:hAnsi="Arial" w:cs="Arial"/>
        </w:rPr>
      </w:pPr>
    </w:p>
    <w:p w14:paraId="70B2F9A8" w14:textId="77777777" w:rsidR="00853524" w:rsidRPr="00167E9F" w:rsidRDefault="00853524" w:rsidP="00FD2B70">
      <w:pPr>
        <w:pStyle w:val="BodyText"/>
        <w:autoSpaceDE w:val="0"/>
        <w:autoSpaceDN w:val="0"/>
        <w:adjustRightInd w:val="0"/>
        <w:spacing w:line="360" w:lineRule="auto"/>
        <w:jc w:val="both"/>
        <w:rPr>
          <w:rFonts w:ascii="Arial" w:hAnsi="Arial" w:cs="Arial"/>
        </w:rPr>
      </w:pPr>
      <w:r w:rsidRPr="00167E9F">
        <w:rPr>
          <w:rFonts w:ascii="Arial" w:hAnsi="Arial" w:cs="Arial"/>
        </w:rPr>
        <w:lastRenderedPageBreak/>
        <w:t>APPEARANCES</w:t>
      </w:r>
    </w:p>
    <w:p w14:paraId="1D20A8C1" w14:textId="77777777" w:rsidR="00853524" w:rsidRPr="00167E9F" w:rsidRDefault="00853524" w:rsidP="00FD2B70">
      <w:pPr>
        <w:pStyle w:val="BodyText"/>
        <w:autoSpaceDE w:val="0"/>
        <w:autoSpaceDN w:val="0"/>
        <w:adjustRightInd w:val="0"/>
        <w:spacing w:line="360" w:lineRule="auto"/>
        <w:jc w:val="both"/>
        <w:rPr>
          <w:rFonts w:ascii="Arial" w:hAnsi="Arial" w:cs="Arial"/>
        </w:rPr>
      </w:pPr>
    </w:p>
    <w:p w14:paraId="2F84B993" w14:textId="56EAAF39" w:rsidR="00645659" w:rsidRPr="00645659" w:rsidRDefault="004B1A8D" w:rsidP="00645659">
      <w:r w:rsidRPr="00167E9F">
        <w:t>PLAINTIFF</w:t>
      </w:r>
      <w:r w:rsidR="00CA7A0D" w:rsidRPr="00167E9F">
        <w:t>:</w:t>
      </w:r>
      <w:r w:rsidR="004D74FE" w:rsidRPr="00167E9F">
        <w:tab/>
      </w:r>
      <w:r w:rsidR="004D74FE" w:rsidRPr="00167E9F">
        <w:tab/>
      </w:r>
      <w:r w:rsidR="004D74FE" w:rsidRPr="00167E9F">
        <w:tab/>
      </w:r>
      <w:r w:rsidR="007A0214">
        <w:tab/>
      </w:r>
      <w:r w:rsidR="007A0214">
        <w:tab/>
      </w:r>
      <w:r w:rsidR="00513374">
        <w:t>S</w:t>
      </w:r>
      <w:r w:rsidR="00645659" w:rsidRPr="00645659">
        <w:t xml:space="preserve"> Nyashanu</w:t>
      </w:r>
    </w:p>
    <w:p w14:paraId="2FB8EECC" w14:textId="0C970145" w:rsidR="00645659" w:rsidRDefault="00513374" w:rsidP="006F2DCE">
      <w:pPr>
        <w:ind w:left="3600" w:firstLine="720"/>
      </w:pPr>
      <w:r>
        <w:t>o</w:t>
      </w:r>
      <w:r w:rsidR="007A0214">
        <w:t xml:space="preserve">f </w:t>
      </w:r>
      <w:r w:rsidR="00645659" w:rsidRPr="00645659">
        <w:t>Koep &amp; Partners, Windhoek</w:t>
      </w:r>
    </w:p>
    <w:p w14:paraId="08F6BE5F" w14:textId="44CC7D6C" w:rsidR="00853524" w:rsidRPr="00167E9F" w:rsidRDefault="00853524" w:rsidP="00FD2B70"/>
    <w:p w14:paraId="697F5C31" w14:textId="77777777" w:rsidR="00853524" w:rsidRPr="00167E9F" w:rsidRDefault="00853524" w:rsidP="00FD2B70">
      <w:pPr>
        <w:autoSpaceDE w:val="0"/>
        <w:autoSpaceDN w:val="0"/>
        <w:adjustRightInd w:val="0"/>
        <w:ind w:left="3780" w:hanging="3780"/>
      </w:pPr>
    </w:p>
    <w:p w14:paraId="686B9255" w14:textId="0E8F550B" w:rsidR="00645659" w:rsidRDefault="00006380" w:rsidP="00FD2B70">
      <w:pPr>
        <w:autoSpaceDE w:val="0"/>
        <w:autoSpaceDN w:val="0"/>
        <w:adjustRightInd w:val="0"/>
        <w:ind w:left="2880" w:hanging="2880"/>
      </w:pPr>
      <w:r w:rsidRPr="00167E9F">
        <w:t>DEFENDANT</w:t>
      </w:r>
      <w:r w:rsidR="00CA7A0D" w:rsidRPr="00167E9F">
        <w:t>:</w:t>
      </w:r>
      <w:r w:rsidR="00DC3611" w:rsidRPr="00167E9F">
        <w:tab/>
      </w:r>
      <w:r w:rsidR="007A0214">
        <w:tab/>
      </w:r>
      <w:r w:rsidR="007A0214">
        <w:tab/>
      </w:r>
      <w:r w:rsidR="00513374">
        <w:t>P</w:t>
      </w:r>
      <w:r w:rsidR="00645659">
        <w:t xml:space="preserve"> Kamarenga</w:t>
      </w:r>
    </w:p>
    <w:p w14:paraId="74838205" w14:textId="2795EF49" w:rsidR="00853524" w:rsidRPr="00167E9F" w:rsidRDefault="00513374" w:rsidP="006F2DCE">
      <w:pPr>
        <w:autoSpaceDE w:val="0"/>
        <w:autoSpaceDN w:val="0"/>
        <w:adjustRightInd w:val="0"/>
        <w:ind w:left="4320"/>
      </w:pPr>
      <w:r>
        <w:t>o</w:t>
      </w:r>
      <w:r w:rsidR="007A0214">
        <w:t xml:space="preserve">f </w:t>
      </w:r>
      <w:r w:rsidR="00645659">
        <w:t xml:space="preserve">Muluti </w:t>
      </w:r>
      <w:r w:rsidR="007A0214">
        <w:t>&amp;</w:t>
      </w:r>
      <w:r w:rsidR="00645659">
        <w:t xml:space="preserve"> Partners</w:t>
      </w:r>
      <w:bookmarkEnd w:id="0"/>
      <w:r w:rsidR="007A0214">
        <w:t>, Windhoek</w:t>
      </w:r>
    </w:p>
    <w:sectPr w:rsidR="00853524" w:rsidRPr="00167E9F" w:rsidSect="003A2D78">
      <w:headerReference w:type="even" r:id="rId13"/>
      <w:headerReference w:type="default" r:id="rId14"/>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3F79" w14:textId="77777777" w:rsidR="003A01FB" w:rsidRDefault="003A01FB" w:rsidP="00867D73">
      <w:pPr>
        <w:spacing w:line="240" w:lineRule="auto"/>
      </w:pPr>
      <w:r>
        <w:separator/>
      </w:r>
    </w:p>
  </w:endnote>
  <w:endnote w:type="continuationSeparator" w:id="0">
    <w:p w14:paraId="76123FA2" w14:textId="77777777" w:rsidR="003A01FB" w:rsidRDefault="003A01FB"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E7D9" w14:textId="77777777" w:rsidR="003A01FB" w:rsidRDefault="003A01FB" w:rsidP="00867D73">
      <w:pPr>
        <w:spacing w:line="240" w:lineRule="auto"/>
      </w:pPr>
      <w:r>
        <w:separator/>
      </w:r>
    </w:p>
  </w:footnote>
  <w:footnote w:type="continuationSeparator" w:id="0">
    <w:p w14:paraId="1EE9B9DA" w14:textId="77777777" w:rsidR="003A01FB" w:rsidRDefault="003A01FB" w:rsidP="00867D73">
      <w:pPr>
        <w:spacing w:line="240" w:lineRule="auto"/>
      </w:pPr>
      <w:r>
        <w:continuationSeparator/>
      </w:r>
    </w:p>
  </w:footnote>
  <w:footnote w:id="1">
    <w:p w14:paraId="3FA0314C" w14:textId="466C19EF" w:rsidR="00FC161D" w:rsidRPr="006F2DCE" w:rsidRDefault="00FC161D">
      <w:pPr>
        <w:pStyle w:val="FootnoteText"/>
        <w:rPr>
          <w:lang w:val="en-US"/>
        </w:rPr>
      </w:pPr>
      <w:r>
        <w:rPr>
          <w:rStyle w:val="FootnoteReference"/>
        </w:rPr>
        <w:footnoteRef/>
      </w:r>
      <w:r w:rsidRPr="00513374">
        <w:rPr>
          <w:i/>
          <w:iCs/>
          <w:shd w:val="clear" w:color="auto" w:fill="FFFFFF"/>
        </w:rPr>
        <w:t>First National Bank of Namibia Limited v Ganaseb </w:t>
      </w:r>
      <w:r w:rsidRPr="00513374">
        <w:rPr>
          <w:shd w:val="clear" w:color="auto" w:fill="FFFFFF"/>
        </w:rPr>
        <w:t>(HC-MD-CIV-ACT-CON-2019/01381)</w:t>
      </w:r>
      <w:r w:rsidRPr="00513374">
        <w:rPr>
          <w:b/>
          <w:bCs/>
          <w:shd w:val="clear" w:color="auto" w:fill="FFFFFF"/>
        </w:rPr>
        <w:t> </w:t>
      </w:r>
      <w:r w:rsidRPr="00513374">
        <w:rPr>
          <w:shd w:val="clear" w:color="auto" w:fill="FFFFFF"/>
        </w:rPr>
        <w:t>[2022] NAHCMD 360 (21 July 2022) para 14</w:t>
      </w:r>
      <w:r w:rsidR="00513374" w:rsidRPr="00513374">
        <w:rPr>
          <w:shd w:val="clear" w:color="auto" w:fill="FFFFFF"/>
        </w:rPr>
        <w:t>.</w:t>
      </w:r>
    </w:p>
  </w:footnote>
  <w:footnote w:id="2">
    <w:p w14:paraId="7BF54CD7" w14:textId="53A884FE" w:rsidR="00F87870" w:rsidRPr="002670AE" w:rsidRDefault="00F87870" w:rsidP="00F87870">
      <w:pPr>
        <w:pStyle w:val="FootnoteText"/>
      </w:pPr>
      <w:r>
        <w:rPr>
          <w:rStyle w:val="FootnoteReference"/>
        </w:rPr>
        <w:footnoteRef/>
      </w:r>
      <w:r>
        <w:t xml:space="preserve"> </w:t>
      </w:r>
      <w:r>
        <w:rPr>
          <w:i/>
        </w:rPr>
        <w:t xml:space="preserve">Futeni Collections (Pty) Ltd v De Duine </w:t>
      </w:r>
      <w:r>
        <w:t>(I 3044/2014) [2015) NAHCMD 119 (27 May 2015) par</w:t>
      </w:r>
      <w:r w:rsidR="00FC161D">
        <w:t>a</w:t>
      </w:r>
      <w:r w:rsidR="00233FD2">
        <w:t xml:space="preserve"> </w:t>
      </w:r>
      <w:r>
        <w:t>34</w:t>
      </w:r>
      <w:r w:rsidR="00233FD2">
        <w:t xml:space="preserve">, approved in </w:t>
      </w:r>
      <w:r w:rsidR="00233FD2" w:rsidRPr="00233FD2">
        <w:rPr>
          <w:i/>
          <w:iCs/>
        </w:rPr>
        <w:t>Amupadhi and Another V Du Toit</w:t>
      </w:r>
      <w:r w:rsidR="00233FD2" w:rsidRPr="00233FD2">
        <w:t xml:space="preserve"> 2021 (3) NR 626 (SC)</w:t>
      </w:r>
      <w:r w:rsidR="00233FD2">
        <w:t xml:space="preserve"> par</w:t>
      </w:r>
      <w:r w:rsidR="00FC161D">
        <w:t>a</w:t>
      </w:r>
      <w:r w:rsidR="00233FD2">
        <w:t xml:space="preserve"> 62.</w:t>
      </w:r>
    </w:p>
  </w:footnote>
  <w:footnote w:id="3">
    <w:p w14:paraId="414F4F87" w14:textId="0302F0C6" w:rsidR="002D55FB" w:rsidRPr="002D55FB" w:rsidRDefault="002D55FB">
      <w:pPr>
        <w:pStyle w:val="FootnoteText"/>
        <w:rPr>
          <w:iCs/>
        </w:rPr>
      </w:pPr>
      <w:r>
        <w:rPr>
          <w:rStyle w:val="FootnoteReference"/>
        </w:rPr>
        <w:footnoteRef/>
      </w:r>
      <w:r>
        <w:t xml:space="preserve"> </w:t>
      </w:r>
      <w:r>
        <w:rPr>
          <w:i/>
        </w:rPr>
        <w:t>Kisilipile and Another v First National Bank of Namibia Limited</w:t>
      </w:r>
      <w:r>
        <w:rPr>
          <w:iCs/>
        </w:rPr>
        <w:t xml:space="preserve"> </w:t>
      </w:r>
      <w:r w:rsidRPr="002D55FB">
        <w:rPr>
          <w:iCs/>
        </w:rPr>
        <w:t>2021 (4) NR 921 (SC)</w:t>
      </w:r>
      <w:r w:rsidR="00FC161D">
        <w:rPr>
          <w:iCs/>
        </w:rPr>
        <w:t>.</w:t>
      </w:r>
    </w:p>
  </w:footnote>
  <w:footnote w:id="4">
    <w:p w14:paraId="0C91BF7B" w14:textId="77777777" w:rsidR="00F87870" w:rsidRPr="00E306B6" w:rsidRDefault="00F87870" w:rsidP="00F87870">
      <w:pPr>
        <w:pStyle w:val="FootnoteText"/>
      </w:pPr>
      <w:r>
        <w:rPr>
          <w:rStyle w:val="FootnoteReference"/>
        </w:rPr>
        <w:footnoteRef/>
      </w:r>
      <w:r>
        <w:t xml:space="preserve"> </w:t>
      </w:r>
      <w:r>
        <w:rPr>
          <w:i/>
        </w:rPr>
        <w:t xml:space="preserve">Standard Bank Namibia Ltd v Bock </w:t>
      </w:r>
      <w:r>
        <w:t>(HC-MD-CIV-ACT-CON-2018/04032) [2021] NAHCMD 78 (25 February 2021).</w:t>
      </w:r>
    </w:p>
  </w:footnote>
  <w:footnote w:id="5">
    <w:p w14:paraId="0F8F742C" w14:textId="77777777" w:rsidR="00F87870" w:rsidRPr="002670AE" w:rsidRDefault="00F87870" w:rsidP="00F87870">
      <w:pPr>
        <w:pStyle w:val="FootnoteText"/>
      </w:pPr>
      <w:r>
        <w:rPr>
          <w:rStyle w:val="FootnoteReference"/>
        </w:rPr>
        <w:footnoteRef/>
      </w:r>
      <w:r>
        <w:t xml:space="preserve"> </w:t>
      </w:r>
      <w:r>
        <w:rPr>
          <w:i/>
        </w:rPr>
        <w:t xml:space="preserve">Futeni Collections (Pty) Ltd v De Duine </w:t>
      </w:r>
      <w:r>
        <w:t>(I 3044/2014) [2015) NAHCMD 119 (27 May 2015).</w:t>
      </w:r>
    </w:p>
  </w:footnote>
  <w:footnote w:id="6">
    <w:p w14:paraId="0D686AAB" w14:textId="3D57EE5B" w:rsidR="00F87870" w:rsidRPr="00F37A51" w:rsidRDefault="00F87870" w:rsidP="00F87870">
      <w:pPr>
        <w:pStyle w:val="FootnoteText"/>
      </w:pPr>
      <w:r>
        <w:rPr>
          <w:rStyle w:val="FootnoteReference"/>
        </w:rPr>
        <w:footnoteRef/>
      </w:r>
      <w:r>
        <w:t xml:space="preserve"> </w:t>
      </w:r>
      <w:bookmarkStart w:id="7" w:name="_Hlk130213410"/>
      <w:r>
        <w:rPr>
          <w:i/>
        </w:rPr>
        <w:t>Kisilipile and Another v First National Bank of Namibia Limited supra</w:t>
      </w:r>
      <w:r>
        <w:t xml:space="preserve"> par</w:t>
      </w:r>
      <w:r w:rsidR="007A0214">
        <w:t>a</w:t>
      </w:r>
      <w:r>
        <w:t xml:space="preserve"> 19</w:t>
      </w:r>
      <w:bookmarkEnd w:id="7"/>
      <w:r>
        <w:t>.</w:t>
      </w:r>
    </w:p>
  </w:footnote>
  <w:footnote w:id="7">
    <w:p w14:paraId="41BFFC50" w14:textId="5E033B63" w:rsidR="00796490" w:rsidRDefault="00796490">
      <w:pPr>
        <w:pStyle w:val="FootnoteText"/>
      </w:pPr>
      <w:r>
        <w:rPr>
          <w:rStyle w:val="FootnoteReference"/>
        </w:rPr>
        <w:footnoteRef/>
      </w:r>
      <w:r>
        <w:t xml:space="preserve"> </w:t>
      </w:r>
      <w:r>
        <w:rPr>
          <w:i/>
        </w:rPr>
        <w:t>Kisilipile and Another v First National Bank of Namibia Limited supra</w:t>
      </w:r>
      <w:r>
        <w:t xml:space="preserve"> par 20-21.</w:t>
      </w:r>
    </w:p>
  </w:footnote>
  <w:footnote w:id="8">
    <w:p w14:paraId="79D0DBD0" w14:textId="77777777" w:rsidR="00F87870" w:rsidRPr="00E26C6D" w:rsidRDefault="00F87870" w:rsidP="00F87870">
      <w:pPr>
        <w:pStyle w:val="FootnoteText"/>
      </w:pPr>
      <w:r>
        <w:rPr>
          <w:rStyle w:val="FootnoteReference"/>
        </w:rPr>
        <w:footnoteRef/>
      </w:r>
      <w:r>
        <w:t xml:space="preserve"> </w:t>
      </w:r>
      <w:r>
        <w:rPr>
          <w:i/>
        </w:rPr>
        <w:t xml:space="preserve">Standard Bank v Augisto and Others </w:t>
      </w:r>
      <w:r>
        <w:t xml:space="preserve">(I 114/2014) [2019] NAHCMD 208 (25 June 2019); </w:t>
      </w:r>
      <w:r>
        <w:rPr>
          <w:i/>
        </w:rPr>
        <w:t xml:space="preserve">Standard Bank Limited v Shipila </w:t>
      </w:r>
      <w:r>
        <w:t>2016 (2) NR 476 HC para 26.</w:t>
      </w:r>
    </w:p>
  </w:footnote>
  <w:footnote w:id="9">
    <w:p w14:paraId="5C8DB585" w14:textId="77777777" w:rsidR="00F87870" w:rsidRPr="00A4101C" w:rsidRDefault="00F87870" w:rsidP="00F87870">
      <w:pPr>
        <w:pStyle w:val="FootnoteText"/>
        <w:rPr>
          <w:lang w:val="en-US"/>
        </w:rPr>
      </w:pPr>
      <w:r>
        <w:rPr>
          <w:rStyle w:val="FootnoteReference"/>
        </w:rPr>
        <w:footnoteRef/>
      </w:r>
      <w:r>
        <w:t xml:space="preserve"> </w:t>
      </w:r>
      <w:r>
        <w:rPr>
          <w:i/>
          <w:lang w:val="en-US"/>
        </w:rPr>
        <w:t xml:space="preserve">First National Bank v Musheti </w:t>
      </w:r>
      <w:r>
        <w:rPr>
          <w:lang w:val="en-US"/>
        </w:rPr>
        <w:t>(HC-MD-CIV-ACT-CON-2016) [2017] NAHCMD 304 (18 October 2017) para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2146" w14:textId="77777777" w:rsidR="001763A5" w:rsidRDefault="001763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34462" w14:textId="77777777" w:rsidR="001763A5" w:rsidRDefault="001763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F73B" w14:textId="77777777" w:rsidR="001763A5" w:rsidRDefault="001763A5">
    <w:pPr>
      <w:ind w:right="360"/>
      <w:jc w:val="right"/>
    </w:pPr>
    <w:r>
      <w:rPr>
        <w:rStyle w:val="PageNumber"/>
      </w:rPr>
      <w:fldChar w:fldCharType="begin"/>
    </w:r>
    <w:r>
      <w:rPr>
        <w:rStyle w:val="PageNumber"/>
      </w:rPr>
      <w:instrText xml:space="preserve"> PAGE </w:instrText>
    </w:r>
    <w:r>
      <w:rPr>
        <w:rStyle w:val="PageNumber"/>
      </w:rPr>
      <w:fldChar w:fldCharType="separate"/>
    </w:r>
    <w:r w:rsidR="00783CD5">
      <w:rPr>
        <w:rStyle w:val="PageNumber"/>
        <w:noProof/>
      </w:rPr>
      <w:t>13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7BA26366"/>
    <w:lvl w:ilvl="0">
      <w:start w:val="1"/>
      <w:numFmt w:val="decimal"/>
      <w:pStyle w:val="Heading1"/>
      <w:lvlText w:val="[%1]"/>
      <w:lvlJc w:val="left"/>
      <w:pPr>
        <w:ind w:left="360" w:hanging="360"/>
      </w:pPr>
      <w:rPr>
        <w:rFonts w:hint="default"/>
      </w:rPr>
    </w:lvl>
    <w:lvl w:ilvl="1">
      <w:start w:val="1"/>
      <w:numFmt w:val="decimal"/>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15:restartNumberingAfterBreak="0">
    <w:nsid w:val="00A438B5"/>
    <w:multiLevelType w:val="hybridMultilevel"/>
    <w:tmpl w:val="DC1A57C8"/>
    <w:lvl w:ilvl="0" w:tplc="06623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B5ABC"/>
    <w:multiLevelType w:val="hybridMultilevel"/>
    <w:tmpl w:val="AEDCC6D8"/>
    <w:lvl w:ilvl="0" w:tplc="5DB204F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ACB356D"/>
    <w:multiLevelType w:val="hybridMultilevel"/>
    <w:tmpl w:val="6526F5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205B18"/>
    <w:multiLevelType w:val="hybridMultilevel"/>
    <w:tmpl w:val="C3F29798"/>
    <w:lvl w:ilvl="0" w:tplc="57FA7B0E">
      <w:start w:val="1"/>
      <w:numFmt w:val="decimal"/>
      <w:lvlText w:val="[%1]"/>
      <w:lvlJc w:val="left"/>
      <w:pPr>
        <w:ind w:left="0" w:firstLine="0"/>
      </w:pPr>
      <w:rPr>
        <w:rFonts w:ascii="Arial" w:hAnsi="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F1C6C"/>
    <w:multiLevelType w:val="hybridMultilevel"/>
    <w:tmpl w:val="DE7CC878"/>
    <w:lvl w:ilvl="0" w:tplc="CB669E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23549C"/>
    <w:multiLevelType w:val="hybridMultilevel"/>
    <w:tmpl w:val="55C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0" w15:restartNumberingAfterBreak="0">
    <w:nsid w:val="3263400B"/>
    <w:multiLevelType w:val="hybridMultilevel"/>
    <w:tmpl w:val="70FAB5D2"/>
    <w:lvl w:ilvl="0" w:tplc="1F042002">
      <w:start w:val="1"/>
      <w:numFmt w:val="lowerLetter"/>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1" w15:restartNumberingAfterBreak="0">
    <w:nsid w:val="36AB6E60"/>
    <w:multiLevelType w:val="hybridMultilevel"/>
    <w:tmpl w:val="97E487D4"/>
    <w:lvl w:ilvl="0" w:tplc="5D0CE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D281F"/>
    <w:multiLevelType w:val="hybridMultilevel"/>
    <w:tmpl w:val="230E2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925EEA"/>
    <w:multiLevelType w:val="multilevel"/>
    <w:tmpl w:val="06FEB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6"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42161"/>
    <w:multiLevelType w:val="hybridMultilevel"/>
    <w:tmpl w:val="3536C53A"/>
    <w:lvl w:ilvl="0" w:tplc="F8207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E252F"/>
    <w:multiLevelType w:val="hybridMultilevel"/>
    <w:tmpl w:val="AFA86512"/>
    <w:lvl w:ilvl="0" w:tplc="F8207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F50E1"/>
    <w:multiLevelType w:val="hybridMultilevel"/>
    <w:tmpl w:val="D82A8258"/>
    <w:lvl w:ilvl="0" w:tplc="9B3CE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12742"/>
    <w:multiLevelType w:val="hybridMultilevel"/>
    <w:tmpl w:val="2CF63670"/>
    <w:lvl w:ilvl="0" w:tplc="A94A1EA0">
      <w:start w:val="1"/>
      <w:numFmt w:val="decimal"/>
      <w:lvlText w:val="[%1]"/>
      <w:lvlJc w:val="left"/>
      <w:pPr>
        <w:ind w:left="360" w:hanging="360"/>
      </w:pPr>
      <w:rPr>
        <w:rFonts w:ascii="Arial" w:hAnsi="Arial" w:hint="default"/>
        <w:i w:val="0"/>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1338339">
    <w:abstractNumId w:val="2"/>
  </w:num>
  <w:num w:numId="2" w16cid:durableId="1134560054">
    <w:abstractNumId w:val="2"/>
  </w:num>
  <w:num w:numId="3" w16cid:durableId="2053843791">
    <w:abstractNumId w:val="2"/>
  </w:num>
  <w:num w:numId="4" w16cid:durableId="571039313">
    <w:abstractNumId w:val="2"/>
  </w:num>
  <w:num w:numId="5" w16cid:durableId="1488547860">
    <w:abstractNumId w:val="2"/>
  </w:num>
  <w:num w:numId="6" w16cid:durableId="1114977520">
    <w:abstractNumId w:val="2"/>
  </w:num>
  <w:num w:numId="7" w16cid:durableId="835614218">
    <w:abstractNumId w:val="2"/>
  </w:num>
  <w:num w:numId="8" w16cid:durableId="343288535">
    <w:abstractNumId w:val="2"/>
  </w:num>
  <w:num w:numId="9" w16cid:durableId="551616807">
    <w:abstractNumId w:val="2"/>
  </w:num>
  <w:num w:numId="10" w16cid:durableId="474832543">
    <w:abstractNumId w:val="1"/>
  </w:num>
  <w:num w:numId="11" w16cid:durableId="2021273477">
    <w:abstractNumId w:val="0"/>
  </w:num>
  <w:num w:numId="12" w16cid:durableId="933056461">
    <w:abstractNumId w:val="15"/>
  </w:num>
  <w:num w:numId="13" w16cid:durableId="1958441120">
    <w:abstractNumId w:val="2"/>
  </w:num>
  <w:num w:numId="14" w16cid:durableId="682711490">
    <w:abstractNumId w:val="13"/>
  </w:num>
  <w:num w:numId="15" w16cid:durableId="1286348810">
    <w:abstractNumId w:val="2"/>
    <w:lvlOverride w:ilvl="0">
      <w:startOverride w:val="1"/>
    </w:lvlOverride>
  </w:num>
  <w:num w:numId="16" w16cid:durableId="881596520">
    <w:abstractNumId w:val="10"/>
  </w:num>
  <w:num w:numId="17" w16cid:durableId="58674422">
    <w:abstractNumId w:val="16"/>
  </w:num>
  <w:num w:numId="18" w16cid:durableId="892733309">
    <w:abstractNumId w:val="20"/>
  </w:num>
  <w:num w:numId="19" w16cid:durableId="795951856">
    <w:abstractNumId w:val="6"/>
  </w:num>
  <w:num w:numId="20" w16cid:durableId="505948039">
    <w:abstractNumId w:val="9"/>
  </w:num>
  <w:num w:numId="21" w16cid:durableId="1933971679">
    <w:abstractNumId w:val="4"/>
  </w:num>
  <w:num w:numId="22" w16cid:durableId="1830438788">
    <w:abstractNumId w:val="2"/>
  </w:num>
  <w:num w:numId="23" w16cid:durableId="1961371842">
    <w:abstractNumId w:val="18"/>
  </w:num>
  <w:num w:numId="24" w16cid:durableId="388500416">
    <w:abstractNumId w:val="14"/>
  </w:num>
  <w:num w:numId="25" w16cid:durableId="315768037">
    <w:abstractNumId w:val="3"/>
  </w:num>
  <w:num w:numId="26" w16cid:durableId="451216228">
    <w:abstractNumId w:val="17"/>
  </w:num>
  <w:num w:numId="27" w16cid:durableId="2101557267">
    <w:abstractNumId w:val="11"/>
  </w:num>
  <w:num w:numId="28" w16cid:durableId="1788350983">
    <w:abstractNumId w:val="12"/>
  </w:num>
  <w:num w:numId="29" w16cid:durableId="1944874605">
    <w:abstractNumId w:val="7"/>
  </w:num>
  <w:num w:numId="30" w16cid:durableId="1637832175">
    <w:abstractNumId w:val="19"/>
  </w:num>
  <w:num w:numId="31" w16cid:durableId="1887912776">
    <w:abstractNumId w:val="8"/>
  </w:num>
  <w:num w:numId="32" w16cid:durableId="1600523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524"/>
    <w:rsid w:val="00001E44"/>
    <w:rsid w:val="000031EF"/>
    <w:rsid w:val="000032C3"/>
    <w:rsid w:val="000033AC"/>
    <w:rsid w:val="00006380"/>
    <w:rsid w:val="00013787"/>
    <w:rsid w:val="00015776"/>
    <w:rsid w:val="0002107A"/>
    <w:rsid w:val="00024282"/>
    <w:rsid w:val="000324F3"/>
    <w:rsid w:val="00035A34"/>
    <w:rsid w:val="00041F29"/>
    <w:rsid w:val="000650A6"/>
    <w:rsid w:val="000668A3"/>
    <w:rsid w:val="00077F1B"/>
    <w:rsid w:val="00081CB5"/>
    <w:rsid w:val="00082049"/>
    <w:rsid w:val="00082878"/>
    <w:rsid w:val="00083864"/>
    <w:rsid w:val="00085D64"/>
    <w:rsid w:val="00093246"/>
    <w:rsid w:val="000947C8"/>
    <w:rsid w:val="000975CD"/>
    <w:rsid w:val="000A1490"/>
    <w:rsid w:val="000A1EA7"/>
    <w:rsid w:val="000B4551"/>
    <w:rsid w:val="000C4C44"/>
    <w:rsid w:val="000D10C7"/>
    <w:rsid w:val="000D490E"/>
    <w:rsid w:val="000D617B"/>
    <w:rsid w:val="000E3FE9"/>
    <w:rsid w:val="000E46CB"/>
    <w:rsid w:val="000F3ED7"/>
    <w:rsid w:val="000F5A6B"/>
    <w:rsid w:val="000F7F8A"/>
    <w:rsid w:val="00101535"/>
    <w:rsid w:val="0010488E"/>
    <w:rsid w:val="001052DB"/>
    <w:rsid w:val="00105F7F"/>
    <w:rsid w:val="001063BC"/>
    <w:rsid w:val="00107EC3"/>
    <w:rsid w:val="001142EB"/>
    <w:rsid w:val="00117DD9"/>
    <w:rsid w:val="00124DB7"/>
    <w:rsid w:val="00127413"/>
    <w:rsid w:val="00133A6B"/>
    <w:rsid w:val="00134504"/>
    <w:rsid w:val="0013550D"/>
    <w:rsid w:val="00135CE1"/>
    <w:rsid w:val="001504BD"/>
    <w:rsid w:val="0015132E"/>
    <w:rsid w:val="00151716"/>
    <w:rsid w:val="00151F0F"/>
    <w:rsid w:val="001524C6"/>
    <w:rsid w:val="001600D3"/>
    <w:rsid w:val="00162970"/>
    <w:rsid w:val="00162FA5"/>
    <w:rsid w:val="00164146"/>
    <w:rsid w:val="001654F8"/>
    <w:rsid w:val="00167E9F"/>
    <w:rsid w:val="00171BA2"/>
    <w:rsid w:val="001722CE"/>
    <w:rsid w:val="001763A5"/>
    <w:rsid w:val="001825ED"/>
    <w:rsid w:val="00185464"/>
    <w:rsid w:val="00192CD0"/>
    <w:rsid w:val="00194721"/>
    <w:rsid w:val="00194F99"/>
    <w:rsid w:val="001A3CCC"/>
    <w:rsid w:val="001A7E56"/>
    <w:rsid w:val="001B250B"/>
    <w:rsid w:val="001C265E"/>
    <w:rsid w:val="001C373C"/>
    <w:rsid w:val="001C6D6E"/>
    <w:rsid w:val="001C727F"/>
    <w:rsid w:val="001D395A"/>
    <w:rsid w:val="001E2BD4"/>
    <w:rsid w:val="001E2F76"/>
    <w:rsid w:val="001E46B3"/>
    <w:rsid w:val="001F224C"/>
    <w:rsid w:val="001F4155"/>
    <w:rsid w:val="001F6CB9"/>
    <w:rsid w:val="00205C34"/>
    <w:rsid w:val="002076B9"/>
    <w:rsid w:val="00211FC4"/>
    <w:rsid w:val="00214E82"/>
    <w:rsid w:val="00215EE2"/>
    <w:rsid w:val="00216928"/>
    <w:rsid w:val="00222B92"/>
    <w:rsid w:val="00223853"/>
    <w:rsid w:val="00224C85"/>
    <w:rsid w:val="002321EB"/>
    <w:rsid w:val="00233FD2"/>
    <w:rsid w:val="00236A53"/>
    <w:rsid w:val="00236F7F"/>
    <w:rsid w:val="00237278"/>
    <w:rsid w:val="00240999"/>
    <w:rsid w:val="00264113"/>
    <w:rsid w:val="00266D54"/>
    <w:rsid w:val="00275A78"/>
    <w:rsid w:val="0027726D"/>
    <w:rsid w:val="00277E0C"/>
    <w:rsid w:val="00282F0B"/>
    <w:rsid w:val="002843A7"/>
    <w:rsid w:val="0029008B"/>
    <w:rsid w:val="00293B94"/>
    <w:rsid w:val="002A3963"/>
    <w:rsid w:val="002A4407"/>
    <w:rsid w:val="002A7BCD"/>
    <w:rsid w:val="002B1453"/>
    <w:rsid w:val="002B24D7"/>
    <w:rsid w:val="002B649A"/>
    <w:rsid w:val="002C0AFA"/>
    <w:rsid w:val="002C0FDA"/>
    <w:rsid w:val="002C2F11"/>
    <w:rsid w:val="002C3BF8"/>
    <w:rsid w:val="002D08EE"/>
    <w:rsid w:val="002D0A9C"/>
    <w:rsid w:val="002D55FB"/>
    <w:rsid w:val="002D6836"/>
    <w:rsid w:val="002D6DC4"/>
    <w:rsid w:val="002E2FE3"/>
    <w:rsid w:val="002E380C"/>
    <w:rsid w:val="002E3E2C"/>
    <w:rsid w:val="002E6D61"/>
    <w:rsid w:val="002F0D47"/>
    <w:rsid w:val="002F3943"/>
    <w:rsid w:val="002F5DE6"/>
    <w:rsid w:val="003021F2"/>
    <w:rsid w:val="003026C6"/>
    <w:rsid w:val="003120DC"/>
    <w:rsid w:val="00315207"/>
    <w:rsid w:val="003209AD"/>
    <w:rsid w:val="00321344"/>
    <w:rsid w:val="003301EA"/>
    <w:rsid w:val="0033760D"/>
    <w:rsid w:val="00345B94"/>
    <w:rsid w:val="00347D03"/>
    <w:rsid w:val="00356A42"/>
    <w:rsid w:val="00365E11"/>
    <w:rsid w:val="00366DD4"/>
    <w:rsid w:val="00371771"/>
    <w:rsid w:val="00373CDF"/>
    <w:rsid w:val="00375877"/>
    <w:rsid w:val="00376F2E"/>
    <w:rsid w:val="003770DD"/>
    <w:rsid w:val="00377146"/>
    <w:rsid w:val="0038146D"/>
    <w:rsid w:val="00391047"/>
    <w:rsid w:val="003A01FB"/>
    <w:rsid w:val="003A2D78"/>
    <w:rsid w:val="003A658C"/>
    <w:rsid w:val="003A667E"/>
    <w:rsid w:val="003C3E52"/>
    <w:rsid w:val="003D70E6"/>
    <w:rsid w:val="003E2C84"/>
    <w:rsid w:val="003E6394"/>
    <w:rsid w:val="003F4C9B"/>
    <w:rsid w:val="003F5776"/>
    <w:rsid w:val="003F5D86"/>
    <w:rsid w:val="003F6093"/>
    <w:rsid w:val="003F6F0E"/>
    <w:rsid w:val="00402B4C"/>
    <w:rsid w:val="00403581"/>
    <w:rsid w:val="00407F6A"/>
    <w:rsid w:val="00411947"/>
    <w:rsid w:val="00414D46"/>
    <w:rsid w:val="00415368"/>
    <w:rsid w:val="0042062E"/>
    <w:rsid w:val="00422052"/>
    <w:rsid w:val="004249DF"/>
    <w:rsid w:val="00430666"/>
    <w:rsid w:val="00437C3B"/>
    <w:rsid w:val="00440A23"/>
    <w:rsid w:val="00450D6B"/>
    <w:rsid w:val="00454387"/>
    <w:rsid w:val="0047151B"/>
    <w:rsid w:val="00477C7E"/>
    <w:rsid w:val="00481067"/>
    <w:rsid w:val="00494E3E"/>
    <w:rsid w:val="00497186"/>
    <w:rsid w:val="004A334F"/>
    <w:rsid w:val="004B1A8D"/>
    <w:rsid w:val="004B2778"/>
    <w:rsid w:val="004B2F6B"/>
    <w:rsid w:val="004B3FC8"/>
    <w:rsid w:val="004C713A"/>
    <w:rsid w:val="004D008F"/>
    <w:rsid w:val="004D4D6A"/>
    <w:rsid w:val="004D6455"/>
    <w:rsid w:val="004D74FE"/>
    <w:rsid w:val="004E16FD"/>
    <w:rsid w:val="004E3AEA"/>
    <w:rsid w:val="004E5A2D"/>
    <w:rsid w:val="004F3D79"/>
    <w:rsid w:val="0050055E"/>
    <w:rsid w:val="005011FC"/>
    <w:rsid w:val="00502D18"/>
    <w:rsid w:val="00503322"/>
    <w:rsid w:val="00504963"/>
    <w:rsid w:val="0050653E"/>
    <w:rsid w:val="0050752F"/>
    <w:rsid w:val="0051185B"/>
    <w:rsid w:val="00513374"/>
    <w:rsid w:val="00520746"/>
    <w:rsid w:val="00522C0C"/>
    <w:rsid w:val="00531A75"/>
    <w:rsid w:val="00534EC6"/>
    <w:rsid w:val="00536902"/>
    <w:rsid w:val="0054293F"/>
    <w:rsid w:val="00544A04"/>
    <w:rsid w:val="00556AB7"/>
    <w:rsid w:val="005574AC"/>
    <w:rsid w:val="00564D69"/>
    <w:rsid w:val="0056666C"/>
    <w:rsid w:val="0057017B"/>
    <w:rsid w:val="005807C6"/>
    <w:rsid w:val="0058364D"/>
    <w:rsid w:val="00587A6D"/>
    <w:rsid w:val="00592A09"/>
    <w:rsid w:val="00595564"/>
    <w:rsid w:val="005A4EEF"/>
    <w:rsid w:val="005B04B8"/>
    <w:rsid w:val="005B1248"/>
    <w:rsid w:val="005B44AB"/>
    <w:rsid w:val="005B6574"/>
    <w:rsid w:val="005B6D6B"/>
    <w:rsid w:val="005B78E3"/>
    <w:rsid w:val="005C4415"/>
    <w:rsid w:val="005C5E86"/>
    <w:rsid w:val="005C64A0"/>
    <w:rsid w:val="005E3952"/>
    <w:rsid w:val="005E660A"/>
    <w:rsid w:val="005F2313"/>
    <w:rsid w:val="005F7044"/>
    <w:rsid w:val="006073AD"/>
    <w:rsid w:val="006106A3"/>
    <w:rsid w:val="006146AC"/>
    <w:rsid w:val="00614FD9"/>
    <w:rsid w:val="00615357"/>
    <w:rsid w:val="00617355"/>
    <w:rsid w:val="00622317"/>
    <w:rsid w:val="00630F7F"/>
    <w:rsid w:val="006325D7"/>
    <w:rsid w:val="00643D8B"/>
    <w:rsid w:val="00645659"/>
    <w:rsid w:val="006573D4"/>
    <w:rsid w:val="00665516"/>
    <w:rsid w:val="00670212"/>
    <w:rsid w:val="006814B2"/>
    <w:rsid w:val="00686502"/>
    <w:rsid w:val="00691776"/>
    <w:rsid w:val="00693234"/>
    <w:rsid w:val="00693E19"/>
    <w:rsid w:val="00695A77"/>
    <w:rsid w:val="00697FDF"/>
    <w:rsid w:val="006A1816"/>
    <w:rsid w:val="006A3550"/>
    <w:rsid w:val="006A536E"/>
    <w:rsid w:val="006B3D22"/>
    <w:rsid w:val="006B3EE2"/>
    <w:rsid w:val="006B41EA"/>
    <w:rsid w:val="006B4221"/>
    <w:rsid w:val="006B43BC"/>
    <w:rsid w:val="006C0C27"/>
    <w:rsid w:val="006C4FAE"/>
    <w:rsid w:val="006C5A54"/>
    <w:rsid w:val="006C62AA"/>
    <w:rsid w:val="006C6C7E"/>
    <w:rsid w:val="006D0B11"/>
    <w:rsid w:val="006E4851"/>
    <w:rsid w:val="006E69A8"/>
    <w:rsid w:val="006E6E0C"/>
    <w:rsid w:val="006F2DCE"/>
    <w:rsid w:val="006F3377"/>
    <w:rsid w:val="006F3647"/>
    <w:rsid w:val="006F720F"/>
    <w:rsid w:val="007006E5"/>
    <w:rsid w:val="00701020"/>
    <w:rsid w:val="00707393"/>
    <w:rsid w:val="007115EC"/>
    <w:rsid w:val="00716ABC"/>
    <w:rsid w:val="007200FB"/>
    <w:rsid w:val="0072586B"/>
    <w:rsid w:val="00726BD2"/>
    <w:rsid w:val="007442DD"/>
    <w:rsid w:val="0075040C"/>
    <w:rsid w:val="007545C5"/>
    <w:rsid w:val="007569F3"/>
    <w:rsid w:val="00762395"/>
    <w:rsid w:val="00765944"/>
    <w:rsid w:val="007728EA"/>
    <w:rsid w:val="00772A1E"/>
    <w:rsid w:val="00780102"/>
    <w:rsid w:val="007805FF"/>
    <w:rsid w:val="00783ADD"/>
    <w:rsid w:val="00783CD5"/>
    <w:rsid w:val="00785D24"/>
    <w:rsid w:val="00790F9D"/>
    <w:rsid w:val="00791B7C"/>
    <w:rsid w:val="00793FBD"/>
    <w:rsid w:val="00796490"/>
    <w:rsid w:val="007968BD"/>
    <w:rsid w:val="007A0214"/>
    <w:rsid w:val="007A2422"/>
    <w:rsid w:val="007A677C"/>
    <w:rsid w:val="007B1A63"/>
    <w:rsid w:val="007B1D29"/>
    <w:rsid w:val="007B2F5C"/>
    <w:rsid w:val="007B7AF6"/>
    <w:rsid w:val="007C076E"/>
    <w:rsid w:val="007C5690"/>
    <w:rsid w:val="007D0A02"/>
    <w:rsid w:val="007D3D85"/>
    <w:rsid w:val="007E0468"/>
    <w:rsid w:val="007E12E4"/>
    <w:rsid w:val="007E57D7"/>
    <w:rsid w:val="007F5546"/>
    <w:rsid w:val="007F7ABD"/>
    <w:rsid w:val="00805913"/>
    <w:rsid w:val="00806373"/>
    <w:rsid w:val="008077F3"/>
    <w:rsid w:val="00807C3E"/>
    <w:rsid w:val="00814E3A"/>
    <w:rsid w:val="0081585A"/>
    <w:rsid w:val="0081590F"/>
    <w:rsid w:val="00820B2F"/>
    <w:rsid w:val="0082143E"/>
    <w:rsid w:val="008246AD"/>
    <w:rsid w:val="00824C4F"/>
    <w:rsid w:val="00834FDC"/>
    <w:rsid w:val="008411B2"/>
    <w:rsid w:val="00846CFA"/>
    <w:rsid w:val="008507E5"/>
    <w:rsid w:val="00853524"/>
    <w:rsid w:val="00855FAA"/>
    <w:rsid w:val="008571AF"/>
    <w:rsid w:val="00860852"/>
    <w:rsid w:val="008665CF"/>
    <w:rsid w:val="0086661E"/>
    <w:rsid w:val="00867D73"/>
    <w:rsid w:val="00874A30"/>
    <w:rsid w:val="0088248A"/>
    <w:rsid w:val="00886047"/>
    <w:rsid w:val="0088723F"/>
    <w:rsid w:val="00892889"/>
    <w:rsid w:val="00893153"/>
    <w:rsid w:val="00894594"/>
    <w:rsid w:val="008A1603"/>
    <w:rsid w:val="008A3ED4"/>
    <w:rsid w:val="008A443F"/>
    <w:rsid w:val="008A670E"/>
    <w:rsid w:val="008B61FB"/>
    <w:rsid w:val="008C3F7C"/>
    <w:rsid w:val="008D1291"/>
    <w:rsid w:val="008D5327"/>
    <w:rsid w:val="008D5BB0"/>
    <w:rsid w:val="008E35C3"/>
    <w:rsid w:val="008E3D66"/>
    <w:rsid w:val="008F5D63"/>
    <w:rsid w:val="008F6648"/>
    <w:rsid w:val="008F6D39"/>
    <w:rsid w:val="008F70BF"/>
    <w:rsid w:val="00900EFC"/>
    <w:rsid w:val="00901308"/>
    <w:rsid w:val="00901B41"/>
    <w:rsid w:val="009044F5"/>
    <w:rsid w:val="00904FF4"/>
    <w:rsid w:val="00906D61"/>
    <w:rsid w:val="00913B34"/>
    <w:rsid w:val="009140E2"/>
    <w:rsid w:val="00914691"/>
    <w:rsid w:val="00914CCA"/>
    <w:rsid w:val="00915DAC"/>
    <w:rsid w:val="0092146F"/>
    <w:rsid w:val="00923EA8"/>
    <w:rsid w:val="00925B98"/>
    <w:rsid w:val="009366F1"/>
    <w:rsid w:val="00942721"/>
    <w:rsid w:val="00942F45"/>
    <w:rsid w:val="00942FC1"/>
    <w:rsid w:val="00947B0C"/>
    <w:rsid w:val="00950B99"/>
    <w:rsid w:val="009524C8"/>
    <w:rsid w:val="00953461"/>
    <w:rsid w:val="0096079D"/>
    <w:rsid w:val="0096179E"/>
    <w:rsid w:val="00965EEF"/>
    <w:rsid w:val="009701D0"/>
    <w:rsid w:val="00976BDB"/>
    <w:rsid w:val="00980F05"/>
    <w:rsid w:val="009824E5"/>
    <w:rsid w:val="00982CBB"/>
    <w:rsid w:val="0099218B"/>
    <w:rsid w:val="0099254F"/>
    <w:rsid w:val="009956A4"/>
    <w:rsid w:val="009A5552"/>
    <w:rsid w:val="009B4960"/>
    <w:rsid w:val="009C0647"/>
    <w:rsid w:val="009C1E21"/>
    <w:rsid w:val="009C799D"/>
    <w:rsid w:val="009E198A"/>
    <w:rsid w:val="009E3131"/>
    <w:rsid w:val="009E6964"/>
    <w:rsid w:val="009E69DB"/>
    <w:rsid w:val="009F3851"/>
    <w:rsid w:val="009F40B4"/>
    <w:rsid w:val="009F531F"/>
    <w:rsid w:val="009F6AC2"/>
    <w:rsid w:val="009F7910"/>
    <w:rsid w:val="009F7B94"/>
    <w:rsid w:val="00A04557"/>
    <w:rsid w:val="00A05272"/>
    <w:rsid w:val="00A1110C"/>
    <w:rsid w:val="00A12A12"/>
    <w:rsid w:val="00A134C3"/>
    <w:rsid w:val="00A27E29"/>
    <w:rsid w:val="00A44EF2"/>
    <w:rsid w:val="00A45119"/>
    <w:rsid w:val="00A57B46"/>
    <w:rsid w:val="00A65FC1"/>
    <w:rsid w:val="00A717DC"/>
    <w:rsid w:val="00A8094D"/>
    <w:rsid w:val="00A81142"/>
    <w:rsid w:val="00A824DB"/>
    <w:rsid w:val="00A87EE2"/>
    <w:rsid w:val="00A9094A"/>
    <w:rsid w:val="00A94D0B"/>
    <w:rsid w:val="00AA37CF"/>
    <w:rsid w:val="00AA58B7"/>
    <w:rsid w:val="00AA73BA"/>
    <w:rsid w:val="00AA7797"/>
    <w:rsid w:val="00AA7A97"/>
    <w:rsid w:val="00AB4A8B"/>
    <w:rsid w:val="00AB56AC"/>
    <w:rsid w:val="00AB5D12"/>
    <w:rsid w:val="00AC0486"/>
    <w:rsid w:val="00AC10AF"/>
    <w:rsid w:val="00AC18C6"/>
    <w:rsid w:val="00AC6678"/>
    <w:rsid w:val="00AD1AB7"/>
    <w:rsid w:val="00AD48C9"/>
    <w:rsid w:val="00AE1635"/>
    <w:rsid w:val="00AE41F5"/>
    <w:rsid w:val="00AF2207"/>
    <w:rsid w:val="00AF3EBA"/>
    <w:rsid w:val="00B023C5"/>
    <w:rsid w:val="00B03992"/>
    <w:rsid w:val="00B134A7"/>
    <w:rsid w:val="00B13B56"/>
    <w:rsid w:val="00B15B75"/>
    <w:rsid w:val="00B17B51"/>
    <w:rsid w:val="00B211D8"/>
    <w:rsid w:val="00B21F75"/>
    <w:rsid w:val="00B2259D"/>
    <w:rsid w:val="00B23222"/>
    <w:rsid w:val="00B322D3"/>
    <w:rsid w:val="00B37D39"/>
    <w:rsid w:val="00B4760F"/>
    <w:rsid w:val="00B5074D"/>
    <w:rsid w:val="00B51244"/>
    <w:rsid w:val="00B53C15"/>
    <w:rsid w:val="00B662F2"/>
    <w:rsid w:val="00B67529"/>
    <w:rsid w:val="00B72816"/>
    <w:rsid w:val="00B80D4B"/>
    <w:rsid w:val="00B80EF8"/>
    <w:rsid w:val="00B81E8B"/>
    <w:rsid w:val="00B835CF"/>
    <w:rsid w:val="00B8383F"/>
    <w:rsid w:val="00B936E0"/>
    <w:rsid w:val="00B95662"/>
    <w:rsid w:val="00B97ECE"/>
    <w:rsid w:val="00BA2BA0"/>
    <w:rsid w:val="00BA5F62"/>
    <w:rsid w:val="00BA62E3"/>
    <w:rsid w:val="00BB5369"/>
    <w:rsid w:val="00BB540C"/>
    <w:rsid w:val="00BC20F1"/>
    <w:rsid w:val="00BC303B"/>
    <w:rsid w:val="00BD367D"/>
    <w:rsid w:val="00BD69FC"/>
    <w:rsid w:val="00BF659B"/>
    <w:rsid w:val="00C077DA"/>
    <w:rsid w:val="00C15F41"/>
    <w:rsid w:val="00C16657"/>
    <w:rsid w:val="00C26AB6"/>
    <w:rsid w:val="00C26CDA"/>
    <w:rsid w:val="00C32061"/>
    <w:rsid w:val="00C321DF"/>
    <w:rsid w:val="00C35AEF"/>
    <w:rsid w:val="00C35B56"/>
    <w:rsid w:val="00C44A9F"/>
    <w:rsid w:val="00C44B26"/>
    <w:rsid w:val="00C47A0D"/>
    <w:rsid w:val="00C53115"/>
    <w:rsid w:val="00C54B2F"/>
    <w:rsid w:val="00C54B9D"/>
    <w:rsid w:val="00C56E95"/>
    <w:rsid w:val="00C5752B"/>
    <w:rsid w:val="00C64774"/>
    <w:rsid w:val="00C66DC7"/>
    <w:rsid w:val="00C73603"/>
    <w:rsid w:val="00C8033C"/>
    <w:rsid w:val="00C82A83"/>
    <w:rsid w:val="00C85BDB"/>
    <w:rsid w:val="00C860B6"/>
    <w:rsid w:val="00C90AAD"/>
    <w:rsid w:val="00CA7A0D"/>
    <w:rsid w:val="00CB1611"/>
    <w:rsid w:val="00CB2721"/>
    <w:rsid w:val="00CB6AAF"/>
    <w:rsid w:val="00CC3224"/>
    <w:rsid w:val="00CD1079"/>
    <w:rsid w:val="00CD151B"/>
    <w:rsid w:val="00CD2876"/>
    <w:rsid w:val="00CD7E46"/>
    <w:rsid w:val="00CE1DFF"/>
    <w:rsid w:val="00CF359D"/>
    <w:rsid w:val="00CF4FDD"/>
    <w:rsid w:val="00CF7085"/>
    <w:rsid w:val="00D01FBD"/>
    <w:rsid w:val="00D2082C"/>
    <w:rsid w:val="00D25F00"/>
    <w:rsid w:val="00D32E28"/>
    <w:rsid w:val="00D458F4"/>
    <w:rsid w:val="00D54280"/>
    <w:rsid w:val="00D565A9"/>
    <w:rsid w:val="00D56C6C"/>
    <w:rsid w:val="00D6476E"/>
    <w:rsid w:val="00D6713E"/>
    <w:rsid w:val="00D709D1"/>
    <w:rsid w:val="00D82440"/>
    <w:rsid w:val="00D846C8"/>
    <w:rsid w:val="00D901DB"/>
    <w:rsid w:val="00D92F77"/>
    <w:rsid w:val="00D9358D"/>
    <w:rsid w:val="00D93E8F"/>
    <w:rsid w:val="00D94B2A"/>
    <w:rsid w:val="00DA04DF"/>
    <w:rsid w:val="00DC0A0D"/>
    <w:rsid w:val="00DC3611"/>
    <w:rsid w:val="00DC5B78"/>
    <w:rsid w:val="00DD1112"/>
    <w:rsid w:val="00DD2423"/>
    <w:rsid w:val="00DD3657"/>
    <w:rsid w:val="00DD410E"/>
    <w:rsid w:val="00DD69EF"/>
    <w:rsid w:val="00DD75D4"/>
    <w:rsid w:val="00DE21AA"/>
    <w:rsid w:val="00DE758B"/>
    <w:rsid w:val="00DE77EF"/>
    <w:rsid w:val="00DF6960"/>
    <w:rsid w:val="00E038DD"/>
    <w:rsid w:val="00E04F01"/>
    <w:rsid w:val="00E05C98"/>
    <w:rsid w:val="00E121F1"/>
    <w:rsid w:val="00E13FE5"/>
    <w:rsid w:val="00E207D2"/>
    <w:rsid w:val="00E23557"/>
    <w:rsid w:val="00E26A91"/>
    <w:rsid w:val="00E35AC7"/>
    <w:rsid w:val="00E35C80"/>
    <w:rsid w:val="00E4509A"/>
    <w:rsid w:val="00E54F9E"/>
    <w:rsid w:val="00E5595B"/>
    <w:rsid w:val="00E562FB"/>
    <w:rsid w:val="00E574E7"/>
    <w:rsid w:val="00E6075F"/>
    <w:rsid w:val="00E60D91"/>
    <w:rsid w:val="00E635E0"/>
    <w:rsid w:val="00E7645E"/>
    <w:rsid w:val="00E82B50"/>
    <w:rsid w:val="00E87B59"/>
    <w:rsid w:val="00E909D1"/>
    <w:rsid w:val="00E90C91"/>
    <w:rsid w:val="00E92B40"/>
    <w:rsid w:val="00E930A8"/>
    <w:rsid w:val="00E95216"/>
    <w:rsid w:val="00E96015"/>
    <w:rsid w:val="00E962EF"/>
    <w:rsid w:val="00EA1B5F"/>
    <w:rsid w:val="00EA50DB"/>
    <w:rsid w:val="00EA6D85"/>
    <w:rsid w:val="00EB5AFE"/>
    <w:rsid w:val="00EB60B6"/>
    <w:rsid w:val="00EB631E"/>
    <w:rsid w:val="00EB6EB0"/>
    <w:rsid w:val="00EC29CF"/>
    <w:rsid w:val="00ED503B"/>
    <w:rsid w:val="00EF1C45"/>
    <w:rsid w:val="00EF504B"/>
    <w:rsid w:val="00EF59E6"/>
    <w:rsid w:val="00EF638E"/>
    <w:rsid w:val="00EF6F14"/>
    <w:rsid w:val="00F0054C"/>
    <w:rsid w:val="00F12DCC"/>
    <w:rsid w:val="00F14228"/>
    <w:rsid w:val="00F237F3"/>
    <w:rsid w:val="00F251A9"/>
    <w:rsid w:val="00F27103"/>
    <w:rsid w:val="00F2771F"/>
    <w:rsid w:val="00F33C9C"/>
    <w:rsid w:val="00F35357"/>
    <w:rsid w:val="00F366C4"/>
    <w:rsid w:val="00F40E48"/>
    <w:rsid w:val="00F441D3"/>
    <w:rsid w:val="00F54B07"/>
    <w:rsid w:val="00F5565E"/>
    <w:rsid w:val="00F602D6"/>
    <w:rsid w:val="00F62CE4"/>
    <w:rsid w:val="00F6471C"/>
    <w:rsid w:val="00F655C0"/>
    <w:rsid w:val="00F6608A"/>
    <w:rsid w:val="00F675A6"/>
    <w:rsid w:val="00F67B26"/>
    <w:rsid w:val="00F7418D"/>
    <w:rsid w:val="00F84709"/>
    <w:rsid w:val="00F84F29"/>
    <w:rsid w:val="00F87870"/>
    <w:rsid w:val="00F97417"/>
    <w:rsid w:val="00F977CD"/>
    <w:rsid w:val="00FA569F"/>
    <w:rsid w:val="00FA7CFA"/>
    <w:rsid w:val="00FB51D0"/>
    <w:rsid w:val="00FB73E4"/>
    <w:rsid w:val="00FC161D"/>
    <w:rsid w:val="00FC2247"/>
    <w:rsid w:val="00FC28EF"/>
    <w:rsid w:val="00FC2CF9"/>
    <w:rsid w:val="00FC398C"/>
    <w:rsid w:val="00FC67C0"/>
    <w:rsid w:val="00FD2B70"/>
    <w:rsid w:val="00FE09C6"/>
    <w:rsid w:val="00FE122D"/>
    <w:rsid w:val="00FE15B1"/>
    <w:rsid w:val="00FE6902"/>
    <w:rsid w:val="00FF1C6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09011"/>
  <w15:docId w15:val="{F2E6A69F-5260-4F10-8626-2C3988AF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24"/>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link w:val="Heading1Char"/>
    <w:qFormat/>
    <w:rsid w:val="0033760D"/>
    <w:pPr>
      <w:numPr>
        <w:numId w:val="13"/>
      </w:numPr>
      <w:ind w:left="0" w:firstLine="0"/>
      <w:outlineLvl w:val="0"/>
    </w:pPr>
  </w:style>
  <w:style w:type="paragraph" w:styleId="Heading2">
    <w:name w:val="heading 2"/>
    <w:basedOn w:val="Normal"/>
    <w:next w:val="Normal"/>
    <w:link w:val="Heading2Char"/>
    <w:qFormat/>
    <w:rsid w:val="00716ABC"/>
    <w:pPr>
      <w:numPr>
        <w:numId w:val="20"/>
      </w:numPr>
      <w:ind w:left="720" w:firstLine="0"/>
      <w:outlineLvl w:val="1"/>
    </w:pPr>
  </w:style>
  <w:style w:type="paragraph" w:styleId="Heading3">
    <w:name w:val="heading 3"/>
    <w:basedOn w:val="Normal"/>
    <w:next w:val="Normal"/>
    <w:qFormat/>
    <w:rsid w:val="001C373C"/>
    <w:pPr>
      <w:numPr>
        <w:ilvl w:val="2"/>
        <w:numId w:val="13"/>
      </w:numPr>
      <w:tabs>
        <w:tab w:val="left" w:pos="2520"/>
      </w:tabs>
      <w:outlineLvl w:val="2"/>
    </w:pPr>
  </w:style>
  <w:style w:type="paragraph" w:styleId="Heading4">
    <w:name w:val="heading 4"/>
    <w:basedOn w:val="Normal"/>
    <w:next w:val="Normal"/>
    <w:qFormat/>
    <w:rsid w:val="00942F45"/>
    <w:pPr>
      <w:numPr>
        <w:ilvl w:val="3"/>
        <w:numId w:val="13"/>
      </w:numPr>
      <w:outlineLvl w:val="3"/>
    </w:pPr>
  </w:style>
  <w:style w:type="paragraph" w:styleId="Heading5">
    <w:name w:val="heading 5"/>
    <w:basedOn w:val="Normal"/>
    <w:next w:val="Normal"/>
    <w:qFormat/>
    <w:rsid w:val="00E7645E"/>
    <w:pPr>
      <w:numPr>
        <w:ilvl w:val="4"/>
        <w:numId w:val="13"/>
      </w:numPr>
      <w:outlineLvl w:val="4"/>
    </w:pPr>
  </w:style>
  <w:style w:type="paragraph" w:styleId="Heading6">
    <w:name w:val="heading 6"/>
    <w:basedOn w:val="Normal"/>
    <w:next w:val="Normal"/>
    <w:qFormat/>
    <w:rsid w:val="00E7645E"/>
    <w:pPr>
      <w:numPr>
        <w:ilvl w:val="5"/>
        <w:numId w:val="13"/>
      </w:numPr>
      <w:outlineLvl w:val="5"/>
    </w:pPr>
    <w:rPr>
      <w:i/>
      <w:sz w:val="22"/>
    </w:rPr>
  </w:style>
  <w:style w:type="paragraph" w:styleId="Heading7">
    <w:name w:val="heading 7"/>
    <w:basedOn w:val="Normal"/>
    <w:next w:val="Normal"/>
    <w:qFormat/>
    <w:rsid w:val="00E7645E"/>
    <w:pPr>
      <w:numPr>
        <w:ilvl w:val="6"/>
        <w:numId w:val="13"/>
      </w:numPr>
      <w:outlineLvl w:val="6"/>
    </w:pPr>
  </w:style>
  <w:style w:type="paragraph" w:styleId="Heading8">
    <w:name w:val="heading 8"/>
    <w:basedOn w:val="Normal"/>
    <w:next w:val="Normal"/>
    <w:qFormat/>
    <w:rsid w:val="00E7645E"/>
    <w:pPr>
      <w:numPr>
        <w:ilvl w:val="7"/>
        <w:numId w:val="13"/>
      </w:numPr>
      <w:outlineLvl w:val="7"/>
    </w:pPr>
    <w:rPr>
      <w:i/>
    </w:rPr>
  </w:style>
  <w:style w:type="paragraph" w:styleId="Heading9">
    <w:name w:val="heading 9"/>
    <w:basedOn w:val="Normal"/>
    <w:next w:val="Normal"/>
    <w:qFormat/>
    <w:rsid w:val="00E7645E"/>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link w:val="FootnoteText"/>
    <w:uiPriority w:val="99"/>
    <w:rsid w:val="00853524"/>
    <w:rPr>
      <w:rFonts w:ascii="Arial" w:hAnsi="Arial" w:cs="Arial"/>
      <w:spacing w:val="-3"/>
      <w:lang w:val="en-GB" w:eastAsia="en-US"/>
    </w:rPr>
  </w:style>
  <w:style w:type="character" w:styleId="FootnoteReference">
    <w:name w:val="footnote reference"/>
    <w:uiPriority w:val="99"/>
    <w:rsid w:val="00853524"/>
    <w:rPr>
      <w:vertAlign w:val="superscript"/>
    </w:rPr>
  </w:style>
  <w:style w:type="character" w:customStyle="1" w:styleId="Heading1Char">
    <w:name w:val="Heading 1 Char"/>
    <w:link w:val="Heading1"/>
    <w:rsid w:val="0033760D"/>
    <w:rPr>
      <w:rFonts w:ascii="Arial" w:hAnsi="Arial" w:cs="Arial"/>
      <w:spacing w:val="-3"/>
      <w:sz w:val="24"/>
      <w:szCs w:val="24"/>
      <w:lang w:eastAsia="en-US"/>
    </w:rPr>
  </w:style>
  <w:style w:type="character" w:customStyle="1" w:styleId="Heading2Char">
    <w:name w:val="Heading 2 Char"/>
    <w:link w:val="Heading2"/>
    <w:rsid w:val="00716ABC"/>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135CE1"/>
    <w:pPr>
      <w:widowControl/>
      <w:spacing w:after="200" w:line="276" w:lineRule="auto"/>
      <w:ind w:left="720"/>
      <w:contextualSpacing/>
      <w:jc w:val="left"/>
    </w:pPr>
    <w:rPr>
      <w:rFonts w:ascii="Calibri" w:hAnsi="Calibri" w:cs="Times New Roman"/>
      <w:spacing w:val="0"/>
      <w:sz w:val="22"/>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character" w:styleId="CommentReference">
    <w:name w:val="annotation reference"/>
    <w:uiPriority w:val="99"/>
    <w:semiHidden/>
    <w:unhideWhenUsed/>
    <w:rsid w:val="008571AF"/>
    <w:rPr>
      <w:sz w:val="16"/>
      <w:szCs w:val="16"/>
    </w:rPr>
  </w:style>
  <w:style w:type="paragraph" w:styleId="CommentText">
    <w:name w:val="annotation text"/>
    <w:basedOn w:val="Normal"/>
    <w:link w:val="CommentTextChar"/>
    <w:uiPriority w:val="99"/>
    <w:semiHidden/>
    <w:unhideWhenUsed/>
    <w:rsid w:val="008571AF"/>
    <w:pPr>
      <w:spacing w:line="240" w:lineRule="auto"/>
    </w:pPr>
    <w:rPr>
      <w:sz w:val="20"/>
      <w:szCs w:val="20"/>
    </w:rPr>
  </w:style>
  <w:style w:type="character" w:customStyle="1" w:styleId="CommentTextChar">
    <w:name w:val="Comment Text Char"/>
    <w:link w:val="CommentText"/>
    <w:uiPriority w:val="99"/>
    <w:semiHidden/>
    <w:rsid w:val="008571AF"/>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8571AF"/>
    <w:rPr>
      <w:b/>
      <w:bCs/>
    </w:rPr>
  </w:style>
  <w:style w:type="character" w:customStyle="1" w:styleId="CommentSubjectChar">
    <w:name w:val="Comment Subject Char"/>
    <w:link w:val="CommentSubject"/>
    <w:uiPriority w:val="99"/>
    <w:semiHidden/>
    <w:rsid w:val="008571AF"/>
    <w:rPr>
      <w:rFonts w:ascii="Arial" w:hAnsi="Arial" w:cs="Arial"/>
      <w:b/>
      <w:bCs/>
      <w:spacing w:val="-3"/>
      <w:lang w:val="en-GB" w:eastAsia="en-US"/>
    </w:rPr>
  </w:style>
  <w:style w:type="paragraph" w:styleId="Revision">
    <w:name w:val="Revision"/>
    <w:hidden/>
    <w:uiPriority w:val="99"/>
    <w:semiHidden/>
    <w:rsid w:val="00E95216"/>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7372">
      <w:bodyDiv w:val="1"/>
      <w:marLeft w:val="0"/>
      <w:marRight w:val="0"/>
      <w:marTop w:val="0"/>
      <w:marBottom w:val="0"/>
      <w:divBdr>
        <w:top w:val="none" w:sz="0" w:space="0" w:color="auto"/>
        <w:left w:val="none" w:sz="0" w:space="0" w:color="auto"/>
        <w:bottom w:val="none" w:sz="0" w:space="0" w:color="auto"/>
        <w:right w:val="none" w:sz="0" w:space="0" w:color="auto"/>
      </w:divBdr>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2023-03-26T18:30:00+00:00</Judgment_x0020_Date>
    <Year xmlns="c1afb1bd-f2fb-40fd-9abb-aea55b4d7662">2023</Yea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FC7C7-0A6E-4F40-BDE1-ECA9F971E397}">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5CBA5F70-8A76-4074-B031-27A874BC1A28}">
  <ds:schemaRefs>
    <ds:schemaRef ds:uri="http://schemas.microsoft.com/office/2006/metadata/longProperties"/>
  </ds:schemaRefs>
</ds:datastoreItem>
</file>

<file path=customXml/itemProps3.xml><?xml version="1.0" encoding="utf-8"?>
<ds:datastoreItem xmlns:ds="http://schemas.openxmlformats.org/officeDocument/2006/customXml" ds:itemID="{E35ADF09-D5C6-473B-BE04-A2CE1079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09417-D29E-4038-BBE5-1A5FD55DDC01}">
  <ds:schemaRefs>
    <ds:schemaRef ds:uri="http://schemas.openxmlformats.org/officeDocument/2006/bibliography"/>
  </ds:schemaRefs>
</ds:datastoreItem>
</file>

<file path=customXml/itemProps5.xml><?xml version="1.0" encoding="utf-8"?>
<ds:datastoreItem xmlns:ds="http://schemas.openxmlformats.org/officeDocument/2006/customXml" ds:itemID="{E3EFE5B2-97C2-4641-9FF6-92ED6A25C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Affidavit</Template>
  <TotalTime>9</TotalTime>
  <Pages>14</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Neumbo v Tjirmuje (HC-MD-CIV-ACT-DEL-2020-04493) [2022] NAHCMD 431 (24 August 2022)</vt:lpstr>
    </vt:vector>
  </TitlesOfParts>
  <Company>Gardens Chambers</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Limited v Goagoseb (HC-MD-CIV-ACT-CON-2020-02469) [2023] NAHCMD 146 (27 March 2023) </dc:title>
  <dc:subject/>
  <dc:creator>Monica</dc:creator>
  <cp:keywords/>
  <dc:description/>
  <cp:lastModifiedBy>Mariana Anguelov</cp:lastModifiedBy>
  <cp:revision>4</cp:revision>
  <cp:lastPrinted>2023-01-30T13:02:00Z</cp:lastPrinted>
  <dcterms:created xsi:type="dcterms:W3CDTF">2023-03-27T09:08:00Z</dcterms:created>
  <dcterms:modified xsi:type="dcterms:W3CDTF">2023-03-30T19:08:00Z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b114b457f1e693fea4aa193e6ec4e65715fdbc908543a69545c899aaacc9041d</vt:lpwstr>
  </property>
  <property fmtid="{D5CDD505-2E9C-101B-9397-08002B2CF9AE}" pid="3" name="ContentTypeId">
    <vt:lpwstr>0x0101000ECE0F99B3F8644397ECB0C536651393</vt:lpwstr>
  </property>
</Properties>
</file>