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D9912" w14:textId="0CE89410" w:rsidR="00B9532F" w:rsidRPr="00E00129" w:rsidRDefault="00D0634C" w:rsidP="00B9532F">
      <w:pPr>
        <w:spacing w:after="0" w:line="360" w:lineRule="auto"/>
        <w:jc w:val="center"/>
        <w:rPr>
          <w:rFonts w:ascii="Arial" w:hAnsi="Arial" w:cs="Arial"/>
          <w:b/>
          <w:color w:val="000000"/>
          <w:sz w:val="24"/>
          <w:szCs w:val="24"/>
        </w:rPr>
      </w:pPr>
      <w:r>
        <w:rPr>
          <w:rFonts w:ascii="Arial" w:hAnsi="Arial" w:cs="Arial"/>
          <w:noProof/>
          <w:color w:val="000000"/>
          <w:sz w:val="24"/>
          <w:szCs w:val="24"/>
          <w:lang w:val="en-US"/>
        </w:rPr>
        <mc:AlternateContent>
          <mc:Choice Requires="wps">
            <w:drawing>
              <wp:anchor distT="0" distB="0" distL="114300" distR="114300" simplePos="0" relativeHeight="251658240" behindDoc="0" locked="0" layoutInCell="1" allowOverlap="1" wp14:anchorId="5070969C" wp14:editId="74918001">
                <wp:simplePos x="0" y="0"/>
                <wp:positionH relativeFrom="column">
                  <wp:posOffset>4516120</wp:posOffset>
                </wp:positionH>
                <wp:positionV relativeFrom="paragraph">
                  <wp:posOffset>7620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7FEC2B37" w14:textId="77777777" w:rsidR="004135A0" w:rsidRPr="00823872" w:rsidRDefault="004135A0" w:rsidP="00BE655B">
                            <w:pPr>
                              <w:rPr>
                                <w:rFonts w:ascii="Arial" w:hAnsi="Arial" w:cs="Arial"/>
                              </w:rPr>
                            </w:pPr>
                          </w:p>
                          <w:p w14:paraId="2242E62D" w14:textId="77777777" w:rsidR="004135A0" w:rsidRDefault="004135A0" w:rsidP="006A08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0969C" id="_x0000_t202" coordsize="21600,21600" o:spt="202" path="m,l,21600r21600,l21600,xe">
                <v:stroke joinstyle="miter"/>
                <v:path gradientshapeok="t" o:connecttype="rect"/>
              </v:shapetype>
              <v:shape id="Text Box 2" o:spid="_x0000_s1026" type="#_x0000_t202" style="position:absolute;left:0;text-align:left;margin-left:355.6pt;margin-top:.6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" strokecolor="white">
                <v:textbox>
                  <w:txbxContent>
                    <w:p w14:paraId="7FEC2B37" w14:textId="77777777" w:rsidR="004135A0" w:rsidRPr="00823872" w:rsidRDefault="004135A0" w:rsidP="00BE655B">
                      <w:pPr>
                        <w:rPr>
                          <w:rFonts w:ascii="Arial" w:hAnsi="Arial" w:cs="Arial"/>
                        </w:rPr>
                      </w:pPr>
                    </w:p>
                    <w:p w14:paraId="2242E62D" w14:textId="77777777" w:rsidR="004135A0" w:rsidRDefault="004135A0" w:rsidP="006A08E3">
                      <w:pPr>
                        <w:jc w:val="center"/>
                      </w:pPr>
                    </w:p>
                  </w:txbxContent>
                </v:textbox>
              </v:shape>
            </w:pict>
          </mc:Fallback>
        </mc:AlternateContent>
      </w:r>
      <w:r w:rsidR="00B9532F" w:rsidRPr="00E00129">
        <w:rPr>
          <w:rFonts w:ascii="Arial" w:hAnsi="Arial" w:cs="Arial"/>
          <w:b/>
          <w:color w:val="000000"/>
          <w:sz w:val="24"/>
          <w:szCs w:val="24"/>
        </w:rPr>
        <w:t>REPUBLIC OF NAMIBIA</w:t>
      </w:r>
    </w:p>
    <w:p w14:paraId="64A6360E" w14:textId="181E084B" w:rsidR="00B9532F" w:rsidRPr="00E00129" w:rsidRDefault="00D0634C" w:rsidP="00B9532F">
      <w:pPr>
        <w:spacing w:after="0" w:line="360" w:lineRule="auto"/>
        <w:jc w:val="both"/>
        <w:rPr>
          <w:rFonts w:ascii="Arial" w:hAnsi="Arial" w:cs="Arial"/>
          <w:color w:val="000000"/>
          <w:sz w:val="24"/>
          <w:szCs w:val="24"/>
        </w:rPr>
      </w:pPr>
      <w:r>
        <w:rPr>
          <w:rFonts w:ascii="Arial" w:hAnsi="Arial" w:cs="Arial"/>
          <w:noProof/>
          <w:color w:val="000000"/>
          <w:sz w:val="24"/>
          <w:szCs w:val="24"/>
          <w:lang w:val="en-US"/>
        </w:rPr>
        <w:drawing>
          <wp:anchor distT="0" distB="0" distL="114300" distR="114300" simplePos="0" relativeHeight="251657216" behindDoc="0" locked="0" layoutInCell="1" allowOverlap="1" wp14:anchorId="0A4EBA03" wp14:editId="4E2FBACC">
            <wp:simplePos x="0" y="0"/>
            <wp:positionH relativeFrom="column">
              <wp:posOffset>2286635</wp:posOffset>
            </wp:positionH>
            <wp:positionV relativeFrom="paragraph">
              <wp:posOffset>80010</wp:posOffset>
            </wp:positionV>
            <wp:extent cx="1270000" cy="1320800"/>
            <wp:effectExtent l="0" t="0" r="6350" b="0"/>
            <wp:wrapSquare wrapText="bothSides"/>
            <wp:docPr id="2"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pic:spPr>
                </pic:pic>
              </a:graphicData>
            </a:graphic>
            <wp14:sizeRelH relativeFrom="page">
              <wp14:pctWidth>0</wp14:pctWidth>
            </wp14:sizeRelH>
            <wp14:sizeRelV relativeFrom="page">
              <wp14:pctHeight>0</wp14:pctHeight>
            </wp14:sizeRelV>
          </wp:anchor>
        </w:drawing>
      </w:r>
      <w:r w:rsidR="00B9532F" w:rsidRPr="00E00129">
        <w:rPr>
          <w:rFonts w:ascii="Arial" w:hAnsi="Arial" w:cs="Arial"/>
          <w:b/>
          <w:color w:val="000000"/>
          <w:sz w:val="24"/>
          <w:szCs w:val="24"/>
        </w:rPr>
        <w:br w:type="textWrapping" w:clear="all"/>
      </w:r>
    </w:p>
    <w:p w14:paraId="5774B437" w14:textId="77777777" w:rsidR="00B9532F" w:rsidRPr="008461E6" w:rsidRDefault="00B9532F" w:rsidP="008461E6">
      <w:pPr>
        <w:spacing w:after="0" w:line="360" w:lineRule="auto"/>
        <w:jc w:val="center"/>
        <w:rPr>
          <w:rFonts w:ascii="Arial" w:hAnsi="Arial" w:cs="Arial"/>
          <w:bCs/>
          <w:color w:val="000000"/>
          <w:sz w:val="24"/>
          <w:szCs w:val="24"/>
        </w:rPr>
      </w:pPr>
      <w:r w:rsidRPr="00E00129">
        <w:rPr>
          <w:rFonts w:ascii="Arial" w:hAnsi="Arial" w:cs="Arial"/>
          <w:b/>
          <w:color w:val="000000"/>
          <w:sz w:val="24"/>
          <w:szCs w:val="24"/>
        </w:rPr>
        <w:t>HIGH COURT OF NAMIBIA MAIN DIVISION, WINDHOEK</w:t>
      </w:r>
    </w:p>
    <w:p w14:paraId="333288DC" w14:textId="1E831365" w:rsidR="00E74FC1" w:rsidRPr="008461E6" w:rsidRDefault="00281366" w:rsidP="008461E6">
      <w:pPr>
        <w:spacing w:after="0" w:line="360" w:lineRule="auto"/>
        <w:jc w:val="center"/>
        <w:rPr>
          <w:rFonts w:ascii="Arial" w:hAnsi="Arial" w:cs="Arial"/>
          <w:b/>
          <w:color w:val="000000"/>
          <w:sz w:val="24"/>
          <w:szCs w:val="24"/>
        </w:rPr>
      </w:pPr>
      <w:r>
        <w:rPr>
          <w:rFonts w:ascii="Arial" w:hAnsi="Arial" w:cs="Arial"/>
          <w:b/>
          <w:color w:val="000000"/>
          <w:sz w:val="24"/>
          <w:szCs w:val="24"/>
        </w:rPr>
        <w:t>PRACTICE DIRECTIVE 61</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307"/>
        <w:gridCol w:w="4323"/>
      </w:tblGrid>
      <w:tr w:rsidR="00243A84" w:rsidRPr="00E00129" w14:paraId="06444838" w14:textId="77777777" w:rsidTr="0029776E">
        <w:trPr>
          <w:trHeight w:val="744"/>
        </w:trPr>
        <w:tc>
          <w:tcPr>
            <w:tcW w:w="5397" w:type="dxa"/>
            <w:gridSpan w:val="2"/>
            <w:vMerge w:val="restart"/>
            <w:shd w:val="clear" w:color="auto" w:fill="auto"/>
          </w:tcPr>
          <w:p w14:paraId="34B92276" w14:textId="77777777" w:rsidR="00C73154" w:rsidRPr="00E00129" w:rsidRDefault="00C73154" w:rsidP="0029776E">
            <w:pPr>
              <w:spacing w:after="0" w:line="360" w:lineRule="auto"/>
              <w:jc w:val="both"/>
              <w:rPr>
                <w:rFonts w:ascii="Arial" w:hAnsi="Arial" w:cs="Arial"/>
                <w:color w:val="000000"/>
                <w:sz w:val="24"/>
                <w:szCs w:val="24"/>
              </w:rPr>
            </w:pPr>
            <w:r w:rsidRPr="00E00129">
              <w:rPr>
                <w:rFonts w:ascii="Arial" w:hAnsi="Arial" w:cs="Arial"/>
                <w:b/>
                <w:color w:val="000000"/>
                <w:sz w:val="24"/>
                <w:szCs w:val="24"/>
              </w:rPr>
              <w:t>Case Title:</w:t>
            </w:r>
          </w:p>
          <w:p w14:paraId="3D6BC7BC" w14:textId="2E5F787C" w:rsidR="00C73154" w:rsidRPr="00E00129" w:rsidRDefault="000B2C49" w:rsidP="0029776E">
            <w:pPr>
              <w:spacing w:after="0" w:line="360" w:lineRule="auto"/>
              <w:jc w:val="both"/>
              <w:rPr>
                <w:rFonts w:ascii="Arial" w:hAnsi="Arial" w:cs="Arial"/>
                <w:color w:val="000000"/>
                <w:sz w:val="24"/>
                <w:szCs w:val="24"/>
              </w:rPr>
            </w:pPr>
            <w:r>
              <w:rPr>
                <w:rFonts w:ascii="Arial" w:hAnsi="Arial" w:cs="Arial"/>
                <w:color w:val="000000"/>
                <w:sz w:val="24"/>
                <w:szCs w:val="24"/>
                <w:shd w:val="clear" w:color="auto" w:fill="FFFFFF"/>
              </w:rPr>
              <w:t>NEDBANK NAMIBIA LIMITED v</w:t>
            </w:r>
            <w:r w:rsidR="00D83B51" w:rsidRPr="00E00129">
              <w:rPr>
                <w:rFonts w:ascii="Arial" w:hAnsi="Arial" w:cs="Arial"/>
                <w:color w:val="000000"/>
                <w:sz w:val="24"/>
                <w:szCs w:val="24"/>
                <w:shd w:val="clear" w:color="auto" w:fill="FFFFFF"/>
              </w:rPr>
              <w:t xml:space="preserve"> ANGELO ROWEN HELMUTH</w:t>
            </w:r>
          </w:p>
        </w:tc>
        <w:tc>
          <w:tcPr>
            <w:tcW w:w="4323" w:type="dxa"/>
            <w:shd w:val="clear" w:color="auto" w:fill="auto"/>
          </w:tcPr>
          <w:p w14:paraId="6ADA39FB" w14:textId="77777777" w:rsidR="00C73154" w:rsidRPr="00E00129" w:rsidRDefault="00C73154" w:rsidP="0029776E">
            <w:pPr>
              <w:spacing w:after="0" w:line="360" w:lineRule="auto"/>
              <w:jc w:val="both"/>
              <w:rPr>
                <w:rFonts w:ascii="Arial" w:hAnsi="Arial" w:cs="Arial"/>
                <w:b/>
                <w:color w:val="000000"/>
                <w:sz w:val="24"/>
                <w:szCs w:val="24"/>
              </w:rPr>
            </w:pPr>
            <w:r w:rsidRPr="00E00129">
              <w:rPr>
                <w:rFonts w:ascii="Arial" w:hAnsi="Arial" w:cs="Arial"/>
                <w:b/>
                <w:color w:val="000000"/>
                <w:sz w:val="24"/>
                <w:szCs w:val="24"/>
              </w:rPr>
              <w:t>Case No:</w:t>
            </w:r>
          </w:p>
          <w:p w14:paraId="50EF4559" w14:textId="77777777" w:rsidR="00C73154" w:rsidRPr="00E00129" w:rsidRDefault="00D83B51" w:rsidP="0029776E">
            <w:pPr>
              <w:spacing w:after="0" w:line="360" w:lineRule="auto"/>
              <w:jc w:val="both"/>
              <w:rPr>
                <w:rFonts w:ascii="Arial" w:hAnsi="Arial" w:cs="Arial"/>
                <w:color w:val="000000"/>
                <w:sz w:val="24"/>
                <w:szCs w:val="24"/>
              </w:rPr>
            </w:pPr>
            <w:r w:rsidRPr="00E00129">
              <w:rPr>
                <w:rFonts w:ascii="Arial" w:hAnsi="Arial" w:cs="Arial"/>
                <w:color w:val="000000"/>
                <w:sz w:val="24"/>
                <w:szCs w:val="24"/>
                <w:shd w:val="clear" w:color="auto" w:fill="FFFFFF"/>
              </w:rPr>
              <w:t>HC-MD-CIV-ACT-CON-2022/00429</w:t>
            </w:r>
          </w:p>
        </w:tc>
      </w:tr>
      <w:tr w:rsidR="00243A84" w:rsidRPr="00E00129" w14:paraId="7ED54C4D" w14:textId="77777777" w:rsidTr="0029776E">
        <w:trPr>
          <w:trHeight w:val="844"/>
        </w:trPr>
        <w:tc>
          <w:tcPr>
            <w:tcW w:w="5397" w:type="dxa"/>
            <w:gridSpan w:val="2"/>
            <w:vMerge/>
            <w:shd w:val="clear" w:color="auto" w:fill="auto"/>
          </w:tcPr>
          <w:p w14:paraId="04933A81" w14:textId="77777777" w:rsidR="00C73154" w:rsidRPr="00E00129" w:rsidRDefault="00C73154" w:rsidP="0029776E">
            <w:pPr>
              <w:spacing w:after="0" w:line="360" w:lineRule="auto"/>
              <w:jc w:val="both"/>
              <w:rPr>
                <w:rFonts w:ascii="Arial" w:hAnsi="Arial" w:cs="Arial"/>
                <w:color w:val="000000"/>
                <w:sz w:val="24"/>
                <w:szCs w:val="24"/>
              </w:rPr>
            </w:pPr>
          </w:p>
        </w:tc>
        <w:tc>
          <w:tcPr>
            <w:tcW w:w="4323" w:type="dxa"/>
            <w:shd w:val="clear" w:color="auto" w:fill="auto"/>
          </w:tcPr>
          <w:p w14:paraId="1F381625" w14:textId="77777777" w:rsidR="00C73154" w:rsidRPr="00E00129" w:rsidRDefault="00C73154" w:rsidP="0029776E">
            <w:pPr>
              <w:spacing w:after="0" w:line="360" w:lineRule="auto"/>
              <w:jc w:val="both"/>
              <w:rPr>
                <w:rFonts w:ascii="Arial" w:hAnsi="Arial" w:cs="Arial"/>
                <w:color w:val="000000"/>
                <w:sz w:val="24"/>
                <w:szCs w:val="24"/>
              </w:rPr>
            </w:pPr>
            <w:r w:rsidRPr="00E00129">
              <w:rPr>
                <w:rFonts w:ascii="Arial" w:hAnsi="Arial" w:cs="Arial"/>
                <w:b/>
                <w:color w:val="000000"/>
                <w:sz w:val="24"/>
                <w:szCs w:val="24"/>
              </w:rPr>
              <w:t>Division of Court:</w:t>
            </w:r>
          </w:p>
          <w:p w14:paraId="45B65485" w14:textId="77777777" w:rsidR="00C73154" w:rsidRPr="00E00129" w:rsidRDefault="00C73154" w:rsidP="0029776E">
            <w:pPr>
              <w:spacing w:after="0" w:line="360" w:lineRule="auto"/>
              <w:jc w:val="both"/>
              <w:rPr>
                <w:rFonts w:ascii="Arial" w:hAnsi="Arial" w:cs="Arial"/>
                <w:color w:val="000000"/>
                <w:sz w:val="24"/>
                <w:szCs w:val="24"/>
              </w:rPr>
            </w:pPr>
            <w:r w:rsidRPr="00E00129">
              <w:rPr>
                <w:rFonts w:ascii="Arial" w:hAnsi="Arial" w:cs="Arial"/>
                <w:color w:val="000000"/>
                <w:sz w:val="24"/>
                <w:szCs w:val="24"/>
              </w:rPr>
              <w:t>H</w:t>
            </w:r>
            <w:r w:rsidR="00AE0920" w:rsidRPr="00E00129">
              <w:rPr>
                <w:rFonts w:ascii="Arial" w:hAnsi="Arial" w:cs="Arial"/>
                <w:color w:val="000000"/>
                <w:sz w:val="24"/>
                <w:szCs w:val="24"/>
              </w:rPr>
              <w:t>igh</w:t>
            </w:r>
            <w:r w:rsidR="00092FD2" w:rsidRPr="00E00129">
              <w:rPr>
                <w:rFonts w:ascii="Arial" w:hAnsi="Arial" w:cs="Arial"/>
                <w:color w:val="000000"/>
                <w:sz w:val="24"/>
                <w:szCs w:val="24"/>
              </w:rPr>
              <w:t xml:space="preserve"> C</w:t>
            </w:r>
            <w:r w:rsidR="00AE0920" w:rsidRPr="00E00129">
              <w:rPr>
                <w:rFonts w:ascii="Arial" w:hAnsi="Arial" w:cs="Arial"/>
                <w:color w:val="000000"/>
                <w:sz w:val="24"/>
                <w:szCs w:val="24"/>
              </w:rPr>
              <w:t>ourt</w:t>
            </w:r>
            <w:r w:rsidR="00092FD2" w:rsidRPr="00E00129">
              <w:rPr>
                <w:rFonts w:ascii="Arial" w:hAnsi="Arial" w:cs="Arial"/>
                <w:color w:val="000000"/>
                <w:sz w:val="24"/>
                <w:szCs w:val="24"/>
              </w:rPr>
              <w:t xml:space="preserve"> (M</w:t>
            </w:r>
            <w:r w:rsidR="00AE0920" w:rsidRPr="00E00129">
              <w:rPr>
                <w:rFonts w:ascii="Arial" w:hAnsi="Arial" w:cs="Arial"/>
                <w:color w:val="000000"/>
                <w:sz w:val="24"/>
                <w:szCs w:val="24"/>
              </w:rPr>
              <w:t>ain</w:t>
            </w:r>
            <w:r w:rsidR="00092FD2" w:rsidRPr="00E00129">
              <w:rPr>
                <w:rFonts w:ascii="Arial" w:hAnsi="Arial" w:cs="Arial"/>
                <w:color w:val="000000"/>
                <w:sz w:val="24"/>
                <w:szCs w:val="24"/>
              </w:rPr>
              <w:t xml:space="preserve"> D</w:t>
            </w:r>
            <w:r w:rsidR="00AE0920" w:rsidRPr="00E00129">
              <w:rPr>
                <w:rFonts w:ascii="Arial" w:hAnsi="Arial" w:cs="Arial"/>
                <w:color w:val="000000"/>
                <w:sz w:val="24"/>
                <w:szCs w:val="24"/>
              </w:rPr>
              <w:t>ivision</w:t>
            </w:r>
            <w:r w:rsidR="00890143" w:rsidRPr="00E00129">
              <w:rPr>
                <w:rFonts w:ascii="Arial" w:hAnsi="Arial" w:cs="Arial"/>
                <w:color w:val="000000"/>
                <w:sz w:val="24"/>
                <w:szCs w:val="24"/>
              </w:rPr>
              <w:t>)</w:t>
            </w:r>
          </w:p>
        </w:tc>
      </w:tr>
      <w:tr w:rsidR="00243A84" w:rsidRPr="00E00129" w14:paraId="68BD5BD9" w14:textId="77777777" w:rsidTr="0029776E">
        <w:trPr>
          <w:trHeight w:val="645"/>
        </w:trPr>
        <w:tc>
          <w:tcPr>
            <w:tcW w:w="5397" w:type="dxa"/>
            <w:gridSpan w:val="2"/>
            <w:vMerge w:val="restart"/>
            <w:shd w:val="clear" w:color="auto" w:fill="auto"/>
          </w:tcPr>
          <w:p w14:paraId="57DD2BF1" w14:textId="77777777" w:rsidR="005403D8" w:rsidRPr="00E00129" w:rsidRDefault="005403D8" w:rsidP="0029776E">
            <w:pPr>
              <w:spacing w:after="0" w:line="360" w:lineRule="auto"/>
              <w:jc w:val="both"/>
              <w:rPr>
                <w:rFonts w:ascii="Arial" w:hAnsi="Arial" w:cs="Arial"/>
                <w:b/>
                <w:color w:val="000000"/>
                <w:sz w:val="24"/>
                <w:szCs w:val="24"/>
              </w:rPr>
            </w:pPr>
            <w:r w:rsidRPr="00E00129">
              <w:rPr>
                <w:rFonts w:ascii="Arial" w:hAnsi="Arial" w:cs="Arial"/>
                <w:b/>
                <w:color w:val="000000"/>
                <w:sz w:val="24"/>
                <w:szCs w:val="24"/>
              </w:rPr>
              <w:t>Heard before:</w:t>
            </w:r>
          </w:p>
          <w:p w14:paraId="5AEBB40F" w14:textId="77777777" w:rsidR="005403D8" w:rsidRPr="00E00129" w:rsidRDefault="005403D8" w:rsidP="00D83B51">
            <w:pPr>
              <w:spacing w:after="0" w:line="360" w:lineRule="auto"/>
              <w:jc w:val="both"/>
              <w:rPr>
                <w:rFonts w:ascii="Arial" w:hAnsi="Arial" w:cs="Arial"/>
                <w:color w:val="000000"/>
                <w:sz w:val="24"/>
                <w:szCs w:val="24"/>
              </w:rPr>
            </w:pPr>
            <w:r w:rsidRPr="00E00129">
              <w:rPr>
                <w:rFonts w:ascii="Arial" w:hAnsi="Arial" w:cs="Arial"/>
                <w:color w:val="000000"/>
                <w:sz w:val="24"/>
                <w:szCs w:val="24"/>
              </w:rPr>
              <w:t>H</w:t>
            </w:r>
            <w:r w:rsidR="00AE0920" w:rsidRPr="00E00129">
              <w:rPr>
                <w:rFonts w:ascii="Arial" w:hAnsi="Arial" w:cs="Arial"/>
                <w:color w:val="000000"/>
                <w:sz w:val="24"/>
                <w:szCs w:val="24"/>
              </w:rPr>
              <w:t>onourable</w:t>
            </w:r>
            <w:r w:rsidR="00092FD2" w:rsidRPr="00E00129">
              <w:rPr>
                <w:rFonts w:ascii="Arial" w:hAnsi="Arial" w:cs="Arial"/>
                <w:color w:val="000000"/>
                <w:sz w:val="24"/>
                <w:szCs w:val="24"/>
              </w:rPr>
              <w:t xml:space="preserve"> </w:t>
            </w:r>
            <w:r w:rsidR="00D83B51" w:rsidRPr="00E00129">
              <w:rPr>
                <w:rFonts w:ascii="Arial" w:hAnsi="Arial" w:cs="Arial"/>
                <w:color w:val="000000"/>
                <w:sz w:val="24"/>
                <w:szCs w:val="24"/>
              </w:rPr>
              <w:t xml:space="preserve">Mr </w:t>
            </w:r>
            <w:r w:rsidR="00AE0920" w:rsidRPr="00E00129">
              <w:rPr>
                <w:rFonts w:ascii="Arial" w:hAnsi="Arial" w:cs="Arial"/>
                <w:color w:val="000000"/>
                <w:sz w:val="24"/>
                <w:szCs w:val="24"/>
              </w:rPr>
              <w:t xml:space="preserve"> Justice </w:t>
            </w:r>
            <w:proofErr w:type="spellStart"/>
            <w:r w:rsidR="00D83B51" w:rsidRPr="00E00129">
              <w:rPr>
                <w:rFonts w:ascii="Arial" w:hAnsi="Arial" w:cs="Arial"/>
                <w:color w:val="000000"/>
                <w:sz w:val="24"/>
                <w:szCs w:val="24"/>
              </w:rPr>
              <w:t>Masuku</w:t>
            </w:r>
            <w:proofErr w:type="spellEnd"/>
          </w:p>
        </w:tc>
        <w:tc>
          <w:tcPr>
            <w:tcW w:w="4323" w:type="dxa"/>
            <w:shd w:val="clear" w:color="auto" w:fill="auto"/>
          </w:tcPr>
          <w:p w14:paraId="1F6798CA" w14:textId="77777777" w:rsidR="005403D8" w:rsidRPr="00E00129" w:rsidRDefault="005403D8" w:rsidP="0029776E">
            <w:pPr>
              <w:spacing w:after="0" w:line="360" w:lineRule="auto"/>
              <w:jc w:val="both"/>
              <w:rPr>
                <w:rFonts w:ascii="Arial" w:hAnsi="Arial" w:cs="Arial"/>
                <w:b/>
                <w:color w:val="000000"/>
                <w:sz w:val="24"/>
                <w:szCs w:val="24"/>
              </w:rPr>
            </w:pPr>
            <w:r w:rsidRPr="00E00129">
              <w:rPr>
                <w:rFonts w:ascii="Arial" w:hAnsi="Arial" w:cs="Arial"/>
                <w:b/>
                <w:color w:val="000000"/>
                <w:sz w:val="24"/>
                <w:szCs w:val="24"/>
              </w:rPr>
              <w:t>Date of hearing:</w:t>
            </w:r>
          </w:p>
          <w:p w14:paraId="645D4217" w14:textId="77777777" w:rsidR="005403D8" w:rsidRPr="00E00129" w:rsidRDefault="004551DE" w:rsidP="0029776E">
            <w:pPr>
              <w:spacing w:after="0" w:line="360" w:lineRule="auto"/>
              <w:rPr>
                <w:rFonts w:ascii="Arial" w:hAnsi="Arial" w:cs="Arial"/>
                <w:color w:val="000000"/>
                <w:sz w:val="24"/>
                <w:szCs w:val="24"/>
              </w:rPr>
            </w:pPr>
            <w:r>
              <w:rPr>
                <w:rFonts w:ascii="Arial" w:hAnsi="Arial" w:cs="Arial"/>
                <w:color w:val="000000"/>
                <w:sz w:val="24"/>
                <w:szCs w:val="24"/>
              </w:rPr>
              <w:t>6</w:t>
            </w:r>
            <w:r w:rsidR="00D83B51" w:rsidRPr="00E00129">
              <w:rPr>
                <w:rFonts w:ascii="Arial" w:hAnsi="Arial" w:cs="Arial"/>
                <w:color w:val="000000"/>
                <w:sz w:val="24"/>
                <w:szCs w:val="24"/>
              </w:rPr>
              <w:t xml:space="preserve"> April </w:t>
            </w:r>
            <w:r w:rsidR="009B0C25" w:rsidRPr="00E00129">
              <w:rPr>
                <w:rFonts w:ascii="Arial" w:hAnsi="Arial" w:cs="Arial"/>
                <w:color w:val="000000"/>
                <w:sz w:val="24"/>
                <w:szCs w:val="24"/>
              </w:rPr>
              <w:t>2023</w:t>
            </w:r>
          </w:p>
        </w:tc>
      </w:tr>
      <w:tr w:rsidR="00243A84" w:rsidRPr="00E00129" w14:paraId="2D13352D" w14:textId="77777777" w:rsidTr="0029776E">
        <w:trPr>
          <w:trHeight w:val="588"/>
        </w:trPr>
        <w:tc>
          <w:tcPr>
            <w:tcW w:w="5397" w:type="dxa"/>
            <w:gridSpan w:val="2"/>
            <w:vMerge/>
            <w:shd w:val="clear" w:color="auto" w:fill="auto"/>
          </w:tcPr>
          <w:p w14:paraId="43797876" w14:textId="77777777" w:rsidR="005403D8" w:rsidRPr="00E00129" w:rsidRDefault="005403D8" w:rsidP="0029776E">
            <w:pPr>
              <w:spacing w:after="0" w:line="360" w:lineRule="auto"/>
              <w:jc w:val="both"/>
              <w:rPr>
                <w:rFonts w:ascii="Arial" w:hAnsi="Arial" w:cs="Arial"/>
                <w:b/>
                <w:color w:val="000000"/>
                <w:sz w:val="24"/>
                <w:szCs w:val="24"/>
              </w:rPr>
            </w:pPr>
          </w:p>
        </w:tc>
        <w:tc>
          <w:tcPr>
            <w:tcW w:w="4323" w:type="dxa"/>
            <w:shd w:val="clear" w:color="auto" w:fill="auto"/>
          </w:tcPr>
          <w:p w14:paraId="260F1E89" w14:textId="77777777" w:rsidR="005403D8" w:rsidRPr="004551DE" w:rsidRDefault="004551DE" w:rsidP="0029776E">
            <w:pPr>
              <w:spacing w:after="0" w:line="360" w:lineRule="auto"/>
              <w:jc w:val="both"/>
              <w:rPr>
                <w:rFonts w:ascii="Arial" w:hAnsi="Arial" w:cs="Arial"/>
                <w:b/>
                <w:color w:val="000000"/>
                <w:sz w:val="24"/>
                <w:szCs w:val="24"/>
              </w:rPr>
            </w:pPr>
            <w:r>
              <w:rPr>
                <w:rFonts w:ascii="Arial" w:hAnsi="Arial" w:cs="Arial"/>
                <w:b/>
                <w:color w:val="000000"/>
                <w:sz w:val="24"/>
                <w:szCs w:val="24"/>
              </w:rPr>
              <w:t xml:space="preserve">Delivered on: </w:t>
            </w:r>
            <w:r>
              <w:rPr>
                <w:rFonts w:ascii="Arial" w:hAnsi="Arial" w:cs="Arial"/>
                <w:color w:val="000000"/>
                <w:sz w:val="24"/>
                <w:szCs w:val="24"/>
              </w:rPr>
              <w:t>6</w:t>
            </w:r>
            <w:r w:rsidR="00D83B51" w:rsidRPr="00E00129">
              <w:rPr>
                <w:rFonts w:ascii="Arial" w:hAnsi="Arial" w:cs="Arial"/>
                <w:color w:val="000000"/>
                <w:sz w:val="24"/>
                <w:szCs w:val="24"/>
              </w:rPr>
              <w:t xml:space="preserve"> April 2023</w:t>
            </w:r>
          </w:p>
        </w:tc>
      </w:tr>
      <w:tr w:rsidR="00243A84" w:rsidRPr="00E00129" w14:paraId="77903141" w14:textId="77777777" w:rsidTr="0029776E">
        <w:trPr>
          <w:trHeight w:val="908"/>
        </w:trPr>
        <w:tc>
          <w:tcPr>
            <w:tcW w:w="9720" w:type="dxa"/>
            <w:gridSpan w:val="3"/>
            <w:shd w:val="clear" w:color="auto" w:fill="auto"/>
          </w:tcPr>
          <w:p w14:paraId="54EBDD28" w14:textId="6607EC5D" w:rsidR="00F71EB9" w:rsidRPr="00E00129" w:rsidRDefault="005955B1" w:rsidP="009A2953">
            <w:pPr>
              <w:spacing w:after="0" w:line="360" w:lineRule="auto"/>
              <w:jc w:val="both"/>
              <w:rPr>
                <w:rFonts w:ascii="Arial" w:hAnsi="Arial" w:cs="Arial"/>
                <w:color w:val="000000"/>
                <w:sz w:val="24"/>
                <w:szCs w:val="24"/>
              </w:rPr>
            </w:pPr>
            <w:r w:rsidRPr="00E00129">
              <w:rPr>
                <w:rFonts w:ascii="Arial" w:hAnsi="Arial" w:cs="Arial"/>
                <w:b/>
                <w:color w:val="000000"/>
                <w:sz w:val="24"/>
                <w:szCs w:val="24"/>
              </w:rPr>
              <w:t>Neutral citation:</w:t>
            </w:r>
            <w:r w:rsidRPr="00E00129">
              <w:rPr>
                <w:rFonts w:ascii="Arial" w:hAnsi="Arial" w:cs="Arial"/>
                <w:color w:val="000000"/>
                <w:sz w:val="24"/>
                <w:szCs w:val="24"/>
              </w:rPr>
              <w:t xml:space="preserve"> </w:t>
            </w:r>
            <w:r w:rsidR="00D83B51" w:rsidRPr="00E00129">
              <w:rPr>
                <w:rFonts w:ascii="Arial" w:hAnsi="Arial" w:cs="Arial"/>
                <w:color w:val="000000"/>
                <w:sz w:val="24"/>
                <w:szCs w:val="24"/>
              </w:rPr>
              <w:t xml:space="preserve"> </w:t>
            </w:r>
            <w:proofErr w:type="spellStart"/>
            <w:r w:rsidR="00D83B51" w:rsidRPr="000B2C49">
              <w:rPr>
                <w:rFonts w:ascii="Arial" w:hAnsi="Arial" w:cs="Arial"/>
                <w:i/>
                <w:color w:val="000000"/>
                <w:sz w:val="24"/>
                <w:szCs w:val="24"/>
                <w:shd w:val="clear" w:color="auto" w:fill="FFFFFF"/>
              </w:rPr>
              <w:t>N</w:t>
            </w:r>
            <w:r w:rsidR="00243A84" w:rsidRPr="000B2C49">
              <w:rPr>
                <w:rFonts w:ascii="Arial" w:hAnsi="Arial" w:cs="Arial"/>
                <w:i/>
                <w:color w:val="000000"/>
                <w:sz w:val="24"/>
                <w:szCs w:val="24"/>
                <w:shd w:val="clear" w:color="auto" w:fill="FFFFFF"/>
              </w:rPr>
              <w:t>edbank</w:t>
            </w:r>
            <w:proofErr w:type="spellEnd"/>
            <w:r w:rsidR="00D83B51" w:rsidRPr="000B2C49">
              <w:rPr>
                <w:rFonts w:ascii="Arial" w:hAnsi="Arial" w:cs="Arial"/>
                <w:i/>
                <w:color w:val="000000"/>
                <w:sz w:val="24"/>
                <w:szCs w:val="24"/>
                <w:shd w:val="clear" w:color="auto" w:fill="FFFFFF"/>
              </w:rPr>
              <w:t xml:space="preserve"> N</w:t>
            </w:r>
            <w:r w:rsidR="00243A84" w:rsidRPr="000B2C49">
              <w:rPr>
                <w:rFonts w:ascii="Arial" w:hAnsi="Arial" w:cs="Arial"/>
                <w:i/>
                <w:color w:val="000000"/>
                <w:sz w:val="24"/>
                <w:szCs w:val="24"/>
                <w:shd w:val="clear" w:color="auto" w:fill="FFFFFF"/>
              </w:rPr>
              <w:t>amibia</w:t>
            </w:r>
            <w:r w:rsidR="00D83B51" w:rsidRPr="000B2C49">
              <w:rPr>
                <w:rFonts w:ascii="Arial" w:hAnsi="Arial" w:cs="Arial"/>
                <w:i/>
                <w:color w:val="000000"/>
                <w:sz w:val="24"/>
                <w:szCs w:val="24"/>
                <w:shd w:val="clear" w:color="auto" w:fill="FFFFFF"/>
              </w:rPr>
              <w:t xml:space="preserve"> L</w:t>
            </w:r>
            <w:r w:rsidR="00243A84" w:rsidRPr="000B2C49">
              <w:rPr>
                <w:rFonts w:ascii="Arial" w:hAnsi="Arial" w:cs="Arial"/>
                <w:i/>
                <w:color w:val="000000"/>
                <w:sz w:val="24"/>
                <w:szCs w:val="24"/>
                <w:shd w:val="clear" w:color="auto" w:fill="FFFFFF"/>
              </w:rPr>
              <w:t>imited</w:t>
            </w:r>
            <w:r w:rsidR="000B2C49">
              <w:rPr>
                <w:rFonts w:ascii="Arial" w:hAnsi="Arial" w:cs="Arial"/>
                <w:i/>
                <w:color w:val="000000"/>
                <w:sz w:val="24"/>
                <w:szCs w:val="24"/>
                <w:shd w:val="clear" w:color="auto" w:fill="FFFFFF"/>
              </w:rPr>
              <w:t xml:space="preserve"> v</w:t>
            </w:r>
            <w:r w:rsidR="00D83B51" w:rsidRPr="000B2C49">
              <w:rPr>
                <w:rFonts w:ascii="Arial" w:hAnsi="Arial" w:cs="Arial"/>
                <w:i/>
                <w:color w:val="000000"/>
                <w:sz w:val="24"/>
                <w:szCs w:val="24"/>
                <w:shd w:val="clear" w:color="auto" w:fill="FFFFFF"/>
              </w:rPr>
              <w:t xml:space="preserve"> A</w:t>
            </w:r>
            <w:r w:rsidR="00243A84" w:rsidRPr="000B2C49">
              <w:rPr>
                <w:rFonts w:ascii="Arial" w:hAnsi="Arial" w:cs="Arial"/>
                <w:i/>
                <w:color w:val="000000"/>
                <w:sz w:val="24"/>
                <w:szCs w:val="24"/>
                <w:shd w:val="clear" w:color="auto" w:fill="FFFFFF"/>
              </w:rPr>
              <w:t>ngelo</w:t>
            </w:r>
            <w:r w:rsidR="00D83B51" w:rsidRPr="000B2C49">
              <w:rPr>
                <w:rFonts w:ascii="Arial" w:hAnsi="Arial" w:cs="Arial"/>
                <w:i/>
                <w:color w:val="000000"/>
                <w:sz w:val="24"/>
                <w:szCs w:val="24"/>
                <w:shd w:val="clear" w:color="auto" w:fill="FFFFFF"/>
              </w:rPr>
              <w:t xml:space="preserve"> R</w:t>
            </w:r>
            <w:r w:rsidR="00243A84" w:rsidRPr="000B2C49">
              <w:rPr>
                <w:rFonts w:ascii="Arial" w:hAnsi="Arial" w:cs="Arial"/>
                <w:i/>
                <w:color w:val="000000"/>
                <w:sz w:val="24"/>
                <w:szCs w:val="24"/>
                <w:shd w:val="clear" w:color="auto" w:fill="FFFFFF"/>
              </w:rPr>
              <w:t>owen</w:t>
            </w:r>
            <w:r w:rsidR="00D83B51" w:rsidRPr="000B2C49">
              <w:rPr>
                <w:rFonts w:ascii="Arial" w:hAnsi="Arial" w:cs="Arial"/>
                <w:i/>
                <w:color w:val="000000"/>
                <w:sz w:val="24"/>
                <w:szCs w:val="24"/>
                <w:shd w:val="clear" w:color="auto" w:fill="FFFFFF"/>
              </w:rPr>
              <w:t xml:space="preserve"> </w:t>
            </w:r>
            <w:proofErr w:type="spellStart"/>
            <w:r w:rsidR="00D83B51" w:rsidRPr="000B2C49">
              <w:rPr>
                <w:rFonts w:ascii="Arial" w:hAnsi="Arial" w:cs="Arial"/>
                <w:i/>
                <w:color w:val="000000"/>
                <w:sz w:val="24"/>
                <w:szCs w:val="24"/>
                <w:shd w:val="clear" w:color="auto" w:fill="FFFFFF"/>
              </w:rPr>
              <w:t>H</w:t>
            </w:r>
            <w:r w:rsidR="00243A84" w:rsidRPr="000B2C49">
              <w:rPr>
                <w:rFonts w:ascii="Arial" w:hAnsi="Arial" w:cs="Arial"/>
                <w:i/>
                <w:color w:val="000000"/>
                <w:sz w:val="24"/>
                <w:szCs w:val="24"/>
                <w:shd w:val="clear" w:color="auto" w:fill="FFFFFF"/>
              </w:rPr>
              <w:t>elmuth</w:t>
            </w:r>
            <w:proofErr w:type="spellEnd"/>
            <w:r w:rsidR="00243A84" w:rsidRPr="00E00129">
              <w:rPr>
                <w:rFonts w:ascii="Arial" w:hAnsi="Arial" w:cs="Arial"/>
                <w:color w:val="000000"/>
                <w:sz w:val="24"/>
                <w:szCs w:val="24"/>
              </w:rPr>
              <w:t xml:space="preserve"> (</w:t>
            </w:r>
            <w:r w:rsidR="00243A84" w:rsidRPr="00E00129">
              <w:rPr>
                <w:rFonts w:ascii="Arial" w:hAnsi="Arial" w:cs="Arial"/>
                <w:color w:val="000000"/>
                <w:sz w:val="24"/>
                <w:szCs w:val="24"/>
                <w:shd w:val="clear" w:color="auto" w:fill="FFFFFF"/>
              </w:rPr>
              <w:t xml:space="preserve">HC-MD-CIV-ACT-CON-2022/00429) </w:t>
            </w:r>
            <w:r w:rsidR="00243A84" w:rsidRPr="00E00129">
              <w:rPr>
                <w:rFonts w:ascii="Arial" w:hAnsi="Arial" w:cs="Arial"/>
                <w:color w:val="000000"/>
                <w:sz w:val="24"/>
                <w:szCs w:val="24"/>
              </w:rPr>
              <w:t xml:space="preserve"> </w:t>
            </w:r>
            <w:r w:rsidR="00554994" w:rsidRPr="00E00129">
              <w:rPr>
                <w:rFonts w:ascii="Arial" w:hAnsi="Arial" w:cs="Arial"/>
                <w:color w:val="000000"/>
                <w:sz w:val="24"/>
                <w:szCs w:val="24"/>
              </w:rPr>
              <w:t>[</w:t>
            </w:r>
            <w:r w:rsidR="00D83B51" w:rsidRPr="00E00129">
              <w:rPr>
                <w:rFonts w:ascii="Arial" w:hAnsi="Arial" w:cs="Arial"/>
                <w:color w:val="000000"/>
                <w:sz w:val="24"/>
                <w:szCs w:val="24"/>
              </w:rPr>
              <w:t>2023</w:t>
            </w:r>
            <w:r w:rsidR="00554994" w:rsidRPr="00E00129">
              <w:rPr>
                <w:rFonts w:ascii="Arial" w:hAnsi="Arial" w:cs="Arial"/>
                <w:color w:val="000000"/>
                <w:sz w:val="24"/>
                <w:szCs w:val="24"/>
              </w:rPr>
              <w:t xml:space="preserve">] NAHCMD </w:t>
            </w:r>
            <w:r w:rsidR="009A2953">
              <w:rPr>
                <w:rFonts w:ascii="Arial" w:hAnsi="Arial" w:cs="Arial"/>
                <w:color w:val="000000"/>
                <w:sz w:val="24"/>
                <w:szCs w:val="24"/>
              </w:rPr>
              <w:t>178</w:t>
            </w:r>
            <w:r w:rsidR="00554994" w:rsidRPr="00E00129">
              <w:rPr>
                <w:rFonts w:ascii="Arial" w:hAnsi="Arial" w:cs="Arial"/>
                <w:color w:val="000000"/>
                <w:sz w:val="24"/>
                <w:szCs w:val="24"/>
              </w:rPr>
              <w:t xml:space="preserve"> (</w:t>
            </w:r>
            <w:r w:rsidR="00281366">
              <w:rPr>
                <w:rFonts w:ascii="Arial" w:hAnsi="Arial" w:cs="Arial"/>
                <w:color w:val="000000"/>
                <w:sz w:val="24"/>
                <w:szCs w:val="24"/>
              </w:rPr>
              <w:t>6</w:t>
            </w:r>
            <w:r w:rsidR="00D83B51" w:rsidRPr="00E00129">
              <w:rPr>
                <w:rFonts w:ascii="Arial" w:hAnsi="Arial" w:cs="Arial"/>
                <w:color w:val="000000"/>
                <w:sz w:val="24"/>
                <w:szCs w:val="24"/>
              </w:rPr>
              <w:t xml:space="preserve"> April 2023</w:t>
            </w:r>
            <w:r w:rsidR="00554994" w:rsidRPr="00E00129">
              <w:rPr>
                <w:rFonts w:ascii="Arial" w:hAnsi="Arial" w:cs="Arial"/>
                <w:color w:val="000000"/>
                <w:sz w:val="24"/>
                <w:szCs w:val="24"/>
              </w:rPr>
              <w:t xml:space="preserve">)      </w:t>
            </w:r>
          </w:p>
        </w:tc>
      </w:tr>
      <w:tr w:rsidR="00243A84" w:rsidRPr="00E00129" w14:paraId="37C30E95" w14:textId="77777777" w:rsidTr="0029776E">
        <w:tc>
          <w:tcPr>
            <w:tcW w:w="9720" w:type="dxa"/>
            <w:gridSpan w:val="3"/>
            <w:shd w:val="clear" w:color="auto" w:fill="auto"/>
          </w:tcPr>
          <w:p w14:paraId="71BE6FC4" w14:textId="77777777" w:rsidR="00642A07" w:rsidRPr="00E00129" w:rsidRDefault="00642A07" w:rsidP="0029776E">
            <w:pPr>
              <w:spacing w:after="0" w:line="360" w:lineRule="auto"/>
              <w:jc w:val="both"/>
              <w:rPr>
                <w:rFonts w:ascii="Arial" w:hAnsi="Arial" w:cs="Arial"/>
                <w:b/>
                <w:color w:val="000000"/>
                <w:sz w:val="24"/>
                <w:szCs w:val="24"/>
              </w:rPr>
            </w:pPr>
            <w:r w:rsidRPr="00E00129">
              <w:rPr>
                <w:rFonts w:ascii="Arial" w:hAnsi="Arial" w:cs="Arial"/>
                <w:b/>
                <w:color w:val="000000"/>
                <w:sz w:val="24"/>
                <w:szCs w:val="24"/>
              </w:rPr>
              <w:t>The order:</w:t>
            </w:r>
          </w:p>
          <w:p w14:paraId="31D2946F" w14:textId="1AC91385" w:rsidR="00E74FC1" w:rsidRPr="00E00129" w:rsidRDefault="00E74FC1" w:rsidP="0029776E">
            <w:pPr>
              <w:spacing w:after="0" w:line="360" w:lineRule="auto"/>
              <w:jc w:val="both"/>
              <w:rPr>
                <w:rFonts w:ascii="Arial" w:hAnsi="Arial" w:cs="Arial"/>
                <w:color w:val="000000"/>
                <w:sz w:val="24"/>
                <w:szCs w:val="24"/>
              </w:rPr>
            </w:pPr>
            <w:r w:rsidRPr="00E00129">
              <w:rPr>
                <w:rFonts w:ascii="Arial" w:hAnsi="Arial" w:cs="Arial"/>
                <w:color w:val="000000"/>
                <w:sz w:val="24"/>
                <w:szCs w:val="24"/>
              </w:rPr>
              <w:t xml:space="preserve">Having heard </w:t>
            </w:r>
            <w:r w:rsidR="000B2C49">
              <w:rPr>
                <w:rFonts w:ascii="Arial" w:hAnsi="Arial" w:cs="Arial"/>
                <w:b/>
                <w:color w:val="000000"/>
                <w:sz w:val="24"/>
                <w:szCs w:val="24"/>
              </w:rPr>
              <w:t>Mr</w:t>
            </w:r>
            <w:r w:rsidR="00243A84" w:rsidRPr="00E00129">
              <w:rPr>
                <w:rFonts w:ascii="Arial" w:hAnsi="Arial" w:cs="Arial"/>
                <w:b/>
                <w:color w:val="000000"/>
                <w:sz w:val="24"/>
                <w:szCs w:val="24"/>
              </w:rPr>
              <w:t xml:space="preserve"> </w:t>
            </w:r>
            <w:r w:rsidR="00B907A1">
              <w:rPr>
                <w:rFonts w:ascii="Arial" w:hAnsi="Arial" w:cs="Arial"/>
                <w:b/>
                <w:color w:val="000000"/>
                <w:sz w:val="24"/>
                <w:szCs w:val="24"/>
              </w:rPr>
              <w:t xml:space="preserve">D. </w:t>
            </w:r>
            <w:proofErr w:type="spellStart"/>
            <w:r w:rsidR="00B907A1">
              <w:rPr>
                <w:rFonts w:ascii="Arial" w:hAnsi="Arial" w:cs="Arial"/>
                <w:b/>
                <w:color w:val="000000"/>
                <w:sz w:val="24"/>
                <w:szCs w:val="24"/>
              </w:rPr>
              <w:t>Douseb</w:t>
            </w:r>
            <w:proofErr w:type="spellEnd"/>
            <w:r w:rsidR="00B907A1">
              <w:rPr>
                <w:rFonts w:ascii="Arial" w:hAnsi="Arial" w:cs="Arial"/>
                <w:b/>
                <w:color w:val="000000"/>
                <w:sz w:val="24"/>
                <w:szCs w:val="24"/>
              </w:rPr>
              <w:t xml:space="preserve"> </w:t>
            </w:r>
            <w:r w:rsidRPr="00E00129">
              <w:rPr>
                <w:rFonts w:ascii="Arial" w:hAnsi="Arial" w:cs="Arial"/>
                <w:color w:val="000000"/>
                <w:sz w:val="24"/>
                <w:szCs w:val="24"/>
              </w:rPr>
              <w:t xml:space="preserve">counsel for the </w:t>
            </w:r>
            <w:r w:rsidR="00C84F4C" w:rsidRPr="00E00129">
              <w:rPr>
                <w:rFonts w:ascii="Arial" w:hAnsi="Arial" w:cs="Arial"/>
                <w:color w:val="000000"/>
                <w:sz w:val="24"/>
                <w:szCs w:val="24"/>
              </w:rPr>
              <w:t>applicant/</w:t>
            </w:r>
            <w:r w:rsidRPr="00E00129">
              <w:rPr>
                <w:rFonts w:ascii="Arial" w:hAnsi="Arial" w:cs="Arial"/>
                <w:color w:val="000000"/>
                <w:sz w:val="24"/>
                <w:szCs w:val="24"/>
              </w:rPr>
              <w:t xml:space="preserve">plaintiff and </w:t>
            </w:r>
            <w:r w:rsidR="00243A84" w:rsidRPr="00E00129">
              <w:rPr>
                <w:rFonts w:ascii="Arial" w:hAnsi="Arial" w:cs="Arial"/>
                <w:b/>
                <w:color w:val="000000"/>
                <w:sz w:val="24"/>
                <w:szCs w:val="24"/>
              </w:rPr>
              <w:t xml:space="preserve">Mr </w:t>
            </w:r>
            <w:r w:rsidR="00B907A1">
              <w:rPr>
                <w:rFonts w:ascii="Arial" w:hAnsi="Arial" w:cs="Arial"/>
                <w:b/>
                <w:color w:val="000000"/>
                <w:sz w:val="24"/>
                <w:szCs w:val="24"/>
              </w:rPr>
              <w:t xml:space="preserve">A. </w:t>
            </w:r>
            <w:proofErr w:type="spellStart"/>
            <w:r w:rsidR="00243A84" w:rsidRPr="00E00129">
              <w:rPr>
                <w:rFonts w:ascii="Arial" w:hAnsi="Arial" w:cs="Arial"/>
                <w:b/>
                <w:color w:val="000000"/>
                <w:sz w:val="24"/>
                <w:szCs w:val="24"/>
              </w:rPr>
              <w:t>Helmuth</w:t>
            </w:r>
            <w:proofErr w:type="spellEnd"/>
            <w:r w:rsidR="00243A84" w:rsidRPr="00E00129">
              <w:rPr>
                <w:rFonts w:ascii="Arial" w:hAnsi="Arial" w:cs="Arial"/>
                <w:b/>
                <w:color w:val="000000"/>
                <w:sz w:val="24"/>
                <w:szCs w:val="24"/>
              </w:rPr>
              <w:t xml:space="preserve"> </w:t>
            </w:r>
            <w:r w:rsidRPr="00E00129">
              <w:rPr>
                <w:rFonts w:ascii="Arial" w:hAnsi="Arial" w:cs="Arial"/>
                <w:color w:val="000000"/>
                <w:sz w:val="24"/>
                <w:szCs w:val="24"/>
              </w:rPr>
              <w:t xml:space="preserve">the </w:t>
            </w:r>
            <w:r w:rsidR="00C84F4C" w:rsidRPr="00E00129">
              <w:rPr>
                <w:rFonts w:ascii="Arial" w:hAnsi="Arial" w:cs="Arial"/>
                <w:color w:val="000000"/>
                <w:sz w:val="24"/>
                <w:szCs w:val="24"/>
              </w:rPr>
              <w:t>respondent/</w:t>
            </w:r>
            <w:r w:rsidRPr="00E00129">
              <w:rPr>
                <w:rFonts w:ascii="Arial" w:hAnsi="Arial" w:cs="Arial"/>
                <w:color w:val="000000"/>
                <w:sz w:val="24"/>
                <w:szCs w:val="24"/>
              </w:rPr>
              <w:t>defendant</w:t>
            </w:r>
            <w:r w:rsidR="00243A84" w:rsidRPr="00E00129">
              <w:rPr>
                <w:rFonts w:ascii="Arial" w:hAnsi="Arial" w:cs="Arial"/>
                <w:color w:val="000000"/>
                <w:sz w:val="24"/>
                <w:szCs w:val="24"/>
              </w:rPr>
              <w:t xml:space="preserve"> in person</w:t>
            </w:r>
            <w:r w:rsidRPr="00E00129">
              <w:rPr>
                <w:rFonts w:ascii="Arial" w:hAnsi="Arial" w:cs="Arial"/>
                <w:color w:val="000000"/>
                <w:sz w:val="24"/>
                <w:szCs w:val="24"/>
              </w:rPr>
              <w:t xml:space="preserve"> and having read other documents filed of record:</w:t>
            </w:r>
          </w:p>
          <w:p w14:paraId="76954541" w14:textId="77777777" w:rsidR="00EB27A0" w:rsidRPr="00E00129" w:rsidRDefault="00EB27A0" w:rsidP="0029776E">
            <w:pPr>
              <w:spacing w:after="0" w:line="360" w:lineRule="auto"/>
              <w:jc w:val="both"/>
              <w:rPr>
                <w:rFonts w:ascii="Arial" w:hAnsi="Arial" w:cs="Arial"/>
                <w:color w:val="000000"/>
                <w:sz w:val="24"/>
                <w:szCs w:val="24"/>
              </w:rPr>
            </w:pPr>
          </w:p>
          <w:p w14:paraId="578ED422" w14:textId="77777777" w:rsidR="00796B57" w:rsidRPr="00E00129" w:rsidRDefault="00642A07" w:rsidP="00642A07">
            <w:pPr>
              <w:spacing w:after="0" w:line="360" w:lineRule="auto"/>
              <w:jc w:val="both"/>
              <w:rPr>
                <w:rFonts w:ascii="Arial" w:hAnsi="Arial" w:cs="Arial"/>
                <w:b/>
                <w:color w:val="000000"/>
                <w:sz w:val="24"/>
                <w:szCs w:val="24"/>
              </w:rPr>
            </w:pPr>
            <w:r w:rsidRPr="00E00129">
              <w:rPr>
                <w:rFonts w:ascii="Arial" w:hAnsi="Arial" w:cs="Arial"/>
                <w:b/>
                <w:color w:val="000000"/>
                <w:sz w:val="24"/>
                <w:szCs w:val="24"/>
              </w:rPr>
              <w:t>IT IS ORDERED THAT:</w:t>
            </w:r>
          </w:p>
          <w:p w14:paraId="7C2159F2" w14:textId="62D58DE2" w:rsidR="00243A84" w:rsidRDefault="00C1256B" w:rsidP="00281366">
            <w:pPr>
              <w:pStyle w:val="ListParagraph"/>
              <w:spacing w:after="0" w:line="360" w:lineRule="auto"/>
              <w:ind w:left="0"/>
              <w:jc w:val="both"/>
              <w:rPr>
                <w:rFonts w:ascii="Arial" w:hAnsi="Arial" w:cs="Arial"/>
                <w:color w:val="000000"/>
                <w:sz w:val="24"/>
                <w:szCs w:val="24"/>
              </w:rPr>
            </w:pPr>
            <w:r>
              <w:rPr>
                <w:rFonts w:ascii="Arial" w:hAnsi="Arial" w:cs="Arial"/>
                <w:color w:val="000000"/>
                <w:sz w:val="24"/>
                <w:szCs w:val="24"/>
              </w:rPr>
              <w:t>The p</w:t>
            </w:r>
            <w:r w:rsidR="004A7BBE" w:rsidRPr="00E00129">
              <w:rPr>
                <w:rFonts w:ascii="Arial" w:hAnsi="Arial" w:cs="Arial"/>
                <w:color w:val="000000"/>
                <w:sz w:val="24"/>
                <w:szCs w:val="24"/>
              </w:rPr>
              <w:t xml:space="preserve">laintiff`s application </w:t>
            </w:r>
            <w:r w:rsidR="00C84F4C" w:rsidRPr="00E00129">
              <w:rPr>
                <w:rFonts w:ascii="Arial" w:hAnsi="Arial" w:cs="Arial"/>
                <w:color w:val="000000"/>
                <w:sz w:val="24"/>
                <w:szCs w:val="24"/>
              </w:rPr>
              <w:t xml:space="preserve">for </w:t>
            </w:r>
            <w:r w:rsidR="004A7BBE" w:rsidRPr="00E00129">
              <w:rPr>
                <w:rFonts w:ascii="Arial" w:hAnsi="Arial" w:cs="Arial"/>
                <w:color w:val="000000"/>
                <w:sz w:val="24"/>
                <w:szCs w:val="24"/>
              </w:rPr>
              <w:t>summary judgment is granted</w:t>
            </w:r>
            <w:r w:rsidR="003E58A0" w:rsidRPr="00E00129">
              <w:rPr>
                <w:rFonts w:ascii="Arial" w:hAnsi="Arial" w:cs="Arial"/>
                <w:color w:val="000000"/>
                <w:sz w:val="24"/>
                <w:szCs w:val="24"/>
              </w:rPr>
              <w:t xml:space="preserve"> against the Defendant</w:t>
            </w:r>
            <w:r w:rsidR="00243A84" w:rsidRPr="00E00129">
              <w:rPr>
                <w:rFonts w:ascii="Arial" w:hAnsi="Arial" w:cs="Arial"/>
                <w:color w:val="000000"/>
                <w:sz w:val="24"/>
                <w:szCs w:val="24"/>
              </w:rPr>
              <w:t xml:space="preserve"> </w:t>
            </w:r>
            <w:r w:rsidR="003E58A0" w:rsidRPr="00E00129">
              <w:rPr>
                <w:rFonts w:ascii="Arial" w:hAnsi="Arial" w:cs="Arial"/>
                <w:color w:val="000000"/>
                <w:sz w:val="24"/>
                <w:szCs w:val="24"/>
              </w:rPr>
              <w:t>in the following terms:</w:t>
            </w:r>
          </w:p>
          <w:p w14:paraId="35B104B9" w14:textId="77777777" w:rsidR="00281366" w:rsidRPr="00E00129" w:rsidRDefault="00281366" w:rsidP="00281366">
            <w:pPr>
              <w:pStyle w:val="ListParagraph"/>
              <w:spacing w:after="0" w:line="360" w:lineRule="auto"/>
              <w:ind w:left="0"/>
              <w:jc w:val="both"/>
              <w:rPr>
                <w:rFonts w:ascii="Arial" w:hAnsi="Arial" w:cs="Arial"/>
                <w:color w:val="000000"/>
                <w:sz w:val="24"/>
                <w:szCs w:val="24"/>
              </w:rPr>
            </w:pPr>
          </w:p>
          <w:p w14:paraId="48F59A01" w14:textId="258BDA77" w:rsidR="00243A84" w:rsidRPr="00E00129" w:rsidRDefault="00243A84" w:rsidP="00281366">
            <w:pPr>
              <w:pStyle w:val="ListParagraph"/>
              <w:spacing w:after="0" w:line="360" w:lineRule="auto"/>
              <w:ind w:left="446"/>
              <w:jc w:val="both"/>
              <w:rPr>
                <w:rFonts w:ascii="Arial" w:hAnsi="Arial" w:cs="Arial"/>
                <w:color w:val="000000"/>
                <w:sz w:val="24"/>
                <w:szCs w:val="24"/>
              </w:rPr>
            </w:pPr>
            <w:r w:rsidRPr="00E00129">
              <w:rPr>
                <w:rFonts w:ascii="Arial" w:hAnsi="Arial" w:cs="Arial"/>
                <w:color w:val="000000"/>
                <w:sz w:val="24"/>
                <w:szCs w:val="24"/>
              </w:rPr>
              <w:t>1.</w:t>
            </w:r>
            <w:r w:rsidRPr="00E00129">
              <w:rPr>
                <w:rFonts w:ascii="Arial" w:hAnsi="Arial" w:cs="Arial"/>
                <w:color w:val="000000"/>
                <w:sz w:val="24"/>
                <w:szCs w:val="24"/>
              </w:rPr>
              <w:tab/>
              <w:t>Payment in the amount of N$2,939,071.14;</w:t>
            </w:r>
          </w:p>
          <w:p w14:paraId="61384553" w14:textId="0148D9BB" w:rsidR="00243A84" w:rsidRPr="00E00129" w:rsidRDefault="00243A84" w:rsidP="00281366">
            <w:pPr>
              <w:pStyle w:val="ListParagraph"/>
              <w:spacing w:after="0" w:line="360" w:lineRule="auto"/>
              <w:ind w:left="446"/>
              <w:jc w:val="both"/>
              <w:rPr>
                <w:rFonts w:ascii="Arial" w:hAnsi="Arial" w:cs="Arial"/>
                <w:color w:val="000000"/>
                <w:sz w:val="24"/>
                <w:szCs w:val="24"/>
              </w:rPr>
            </w:pPr>
            <w:r w:rsidRPr="00E00129">
              <w:rPr>
                <w:rFonts w:ascii="Arial" w:hAnsi="Arial" w:cs="Arial"/>
                <w:color w:val="000000"/>
                <w:sz w:val="24"/>
                <w:szCs w:val="24"/>
              </w:rPr>
              <w:t>2.  Interest on the amount of N$2,939,071.14, calculated daily and capitalised monthly at the rate of 12.00% calculated from 17 January 2022 until date of final payment;</w:t>
            </w:r>
          </w:p>
          <w:p w14:paraId="46C8699A" w14:textId="77777777" w:rsidR="00243A84" w:rsidRPr="00E00129" w:rsidRDefault="00243A84" w:rsidP="00642A07">
            <w:pPr>
              <w:pStyle w:val="ListParagraph"/>
              <w:spacing w:after="0" w:line="360" w:lineRule="auto"/>
              <w:ind w:left="446"/>
              <w:jc w:val="both"/>
              <w:rPr>
                <w:rFonts w:ascii="Arial" w:hAnsi="Arial" w:cs="Arial"/>
                <w:color w:val="000000"/>
                <w:sz w:val="24"/>
                <w:szCs w:val="24"/>
              </w:rPr>
            </w:pPr>
            <w:r w:rsidRPr="00E00129">
              <w:rPr>
                <w:rFonts w:ascii="Arial" w:hAnsi="Arial" w:cs="Arial"/>
                <w:color w:val="000000"/>
                <w:sz w:val="24"/>
                <w:szCs w:val="24"/>
              </w:rPr>
              <w:t>3.</w:t>
            </w:r>
            <w:r w:rsidRPr="00E00129">
              <w:rPr>
                <w:rFonts w:ascii="Arial" w:hAnsi="Arial" w:cs="Arial"/>
                <w:color w:val="000000"/>
                <w:sz w:val="24"/>
                <w:szCs w:val="24"/>
              </w:rPr>
              <w:tab/>
              <w:t xml:space="preserve">  An order declaring the following prope</w:t>
            </w:r>
            <w:r w:rsidR="00642A07" w:rsidRPr="00E00129">
              <w:rPr>
                <w:rFonts w:ascii="Arial" w:hAnsi="Arial" w:cs="Arial"/>
                <w:color w:val="000000"/>
                <w:sz w:val="24"/>
                <w:szCs w:val="24"/>
              </w:rPr>
              <w:t>rty executable:</w:t>
            </w:r>
          </w:p>
          <w:p w14:paraId="2D762CFC" w14:textId="77777777" w:rsidR="004551DE" w:rsidRPr="00E00129" w:rsidRDefault="004551DE" w:rsidP="00281366">
            <w:pPr>
              <w:pStyle w:val="ListParagraph"/>
              <w:spacing w:after="0" w:line="360" w:lineRule="auto"/>
              <w:ind w:left="0"/>
              <w:jc w:val="both"/>
              <w:rPr>
                <w:rFonts w:ascii="Arial" w:hAnsi="Arial" w:cs="Arial"/>
                <w:color w:val="000000"/>
                <w:sz w:val="24"/>
                <w:szCs w:val="24"/>
              </w:rPr>
            </w:pPr>
          </w:p>
          <w:p w14:paraId="29A88A1A" w14:textId="77777777" w:rsidR="00243A84" w:rsidRPr="00E00129" w:rsidRDefault="00243A84" w:rsidP="00642A07">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 xml:space="preserve">CERTAIN </w:t>
            </w:r>
            <w:r w:rsidR="008D28CE" w:rsidRPr="00E00129">
              <w:rPr>
                <w:rFonts w:ascii="Arial" w:hAnsi="Arial" w:cs="Arial"/>
                <w:color w:val="000000"/>
                <w:sz w:val="24"/>
                <w:szCs w:val="24"/>
              </w:rPr>
              <w:t xml:space="preserve">:      </w:t>
            </w:r>
            <w:r w:rsidRPr="00E00129">
              <w:rPr>
                <w:rFonts w:ascii="Arial" w:hAnsi="Arial" w:cs="Arial"/>
                <w:color w:val="000000"/>
                <w:sz w:val="24"/>
                <w:szCs w:val="24"/>
              </w:rPr>
              <w:t>ERF 4222 (A PORTION OF ERF 3148) WINDHOEK</w:t>
            </w:r>
          </w:p>
          <w:p w14:paraId="41C6D705" w14:textId="77777777" w:rsidR="009152BB" w:rsidRPr="00E00129" w:rsidRDefault="009152BB" w:rsidP="00642A07">
            <w:pPr>
              <w:pStyle w:val="ListParagraph"/>
              <w:spacing w:after="0" w:line="240" w:lineRule="auto"/>
              <w:ind w:left="446"/>
              <w:jc w:val="both"/>
              <w:rPr>
                <w:rFonts w:ascii="Arial" w:hAnsi="Arial" w:cs="Arial"/>
                <w:color w:val="000000"/>
                <w:sz w:val="24"/>
                <w:szCs w:val="24"/>
              </w:rPr>
            </w:pPr>
          </w:p>
          <w:p w14:paraId="0433B0EA" w14:textId="52C7A672" w:rsidR="00243A84" w:rsidRPr="00E00129" w:rsidRDefault="00243A84" w:rsidP="00642A07">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 xml:space="preserve">SITUATE </w:t>
            </w:r>
            <w:r w:rsidR="008D28CE" w:rsidRPr="00E00129">
              <w:rPr>
                <w:rFonts w:ascii="Arial" w:hAnsi="Arial" w:cs="Arial"/>
                <w:color w:val="000000"/>
                <w:sz w:val="24"/>
                <w:szCs w:val="24"/>
              </w:rPr>
              <w:t xml:space="preserve">:       </w:t>
            </w:r>
            <w:r w:rsidRPr="00E00129">
              <w:rPr>
                <w:rFonts w:ascii="Arial" w:hAnsi="Arial" w:cs="Arial"/>
                <w:color w:val="000000"/>
                <w:sz w:val="24"/>
                <w:szCs w:val="24"/>
              </w:rPr>
              <w:t>IN THE MUNICIPALITY OF W</w:t>
            </w:r>
            <w:r w:rsidR="00281366">
              <w:rPr>
                <w:rFonts w:ascii="Arial" w:hAnsi="Arial" w:cs="Arial"/>
                <w:color w:val="000000"/>
                <w:sz w:val="24"/>
                <w:szCs w:val="24"/>
              </w:rPr>
              <w:t>INDHOEK</w:t>
            </w:r>
          </w:p>
          <w:p w14:paraId="4E16A92B" w14:textId="77777777" w:rsidR="00243A84" w:rsidRPr="00E00129" w:rsidRDefault="00243A84" w:rsidP="00642A07">
            <w:pPr>
              <w:pStyle w:val="ListParagraph"/>
              <w:spacing w:after="0" w:line="240" w:lineRule="auto"/>
              <w:ind w:left="446"/>
              <w:jc w:val="both"/>
              <w:rPr>
                <w:rFonts w:ascii="Arial" w:hAnsi="Arial" w:cs="Arial"/>
                <w:color w:val="000000"/>
                <w:sz w:val="24"/>
                <w:szCs w:val="24"/>
              </w:rPr>
            </w:pPr>
          </w:p>
          <w:p w14:paraId="5664BE3F" w14:textId="77777777" w:rsidR="00243A84" w:rsidRPr="00E00129" w:rsidRDefault="008D28CE" w:rsidP="00642A07">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 xml:space="preserve">                        </w:t>
            </w:r>
            <w:r w:rsidR="00243A84" w:rsidRPr="00E00129">
              <w:rPr>
                <w:rFonts w:ascii="Arial" w:hAnsi="Arial" w:cs="Arial"/>
                <w:color w:val="000000"/>
                <w:sz w:val="24"/>
                <w:szCs w:val="24"/>
              </w:rPr>
              <w:t>REGISTRATION DIVISION “K”</w:t>
            </w:r>
          </w:p>
          <w:p w14:paraId="71E358BE" w14:textId="77777777" w:rsidR="00243A84" w:rsidRPr="00E00129" w:rsidRDefault="00243A84" w:rsidP="00642A07">
            <w:pPr>
              <w:pStyle w:val="ListParagraph"/>
              <w:spacing w:after="0" w:line="240" w:lineRule="auto"/>
              <w:ind w:left="446"/>
              <w:jc w:val="both"/>
              <w:rPr>
                <w:rFonts w:ascii="Arial" w:hAnsi="Arial" w:cs="Arial"/>
                <w:color w:val="000000"/>
                <w:sz w:val="24"/>
                <w:szCs w:val="24"/>
              </w:rPr>
            </w:pPr>
          </w:p>
          <w:p w14:paraId="39D05368" w14:textId="77777777" w:rsidR="00243A84" w:rsidRPr="00E00129" w:rsidRDefault="008D28CE" w:rsidP="00642A07">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lastRenderedPageBreak/>
              <w:t xml:space="preserve">                         </w:t>
            </w:r>
            <w:r w:rsidR="00243A84" w:rsidRPr="00E00129">
              <w:rPr>
                <w:rFonts w:ascii="Arial" w:hAnsi="Arial" w:cs="Arial"/>
                <w:color w:val="000000"/>
                <w:sz w:val="24"/>
                <w:szCs w:val="24"/>
              </w:rPr>
              <w:t>KHOMAS REGION</w:t>
            </w:r>
          </w:p>
          <w:p w14:paraId="081C834B" w14:textId="77777777" w:rsidR="00243A84" w:rsidRPr="00E00129" w:rsidRDefault="00243A84" w:rsidP="00642A07">
            <w:pPr>
              <w:pStyle w:val="ListParagraph"/>
              <w:spacing w:after="0" w:line="240" w:lineRule="auto"/>
              <w:ind w:left="446"/>
              <w:jc w:val="both"/>
              <w:rPr>
                <w:rFonts w:ascii="Arial" w:hAnsi="Arial" w:cs="Arial"/>
                <w:color w:val="000000"/>
                <w:sz w:val="24"/>
                <w:szCs w:val="24"/>
              </w:rPr>
            </w:pPr>
          </w:p>
          <w:p w14:paraId="48E584CD" w14:textId="77777777" w:rsidR="00243A84" w:rsidRPr="00E00129" w:rsidRDefault="00243A84" w:rsidP="00642A07">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MEASURING</w:t>
            </w:r>
            <w:r w:rsidR="008D28CE" w:rsidRPr="00E00129">
              <w:rPr>
                <w:rFonts w:ascii="Arial" w:hAnsi="Arial" w:cs="Arial"/>
                <w:color w:val="000000"/>
                <w:sz w:val="24"/>
                <w:szCs w:val="24"/>
              </w:rPr>
              <w:t>:</w:t>
            </w:r>
            <w:r w:rsidRPr="00E00129">
              <w:rPr>
                <w:rFonts w:ascii="Arial" w:hAnsi="Arial" w:cs="Arial"/>
                <w:color w:val="000000"/>
                <w:sz w:val="24"/>
                <w:szCs w:val="24"/>
              </w:rPr>
              <w:t xml:space="preserve"> 1202 (ONE TWO ZERO TWO) SQUARE METRES</w:t>
            </w:r>
          </w:p>
          <w:p w14:paraId="28247AED" w14:textId="77777777" w:rsidR="00243A84" w:rsidRPr="00E00129" w:rsidRDefault="00243A84" w:rsidP="00642A07">
            <w:pPr>
              <w:pStyle w:val="ListParagraph"/>
              <w:spacing w:after="0" w:line="240" w:lineRule="auto"/>
              <w:ind w:left="446"/>
              <w:jc w:val="both"/>
              <w:rPr>
                <w:rFonts w:ascii="Arial" w:hAnsi="Arial" w:cs="Arial"/>
                <w:color w:val="000000"/>
                <w:sz w:val="24"/>
                <w:szCs w:val="24"/>
              </w:rPr>
            </w:pPr>
          </w:p>
          <w:p w14:paraId="1A8C9065" w14:textId="77777777" w:rsidR="00243A84" w:rsidRPr="00E00129" w:rsidRDefault="00243A84" w:rsidP="00642A07">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HELD BY DEED OF TRANSFER NO. T 643/2013</w:t>
            </w:r>
          </w:p>
          <w:p w14:paraId="1D8C324F" w14:textId="77777777" w:rsidR="00243A84" w:rsidRPr="00E00129" w:rsidRDefault="00243A84" w:rsidP="00642A07">
            <w:pPr>
              <w:pStyle w:val="ListParagraph"/>
              <w:spacing w:after="0" w:line="240" w:lineRule="auto"/>
              <w:ind w:left="446"/>
              <w:jc w:val="both"/>
              <w:rPr>
                <w:rFonts w:ascii="Arial" w:hAnsi="Arial" w:cs="Arial"/>
                <w:color w:val="000000"/>
                <w:sz w:val="24"/>
                <w:szCs w:val="24"/>
              </w:rPr>
            </w:pPr>
          </w:p>
          <w:p w14:paraId="2672BC58" w14:textId="77777777" w:rsidR="00243A84" w:rsidRPr="00E00129" w:rsidRDefault="00243A84" w:rsidP="00642A07">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SUBJECT</w:t>
            </w:r>
            <w:r w:rsidR="008D28CE" w:rsidRPr="00E00129">
              <w:rPr>
                <w:rFonts w:ascii="Arial" w:hAnsi="Arial" w:cs="Arial"/>
                <w:color w:val="000000"/>
                <w:sz w:val="24"/>
                <w:szCs w:val="24"/>
              </w:rPr>
              <w:t xml:space="preserve">     : </w:t>
            </w:r>
            <w:r w:rsidRPr="00E00129">
              <w:rPr>
                <w:rFonts w:ascii="Arial" w:hAnsi="Arial" w:cs="Arial"/>
                <w:color w:val="000000"/>
                <w:sz w:val="24"/>
                <w:szCs w:val="24"/>
              </w:rPr>
              <w:t xml:space="preserve"> TO THE CONDITIONS CONTAINED THEREIN</w:t>
            </w:r>
          </w:p>
          <w:p w14:paraId="1AB045ED" w14:textId="77777777" w:rsidR="00243A84" w:rsidRPr="00E00129" w:rsidRDefault="00243A84" w:rsidP="009152BB">
            <w:pPr>
              <w:pStyle w:val="ListParagraph"/>
              <w:spacing w:after="0" w:line="360" w:lineRule="auto"/>
              <w:ind w:left="0"/>
              <w:jc w:val="both"/>
              <w:rPr>
                <w:rFonts w:ascii="Arial" w:hAnsi="Arial" w:cs="Arial"/>
                <w:color w:val="000000"/>
                <w:sz w:val="24"/>
                <w:szCs w:val="24"/>
              </w:rPr>
            </w:pPr>
          </w:p>
          <w:p w14:paraId="4C0E6FB3" w14:textId="77777777" w:rsidR="00686B3F" w:rsidRDefault="00642A07" w:rsidP="00642A07">
            <w:pPr>
              <w:pStyle w:val="ListParagraph"/>
              <w:spacing w:after="0" w:line="360" w:lineRule="auto"/>
              <w:ind w:left="446"/>
              <w:jc w:val="both"/>
              <w:rPr>
                <w:rFonts w:ascii="Arial" w:hAnsi="Arial" w:cs="Arial"/>
                <w:color w:val="000000"/>
                <w:sz w:val="24"/>
                <w:szCs w:val="24"/>
              </w:rPr>
            </w:pPr>
            <w:r w:rsidRPr="00E00129">
              <w:rPr>
                <w:rFonts w:ascii="Arial" w:hAnsi="Arial" w:cs="Arial"/>
                <w:color w:val="000000"/>
                <w:sz w:val="24"/>
                <w:szCs w:val="24"/>
              </w:rPr>
              <w:t>4</w:t>
            </w:r>
            <w:r w:rsidR="00C1256B">
              <w:rPr>
                <w:rFonts w:ascii="Arial" w:hAnsi="Arial" w:cs="Arial"/>
                <w:color w:val="000000"/>
                <w:sz w:val="24"/>
                <w:szCs w:val="24"/>
              </w:rPr>
              <w:t>.</w:t>
            </w:r>
            <w:r w:rsidR="00C1256B">
              <w:rPr>
                <w:rFonts w:ascii="Arial" w:hAnsi="Arial" w:cs="Arial"/>
                <w:color w:val="000000"/>
                <w:sz w:val="24"/>
                <w:szCs w:val="24"/>
              </w:rPr>
              <w:tab/>
              <w:t>Costs of suit are granted</w:t>
            </w:r>
            <w:r w:rsidR="00243A84" w:rsidRPr="00E00129">
              <w:rPr>
                <w:rFonts w:ascii="Arial" w:hAnsi="Arial" w:cs="Arial"/>
                <w:color w:val="000000"/>
                <w:sz w:val="24"/>
                <w:szCs w:val="24"/>
              </w:rPr>
              <w:t xml:space="preserve"> on an attorney and client scale.</w:t>
            </w:r>
          </w:p>
          <w:p w14:paraId="77775349" w14:textId="60E00F73" w:rsidR="009A2953" w:rsidRPr="00E00129" w:rsidRDefault="009A2953" w:rsidP="00642A07">
            <w:pPr>
              <w:pStyle w:val="ListParagraph"/>
              <w:spacing w:after="0" w:line="360" w:lineRule="auto"/>
              <w:ind w:left="446"/>
              <w:jc w:val="both"/>
              <w:rPr>
                <w:rFonts w:ascii="Arial" w:hAnsi="Arial" w:cs="Arial"/>
                <w:color w:val="000000"/>
                <w:sz w:val="24"/>
                <w:szCs w:val="24"/>
              </w:rPr>
            </w:pPr>
            <w:r>
              <w:rPr>
                <w:rFonts w:ascii="Arial" w:hAnsi="Arial" w:cs="Arial"/>
                <w:color w:val="000000"/>
                <w:sz w:val="24"/>
                <w:szCs w:val="24"/>
              </w:rPr>
              <w:t>5. The matter is removed from the roll and regarded as finalised.</w:t>
            </w:r>
          </w:p>
        </w:tc>
      </w:tr>
      <w:tr w:rsidR="00243A84" w:rsidRPr="00E00129" w14:paraId="64B0413D" w14:textId="77777777" w:rsidTr="00B5009C">
        <w:trPr>
          <w:trHeight w:val="5495"/>
        </w:trPr>
        <w:tc>
          <w:tcPr>
            <w:tcW w:w="9720" w:type="dxa"/>
            <w:gridSpan w:val="3"/>
            <w:shd w:val="clear" w:color="auto" w:fill="auto"/>
          </w:tcPr>
          <w:p w14:paraId="511335BB" w14:textId="6AED8557" w:rsidR="00281FAB" w:rsidRPr="00E00129" w:rsidRDefault="008E6759" w:rsidP="0029776E">
            <w:pPr>
              <w:spacing w:after="0" w:line="360" w:lineRule="auto"/>
              <w:jc w:val="both"/>
              <w:rPr>
                <w:rFonts w:ascii="Arial" w:hAnsi="Arial" w:cs="Arial"/>
                <w:b/>
                <w:color w:val="000000"/>
                <w:sz w:val="24"/>
                <w:szCs w:val="24"/>
              </w:rPr>
            </w:pPr>
            <w:r w:rsidRPr="00E00129">
              <w:rPr>
                <w:rFonts w:ascii="Arial" w:hAnsi="Arial" w:cs="Arial"/>
                <w:b/>
                <w:color w:val="000000"/>
                <w:sz w:val="24"/>
                <w:szCs w:val="24"/>
              </w:rPr>
              <w:lastRenderedPageBreak/>
              <w:t>Following below are the reasons for the above order:</w:t>
            </w:r>
          </w:p>
          <w:p w14:paraId="69012B56" w14:textId="77777777" w:rsidR="00796B57" w:rsidRDefault="00796B57" w:rsidP="0029776E">
            <w:pPr>
              <w:spacing w:after="0" w:line="360" w:lineRule="auto"/>
              <w:jc w:val="both"/>
              <w:rPr>
                <w:rFonts w:ascii="Arial" w:hAnsi="Arial" w:cs="Arial"/>
                <w:b/>
                <w:color w:val="000000"/>
                <w:sz w:val="24"/>
                <w:szCs w:val="24"/>
              </w:rPr>
            </w:pPr>
          </w:p>
          <w:p w14:paraId="46A7ECB4" w14:textId="77777777" w:rsidR="000B2C49" w:rsidRDefault="000B2C49" w:rsidP="0029776E">
            <w:pPr>
              <w:spacing w:after="0" w:line="360" w:lineRule="auto"/>
              <w:jc w:val="both"/>
              <w:rPr>
                <w:rFonts w:ascii="Arial" w:hAnsi="Arial" w:cs="Arial"/>
                <w:color w:val="000000"/>
                <w:sz w:val="24"/>
                <w:szCs w:val="24"/>
              </w:rPr>
            </w:pPr>
            <w:r>
              <w:rPr>
                <w:rFonts w:ascii="Arial" w:hAnsi="Arial" w:cs="Arial"/>
                <w:color w:val="000000"/>
                <w:sz w:val="24"/>
                <w:szCs w:val="24"/>
              </w:rPr>
              <w:t>MASUKU J:</w:t>
            </w:r>
          </w:p>
          <w:p w14:paraId="33309C6B" w14:textId="77777777" w:rsidR="000B2C49" w:rsidRPr="000B2C49" w:rsidRDefault="000B2C49" w:rsidP="0029776E">
            <w:pPr>
              <w:spacing w:after="0" w:line="360" w:lineRule="auto"/>
              <w:jc w:val="both"/>
              <w:rPr>
                <w:rFonts w:ascii="Arial" w:hAnsi="Arial" w:cs="Arial"/>
                <w:color w:val="000000"/>
                <w:sz w:val="24"/>
                <w:szCs w:val="24"/>
              </w:rPr>
            </w:pPr>
          </w:p>
          <w:p w14:paraId="6CE86B5D" w14:textId="77777777" w:rsidR="00796B57" w:rsidRPr="00E00129" w:rsidRDefault="00796B57" w:rsidP="00796B57">
            <w:pPr>
              <w:spacing w:after="0" w:line="240" w:lineRule="auto"/>
              <w:rPr>
                <w:rFonts w:ascii="Arial" w:eastAsia="MS Mincho" w:hAnsi="Arial"/>
                <w:sz w:val="24"/>
                <w:szCs w:val="24"/>
                <w:u w:val="single"/>
                <w:lang w:val="en-GB"/>
              </w:rPr>
            </w:pPr>
            <w:r w:rsidRPr="00E00129">
              <w:rPr>
                <w:rFonts w:ascii="Arial" w:eastAsia="MS Mincho" w:hAnsi="Arial"/>
                <w:sz w:val="24"/>
                <w:szCs w:val="24"/>
                <w:u w:val="single"/>
                <w:lang w:val="en-GB"/>
              </w:rPr>
              <w:t xml:space="preserve">Introduction </w:t>
            </w:r>
          </w:p>
          <w:p w14:paraId="2B6BC8EB" w14:textId="77777777" w:rsidR="00796B57" w:rsidRPr="00E00129" w:rsidRDefault="00796B57" w:rsidP="00796B57">
            <w:pPr>
              <w:spacing w:after="0" w:line="240" w:lineRule="auto"/>
              <w:rPr>
                <w:rFonts w:ascii="Arial" w:eastAsia="MS Mincho" w:hAnsi="Arial"/>
                <w:sz w:val="24"/>
                <w:szCs w:val="24"/>
                <w:u w:val="single"/>
                <w:lang w:val="en-GB"/>
              </w:rPr>
            </w:pPr>
          </w:p>
          <w:p w14:paraId="6107BC35" w14:textId="77777777" w:rsidR="00796B57" w:rsidRPr="00E00129" w:rsidRDefault="00796B57" w:rsidP="00796B57">
            <w:pPr>
              <w:spacing w:after="0" w:line="240" w:lineRule="auto"/>
              <w:rPr>
                <w:rFonts w:ascii="Arial" w:eastAsia="MS Mincho" w:hAnsi="Arial"/>
                <w:sz w:val="24"/>
                <w:szCs w:val="24"/>
                <w:u w:val="single"/>
                <w:lang w:val="en-GB"/>
              </w:rPr>
            </w:pPr>
          </w:p>
          <w:p w14:paraId="00CC191F" w14:textId="35215DF5" w:rsidR="00796B57" w:rsidRPr="00E00129"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t>[1]</w:t>
            </w:r>
            <w:r w:rsidRPr="00E00129">
              <w:rPr>
                <w:rFonts w:ascii="Arial" w:eastAsia="MS Mincho" w:hAnsi="Arial"/>
                <w:sz w:val="24"/>
                <w:szCs w:val="24"/>
                <w:lang w:val="en-GB"/>
              </w:rPr>
              <w:tab/>
              <w:t xml:space="preserve">Serving before court for determination presently, is an </w:t>
            </w:r>
            <w:r w:rsidR="00C1256B">
              <w:rPr>
                <w:rFonts w:ascii="Arial" w:eastAsia="MS Mincho" w:hAnsi="Arial"/>
                <w:sz w:val="24"/>
                <w:szCs w:val="24"/>
                <w:lang w:val="en-GB"/>
              </w:rPr>
              <w:t xml:space="preserve">opposed </w:t>
            </w:r>
            <w:r w:rsidRPr="00E00129">
              <w:rPr>
                <w:rFonts w:ascii="Arial" w:eastAsia="MS Mincho" w:hAnsi="Arial"/>
                <w:sz w:val="24"/>
                <w:szCs w:val="24"/>
                <w:lang w:val="en-GB"/>
              </w:rPr>
              <w:t>application for summary judgment</w:t>
            </w:r>
            <w:r w:rsidR="00C1256B">
              <w:rPr>
                <w:rFonts w:ascii="Arial" w:eastAsia="MS Mincho" w:hAnsi="Arial"/>
                <w:sz w:val="24"/>
                <w:szCs w:val="24"/>
                <w:lang w:val="en-GB"/>
              </w:rPr>
              <w:t xml:space="preserve"> together with an application to declare certain movable property </w:t>
            </w:r>
            <w:proofErr w:type="gramStart"/>
            <w:r w:rsidR="00C1256B">
              <w:rPr>
                <w:rFonts w:ascii="Arial" w:eastAsia="MS Mincho" w:hAnsi="Arial"/>
                <w:sz w:val="24"/>
                <w:szCs w:val="24"/>
                <w:lang w:val="en-GB"/>
              </w:rPr>
              <w:t>specially</w:t>
            </w:r>
            <w:proofErr w:type="gramEnd"/>
            <w:r w:rsidR="00C1256B">
              <w:rPr>
                <w:rFonts w:ascii="Arial" w:eastAsia="MS Mincho" w:hAnsi="Arial"/>
                <w:sz w:val="24"/>
                <w:szCs w:val="24"/>
                <w:lang w:val="en-GB"/>
              </w:rPr>
              <w:t xml:space="preserve"> executable</w:t>
            </w:r>
            <w:r w:rsidR="000B2C49">
              <w:rPr>
                <w:rFonts w:ascii="Arial" w:eastAsia="MS Mincho" w:hAnsi="Arial"/>
                <w:sz w:val="24"/>
                <w:szCs w:val="24"/>
                <w:lang w:val="en-GB"/>
              </w:rPr>
              <w:t>,</w:t>
            </w:r>
            <w:r w:rsidR="00C1256B">
              <w:rPr>
                <w:rFonts w:ascii="Arial" w:eastAsia="MS Mincho" w:hAnsi="Arial"/>
                <w:sz w:val="24"/>
                <w:szCs w:val="24"/>
                <w:lang w:val="en-GB"/>
              </w:rPr>
              <w:t xml:space="preserve"> in terms of rule 108</w:t>
            </w:r>
            <w:r w:rsidRPr="00E00129">
              <w:rPr>
                <w:rFonts w:ascii="Arial" w:eastAsia="MS Mincho" w:hAnsi="Arial"/>
                <w:sz w:val="24"/>
                <w:szCs w:val="24"/>
                <w:lang w:val="en-GB"/>
              </w:rPr>
              <w:t xml:space="preserve">. The application is moved by the plaintiff, </w:t>
            </w:r>
            <w:proofErr w:type="spellStart"/>
            <w:r w:rsidRPr="00E00129">
              <w:rPr>
                <w:rFonts w:ascii="Arial" w:eastAsia="MS Mincho" w:hAnsi="Arial"/>
                <w:sz w:val="24"/>
                <w:szCs w:val="24"/>
                <w:lang w:val="en-GB"/>
              </w:rPr>
              <w:t>Nedbank</w:t>
            </w:r>
            <w:proofErr w:type="spellEnd"/>
            <w:r w:rsidRPr="00E00129">
              <w:rPr>
                <w:rFonts w:ascii="Arial" w:eastAsia="MS Mincho" w:hAnsi="Arial"/>
                <w:sz w:val="24"/>
                <w:szCs w:val="24"/>
                <w:lang w:val="en-GB"/>
              </w:rPr>
              <w:t xml:space="preserve"> Namibia Limited against the defendant, Mr Ang</w:t>
            </w:r>
            <w:r w:rsidR="006D5A0A">
              <w:rPr>
                <w:rFonts w:ascii="Arial" w:eastAsia="MS Mincho" w:hAnsi="Arial"/>
                <w:sz w:val="24"/>
                <w:szCs w:val="24"/>
                <w:lang w:val="en-GB"/>
              </w:rPr>
              <w:t xml:space="preserve">elo Rowen </w:t>
            </w:r>
            <w:proofErr w:type="spellStart"/>
            <w:r w:rsidR="006D5A0A">
              <w:rPr>
                <w:rFonts w:ascii="Arial" w:eastAsia="MS Mincho" w:hAnsi="Arial"/>
                <w:sz w:val="24"/>
                <w:szCs w:val="24"/>
                <w:lang w:val="en-GB"/>
              </w:rPr>
              <w:t>Helmuth</w:t>
            </w:r>
            <w:proofErr w:type="spellEnd"/>
            <w:r w:rsidRPr="00E00129">
              <w:rPr>
                <w:rFonts w:ascii="Arial" w:eastAsia="MS Mincho" w:hAnsi="Arial"/>
                <w:sz w:val="24"/>
                <w:szCs w:val="24"/>
                <w:lang w:val="en-GB"/>
              </w:rPr>
              <w:t>.</w:t>
            </w:r>
          </w:p>
          <w:p w14:paraId="30EC61E6" w14:textId="77777777" w:rsidR="00796B57" w:rsidRPr="00E00129" w:rsidRDefault="00796B57" w:rsidP="00796B57">
            <w:pPr>
              <w:spacing w:after="0" w:line="360" w:lineRule="auto"/>
              <w:jc w:val="both"/>
              <w:rPr>
                <w:rFonts w:ascii="Arial" w:eastAsia="MS Mincho" w:hAnsi="Arial"/>
                <w:sz w:val="24"/>
                <w:szCs w:val="24"/>
                <w:lang w:val="en-GB"/>
              </w:rPr>
            </w:pPr>
          </w:p>
          <w:p w14:paraId="777491C3" w14:textId="77777777" w:rsidR="00796B57" w:rsidRPr="00E00129"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t>[2]</w:t>
            </w:r>
            <w:r w:rsidRPr="00E00129">
              <w:rPr>
                <w:rFonts w:ascii="Arial" w:eastAsia="MS Mincho" w:hAnsi="Arial"/>
                <w:sz w:val="24"/>
                <w:szCs w:val="24"/>
                <w:lang w:val="en-GB"/>
              </w:rPr>
              <w:tab/>
              <w:t xml:space="preserve">For purposes of this judgment, I will refer to both the plaintiff and the defendant as ‘the parties’. </w:t>
            </w:r>
            <w:proofErr w:type="spellStart"/>
            <w:r w:rsidRPr="00E00129">
              <w:rPr>
                <w:rFonts w:ascii="Arial" w:eastAsia="MS Mincho" w:hAnsi="Arial"/>
                <w:sz w:val="24"/>
                <w:szCs w:val="24"/>
                <w:lang w:val="en-GB"/>
              </w:rPr>
              <w:t>Nedbank</w:t>
            </w:r>
            <w:proofErr w:type="spellEnd"/>
            <w:r w:rsidRPr="00E00129">
              <w:rPr>
                <w:rFonts w:ascii="Arial" w:eastAsia="MS Mincho" w:hAnsi="Arial"/>
                <w:sz w:val="24"/>
                <w:szCs w:val="24"/>
                <w:lang w:val="en-GB"/>
              </w:rPr>
              <w:t xml:space="preserve"> Namibia Limited, will be referred to as ‘the plaintiff’, whereas Mr </w:t>
            </w:r>
            <w:proofErr w:type="spellStart"/>
            <w:r w:rsidRPr="00E00129">
              <w:rPr>
                <w:rFonts w:ascii="Arial" w:eastAsia="MS Mincho" w:hAnsi="Arial"/>
                <w:sz w:val="24"/>
                <w:szCs w:val="24"/>
                <w:lang w:val="en-GB"/>
              </w:rPr>
              <w:t>Helmuth</w:t>
            </w:r>
            <w:proofErr w:type="spellEnd"/>
            <w:r w:rsidRPr="00E00129">
              <w:rPr>
                <w:rFonts w:ascii="Arial" w:eastAsia="MS Mincho" w:hAnsi="Arial"/>
                <w:sz w:val="24"/>
                <w:szCs w:val="24"/>
                <w:lang w:val="en-GB"/>
              </w:rPr>
              <w:t>, will be referred to as ‘the defendant’.</w:t>
            </w:r>
          </w:p>
          <w:p w14:paraId="4E08F00B" w14:textId="77777777" w:rsidR="00796B57" w:rsidRPr="00E00129" w:rsidRDefault="00796B57" w:rsidP="00796B57">
            <w:pPr>
              <w:spacing w:after="0" w:line="360" w:lineRule="auto"/>
              <w:jc w:val="both"/>
              <w:rPr>
                <w:rFonts w:ascii="Arial" w:eastAsia="MS Mincho" w:hAnsi="Arial"/>
                <w:sz w:val="24"/>
                <w:szCs w:val="24"/>
                <w:lang w:val="en-GB"/>
              </w:rPr>
            </w:pPr>
          </w:p>
          <w:p w14:paraId="47EDC484" w14:textId="77777777" w:rsidR="00796B57" w:rsidRDefault="00805203" w:rsidP="00796B57">
            <w:pPr>
              <w:spacing w:after="0" w:line="360" w:lineRule="auto"/>
              <w:jc w:val="both"/>
              <w:rPr>
                <w:rFonts w:ascii="Arial" w:eastAsia="MS Mincho" w:hAnsi="Arial"/>
                <w:sz w:val="24"/>
                <w:szCs w:val="24"/>
                <w:u w:val="single"/>
                <w:lang w:val="en-GB"/>
              </w:rPr>
            </w:pPr>
            <w:r w:rsidRPr="00E00129">
              <w:rPr>
                <w:rFonts w:ascii="Arial" w:eastAsia="MS Mincho" w:hAnsi="Arial"/>
                <w:sz w:val="24"/>
                <w:szCs w:val="24"/>
                <w:u w:val="single"/>
                <w:lang w:val="en-GB"/>
              </w:rPr>
              <w:t>Relief sought</w:t>
            </w:r>
          </w:p>
          <w:p w14:paraId="0798D2B9" w14:textId="77777777" w:rsidR="006D5A0A" w:rsidRPr="00E00129" w:rsidRDefault="006D5A0A" w:rsidP="00796B57">
            <w:pPr>
              <w:spacing w:after="0" w:line="360" w:lineRule="auto"/>
              <w:jc w:val="both"/>
              <w:rPr>
                <w:rFonts w:ascii="Arial" w:eastAsia="MS Mincho" w:hAnsi="Arial"/>
                <w:sz w:val="24"/>
                <w:szCs w:val="24"/>
                <w:u w:val="single"/>
                <w:lang w:val="en-GB"/>
              </w:rPr>
            </w:pPr>
          </w:p>
          <w:p w14:paraId="0CD8C3B9" w14:textId="23D402E4" w:rsidR="00E00129" w:rsidRPr="00E00129"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t>[3]</w:t>
            </w:r>
            <w:r w:rsidRPr="00E00129">
              <w:rPr>
                <w:rFonts w:ascii="Arial" w:eastAsia="MS Mincho" w:hAnsi="Arial"/>
                <w:sz w:val="24"/>
                <w:szCs w:val="24"/>
                <w:lang w:val="en-GB"/>
              </w:rPr>
              <w:tab/>
              <w:t>In its particulars of claim, the plaintiff seeks payment in the amount of N$2 939 071.14; debit interest on the said amount, calculated daily and capitalised monthly at the rate of 12.00%, calculated from 17 January 2022 to the date of final payment. The plaintiff further seeks an order for costs on the attorney and client scale. Last</w:t>
            </w:r>
            <w:r w:rsidR="000B2C49">
              <w:rPr>
                <w:rFonts w:ascii="Arial" w:eastAsia="MS Mincho" w:hAnsi="Arial"/>
                <w:sz w:val="24"/>
                <w:szCs w:val="24"/>
                <w:lang w:val="en-GB"/>
              </w:rPr>
              <w:t>,</w:t>
            </w:r>
            <w:r w:rsidRPr="00E00129">
              <w:rPr>
                <w:rFonts w:ascii="Arial" w:eastAsia="MS Mincho" w:hAnsi="Arial"/>
                <w:sz w:val="24"/>
                <w:szCs w:val="24"/>
                <w:lang w:val="en-GB"/>
              </w:rPr>
              <w:t xml:space="preserve"> but by no means le</w:t>
            </w:r>
            <w:r w:rsidR="006D5A0A">
              <w:rPr>
                <w:rFonts w:ascii="Arial" w:eastAsia="MS Mincho" w:hAnsi="Arial"/>
                <w:sz w:val="24"/>
                <w:szCs w:val="24"/>
                <w:lang w:val="en-GB"/>
              </w:rPr>
              <w:t>ast, the plaintiff applies for</w:t>
            </w:r>
            <w:r w:rsidRPr="00E00129">
              <w:rPr>
                <w:rFonts w:ascii="Arial" w:eastAsia="MS Mincho" w:hAnsi="Arial"/>
                <w:sz w:val="24"/>
                <w:szCs w:val="24"/>
                <w:lang w:val="en-GB"/>
              </w:rPr>
              <w:t xml:space="preserve"> an order declaring the defend</w:t>
            </w:r>
            <w:r w:rsidR="000B2C49">
              <w:rPr>
                <w:rFonts w:ascii="Arial" w:eastAsia="MS Mincho" w:hAnsi="Arial"/>
                <w:sz w:val="24"/>
                <w:szCs w:val="24"/>
                <w:lang w:val="en-GB"/>
              </w:rPr>
              <w:t>ant’s property described as Erf</w:t>
            </w:r>
            <w:r w:rsidRPr="00E00129">
              <w:rPr>
                <w:rFonts w:ascii="Arial" w:eastAsia="MS Mincho" w:hAnsi="Arial"/>
                <w:sz w:val="24"/>
                <w:szCs w:val="24"/>
                <w:lang w:val="en-GB"/>
              </w:rPr>
              <w:t xml:space="preserve"> 4222 (a portion of Erf 3148 Windhoek), situat</w:t>
            </w:r>
            <w:r w:rsidR="00281366">
              <w:rPr>
                <w:rFonts w:ascii="Arial" w:eastAsia="MS Mincho" w:hAnsi="Arial"/>
                <w:sz w:val="24"/>
                <w:szCs w:val="24"/>
                <w:lang w:val="en-GB"/>
              </w:rPr>
              <w:t>e at Windhoek and measuring 1202</w:t>
            </w:r>
            <w:r w:rsidRPr="00E00129">
              <w:rPr>
                <w:rFonts w:ascii="Arial" w:eastAsia="MS Mincho" w:hAnsi="Arial"/>
                <w:sz w:val="24"/>
                <w:szCs w:val="24"/>
                <w:lang w:val="en-GB"/>
              </w:rPr>
              <w:t xml:space="preserve"> square metres and held by Deed of Transfer No. T 643/2013, to be declared </w:t>
            </w:r>
            <w:proofErr w:type="gramStart"/>
            <w:r w:rsidRPr="00E00129">
              <w:rPr>
                <w:rFonts w:ascii="Arial" w:eastAsia="MS Mincho" w:hAnsi="Arial"/>
                <w:sz w:val="24"/>
                <w:szCs w:val="24"/>
                <w:lang w:val="en-GB"/>
              </w:rPr>
              <w:t>specially</w:t>
            </w:r>
            <w:proofErr w:type="gramEnd"/>
            <w:r w:rsidRPr="00E00129">
              <w:rPr>
                <w:rFonts w:ascii="Arial" w:eastAsia="MS Mincho" w:hAnsi="Arial"/>
                <w:sz w:val="24"/>
                <w:szCs w:val="24"/>
                <w:lang w:val="en-GB"/>
              </w:rPr>
              <w:t xml:space="preserve"> executable in terms of rule 108 of this court’s rules.</w:t>
            </w:r>
          </w:p>
          <w:p w14:paraId="72D952BE" w14:textId="77777777" w:rsidR="00796B57" w:rsidRDefault="00796B57" w:rsidP="00796B57">
            <w:pPr>
              <w:spacing w:after="0" w:line="360" w:lineRule="auto"/>
              <w:jc w:val="both"/>
              <w:rPr>
                <w:rFonts w:ascii="Arial" w:eastAsia="MS Mincho" w:hAnsi="Arial"/>
                <w:sz w:val="24"/>
                <w:szCs w:val="24"/>
                <w:lang w:val="en-GB"/>
              </w:rPr>
            </w:pPr>
          </w:p>
          <w:p w14:paraId="16482841" w14:textId="77777777" w:rsidR="008461E6" w:rsidRPr="00E00129" w:rsidRDefault="008461E6" w:rsidP="00796B57">
            <w:pPr>
              <w:spacing w:after="0" w:line="360" w:lineRule="auto"/>
              <w:jc w:val="both"/>
              <w:rPr>
                <w:rFonts w:ascii="Arial" w:eastAsia="MS Mincho" w:hAnsi="Arial"/>
                <w:sz w:val="24"/>
                <w:szCs w:val="24"/>
                <w:lang w:val="en-GB"/>
              </w:rPr>
            </w:pPr>
          </w:p>
          <w:p w14:paraId="693D085F" w14:textId="77777777" w:rsidR="00796B57" w:rsidRPr="00E00129"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lastRenderedPageBreak/>
              <w:t>[4]</w:t>
            </w:r>
            <w:r w:rsidRPr="00E00129">
              <w:rPr>
                <w:rFonts w:ascii="Arial" w:eastAsia="MS Mincho" w:hAnsi="Arial"/>
                <w:sz w:val="24"/>
                <w:szCs w:val="24"/>
                <w:lang w:val="en-GB"/>
              </w:rPr>
              <w:tab/>
              <w:t xml:space="preserve">It is important to state that the defendant, in principle, opposed the relief sought and to that extent, filed an affidavit opposing the granting of the summary judgment and the declaration of the property </w:t>
            </w:r>
            <w:proofErr w:type="gramStart"/>
            <w:r w:rsidRPr="00E00129">
              <w:rPr>
                <w:rFonts w:ascii="Arial" w:eastAsia="MS Mincho" w:hAnsi="Arial"/>
                <w:sz w:val="24"/>
                <w:szCs w:val="24"/>
                <w:lang w:val="en-GB"/>
              </w:rPr>
              <w:t>specially</w:t>
            </w:r>
            <w:proofErr w:type="gramEnd"/>
            <w:r w:rsidRPr="00E00129">
              <w:rPr>
                <w:rFonts w:ascii="Arial" w:eastAsia="MS Mincho" w:hAnsi="Arial"/>
                <w:sz w:val="24"/>
                <w:szCs w:val="24"/>
                <w:lang w:val="en-GB"/>
              </w:rPr>
              <w:t xml:space="preserve"> executable.</w:t>
            </w:r>
          </w:p>
          <w:p w14:paraId="65771EA5" w14:textId="77777777" w:rsidR="00796B57" w:rsidRPr="00E00129" w:rsidRDefault="00796B57" w:rsidP="0029776E">
            <w:pPr>
              <w:spacing w:after="0" w:line="360" w:lineRule="auto"/>
              <w:jc w:val="both"/>
              <w:rPr>
                <w:rFonts w:ascii="Arial" w:hAnsi="Arial" w:cs="Arial"/>
                <w:b/>
                <w:color w:val="000000"/>
                <w:sz w:val="24"/>
                <w:szCs w:val="24"/>
              </w:rPr>
            </w:pPr>
          </w:p>
          <w:p w14:paraId="25DF7CA1" w14:textId="77777777" w:rsidR="00796B57" w:rsidRPr="00E00129" w:rsidRDefault="00796B57" w:rsidP="00796B57">
            <w:pPr>
              <w:spacing w:after="0" w:line="360" w:lineRule="auto"/>
              <w:jc w:val="both"/>
              <w:rPr>
                <w:rFonts w:ascii="Arial" w:eastAsia="MS Mincho" w:hAnsi="Arial"/>
                <w:sz w:val="24"/>
                <w:szCs w:val="24"/>
                <w:u w:val="single"/>
                <w:lang w:val="en-GB"/>
              </w:rPr>
            </w:pPr>
            <w:r w:rsidRPr="00E00129">
              <w:rPr>
                <w:rFonts w:ascii="Arial" w:eastAsia="MS Mincho" w:hAnsi="Arial"/>
                <w:sz w:val="24"/>
                <w:szCs w:val="24"/>
                <w:u w:val="single"/>
                <w:lang w:val="en-GB"/>
              </w:rPr>
              <w:t>The plaintiff’s case</w:t>
            </w:r>
          </w:p>
          <w:p w14:paraId="09BCFA6B" w14:textId="77777777" w:rsidR="00796B57" w:rsidRPr="00E00129" w:rsidRDefault="00796B57" w:rsidP="00796B57">
            <w:pPr>
              <w:spacing w:after="0" w:line="360" w:lineRule="auto"/>
              <w:jc w:val="both"/>
              <w:rPr>
                <w:rFonts w:ascii="Arial" w:eastAsia="MS Mincho" w:hAnsi="Arial"/>
                <w:sz w:val="24"/>
                <w:szCs w:val="24"/>
                <w:u w:val="single"/>
                <w:lang w:val="en-GB"/>
              </w:rPr>
            </w:pPr>
          </w:p>
          <w:p w14:paraId="31DF8AC0" w14:textId="113B9F99" w:rsidR="00796B57" w:rsidRPr="00E00129"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t>[5]</w:t>
            </w:r>
            <w:r w:rsidRPr="00E00129">
              <w:rPr>
                <w:rFonts w:ascii="Arial" w:eastAsia="MS Mincho" w:hAnsi="Arial"/>
                <w:sz w:val="24"/>
                <w:szCs w:val="24"/>
                <w:lang w:val="en-GB"/>
              </w:rPr>
              <w:tab/>
              <w:t xml:space="preserve">The plaintiff, in its particulars of claim, avers that it and the defendant, entered into a written home loan agreement on 15 January 2013 in Windhoek. The said home loan agreement was to be secured by a mortgage bond, a copy of which was annexed to the particulars of claim. It is further averred that the plaintiff further re-advanced a loan to the defendant and in terms of which it lent and advanced the defendant monies in terms of a document entitled, </w:t>
            </w:r>
            <w:r w:rsidRPr="000B2C49">
              <w:rPr>
                <w:rFonts w:ascii="Arial" w:eastAsia="MS Mincho" w:hAnsi="Arial"/>
                <w:sz w:val="24"/>
                <w:szCs w:val="24"/>
                <w:lang w:val="en-GB"/>
              </w:rPr>
              <w:t>‘C</w:t>
            </w:r>
            <w:r w:rsidR="000B2C49" w:rsidRPr="000B2C49">
              <w:rPr>
                <w:rFonts w:ascii="Arial" w:eastAsia="MS Mincho" w:hAnsi="Arial"/>
                <w:sz w:val="24"/>
                <w:szCs w:val="24"/>
                <w:lang w:val="en-GB"/>
              </w:rPr>
              <w:t>onfi</w:t>
            </w:r>
            <w:r w:rsidRPr="000B2C49">
              <w:rPr>
                <w:rFonts w:ascii="Arial" w:eastAsia="MS Mincho" w:hAnsi="Arial"/>
                <w:sz w:val="24"/>
                <w:szCs w:val="24"/>
                <w:lang w:val="en-GB"/>
              </w:rPr>
              <w:t>rmation of Loan Approval to be secured by Mortgaged Bond’.</w:t>
            </w:r>
            <w:r w:rsidRPr="00E00129">
              <w:rPr>
                <w:rFonts w:ascii="Arial" w:eastAsia="MS Mincho" w:hAnsi="Arial"/>
                <w:sz w:val="24"/>
                <w:szCs w:val="24"/>
                <w:lang w:val="en-GB"/>
              </w:rPr>
              <w:t xml:space="preserve"> The latter document</w:t>
            </w:r>
            <w:r w:rsidR="000B2C49">
              <w:rPr>
                <w:rFonts w:ascii="Arial" w:eastAsia="MS Mincho" w:hAnsi="Arial"/>
                <w:sz w:val="24"/>
                <w:szCs w:val="24"/>
                <w:lang w:val="en-GB"/>
              </w:rPr>
              <w:t>,</w:t>
            </w:r>
            <w:r w:rsidRPr="00E00129">
              <w:rPr>
                <w:rFonts w:ascii="Arial" w:eastAsia="MS Mincho" w:hAnsi="Arial"/>
                <w:sz w:val="24"/>
                <w:szCs w:val="24"/>
                <w:lang w:val="en-GB"/>
              </w:rPr>
              <w:t xml:space="preserve"> is dated 19 October 2016. </w:t>
            </w:r>
          </w:p>
          <w:p w14:paraId="67DAC436" w14:textId="77777777" w:rsidR="00796B57" w:rsidRPr="00E00129" w:rsidRDefault="00796B57" w:rsidP="00796B57">
            <w:pPr>
              <w:spacing w:after="0" w:line="360" w:lineRule="auto"/>
              <w:jc w:val="both"/>
              <w:rPr>
                <w:rFonts w:ascii="Arial" w:eastAsia="MS Mincho" w:hAnsi="Arial"/>
                <w:sz w:val="24"/>
                <w:szCs w:val="24"/>
                <w:lang w:val="en-GB"/>
              </w:rPr>
            </w:pPr>
          </w:p>
          <w:p w14:paraId="4EA62B00" w14:textId="77777777" w:rsidR="00796B57" w:rsidRPr="00E00129"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t>[6]</w:t>
            </w:r>
            <w:r w:rsidRPr="00E00129">
              <w:rPr>
                <w:rFonts w:ascii="Arial" w:eastAsia="MS Mincho" w:hAnsi="Arial"/>
                <w:sz w:val="24"/>
                <w:szCs w:val="24"/>
                <w:lang w:val="en-GB"/>
              </w:rPr>
              <w:tab/>
              <w:t>It is the plaintiff’s case that despite demand, the plaintiff failed and or neglected to make good on his indebtedness, hence the issuance of the summons in this matter. Upon the defendant entering his notice to defend</w:t>
            </w:r>
            <w:r w:rsidR="006D5A0A">
              <w:rPr>
                <w:rFonts w:ascii="Arial" w:eastAsia="MS Mincho" w:hAnsi="Arial"/>
                <w:sz w:val="24"/>
                <w:szCs w:val="24"/>
                <w:lang w:val="en-GB"/>
              </w:rPr>
              <w:t>,</w:t>
            </w:r>
            <w:r w:rsidRPr="00E00129">
              <w:rPr>
                <w:rFonts w:ascii="Arial" w:eastAsia="MS Mincho" w:hAnsi="Arial"/>
                <w:sz w:val="24"/>
                <w:szCs w:val="24"/>
                <w:lang w:val="en-GB"/>
              </w:rPr>
              <w:t xml:space="preserve"> the plaintiff proceeded to file an application for summary judgment. The plaintiff claims that the defendant does not have a </w:t>
            </w:r>
            <w:r w:rsidRPr="00E00129">
              <w:rPr>
                <w:rFonts w:ascii="Arial" w:eastAsia="MS Mincho" w:hAnsi="Arial"/>
                <w:i/>
                <w:sz w:val="24"/>
                <w:szCs w:val="24"/>
                <w:lang w:val="en-GB"/>
              </w:rPr>
              <w:t xml:space="preserve">bona fide </w:t>
            </w:r>
            <w:r w:rsidRPr="00E00129">
              <w:rPr>
                <w:rFonts w:ascii="Arial" w:eastAsia="MS Mincho" w:hAnsi="Arial"/>
                <w:sz w:val="24"/>
                <w:szCs w:val="24"/>
                <w:lang w:val="en-GB"/>
              </w:rPr>
              <w:t>defence to the claim and has merely filed his defence for no other purpose than to frustrate the plaintiff in the early enjoyment of the fruits of the judgment it prays for.</w:t>
            </w:r>
          </w:p>
          <w:p w14:paraId="57CC819B" w14:textId="77777777" w:rsidR="00796B57" w:rsidRPr="00E00129" w:rsidRDefault="00796B57" w:rsidP="00796B57">
            <w:pPr>
              <w:spacing w:after="0" w:line="360" w:lineRule="auto"/>
              <w:jc w:val="both"/>
              <w:rPr>
                <w:rFonts w:ascii="Arial" w:eastAsia="MS Mincho" w:hAnsi="Arial"/>
                <w:sz w:val="24"/>
                <w:szCs w:val="24"/>
                <w:u w:val="single"/>
                <w:lang w:val="en-GB"/>
              </w:rPr>
            </w:pPr>
          </w:p>
          <w:p w14:paraId="5B94F2A5" w14:textId="77777777" w:rsidR="00796B57" w:rsidRPr="00E00129" w:rsidRDefault="00796B57" w:rsidP="00796B57">
            <w:pPr>
              <w:spacing w:after="0" w:line="360" w:lineRule="auto"/>
              <w:jc w:val="both"/>
              <w:rPr>
                <w:rFonts w:ascii="Arial" w:eastAsia="MS Mincho" w:hAnsi="Arial"/>
                <w:sz w:val="24"/>
                <w:szCs w:val="24"/>
                <w:u w:val="single"/>
                <w:lang w:val="en-GB"/>
              </w:rPr>
            </w:pPr>
            <w:r w:rsidRPr="00E00129">
              <w:rPr>
                <w:rFonts w:ascii="Arial" w:eastAsia="MS Mincho" w:hAnsi="Arial"/>
                <w:sz w:val="24"/>
                <w:szCs w:val="24"/>
                <w:u w:val="single"/>
                <w:lang w:val="en-GB"/>
              </w:rPr>
              <w:t>The defendant’s case</w:t>
            </w:r>
          </w:p>
          <w:p w14:paraId="7C2D8DE3" w14:textId="77777777" w:rsidR="00796B57" w:rsidRPr="00E00129" w:rsidRDefault="00796B57" w:rsidP="00796B57">
            <w:pPr>
              <w:spacing w:after="0" w:line="360" w:lineRule="auto"/>
              <w:jc w:val="both"/>
              <w:rPr>
                <w:rFonts w:ascii="Arial" w:eastAsia="MS Mincho" w:hAnsi="Arial"/>
                <w:sz w:val="24"/>
                <w:szCs w:val="24"/>
                <w:u w:val="single"/>
                <w:lang w:val="en-GB"/>
              </w:rPr>
            </w:pPr>
          </w:p>
          <w:p w14:paraId="48C3E579" w14:textId="620E5062" w:rsidR="00796B57"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t>[7]      In his answerin</w:t>
            </w:r>
            <w:r w:rsidR="006D5A0A">
              <w:rPr>
                <w:rFonts w:ascii="Arial" w:eastAsia="MS Mincho" w:hAnsi="Arial"/>
                <w:sz w:val="24"/>
                <w:szCs w:val="24"/>
                <w:lang w:val="en-GB"/>
              </w:rPr>
              <w:t xml:space="preserve">g affidavit, the defendant </w:t>
            </w:r>
            <w:r w:rsidR="006D5A0A" w:rsidRPr="00E00129">
              <w:rPr>
                <w:rFonts w:ascii="Arial" w:eastAsia="MS Mincho" w:hAnsi="Arial"/>
                <w:sz w:val="24"/>
                <w:szCs w:val="24"/>
                <w:lang w:val="en-GB"/>
              </w:rPr>
              <w:t>avers</w:t>
            </w:r>
            <w:r w:rsidRPr="00E00129">
              <w:rPr>
                <w:rFonts w:ascii="Arial" w:eastAsia="MS Mincho" w:hAnsi="Arial"/>
                <w:sz w:val="24"/>
                <w:szCs w:val="24"/>
                <w:lang w:val="en-GB"/>
              </w:rPr>
              <w:t xml:space="preserve"> that he is unable to pay the monthly instalments on the bond </w:t>
            </w:r>
            <w:r w:rsidR="006D5A0A">
              <w:rPr>
                <w:rFonts w:ascii="Arial" w:eastAsia="MS Mincho" w:hAnsi="Arial"/>
                <w:sz w:val="24"/>
                <w:szCs w:val="24"/>
                <w:lang w:val="en-GB"/>
              </w:rPr>
              <w:t xml:space="preserve">due to insufficient funds </w:t>
            </w:r>
            <w:r w:rsidRPr="00E00129">
              <w:rPr>
                <w:rFonts w:ascii="Arial" w:eastAsia="MS Mincho" w:hAnsi="Arial"/>
                <w:sz w:val="24"/>
                <w:szCs w:val="24"/>
                <w:lang w:val="en-GB"/>
              </w:rPr>
              <w:t>and that he is self-</w:t>
            </w:r>
            <w:r w:rsidR="00805203" w:rsidRPr="00E00129">
              <w:rPr>
                <w:rFonts w:ascii="Arial" w:eastAsia="MS Mincho" w:hAnsi="Arial"/>
                <w:sz w:val="24"/>
                <w:szCs w:val="24"/>
                <w:lang w:val="en-GB"/>
              </w:rPr>
              <w:t>employed.</w:t>
            </w:r>
            <w:r w:rsidRPr="00E00129">
              <w:rPr>
                <w:rFonts w:ascii="Arial" w:eastAsia="MS Mincho" w:hAnsi="Arial"/>
                <w:sz w:val="24"/>
                <w:szCs w:val="24"/>
                <w:lang w:val="en-GB"/>
              </w:rPr>
              <w:t xml:space="preserve">  He however confirms addressing a letter to the plaintiff’s legal practitioners on 31 January 2022 proposing a settlement plan for the amount in arrears but the plaintiff failed to respond to such letter.</w:t>
            </w:r>
          </w:p>
          <w:p w14:paraId="5A2EAF78" w14:textId="77777777" w:rsidR="009A2953" w:rsidRPr="00E00129" w:rsidRDefault="009A2953" w:rsidP="00796B57">
            <w:pPr>
              <w:spacing w:after="0" w:line="360" w:lineRule="auto"/>
              <w:jc w:val="both"/>
              <w:rPr>
                <w:rFonts w:ascii="Arial" w:eastAsia="MS Mincho" w:hAnsi="Arial"/>
                <w:sz w:val="24"/>
                <w:szCs w:val="24"/>
                <w:lang w:val="en-GB"/>
              </w:rPr>
            </w:pPr>
          </w:p>
          <w:p w14:paraId="1E472C0D" w14:textId="77777777" w:rsidR="00796B57" w:rsidRPr="00E00129"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t>[8]     Although not stated in his answering affidavit, the defendant, in the letter addressed to plainti</w:t>
            </w:r>
            <w:r w:rsidR="00F43609">
              <w:rPr>
                <w:rFonts w:ascii="Arial" w:eastAsia="MS Mincho" w:hAnsi="Arial"/>
                <w:sz w:val="24"/>
                <w:szCs w:val="24"/>
                <w:lang w:val="en-GB"/>
              </w:rPr>
              <w:t xml:space="preserve">ff dated 31 January 2022, </w:t>
            </w:r>
            <w:r w:rsidR="00F43609" w:rsidRPr="00E00129">
              <w:rPr>
                <w:rFonts w:ascii="Arial" w:eastAsia="MS Mincho" w:hAnsi="Arial"/>
                <w:sz w:val="24"/>
                <w:szCs w:val="24"/>
                <w:lang w:val="en-GB"/>
              </w:rPr>
              <w:t>avers</w:t>
            </w:r>
            <w:r w:rsidRPr="00E00129">
              <w:rPr>
                <w:rFonts w:ascii="Arial" w:eastAsia="MS Mincho" w:hAnsi="Arial"/>
                <w:sz w:val="24"/>
                <w:szCs w:val="24"/>
                <w:lang w:val="en-GB"/>
              </w:rPr>
              <w:t xml:space="preserve"> that the property to be declared </w:t>
            </w:r>
            <w:r w:rsidR="00F43609" w:rsidRPr="00E00129">
              <w:rPr>
                <w:rFonts w:ascii="Arial" w:eastAsia="MS Mincho" w:hAnsi="Arial"/>
                <w:sz w:val="24"/>
                <w:szCs w:val="24"/>
                <w:lang w:val="en-GB"/>
              </w:rPr>
              <w:t>spe</w:t>
            </w:r>
            <w:r w:rsidR="00F43609">
              <w:rPr>
                <w:rFonts w:ascii="Arial" w:eastAsia="MS Mincho" w:hAnsi="Arial"/>
                <w:sz w:val="24"/>
                <w:szCs w:val="24"/>
                <w:lang w:val="en-GB"/>
              </w:rPr>
              <w:t>cial</w:t>
            </w:r>
            <w:r w:rsidR="00F43609" w:rsidRPr="00E00129">
              <w:rPr>
                <w:rFonts w:ascii="Arial" w:eastAsia="MS Mincho" w:hAnsi="Arial"/>
                <w:sz w:val="24"/>
                <w:szCs w:val="24"/>
                <w:lang w:val="en-GB"/>
              </w:rPr>
              <w:t>ly</w:t>
            </w:r>
            <w:r w:rsidRPr="00E00129">
              <w:rPr>
                <w:rFonts w:ascii="Arial" w:eastAsia="MS Mincho" w:hAnsi="Arial"/>
                <w:sz w:val="24"/>
                <w:szCs w:val="24"/>
                <w:lang w:val="en-GB"/>
              </w:rPr>
              <w:t xml:space="preserve"> executable is his primary property and the sale of the property will cause him great prejudice. In the same letter, defendant requests updated statements of his home loan </w:t>
            </w:r>
            <w:r w:rsidRPr="00E00129">
              <w:rPr>
                <w:rFonts w:ascii="Arial" w:eastAsia="MS Mincho" w:hAnsi="Arial"/>
                <w:sz w:val="24"/>
                <w:szCs w:val="24"/>
                <w:lang w:val="en-GB"/>
              </w:rPr>
              <w:lastRenderedPageBreak/>
              <w:t>account which should reflect the ar</w:t>
            </w:r>
            <w:r w:rsidR="00C1256B">
              <w:rPr>
                <w:rFonts w:ascii="Arial" w:eastAsia="MS Mincho" w:hAnsi="Arial"/>
                <w:sz w:val="24"/>
                <w:szCs w:val="24"/>
                <w:lang w:val="en-GB"/>
              </w:rPr>
              <w:t>r</w:t>
            </w:r>
            <w:r w:rsidRPr="00E00129">
              <w:rPr>
                <w:rFonts w:ascii="Arial" w:eastAsia="MS Mincho" w:hAnsi="Arial"/>
                <w:sz w:val="24"/>
                <w:szCs w:val="24"/>
                <w:lang w:val="en-GB"/>
              </w:rPr>
              <w:t>ears and the penalties accumulated. He further suggested the following payment plan:</w:t>
            </w:r>
          </w:p>
          <w:p w14:paraId="2B71A113" w14:textId="77777777" w:rsidR="00796B57" w:rsidRPr="00E00129" w:rsidRDefault="00796B57" w:rsidP="00796B57">
            <w:pPr>
              <w:spacing w:after="0" w:line="360" w:lineRule="auto"/>
              <w:jc w:val="both"/>
              <w:rPr>
                <w:rFonts w:ascii="Arial" w:eastAsia="MS Mincho" w:hAnsi="Arial"/>
                <w:sz w:val="24"/>
                <w:szCs w:val="24"/>
                <w:lang w:val="en-GB"/>
              </w:rPr>
            </w:pPr>
          </w:p>
          <w:p w14:paraId="413D3224" w14:textId="70808971" w:rsidR="00796B57" w:rsidRPr="00E00129"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t>8.1   February – Ap</w:t>
            </w:r>
            <w:r w:rsidR="000B2C49">
              <w:rPr>
                <w:rFonts w:ascii="Arial" w:eastAsia="MS Mincho" w:hAnsi="Arial"/>
                <w:sz w:val="24"/>
                <w:szCs w:val="24"/>
                <w:lang w:val="en-GB"/>
              </w:rPr>
              <w:t>ril 2022, he pays N$</w:t>
            </w:r>
            <w:r w:rsidR="00F43609">
              <w:rPr>
                <w:rFonts w:ascii="Arial" w:eastAsia="MS Mincho" w:hAnsi="Arial"/>
                <w:sz w:val="24"/>
                <w:szCs w:val="24"/>
                <w:lang w:val="en-GB"/>
              </w:rPr>
              <w:t>10 000 per</w:t>
            </w:r>
            <w:r w:rsidRPr="00E00129">
              <w:rPr>
                <w:rFonts w:ascii="Arial" w:eastAsia="MS Mincho" w:hAnsi="Arial"/>
                <w:sz w:val="24"/>
                <w:szCs w:val="24"/>
                <w:lang w:val="en-GB"/>
              </w:rPr>
              <w:t xml:space="preserve"> </w:t>
            </w:r>
            <w:r w:rsidR="00F43609" w:rsidRPr="00E00129">
              <w:rPr>
                <w:rFonts w:ascii="Arial" w:eastAsia="MS Mincho" w:hAnsi="Arial"/>
                <w:sz w:val="24"/>
                <w:szCs w:val="24"/>
                <w:lang w:val="en-GB"/>
              </w:rPr>
              <w:t>month.</w:t>
            </w:r>
          </w:p>
          <w:p w14:paraId="63B9598E" w14:textId="5780F35C" w:rsidR="00796B57" w:rsidRPr="00E00129"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t>8.2.   May – Aug</w:t>
            </w:r>
            <w:r w:rsidR="00F43609">
              <w:rPr>
                <w:rFonts w:ascii="Arial" w:eastAsia="MS Mincho" w:hAnsi="Arial"/>
                <w:sz w:val="24"/>
                <w:szCs w:val="24"/>
                <w:lang w:val="en-GB"/>
              </w:rPr>
              <w:t>ust 2022, he p</w:t>
            </w:r>
            <w:r w:rsidR="000B2C49">
              <w:rPr>
                <w:rFonts w:ascii="Arial" w:eastAsia="MS Mincho" w:hAnsi="Arial"/>
                <w:sz w:val="24"/>
                <w:szCs w:val="24"/>
                <w:lang w:val="en-GB"/>
              </w:rPr>
              <w:t>ays N$</w:t>
            </w:r>
            <w:r w:rsidR="00F43609">
              <w:rPr>
                <w:rFonts w:ascii="Arial" w:eastAsia="MS Mincho" w:hAnsi="Arial"/>
                <w:sz w:val="24"/>
                <w:szCs w:val="24"/>
                <w:lang w:val="en-GB"/>
              </w:rPr>
              <w:t>15 000 per</w:t>
            </w:r>
            <w:r w:rsidRPr="00E00129">
              <w:rPr>
                <w:rFonts w:ascii="Arial" w:eastAsia="MS Mincho" w:hAnsi="Arial"/>
                <w:sz w:val="24"/>
                <w:szCs w:val="24"/>
                <w:lang w:val="en-GB"/>
              </w:rPr>
              <w:t xml:space="preserve"> month</w:t>
            </w:r>
            <w:r w:rsidR="00F43609">
              <w:rPr>
                <w:rFonts w:ascii="Arial" w:eastAsia="MS Mincho" w:hAnsi="Arial"/>
                <w:sz w:val="24"/>
                <w:szCs w:val="24"/>
                <w:lang w:val="en-GB"/>
              </w:rPr>
              <w:t>.</w:t>
            </w:r>
          </w:p>
          <w:p w14:paraId="58AD8B8E" w14:textId="1D95F2C3" w:rsidR="00796B57" w:rsidRPr="00E00129"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t>8.3   September – Dece</w:t>
            </w:r>
            <w:r w:rsidR="000B2C49">
              <w:rPr>
                <w:rFonts w:ascii="Arial" w:eastAsia="MS Mincho" w:hAnsi="Arial"/>
                <w:sz w:val="24"/>
                <w:szCs w:val="24"/>
                <w:lang w:val="en-GB"/>
              </w:rPr>
              <w:t>mber 2022 he pays N$</w:t>
            </w:r>
            <w:r w:rsidR="00F43609">
              <w:rPr>
                <w:rFonts w:ascii="Arial" w:eastAsia="MS Mincho" w:hAnsi="Arial"/>
                <w:sz w:val="24"/>
                <w:szCs w:val="24"/>
                <w:lang w:val="en-GB"/>
              </w:rPr>
              <w:t>20 000 per</w:t>
            </w:r>
            <w:r w:rsidRPr="00E00129">
              <w:rPr>
                <w:rFonts w:ascii="Arial" w:eastAsia="MS Mincho" w:hAnsi="Arial"/>
                <w:sz w:val="24"/>
                <w:szCs w:val="24"/>
                <w:lang w:val="en-GB"/>
              </w:rPr>
              <w:t xml:space="preserve"> month</w:t>
            </w:r>
            <w:r w:rsidR="00F43609">
              <w:rPr>
                <w:rFonts w:ascii="Arial" w:eastAsia="MS Mincho" w:hAnsi="Arial"/>
                <w:sz w:val="24"/>
                <w:szCs w:val="24"/>
                <w:lang w:val="en-GB"/>
              </w:rPr>
              <w:t>.</w:t>
            </w:r>
          </w:p>
          <w:p w14:paraId="14CFA0CD" w14:textId="77777777" w:rsidR="00796B57" w:rsidRPr="00E00129" w:rsidRDefault="00796B57" w:rsidP="00796B57">
            <w:pPr>
              <w:spacing w:after="0" w:line="360" w:lineRule="auto"/>
              <w:jc w:val="both"/>
              <w:rPr>
                <w:rFonts w:ascii="Arial" w:eastAsia="MS Mincho" w:hAnsi="Arial"/>
                <w:sz w:val="24"/>
                <w:szCs w:val="24"/>
                <w:lang w:val="en-GB"/>
              </w:rPr>
            </w:pPr>
          </w:p>
          <w:p w14:paraId="7C58A69F" w14:textId="6A21B57F" w:rsidR="00796B57" w:rsidRPr="00E00129" w:rsidRDefault="00796B57" w:rsidP="00796B57">
            <w:pPr>
              <w:spacing w:after="0" w:line="360" w:lineRule="auto"/>
              <w:jc w:val="both"/>
              <w:rPr>
                <w:rFonts w:ascii="Arial" w:eastAsia="MS Mincho" w:hAnsi="Arial"/>
                <w:sz w:val="24"/>
                <w:szCs w:val="24"/>
                <w:lang w:val="en-GB"/>
              </w:rPr>
            </w:pPr>
            <w:r w:rsidRPr="00E00129">
              <w:rPr>
                <w:rFonts w:ascii="Arial" w:eastAsia="MS Mincho" w:hAnsi="Arial"/>
                <w:sz w:val="24"/>
                <w:szCs w:val="24"/>
                <w:lang w:val="en-GB"/>
              </w:rPr>
              <w:t>[9</w:t>
            </w:r>
            <w:r w:rsidR="000B2C49">
              <w:rPr>
                <w:rFonts w:ascii="Arial" w:eastAsia="MS Mincho" w:hAnsi="Arial"/>
                <w:sz w:val="24"/>
                <w:szCs w:val="24"/>
                <w:lang w:val="en-GB"/>
              </w:rPr>
              <w:t xml:space="preserve">]   The </w:t>
            </w:r>
            <w:r w:rsidR="00805203" w:rsidRPr="00E00129">
              <w:rPr>
                <w:rFonts w:ascii="Arial" w:eastAsia="MS Mincho" w:hAnsi="Arial"/>
                <w:sz w:val="24"/>
                <w:szCs w:val="24"/>
                <w:lang w:val="en-GB"/>
              </w:rPr>
              <w:t>s</w:t>
            </w:r>
            <w:r w:rsidR="000B2C49">
              <w:rPr>
                <w:rFonts w:ascii="Arial" w:eastAsia="MS Mincho" w:hAnsi="Arial"/>
                <w:sz w:val="24"/>
                <w:szCs w:val="24"/>
                <w:lang w:val="en-GB"/>
              </w:rPr>
              <w:t>aid</w:t>
            </w:r>
            <w:r w:rsidRPr="00E00129">
              <w:rPr>
                <w:rFonts w:ascii="Arial" w:eastAsia="MS Mincho" w:hAnsi="Arial"/>
                <w:sz w:val="24"/>
                <w:szCs w:val="24"/>
                <w:lang w:val="en-GB"/>
              </w:rPr>
              <w:t xml:space="preserve"> letter further stated that the abovementioned amounts would be reviewed in January 2023 with the aim of considering an increase </w:t>
            </w:r>
            <w:r w:rsidR="00B04353">
              <w:rPr>
                <w:rFonts w:ascii="Arial" w:eastAsia="MS Mincho" w:hAnsi="Arial"/>
                <w:sz w:val="24"/>
                <w:szCs w:val="24"/>
                <w:lang w:val="en-GB"/>
              </w:rPr>
              <w:t>of N$ 5000 in the instalments.</w:t>
            </w:r>
            <w:r w:rsidRPr="00E00129">
              <w:rPr>
                <w:rFonts w:ascii="Arial" w:eastAsia="MS Mincho" w:hAnsi="Arial"/>
                <w:sz w:val="24"/>
                <w:szCs w:val="24"/>
                <w:lang w:val="en-GB"/>
              </w:rPr>
              <w:t xml:space="preserve"> </w:t>
            </w:r>
          </w:p>
          <w:p w14:paraId="6FFD0CE8" w14:textId="77777777" w:rsidR="00796B57" w:rsidRPr="00E00129" w:rsidRDefault="00796B57" w:rsidP="00796B57">
            <w:pPr>
              <w:pStyle w:val="Heading2"/>
              <w:rPr>
                <w:color w:val="000000"/>
              </w:rPr>
            </w:pPr>
          </w:p>
          <w:p w14:paraId="59E516E4" w14:textId="77777777" w:rsidR="00796B57" w:rsidRPr="00E00129" w:rsidRDefault="00C1256B" w:rsidP="00796B57">
            <w:pPr>
              <w:pStyle w:val="Heading2"/>
              <w:rPr>
                <w:color w:val="000000"/>
              </w:rPr>
            </w:pPr>
            <w:r>
              <w:rPr>
                <w:color w:val="000000"/>
              </w:rPr>
              <w:t>The s</w:t>
            </w:r>
            <w:r w:rsidR="00796B57" w:rsidRPr="00E00129">
              <w:rPr>
                <w:color w:val="000000"/>
              </w:rPr>
              <w:t>ummary judgment application</w:t>
            </w:r>
          </w:p>
          <w:p w14:paraId="44AC1759" w14:textId="77777777" w:rsidR="00796B57" w:rsidRPr="00E00129" w:rsidRDefault="00796B57" w:rsidP="00796B57">
            <w:pPr>
              <w:spacing w:after="0" w:line="240" w:lineRule="auto"/>
              <w:rPr>
                <w:rFonts w:ascii="Arial" w:hAnsi="Arial" w:cs="Arial"/>
                <w:color w:val="000000"/>
                <w:sz w:val="24"/>
                <w:szCs w:val="24"/>
              </w:rPr>
            </w:pPr>
          </w:p>
          <w:p w14:paraId="1908881A" w14:textId="77777777" w:rsidR="00796B57" w:rsidRPr="00E00129" w:rsidRDefault="00671B63" w:rsidP="00C85FF7">
            <w:pPr>
              <w:pStyle w:val="ListParagraph"/>
              <w:tabs>
                <w:tab w:val="left" w:pos="575"/>
              </w:tabs>
              <w:spacing w:after="0" w:line="360" w:lineRule="auto"/>
              <w:ind w:left="0" w:right="164"/>
              <w:jc w:val="both"/>
              <w:rPr>
                <w:rFonts w:ascii="Arial" w:hAnsi="Arial" w:cs="Arial"/>
                <w:color w:val="000000"/>
                <w:sz w:val="24"/>
                <w:szCs w:val="24"/>
              </w:rPr>
            </w:pPr>
            <w:r>
              <w:rPr>
                <w:rFonts w:ascii="Arial" w:eastAsia="MS Mincho" w:hAnsi="Arial"/>
                <w:sz w:val="24"/>
                <w:szCs w:val="24"/>
                <w:lang w:val="en-GB"/>
              </w:rPr>
              <w:t>[10</w:t>
            </w:r>
            <w:r w:rsidR="00C85FF7" w:rsidRPr="00E00129">
              <w:rPr>
                <w:rFonts w:ascii="Arial" w:eastAsia="MS Mincho" w:hAnsi="Arial"/>
                <w:sz w:val="24"/>
                <w:szCs w:val="24"/>
                <w:lang w:val="en-GB"/>
              </w:rPr>
              <w:t>]   The</w:t>
            </w:r>
            <w:r w:rsidR="00796B57" w:rsidRPr="00E00129">
              <w:rPr>
                <w:rFonts w:ascii="Arial" w:hAnsi="Arial" w:cs="Arial"/>
                <w:color w:val="000000"/>
                <w:sz w:val="24"/>
                <w:szCs w:val="24"/>
              </w:rPr>
              <w:t xml:space="preserve"> plaintiff</w:t>
            </w:r>
            <w:r w:rsidR="00C1256B">
              <w:rPr>
                <w:rFonts w:ascii="Arial" w:hAnsi="Arial" w:cs="Arial"/>
                <w:color w:val="000000"/>
                <w:sz w:val="24"/>
                <w:szCs w:val="24"/>
              </w:rPr>
              <w:t>, as stated earlier,</w:t>
            </w:r>
            <w:r w:rsidR="00796B57" w:rsidRPr="00E00129">
              <w:rPr>
                <w:rFonts w:ascii="Arial" w:hAnsi="Arial" w:cs="Arial"/>
                <w:color w:val="000000"/>
                <w:sz w:val="24"/>
                <w:szCs w:val="24"/>
              </w:rPr>
              <w:t xml:space="preserve"> is seeking summary judgment as well as an order declaring the immovable property executable. </w:t>
            </w:r>
          </w:p>
          <w:p w14:paraId="775A0DF5" w14:textId="77777777" w:rsidR="00796B57" w:rsidRPr="00E00129" w:rsidRDefault="00796B57" w:rsidP="00796B57">
            <w:pPr>
              <w:pStyle w:val="ListParagraph"/>
              <w:tabs>
                <w:tab w:val="left" w:pos="575"/>
              </w:tabs>
              <w:spacing w:after="0" w:line="360" w:lineRule="auto"/>
              <w:ind w:left="0" w:right="164"/>
              <w:jc w:val="both"/>
              <w:rPr>
                <w:rFonts w:ascii="Arial" w:hAnsi="Arial" w:cs="Arial"/>
                <w:color w:val="000000"/>
                <w:sz w:val="24"/>
                <w:szCs w:val="24"/>
              </w:rPr>
            </w:pPr>
          </w:p>
          <w:p w14:paraId="54D658E7" w14:textId="77777777" w:rsidR="00796B57" w:rsidRPr="00E00129" w:rsidRDefault="00671B63" w:rsidP="00796B57">
            <w:pPr>
              <w:tabs>
                <w:tab w:val="left" w:pos="575"/>
              </w:tabs>
              <w:spacing w:after="0" w:line="360" w:lineRule="auto"/>
              <w:jc w:val="both"/>
              <w:rPr>
                <w:rFonts w:ascii="Arial" w:hAnsi="Arial" w:cs="Arial"/>
                <w:color w:val="000000"/>
                <w:sz w:val="24"/>
                <w:szCs w:val="24"/>
                <w:lang w:val="en-US"/>
              </w:rPr>
            </w:pPr>
            <w:r>
              <w:rPr>
                <w:rFonts w:ascii="Arial" w:hAnsi="Arial" w:cs="Arial"/>
                <w:color w:val="000000"/>
                <w:sz w:val="24"/>
                <w:szCs w:val="24"/>
                <w:lang w:val="en-US"/>
              </w:rPr>
              <w:t>[11</w:t>
            </w:r>
            <w:r w:rsidR="00796B57" w:rsidRPr="00E00129">
              <w:rPr>
                <w:rFonts w:ascii="Arial" w:hAnsi="Arial" w:cs="Arial"/>
                <w:color w:val="000000"/>
                <w:sz w:val="24"/>
                <w:szCs w:val="24"/>
                <w:lang w:val="en-US"/>
              </w:rPr>
              <w:t>]</w:t>
            </w:r>
            <w:r w:rsidR="00796B57" w:rsidRPr="00E00129">
              <w:rPr>
                <w:rFonts w:ascii="Arial" w:hAnsi="Arial" w:cs="Arial"/>
                <w:color w:val="000000"/>
                <w:sz w:val="24"/>
                <w:szCs w:val="24"/>
                <w:lang w:val="en-US"/>
              </w:rPr>
              <w:tab/>
            </w:r>
            <w:r w:rsidR="00C85FF7" w:rsidRPr="00E00129">
              <w:rPr>
                <w:rFonts w:ascii="Arial" w:hAnsi="Arial" w:cs="Arial"/>
                <w:color w:val="000000"/>
                <w:sz w:val="24"/>
                <w:szCs w:val="24"/>
                <w:lang w:val="en-US"/>
              </w:rPr>
              <w:t xml:space="preserve">   </w:t>
            </w:r>
            <w:r w:rsidR="00796B57" w:rsidRPr="00E00129">
              <w:rPr>
                <w:rFonts w:ascii="Arial" w:hAnsi="Arial" w:cs="Arial"/>
                <w:color w:val="000000"/>
                <w:sz w:val="24"/>
                <w:szCs w:val="24"/>
                <w:lang w:val="en-US"/>
              </w:rPr>
              <w:t xml:space="preserve">Rule 60(5) of the High Court </w:t>
            </w:r>
            <w:r w:rsidR="00C1256B">
              <w:rPr>
                <w:rFonts w:ascii="Arial" w:hAnsi="Arial" w:cs="Arial"/>
                <w:color w:val="000000"/>
                <w:sz w:val="24"/>
                <w:szCs w:val="24"/>
                <w:lang w:val="en-US"/>
              </w:rPr>
              <w:t>rules requires a respondent that</w:t>
            </w:r>
            <w:r w:rsidR="00796B57" w:rsidRPr="00E00129">
              <w:rPr>
                <w:rFonts w:ascii="Arial" w:hAnsi="Arial" w:cs="Arial"/>
                <w:color w:val="000000"/>
                <w:sz w:val="24"/>
                <w:szCs w:val="24"/>
                <w:lang w:val="en-US"/>
              </w:rPr>
              <w:t xml:space="preserve"> opposes an application for summary judgment to satisfy a court by affidavit that it has a </w:t>
            </w:r>
            <w:r w:rsidR="00796B57" w:rsidRPr="00E00129">
              <w:rPr>
                <w:rFonts w:ascii="Arial" w:hAnsi="Arial" w:cs="Arial"/>
                <w:i/>
                <w:color w:val="000000"/>
                <w:sz w:val="24"/>
                <w:szCs w:val="24"/>
                <w:lang w:val="en-US"/>
              </w:rPr>
              <w:t>bona fide</w:t>
            </w:r>
            <w:r w:rsidR="00796B57" w:rsidRPr="00E00129">
              <w:rPr>
                <w:rFonts w:ascii="Arial" w:hAnsi="Arial" w:cs="Arial"/>
                <w:color w:val="000000"/>
                <w:sz w:val="24"/>
                <w:szCs w:val="24"/>
                <w:lang w:val="en-US"/>
              </w:rPr>
              <w:t xml:space="preserve"> </w:t>
            </w:r>
            <w:proofErr w:type="spellStart"/>
            <w:r w:rsidR="00796B57" w:rsidRPr="00E00129">
              <w:rPr>
                <w:rFonts w:ascii="Arial" w:hAnsi="Arial" w:cs="Arial"/>
                <w:color w:val="000000"/>
                <w:sz w:val="24"/>
                <w:szCs w:val="24"/>
                <w:lang w:val="en-US"/>
              </w:rPr>
              <w:t>defence</w:t>
            </w:r>
            <w:proofErr w:type="spellEnd"/>
            <w:r w:rsidR="00796B57" w:rsidRPr="00E00129">
              <w:rPr>
                <w:rFonts w:ascii="Arial" w:hAnsi="Arial" w:cs="Arial"/>
                <w:color w:val="000000"/>
                <w:sz w:val="24"/>
                <w:szCs w:val="24"/>
                <w:lang w:val="en-US"/>
              </w:rPr>
              <w:t xml:space="preserve"> to the action</w:t>
            </w:r>
            <w:r w:rsidR="00C1256B">
              <w:rPr>
                <w:rFonts w:ascii="Arial" w:hAnsi="Arial" w:cs="Arial"/>
                <w:color w:val="000000"/>
                <w:sz w:val="24"/>
                <w:szCs w:val="24"/>
                <w:lang w:val="en-US"/>
              </w:rPr>
              <w:t xml:space="preserve"> and has not filed the opposition to merely delay the granting of the judgment. In order to meet this requirement</w:t>
            </w:r>
            <w:r w:rsidR="00796B57" w:rsidRPr="00E00129">
              <w:rPr>
                <w:rFonts w:ascii="Arial" w:hAnsi="Arial" w:cs="Arial"/>
                <w:color w:val="000000"/>
                <w:sz w:val="24"/>
                <w:szCs w:val="24"/>
                <w:lang w:val="en-US"/>
              </w:rPr>
              <w:t xml:space="preserve">, the affidavit must disclose fully the nature and the grounds of the </w:t>
            </w:r>
            <w:proofErr w:type="spellStart"/>
            <w:r w:rsidR="00796B57" w:rsidRPr="00E00129">
              <w:rPr>
                <w:rFonts w:ascii="Arial" w:hAnsi="Arial" w:cs="Arial"/>
                <w:color w:val="000000"/>
                <w:sz w:val="24"/>
                <w:szCs w:val="24"/>
                <w:lang w:val="en-US"/>
              </w:rPr>
              <w:t>defence</w:t>
            </w:r>
            <w:proofErr w:type="spellEnd"/>
            <w:r w:rsidR="00796B57" w:rsidRPr="00E00129">
              <w:rPr>
                <w:rFonts w:ascii="Arial" w:hAnsi="Arial" w:cs="Arial"/>
                <w:color w:val="000000"/>
                <w:sz w:val="24"/>
                <w:szCs w:val="24"/>
                <w:lang w:val="en-US"/>
              </w:rPr>
              <w:t xml:space="preserve"> and the material facts </w:t>
            </w:r>
            <w:r w:rsidR="00C1256B">
              <w:rPr>
                <w:rFonts w:ascii="Arial" w:hAnsi="Arial" w:cs="Arial"/>
                <w:color w:val="000000"/>
                <w:sz w:val="24"/>
                <w:szCs w:val="24"/>
                <w:lang w:val="en-US"/>
              </w:rPr>
              <w:t>it is predicated</w:t>
            </w:r>
            <w:r w:rsidR="00796B57" w:rsidRPr="00E00129">
              <w:rPr>
                <w:rFonts w:ascii="Arial" w:hAnsi="Arial" w:cs="Arial"/>
                <w:color w:val="000000"/>
                <w:sz w:val="24"/>
                <w:szCs w:val="24"/>
                <w:lang w:val="en-US"/>
              </w:rPr>
              <w:t xml:space="preserve"> on. </w:t>
            </w:r>
          </w:p>
          <w:p w14:paraId="3E1D7B26" w14:textId="77777777" w:rsidR="00796B57" w:rsidRPr="00E00129" w:rsidRDefault="00796B57" w:rsidP="00796B57">
            <w:pPr>
              <w:tabs>
                <w:tab w:val="left" w:pos="575"/>
              </w:tabs>
              <w:spacing w:after="0" w:line="360" w:lineRule="auto"/>
              <w:jc w:val="both"/>
              <w:rPr>
                <w:rFonts w:ascii="Arial" w:hAnsi="Arial" w:cs="Arial"/>
                <w:color w:val="000000"/>
                <w:sz w:val="24"/>
                <w:szCs w:val="24"/>
                <w:lang w:val="en-US"/>
              </w:rPr>
            </w:pPr>
          </w:p>
          <w:p w14:paraId="0C0A237F" w14:textId="5E72DCB2" w:rsidR="00F14E74" w:rsidRDefault="00671B63" w:rsidP="00F14E74">
            <w:pPr>
              <w:tabs>
                <w:tab w:val="left" w:pos="575"/>
              </w:tabs>
              <w:spacing w:after="0" w:line="360" w:lineRule="auto"/>
              <w:jc w:val="both"/>
              <w:rPr>
                <w:rFonts w:ascii="Arial" w:hAnsi="Arial" w:cs="Arial"/>
                <w:color w:val="000000"/>
                <w:sz w:val="24"/>
                <w:szCs w:val="24"/>
                <w:lang w:val="en-US"/>
              </w:rPr>
            </w:pPr>
            <w:r w:rsidRPr="008461E6">
              <w:rPr>
                <w:rFonts w:ascii="Arial" w:hAnsi="Arial" w:cs="Arial"/>
                <w:color w:val="000000"/>
                <w:sz w:val="24"/>
                <w:szCs w:val="24"/>
                <w:lang w:val="en-US"/>
              </w:rPr>
              <w:t>[12</w:t>
            </w:r>
            <w:r w:rsidR="00796B57" w:rsidRPr="008461E6">
              <w:rPr>
                <w:rFonts w:ascii="Arial" w:hAnsi="Arial" w:cs="Arial"/>
                <w:color w:val="000000"/>
                <w:sz w:val="24"/>
                <w:szCs w:val="24"/>
                <w:lang w:val="en-US"/>
              </w:rPr>
              <w:t>]</w:t>
            </w:r>
            <w:r w:rsidR="00796B57" w:rsidRPr="008461E6">
              <w:rPr>
                <w:rFonts w:ascii="Arial" w:hAnsi="Arial" w:cs="Arial"/>
                <w:color w:val="000000"/>
                <w:sz w:val="24"/>
                <w:szCs w:val="24"/>
                <w:lang w:val="en-US"/>
              </w:rPr>
              <w:tab/>
            </w:r>
            <w:r w:rsidR="00C85FF7" w:rsidRPr="008461E6">
              <w:rPr>
                <w:rFonts w:ascii="Arial" w:hAnsi="Arial" w:cs="Arial"/>
                <w:color w:val="000000"/>
                <w:sz w:val="24"/>
                <w:szCs w:val="24"/>
                <w:lang w:val="en-US"/>
              </w:rPr>
              <w:t xml:space="preserve">  </w:t>
            </w:r>
            <w:r w:rsidR="00F14E74">
              <w:rPr>
                <w:rFonts w:ascii="Arial" w:hAnsi="Arial" w:cs="Arial"/>
                <w:color w:val="000000"/>
                <w:sz w:val="24"/>
                <w:szCs w:val="24"/>
                <w:lang w:val="en-US"/>
              </w:rPr>
              <w:t>On the r</w:t>
            </w:r>
            <w:r w:rsidR="00C1256B">
              <w:rPr>
                <w:rFonts w:ascii="Arial" w:hAnsi="Arial" w:cs="Arial"/>
                <w:color w:val="000000"/>
                <w:sz w:val="24"/>
                <w:szCs w:val="24"/>
                <w:lang w:val="en-US"/>
              </w:rPr>
              <w:t xml:space="preserve">equirements of </w:t>
            </w:r>
            <w:r w:rsidR="000B2C49">
              <w:rPr>
                <w:rFonts w:ascii="Arial" w:hAnsi="Arial" w:cs="Arial"/>
                <w:color w:val="000000"/>
                <w:sz w:val="24"/>
                <w:szCs w:val="24"/>
                <w:lang w:val="en-US"/>
              </w:rPr>
              <w:t xml:space="preserve">an application for </w:t>
            </w:r>
            <w:r w:rsidR="00C1256B">
              <w:rPr>
                <w:rFonts w:ascii="Arial" w:hAnsi="Arial" w:cs="Arial"/>
                <w:color w:val="000000"/>
                <w:sz w:val="24"/>
                <w:szCs w:val="24"/>
                <w:lang w:val="en-US"/>
              </w:rPr>
              <w:t>summary judgment</w:t>
            </w:r>
            <w:r w:rsidR="00F14E74">
              <w:rPr>
                <w:rFonts w:ascii="Arial" w:hAnsi="Arial" w:cs="Arial"/>
                <w:color w:val="000000"/>
                <w:sz w:val="24"/>
                <w:szCs w:val="24"/>
                <w:lang w:val="en-US"/>
              </w:rPr>
              <w:t>, t</w:t>
            </w:r>
            <w:r w:rsidR="00F14E74" w:rsidRPr="00F14E74">
              <w:rPr>
                <w:rFonts w:ascii="Arial" w:hAnsi="Arial" w:cs="Arial"/>
                <w:color w:val="000000"/>
                <w:sz w:val="24"/>
                <w:szCs w:val="24"/>
                <w:lang w:val="en-US"/>
              </w:rPr>
              <w:t xml:space="preserve">he case of </w:t>
            </w:r>
            <w:proofErr w:type="spellStart"/>
            <w:r w:rsidR="00F14E74" w:rsidRPr="00BB5C07">
              <w:rPr>
                <w:rFonts w:ascii="Arial" w:hAnsi="Arial" w:cs="Arial"/>
                <w:i/>
                <w:color w:val="000000"/>
                <w:sz w:val="24"/>
                <w:szCs w:val="24"/>
                <w:lang w:val="en-US"/>
              </w:rPr>
              <w:t>Maharaj</w:t>
            </w:r>
            <w:proofErr w:type="spellEnd"/>
            <w:r w:rsidR="00F14E74" w:rsidRPr="00BB5C07">
              <w:rPr>
                <w:rFonts w:ascii="Arial" w:hAnsi="Arial" w:cs="Arial"/>
                <w:i/>
                <w:color w:val="000000"/>
                <w:sz w:val="24"/>
                <w:szCs w:val="24"/>
                <w:lang w:val="en-US"/>
              </w:rPr>
              <w:t xml:space="preserve"> v Barclays National Bank Ltd</w:t>
            </w:r>
            <w:r w:rsidR="000B2C49">
              <w:rPr>
                <w:rFonts w:ascii="Arial" w:hAnsi="Arial" w:cs="Arial"/>
                <w:i/>
                <w:color w:val="000000"/>
                <w:sz w:val="24"/>
                <w:szCs w:val="24"/>
                <w:lang w:val="en-US"/>
              </w:rPr>
              <w:t>,</w:t>
            </w:r>
            <w:r w:rsidR="00F14E74" w:rsidRPr="00F14E74">
              <w:rPr>
                <w:rFonts w:ascii="Arial" w:hAnsi="Arial" w:cs="Arial"/>
                <w:color w:val="000000"/>
                <w:sz w:val="24"/>
                <w:szCs w:val="24"/>
                <w:vertAlign w:val="superscript"/>
                <w:lang w:val="en-US"/>
              </w:rPr>
              <w:footnoteReference w:id="1"/>
            </w:r>
            <w:r w:rsidR="00F14E74" w:rsidRPr="00F14E74">
              <w:rPr>
                <w:rFonts w:ascii="Arial" w:hAnsi="Arial" w:cs="Arial"/>
                <w:color w:val="000000"/>
                <w:sz w:val="24"/>
                <w:szCs w:val="24"/>
                <w:lang w:val="en-US"/>
              </w:rPr>
              <w:t xml:space="preserve"> </w:t>
            </w:r>
            <w:r w:rsidR="000B2C49">
              <w:rPr>
                <w:rFonts w:ascii="Arial" w:hAnsi="Arial" w:cs="Arial"/>
                <w:color w:val="000000"/>
                <w:sz w:val="24"/>
                <w:szCs w:val="24"/>
                <w:lang w:val="en-US"/>
              </w:rPr>
              <w:t xml:space="preserve">outlines </w:t>
            </w:r>
            <w:r w:rsidR="00F14E74" w:rsidRPr="00BB5C07">
              <w:rPr>
                <w:rFonts w:ascii="Arial" w:hAnsi="Arial" w:cs="Arial"/>
                <w:i/>
                <w:color w:val="000000"/>
                <w:sz w:val="24"/>
                <w:szCs w:val="24"/>
                <w:lang w:val="en-US"/>
              </w:rPr>
              <w:t>inter alia</w:t>
            </w:r>
            <w:r w:rsidR="00F14E74" w:rsidRPr="00BB5C07">
              <w:rPr>
                <w:rFonts w:ascii="Arial" w:hAnsi="Arial" w:cs="Arial"/>
                <w:color w:val="000000"/>
                <w:sz w:val="24"/>
                <w:szCs w:val="24"/>
                <w:lang w:val="en-US"/>
              </w:rPr>
              <w:t xml:space="preserve"> that:</w:t>
            </w:r>
          </w:p>
          <w:p w14:paraId="7C006592" w14:textId="77777777" w:rsidR="00F14E74" w:rsidRPr="00F14E74" w:rsidRDefault="00F14E74" w:rsidP="00F14E74">
            <w:pPr>
              <w:tabs>
                <w:tab w:val="left" w:pos="575"/>
              </w:tabs>
              <w:spacing w:after="0" w:line="360" w:lineRule="auto"/>
              <w:jc w:val="both"/>
              <w:rPr>
                <w:rFonts w:ascii="Arial" w:hAnsi="Arial" w:cs="Arial"/>
                <w:color w:val="000000"/>
                <w:sz w:val="24"/>
                <w:szCs w:val="24"/>
                <w:lang w:val="en-US"/>
              </w:rPr>
            </w:pPr>
          </w:p>
          <w:p w14:paraId="36459936" w14:textId="553DB5BB" w:rsidR="00F14E74" w:rsidRDefault="000B2C49" w:rsidP="00F14E74">
            <w:pPr>
              <w:tabs>
                <w:tab w:val="left" w:pos="575"/>
              </w:tabs>
              <w:spacing w:after="0" w:line="360" w:lineRule="auto"/>
              <w:jc w:val="both"/>
              <w:rPr>
                <w:rFonts w:ascii="Arial" w:hAnsi="Arial" w:cs="Arial"/>
                <w:color w:val="000000"/>
                <w:lang w:val="en-US"/>
              </w:rPr>
            </w:pPr>
            <w:r>
              <w:rPr>
                <w:rFonts w:ascii="Arial" w:hAnsi="Arial" w:cs="Arial"/>
                <w:color w:val="000000"/>
                <w:lang w:val="en-US"/>
              </w:rPr>
              <w:t xml:space="preserve">       ‘</w:t>
            </w:r>
            <w:r w:rsidR="00F14E74" w:rsidRPr="00F14E74">
              <w:rPr>
                <w:rFonts w:ascii="Arial" w:hAnsi="Arial" w:cs="Arial"/>
                <w:color w:val="000000"/>
                <w:lang w:val="en-US"/>
              </w:rPr>
              <w:t xml:space="preserve">The remedy of summary judgment is not intended to shut out defendants who are able to demonstrate a bona fide intention to defend the action.   It does require them, however to show what their intended </w:t>
            </w:r>
            <w:proofErr w:type="spellStart"/>
            <w:r w:rsidR="00F14E74" w:rsidRPr="00F14E74">
              <w:rPr>
                <w:rFonts w:ascii="Arial" w:hAnsi="Arial" w:cs="Arial"/>
                <w:color w:val="000000"/>
                <w:lang w:val="en-US"/>
              </w:rPr>
              <w:t>defences</w:t>
            </w:r>
            <w:proofErr w:type="spellEnd"/>
            <w:r w:rsidR="00F14E74" w:rsidRPr="00F14E74">
              <w:rPr>
                <w:rFonts w:ascii="Arial" w:hAnsi="Arial" w:cs="Arial"/>
                <w:color w:val="000000"/>
                <w:lang w:val="en-US"/>
              </w:rPr>
              <w:t xml:space="preserve"> are.   It must appear from what they say in this respect that the </w:t>
            </w:r>
            <w:proofErr w:type="spellStart"/>
            <w:r w:rsidR="00F14E74" w:rsidRPr="00F14E74">
              <w:rPr>
                <w:rFonts w:ascii="Arial" w:hAnsi="Arial" w:cs="Arial"/>
                <w:color w:val="000000"/>
                <w:lang w:val="en-US"/>
              </w:rPr>
              <w:t>defences</w:t>
            </w:r>
            <w:proofErr w:type="spellEnd"/>
            <w:r w:rsidR="00F14E74" w:rsidRPr="00F14E74">
              <w:rPr>
                <w:rFonts w:ascii="Arial" w:hAnsi="Arial" w:cs="Arial"/>
                <w:color w:val="000000"/>
                <w:lang w:val="en-US"/>
              </w:rPr>
              <w:t xml:space="preserve"> are legally sustainable and that they are maintained in good faith.   They are expected to do this by setting out in their opposing affidavits the nature and grounds of the </w:t>
            </w:r>
            <w:proofErr w:type="spellStart"/>
            <w:r w:rsidR="00F14E74" w:rsidRPr="00F14E74">
              <w:rPr>
                <w:rFonts w:ascii="Arial" w:hAnsi="Arial" w:cs="Arial"/>
                <w:color w:val="000000"/>
                <w:lang w:val="en-US"/>
              </w:rPr>
              <w:t>defence</w:t>
            </w:r>
            <w:proofErr w:type="spellEnd"/>
            <w:r w:rsidR="00F14E74" w:rsidRPr="00F14E74">
              <w:rPr>
                <w:rFonts w:ascii="Arial" w:hAnsi="Arial" w:cs="Arial"/>
                <w:color w:val="000000"/>
                <w:lang w:val="en-US"/>
              </w:rPr>
              <w:t xml:space="preserve"> and the material facts upon which it is founded.    If the averments made by a defendant in the opposing affidavit are vague, or markedly lacking in the particularity that might be expected in the circumstances of the case, then the court is likely to hold </w:t>
            </w:r>
            <w:r w:rsidR="00F14E74" w:rsidRPr="00745E2E">
              <w:rPr>
                <w:rFonts w:ascii="Arial" w:hAnsi="Arial" w:cs="Arial"/>
                <w:color w:val="000000"/>
                <w:lang w:val="en-US"/>
              </w:rPr>
              <w:t>a bona fide</w:t>
            </w:r>
            <w:r w:rsidR="00F14E74" w:rsidRPr="00F14E74">
              <w:rPr>
                <w:rFonts w:ascii="Arial" w:hAnsi="Arial" w:cs="Arial"/>
                <w:color w:val="000000"/>
                <w:lang w:val="en-US"/>
              </w:rPr>
              <w:t xml:space="preserve"> </w:t>
            </w:r>
            <w:proofErr w:type="spellStart"/>
            <w:r w:rsidR="00F14E74" w:rsidRPr="00F14E74">
              <w:rPr>
                <w:rFonts w:ascii="Arial" w:hAnsi="Arial" w:cs="Arial"/>
                <w:color w:val="000000"/>
                <w:lang w:val="en-US"/>
              </w:rPr>
              <w:t>defence</w:t>
            </w:r>
            <w:proofErr w:type="spellEnd"/>
            <w:r w:rsidR="00F14E74" w:rsidRPr="00F14E74">
              <w:rPr>
                <w:rFonts w:ascii="Arial" w:hAnsi="Arial" w:cs="Arial"/>
                <w:color w:val="000000"/>
                <w:lang w:val="en-US"/>
              </w:rPr>
              <w:t xml:space="preserve"> has not been disclosed, an</w:t>
            </w:r>
            <w:r>
              <w:rPr>
                <w:rFonts w:ascii="Arial" w:hAnsi="Arial" w:cs="Arial"/>
                <w:color w:val="000000"/>
                <w:lang w:val="en-US"/>
              </w:rPr>
              <w:t>d summary judgment will follow.’</w:t>
            </w:r>
          </w:p>
          <w:p w14:paraId="27137A2B" w14:textId="77777777" w:rsidR="00745E2E" w:rsidRDefault="00745E2E" w:rsidP="00F14E74">
            <w:pPr>
              <w:tabs>
                <w:tab w:val="left" w:pos="575"/>
              </w:tabs>
              <w:spacing w:after="0" w:line="360" w:lineRule="auto"/>
              <w:jc w:val="both"/>
              <w:rPr>
                <w:rFonts w:ascii="Arial" w:hAnsi="Arial" w:cs="Arial"/>
                <w:color w:val="000000"/>
                <w:lang w:val="en-US"/>
              </w:rPr>
            </w:pPr>
          </w:p>
          <w:p w14:paraId="31429D63" w14:textId="77777777" w:rsidR="00745E2E" w:rsidRPr="00F14E74" w:rsidRDefault="00745E2E" w:rsidP="00F14E74">
            <w:pPr>
              <w:tabs>
                <w:tab w:val="left" w:pos="575"/>
              </w:tabs>
              <w:spacing w:after="0" w:line="360" w:lineRule="auto"/>
              <w:jc w:val="both"/>
              <w:rPr>
                <w:rFonts w:ascii="Arial" w:hAnsi="Arial" w:cs="Arial"/>
                <w:color w:val="000000"/>
                <w:lang w:val="en-US"/>
              </w:rPr>
            </w:pPr>
          </w:p>
          <w:p w14:paraId="639CA9AB" w14:textId="77777777" w:rsidR="001631C9" w:rsidRPr="00E00129" w:rsidRDefault="001631C9" w:rsidP="00796B57">
            <w:pPr>
              <w:tabs>
                <w:tab w:val="left" w:pos="575"/>
              </w:tabs>
              <w:spacing w:after="0" w:line="360" w:lineRule="auto"/>
              <w:jc w:val="both"/>
              <w:rPr>
                <w:rFonts w:ascii="Arial" w:hAnsi="Arial" w:cs="Arial"/>
                <w:color w:val="000000"/>
                <w:sz w:val="24"/>
                <w:szCs w:val="24"/>
                <w:lang w:val="en-US"/>
              </w:rPr>
            </w:pPr>
          </w:p>
          <w:p w14:paraId="24742EB4" w14:textId="0F6C60F1" w:rsidR="008E6C84" w:rsidRDefault="001631C9" w:rsidP="00796B57">
            <w:pPr>
              <w:tabs>
                <w:tab w:val="left" w:pos="575"/>
              </w:tabs>
              <w:spacing w:after="0" w:line="360" w:lineRule="auto"/>
              <w:jc w:val="both"/>
              <w:rPr>
                <w:rFonts w:ascii="Arial" w:hAnsi="Arial" w:cs="Arial"/>
                <w:color w:val="000000"/>
                <w:sz w:val="24"/>
                <w:szCs w:val="24"/>
                <w:lang w:val="en-US"/>
              </w:rPr>
            </w:pPr>
            <w:r>
              <w:rPr>
                <w:rFonts w:ascii="Arial" w:hAnsi="Arial" w:cs="Arial"/>
                <w:color w:val="000000"/>
                <w:sz w:val="24"/>
                <w:szCs w:val="24"/>
                <w:lang w:val="en-US"/>
              </w:rPr>
              <w:t>[13</w:t>
            </w:r>
            <w:r w:rsidR="00796B57" w:rsidRPr="00E00129">
              <w:rPr>
                <w:rFonts w:ascii="Arial" w:hAnsi="Arial" w:cs="Arial"/>
                <w:color w:val="000000"/>
                <w:sz w:val="24"/>
                <w:szCs w:val="24"/>
                <w:lang w:val="en-US"/>
              </w:rPr>
              <w:t>]</w:t>
            </w:r>
            <w:r w:rsidR="00796B57" w:rsidRPr="00E00129">
              <w:rPr>
                <w:rFonts w:ascii="Arial" w:hAnsi="Arial" w:cs="Arial"/>
                <w:color w:val="000000"/>
                <w:sz w:val="24"/>
                <w:szCs w:val="24"/>
                <w:lang w:val="en-US"/>
              </w:rPr>
              <w:tab/>
            </w:r>
            <w:r w:rsidR="00E00129">
              <w:rPr>
                <w:rFonts w:ascii="Arial" w:hAnsi="Arial" w:cs="Arial"/>
                <w:color w:val="000000"/>
                <w:sz w:val="24"/>
                <w:szCs w:val="24"/>
                <w:lang w:val="en-US"/>
              </w:rPr>
              <w:t xml:space="preserve"> </w:t>
            </w:r>
            <w:r w:rsidR="00745E2E">
              <w:rPr>
                <w:rFonts w:ascii="Arial" w:hAnsi="Arial" w:cs="Arial"/>
                <w:color w:val="000000"/>
                <w:sz w:val="24"/>
                <w:szCs w:val="24"/>
                <w:lang w:val="en-US"/>
              </w:rPr>
              <w:t xml:space="preserve">In </w:t>
            </w:r>
            <w:proofErr w:type="spellStart"/>
            <w:r w:rsidR="00745E2E" w:rsidRPr="00745E2E">
              <w:rPr>
                <w:rFonts w:ascii="Arial" w:hAnsi="Arial" w:cs="Arial"/>
                <w:i/>
                <w:color w:val="000000"/>
                <w:sz w:val="24"/>
                <w:szCs w:val="24"/>
                <w:lang w:val="en-US"/>
              </w:rPr>
              <w:t>casu</w:t>
            </w:r>
            <w:proofErr w:type="spellEnd"/>
            <w:r w:rsidR="00796B57" w:rsidRPr="00E00129">
              <w:rPr>
                <w:rFonts w:ascii="Arial" w:hAnsi="Arial" w:cs="Arial"/>
                <w:color w:val="000000"/>
                <w:sz w:val="24"/>
                <w:szCs w:val="24"/>
                <w:lang w:val="en-US"/>
              </w:rPr>
              <w:t>, the defendant</w:t>
            </w:r>
            <w:r w:rsidR="00C1256B">
              <w:rPr>
                <w:rFonts w:ascii="Arial" w:hAnsi="Arial" w:cs="Arial"/>
                <w:color w:val="000000"/>
                <w:sz w:val="24"/>
                <w:szCs w:val="24"/>
                <w:lang w:val="en-US"/>
              </w:rPr>
              <w:t>,</w:t>
            </w:r>
            <w:r w:rsidR="00796B57" w:rsidRPr="00E00129">
              <w:rPr>
                <w:rFonts w:ascii="Arial" w:hAnsi="Arial" w:cs="Arial"/>
                <w:color w:val="000000"/>
                <w:sz w:val="24"/>
                <w:szCs w:val="24"/>
                <w:lang w:val="en-US"/>
              </w:rPr>
              <w:t xml:space="preserve"> in </w:t>
            </w:r>
            <w:r w:rsidR="00745E2E" w:rsidRPr="00E00129">
              <w:rPr>
                <w:rFonts w:ascii="Arial" w:hAnsi="Arial" w:cs="Arial"/>
                <w:color w:val="000000"/>
                <w:sz w:val="24"/>
                <w:szCs w:val="24"/>
                <w:lang w:val="en-US"/>
              </w:rPr>
              <w:t xml:space="preserve">his </w:t>
            </w:r>
            <w:r w:rsidR="00745E2E">
              <w:rPr>
                <w:rFonts w:ascii="Arial" w:hAnsi="Arial" w:cs="Arial"/>
                <w:color w:val="000000"/>
                <w:sz w:val="24"/>
                <w:szCs w:val="24"/>
                <w:lang w:val="en-US"/>
              </w:rPr>
              <w:t>opposing a</w:t>
            </w:r>
            <w:r w:rsidR="00796B57" w:rsidRPr="00E00129">
              <w:rPr>
                <w:rFonts w:ascii="Arial" w:hAnsi="Arial" w:cs="Arial"/>
                <w:color w:val="000000"/>
                <w:sz w:val="24"/>
                <w:szCs w:val="24"/>
                <w:lang w:val="en-US"/>
              </w:rPr>
              <w:t>ffidavit, does not dispute hi</w:t>
            </w:r>
            <w:r w:rsidR="00C1256B">
              <w:rPr>
                <w:rFonts w:ascii="Arial" w:hAnsi="Arial" w:cs="Arial"/>
                <w:color w:val="000000"/>
                <w:sz w:val="24"/>
                <w:szCs w:val="24"/>
                <w:lang w:val="en-US"/>
              </w:rPr>
              <w:t>s indebtedness to the plaintiff. He,</w:t>
            </w:r>
            <w:r w:rsidR="00796B57" w:rsidRPr="00E00129">
              <w:rPr>
                <w:rFonts w:ascii="Arial" w:hAnsi="Arial" w:cs="Arial"/>
                <w:color w:val="000000"/>
                <w:sz w:val="24"/>
                <w:szCs w:val="24"/>
                <w:lang w:val="en-US"/>
              </w:rPr>
              <w:t xml:space="preserve"> </w:t>
            </w:r>
            <w:r w:rsidR="00C1256B">
              <w:rPr>
                <w:rFonts w:ascii="Arial" w:hAnsi="Arial" w:cs="Arial"/>
                <w:color w:val="000000"/>
                <w:sz w:val="24"/>
                <w:szCs w:val="24"/>
                <w:lang w:val="en-US"/>
              </w:rPr>
              <w:t>instead,</w:t>
            </w:r>
            <w:r w:rsidR="00745E2E" w:rsidRPr="00E00129">
              <w:rPr>
                <w:rFonts w:ascii="Arial" w:hAnsi="Arial" w:cs="Arial"/>
                <w:color w:val="000000"/>
                <w:sz w:val="24"/>
                <w:szCs w:val="24"/>
                <w:lang w:val="en-US"/>
              </w:rPr>
              <w:t xml:space="preserve"> </w:t>
            </w:r>
            <w:r w:rsidR="00745E2E">
              <w:rPr>
                <w:rFonts w:ascii="Arial" w:hAnsi="Arial" w:cs="Arial"/>
                <w:color w:val="000000"/>
                <w:sz w:val="24"/>
                <w:szCs w:val="24"/>
                <w:lang w:val="en-US"/>
              </w:rPr>
              <w:t xml:space="preserve">avers that his inability </w:t>
            </w:r>
            <w:r w:rsidR="00745E2E" w:rsidRPr="00E00129">
              <w:rPr>
                <w:rFonts w:ascii="Arial" w:hAnsi="Arial" w:cs="Arial"/>
                <w:color w:val="000000"/>
                <w:sz w:val="24"/>
                <w:szCs w:val="24"/>
                <w:lang w:val="en-US"/>
              </w:rPr>
              <w:t>to</w:t>
            </w:r>
            <w:r w:rsidR="00796B57" w:rsidRPr="00E00129">
              <w:rPr>
                <w:rFonts w:ascii="Arial" w:hAnsi="Arial" w:cs="Arial"/>
                <w:color w:val="000000"/>
                <w:sz w:val="24"/>
                <w:szCs w:val="24"/>
                <w:lang w:val="en-US"/>
              </w:rPr>
              <w:t xml:space="preserve"> pay his debt </w:t>
            </w:r>
            <w:r w:rsidR="00745E2E">
              <w:rPr>
                <w:rFonts w:ascii="Arial" w:hAnsi="Arial" w:cs="Arial"/>
                <w:color w:val="000000"/>
                <w:sz w:val="24"/>
                <w:szCs w:val="24"/>
                <w:lang w:val="en-US"/>
              </w:rPr>
              <w:t xml:space="preserve">is </w:t>
            </w:r>
            <w:r w:rsidR="00796B57" w:rsidRPr="00E00129">
              <w:rPr>
                <w:rFonts w:ascii="Arial" w:hAnsi="Arial" w:cs="Arial"/>
                <w:color w:val="000000"/>
                <w:sz w:val="24"/>
                <w:szCs w:val="24"/>
                <w:lang w:val="en-US"/>
              </w:rPr>
              <w:t>due to a lack of fu</w:t>
            </w:r>
            <w:r w:rsidR="00745E2E">
              <w:rPr>
                <w:rFonts w:ascii="Arial" w:hAnsi="Arial" w:cs="Arial"/>
                <w:color w:val="000000"/>
                <w:sz w:val="24"/>
                <w:szCs w:val="24"/>
                <w:lang w:val="en-US"/>
              </w:rPr>
              <w:t>nds</w:t>
            </w:r>
            <w:r w:rsidR="00473545">
              <w:rPr>
                <w:rFonts w:ascii="Arial" w:hAnsi="Arial" w:cs="Arial"/>
                <w:color w:val="000000"/>
                <w:sz w:val="24"/>
                <w:szCs w:val="24"/>
                <w:lang w:val="en-US"/>
              </w:rPr>
              <w:t xml:space="preserve"> and that the plaintiff</w:t>
            </w:r>
            <w:r w:rsidR="00745E2E">
              <w:rPr>
                <w:rFonts w:ascii="Arial" w:hAnsi="Arial" w:cs="Arial"/>
                <w:color w:val="000000"/>
                <w:sz w:val="24"/>
                <w:szCs w:val="24"/>
                <w:lang w:val="en-US"/>
              </w:rPr>
              <w:t xml:space="preserve"> should provide him with updated statements of his loan account so that payment arrangements may be made. Although a payment proposal is made in the letter attached to defendant’s opposing affidavit, the contents of such letter are not pleaded in his papers under oath. </w:t>
            </w:r>
          </w:p>
          <w:p w14:paraId="4BCFAE07" w14:textId="77777777" w:rsidR="009A2953" w:rsidRDefault="009A2953" w:rsidP="00796B57">
            <w:pPr>
              <w:tabs>
                <w:tab w:val="left" w:pos="575"/>
              </w:tabs>
              <w:spacing w:after="0" w:line="360" w:lineRule="auto"/>
              <w:jc w:val="both"/>
              <w:rPr>
                <w:rFonts w:ascii="Arial" w:hAnsi="Arial" w:cs="Arial"/>
                <w:color w:val="000000"/>
                <w:sz w:val="24"/>
                <w:szCs w:val="24"/>
                <w:lang w:val="en-US"/>
              </w:rPr>
            </w:pPr>
          </w:p>
          <w:p w14:paraId="18307EAB" w14:textId="3B71A126" w:rsidR="00796B57" w:rsidRPr="00E00129" w:rsidRDefault="008E6C84" w:rsidP="00796B57">
            <w:pPr>
              <w:tabs>
                <w:tab w:val="left" w:pos="575"/>
              </w:tabs>
              <w:spacing w:after="0" w:line="360" w:lineRule="auto"/>
              <w:jc w:val="both"/>
              <w:rPr>
                <w:rFonts w:ascii="Arial" w:hAnsi="Arial" w:cs="Arial"/>
                <w:color w:val="000000"/>
                <w:sz w:val="24"/>
                <w:szCs w:val="24"/>
                <w:lang w:val="en-US"/>
              </w:rPr>
            </w:pPr>
            <w:r>
              <w:rPr>
                <w:rFonts w:ascii="Arial" w:hAnsi="Arial" w:cs="Arial"/>
                <w:color w:val="000000"/>
                <w:sz w:val="24"/>
                <w:szCs w:val="24"/>
                <w:lang w:val="en-US"/>
              </w:rPr>
              <w:t xml:space="preserve">[14] </w:t>
            </w:r>
            <w:r w:rsidR="000B2C49">
              <w:rPr>
                <w:rFonts w:ascii="Arial" w:hAnsi="Arial" w:cs="Arial"/>
                <w:color w:val="000000"/>
                <w:sz w:val="24"/>
                <w:szCs w:val="24"/>
                <w:lang w:val="en-US"/>
              </w:rPr>
              <w:t xml:space="preserve">   </w:t>
            </w:r>
            <w:r w:rsidR="00745E2E">
              <w:rPr>
                <w:rFonts w:ascii="Arial" w:hAnsi="Arial" w:cs="Arial"/>
                <w:color w:val="000000"/>
                <w:sz w:val="24"/>
                <w:szCs w:val="24"/>
                <w:lang w:val="en-US"/>
              </w:rPr>
              <w:t xml:space="preserve">The aforesaid averments made by </w:t>
            </w:r>
            <w:r w:rsidR="00745E2E" w:rsidRPr="00745E2E">
              <w:rPr>
                <w:rFonts w:ascii="Arial" w:hAnsi="Arial" w:cs="Arial"/>
                <w:color w:val="000000"/>
                <w:sz w:val="24"/>
                <w:szCs w:val="24"/>
                <w:lang w:val="en-US"/>
              </w:rPr>
              <w:t xml:space="preserve">defendant </w:t>
            </w:r>
            <w:r w:rsidR="00745E2E">
              <w:rPr>
                <w:rFonts w:ascii="Arial" w:hAnsi="Arial" w:cs="Arial"/>
                <w:color w:val="000000"/>
                <w:sz w:val="24"/>
                <w:szCs w:val="24"/>
                <w:lang w:val="en-US"/>
              </w:rPr>
              <w:t>are vague and lacking in</w:t>
            </w:r>
            <w:r w:rsidR="00745E2E" w:rsidRPr="00745E2E">
              <w:rPr>
                <w:rFonts w:ascii="Arial" w:hAnsi="Arial" w:cs="Arial"/>
                <w:color w:val="000000"/>
                <w:sz w:val="24"/>
                <w:szCs w:val="24"/>
                <w:lang w:val="en-US"/>
              </w:rPr>
              <w:t xml:space="preserve"> particularity</w:t>
            </w:r>
            <w:r w:rsidR="00745E2E">
              <w:rPr>
                <w:rFonts w:ascii="Arial" w:hAnsi="Arial" w:cs="Arial"/>
                <w:color w:val="000000"/>
                <w:sz w:val="24"/>
                <w:szCs w:val="24"/>
                <w:lang w:val="en-US"/>
              </w:rPr>
              <w:t>.</w:t>
            </w:r>
            <w:r w:rsidR="00473545">
              <w:rPr>
                <w:rFonts w:ascii="Arial" w:hAnsi="Arial" w:cs="Arial"/>
                <w:color w:val="000000"/>
                <w:sz w:val="24"/>
                <w:szCs w:val="24"/>
                <w:lang w:val="en-US"/>
              </w:rPr>
              <w:t xml:space="preserve"> </w:t>
            </w:r>
            <w:r w:rsidR="00745E2E" w:rsidRPr="00745E2E">
              <w:rPr>
                <w:rFonts w:ascii="Arial" w:hAnsi="Arial" w:cs="Arial"/>
                <w:color w:val="000000"/>
                <w:sz w:val="24"/>
                <w:szCs w:val="24"/>
                <w:lang w:val="en-US"/>
              </w:rPr>
              <w:t xml:space="preserve"> </w:t>
            </w:r>
            <w:r w:rsidR="00796B57" w:rsidRPr="00E00129">
              <w:rPr>
                <w:rFonts w:ascii="Arial" w:hAnsi="Arial" w:cs="Arial"/>
                <w:color w:val="000000"/>
                <w:sz w:val="24"/>
                <w:szCs w:val="24"/>
                <w:lang w:val="en-US"/>
              </w:rPr>
              <w:t xml:space="preserve">I can thus, conclude that the defendant has failed the first hurdle of the test in that he has not sufficiently disclosed in the opposing affidavit, the nature and the grounds of his </w:t>
            </w:r>
            <w:proofErr w:type="spellStart"/>
            <w:r w:rsidR="00796B57" w:rsidRPr="00E00129">
              <w:rPr>
                <w:rFonts w:ascii="Arial" w:hAnsi="Arial" w:cs="Arial"/>
                <w:color w:val="000000"/>
                <w:sz w:val="24"/>
                <w:szCs w:val="24"/>
                <w:lang w:val="en-US"/>
              </w:rPr>
              <w:t>defence</w:t>
            </w:r>
            <w:proofErr w:type="spellEnd"/>
            <w:r w:rsidR="00796B57" w:rsidRPr="00E00129">
              <w:rPr>
                <w:rFonts w:ascii="Arial" w:hAnsi="Arial" w:cs="Arial"/>
                <w:color w:val="000000"/>
                <w:sz w:val="24"/>
                <w:szCs w:val="24"/>
                <w:lang w:val="en-US"/>
              </w:rPr>
              <w:t xml:space="preserve"> and the facts upon which it is founded. </w:t>
            </w:r>
            <w:r>
              <w:rPr>
                <w:rFonts w:ascii="Arial" w:hAnsi="Arial" w:cs="Arial"/>
                <w:color w:val="000000"/>
                <w:sz w:val="24"/>
                <w:szCs w:val="24"/>
                <w:lang w:val="en-US"/>
              </w:rPr>
              <w:t>In the premises, there is no basis for this court to refuse the application for summary judgment. It is accordingly granted as prayed.</w:t>
            </w:r>
          </w:p>
          <w:p w14:paraId="17782058" w14:textId="77777777" w:rsidR="00796B57" w:rsidRPr="00E00129" w:rsidRDefault="00796B57" w:rsidP="00796B57">
            <w:pPr>
              <w:tabs>
                <w:tab w:val="left" w:pos="575"/>
              </w:tabs>
              <w:spacing w:after="0" w:line="360" w:lineRule="auto"/>
              <w:jc w:val="both"/>
              <w:rPr>
                <w:rFonts w:ascii="Arial" w:hAnsi="Arial" w:cs="Arial"/>
                <w:color w:val="000000"/>
                <w:sz w:val="24"/>
                <w:szCs w:val="24"/>
              </w:rPr>
            </w:pPr>
          </w:p>
          <w:p w14:paraId="767D889D" w14:textId="77777777" w:rsidR="00796B57" w:rsidRPr="00E00129" w:rsidRDefault="00796B57" w:rsidP="00796B57">
            <w:pPr>
              <w:pStyle w:val="Heading2"/>
              <w:tabs>
                <w:tab w:val="left" w:pos="575"/>
              </w:tabs>
              <w:rPr>
                <w:color w:val="000000"/>
              </w:rPr>
            </w:pPr>
            <w:r w:rsidRPr="00E00129">
              <w:rPr>
                <w:color w:val="000000"/>
              </w:rPr>
              <w:t>Application for an order declaring the immovable property executable</w:t>
            </w:r>
          </w:p>
          <w:p w14:paraId="48EED52A" w14:textId="77777777" w:rsidR="00796B57" w:rsidRPr="00E00129" w:rsidRDefault="00796B57" w:rsidP="00796B57">
            <w:pPr>
              <w:tabs>
                <w:tab w:val="left" w:pos="575"/>
              </w:tabs>
              <w:spacing w:after="0" w:line="360" w:lineRule="auto"/>
              <w:jc w:val="both"/>
              <w:rPr>
                <w:rFonts w:ascii="Arial" w:hAnsi="Arial" w:cs="Arial"/>
                <w:color w:val="000000"/>
                <w:sz w:val="24"/>
                <w:szCs w:val="24"/>
              </w:rPr>
            </w:pPr>
          </w:p>
          <w:p w14:paraId="0D7475EA" w14:textId="5ED807C9" w:rsidR="00796B57" w:rsidRPr="00E00129" w:rsidRDefault="000B2C49" w:rsidP="00C85FF7">
            <w:pPr>
              <w:pStyle w:val="ListParagraph"/>
              <w:spacing w:after="200" w:line="360" w:lineRule="auto"/>
              <w:ind w:left="0"/>
              <w:jc w:val="both"/>
              <w:rPr>
                <w:rFonts w:ascii="Arial" w:eastAsia="Cambria" w:hAnsi="Arial" w:cs="Arial"/>
                <w:sz w:val="24"/>
                <w:szCs w:val="24"/>
              </w:rPr>
            </w:pPr>
            <w:r>
              <w:rPr>
                <w:rFonts w:ascii="Arial" w:eastAsia="MS Mincho" w:hAnsi="Arial"/>
                <w:sz w:val="24"/>
                <w:szCs w:val="24"/>
                <w:lang w:val="en-GB"/>
              </w:rPr>
              <w:t>[15</w:t>
            </w:r>
            <w:r w:rsidR="00C85FF7" w:rsidRPr="00E00129">
              <w:rPr>
                <w:rFonts w:ascii="Arial" w:eastAsia="MS Mincho" w:hAnsi="Arial"/>
                <w:sz w:val="24"/>
                <w:szCs w:val="24"/>
                <w:lang w:val="en-GB"/>
              </w:rPr>
              <w:t xml:space="preserve">]    </w:t>
            </w:r>
            <w:r w:rsidR="00796B57" w:rsidRPr="00E00129">
              <w:rPr>
                <w:rFonts w:ascii="Arial" w:hAnsi="Arial" w:cs="Arial"/>
                <w:color w:val="000000"/>
                <w:sz w:val="24"/>
                <w:szCs w:val="24"/>
              </w:rPr>
              <w:t>The</w:t>
            </w:r>
            <w:r w:rsidR="008E6C84">
              <w:rPr>
                <w:rFonts w:ascii="Arial" w:hAnsi="Arial" w:cs="Arial"/>
                <w:color w:val="000000"/>
                <w:sz w:val="24"/>
                <w:szCs w:val="24"/>
              </w:rPr>
              <w:t xml:space="preserve"> second leg of the matter</w:t>
            </w:r>
            <w:r w:rsidR="00796B57" w:rsidRPr="00E00129">
              <w:rPr>
                <w:rFonts w:ascii="Arial" w:hAnsi="Arial" w:cs="Arial"/>
                <w:color w:val="000000"/>
                <w:sz w:val="24"/>
                <w:szCs w:val="24"/>
              </w:rPr>
              <w:t xml:space="preserve"> before court, is that of the rule 108 application. It is common cause that a mortgage bond has been registered over the immovable prop</w:t>
            </w:r>
            <w:r w:rsidR="008E6C84">
              <w:rPr>
                <w:rFonts w:ascii="Arial" w:hAnsi="Arial" w:cs="Arial"/>
                <w:color w:val="000000"/>
                <w:sz w:val="24"/>
                <w:szCs w:val="24"/>
              </w:rPr>
              <w:t>erty in favour of the plaintiff</w:t>
            </w:r>
            <w:r w:rsidR="00796B57" w:rsidRPr="00E00129">
              <w:rPr>
                <w:rFonts w:ascii="Arial" w:hAnsi="Arial" w:cs="Arial"/>
                <w:color w:val="000000"/>
                <w:sz w:val="24"/>
                <w:szCs w:val="24"/>
              </w:rPr>
              <w:t>.</w:t>
            </w:r>
            <w:r w:rsidR="008E6C84">
              <w:rPr>
                <w:rFonts w:ascii="Arial" w:hAnsi="Arial" w:cs="Arial"/>
                <w:color w:val="000000"/>
                <w:sz w:val="24"/>
                <w:szCs w:val="24"/>
              </w:rPr>
              <w:t xml:space="preserve"> </w:t>
            </w:r>
            <w:r w:rsidR="008E6C84">
              <w:rPr>
                <w:rFonts w:ascii="Arial" w:eastAsia="Cambria" w:hAnsi="Arial" w:cs="Arial"/>
                <w:sz w:val="24"/>
                <w:szCs w:val="24"/>
              </w:rPr>
              <w:t>Rule 108 of the rules of this court stipulates that i</w:t>
            </w:r>
            <w:r w:rsidR="00796B57" w:rsidRPr="00E00129">
              <w:rPr>
                <w:rFonts w:ascii="Arial" w:eastAsia="Cambria" w:hAnsi="Arial" w:cs="Arial"/>
                <w:sz w:val="24"/>
                <w:szCs w:val="24"/>
              </w:rPr>
              <w:t xml:space="preserve">f the immovable property sought to be attached is </w:t>
            </w:r>
            <w:r w:rsidR="00796B57" w:rsidRPr="00473545">
              <w:rPr>
                <w:rFonts w:ascii="Arial" w:eastAsia="Cambria" w:hAnsi="Arial" w:cs="Arial"/>
                <w:sz w:val="24"/>
                <w:szCs w:val="24"/>
                <w:u w:val="single"/>
              </w:rPr>
              <w:t>the prima</w:t>
            </w:r>
            <w:r w:rsidR="001631C9" w:rsidRPr="00473545">
              <w:rPr>
                <w:rFonts w:ascii="Arial" w:eastAsia="Cambria" w:hAnsi="Arial" w:cs="Arial"/>
                <w:sz w:val="24"/>
                <w:szCs w:val="24"/>
                <w:u w:val="single"/>
              </w:rPr>
              <w:t>ry home</w:t>
            </w:r>
            <w:r w:rsidR="001631C9">
              <w:rPr>
                <w:rFonts w:ascii="Arial" w:eastAsia="Cambria" w:hAnsi="Arial" w:cs="Arial"/>
                <w:sz w:val="24"/>
                <w:szCs w:val="24"/>
              </w:rPr>
              <w:t xml:space="preserve"> of the execution debtor</w:t>
            </w:r>
            <w:r w:rsidR="00796B57" w:rsidRPr="00E00129">
              <w:rPr>
                <w:rFonts w:ascii="Arial" w:eastAsia="Cambria" w:hAnsi="Arial" w:cs="Arial"/>
                <w:sz w:val="24"/>
                <w:szCs w:val="24"/>
              </w:rPr>
              <w:t xml:space="preserve">, the court may not declare that property to be specially executable before considering </w:t>
            </w:r>
            <w:r w:rsidR="00796B57" w:rsidRPr="00473545">
              <w:rPr>
                <w:rFonts w:ascii="Arial" w:eastAsia="Cambria" w:hAnsi="Arial" w:cs="Arial"/>
                <w:sz w:val="24"/>
                <w:szCs w:val="24"/>
                <w:u w:val="single"/>
              </w:rPr>
              <w:t>less drastic measures</w:t>
            </w:r>
            <w:r w:rsidR="00796B57" w:rsidRPr="00E00129">
              <w:rPr>
                <w:rFonts w:ascii="Arial" w:eastAsia="Cambria" w:hAnsi="Arial" w:cs="Arial"/>
                <w:sz w:val="24"/>
                <w:szCs w:val="24"/>
              </w:rPr>
              <w:t xml:space="preserve"> than sale in execution of th</w:t>
            </w:r>
            <w:r w:rsidR="001631C9">
              <w:rPr>
                <w:rFonts w:ascii="Arial" w:eastAsia="Cambria" w:hAnsi="Arial" w:cs="Arial"/>
                <w:sz w:val="24"/>
                <w:szCs w:val="24"/>
              </w:rPr>
              <w:t>e primary home under attachment.</w:t>
            </w:r>
            <w:r w:rsidR="008E6C84">
              <w:rPr>
                <w:rFonts w:ascii="Arial" w:eastAsia="Cambria" w:hAnsi="Arial" w:cs="Arial"/>
                <w:sz w:val="24"/>
                <w:szCs w:val="24"/>
              </w:rPr>
              <w:t xml:space="preserve"> (Emphasis added).</w:t>
            </w:r>
          </w:p>
          <w:p w14:paraId="47DC5AB0" w14:textId="0CAC6F32" w:rsidR="008E6C84" w:rsidRDefault="000B2C49" w:rsidP="00796B57">
            <w:pPr>
              <w:spacing w:line="360" w:lineRule="auto"/>
              <w:jc w:val="both"/>
              <w:rPr>
                <w:rFonts w:ascii="Arial" w:hAnsi="Arial" w:cs="Arial"/>
                <w:sz w:val="24"/>
                <w:szCs w:val="24"/>
                <w:lang w:val="en-US"/>
              </w:rPr>
            </w:pPr>
            <w:r>
              <w:rPr>
                <w:rFonts w:ascii="Arial" w:hAnsi="Arial"/>
                <w:sz w:val="24"/>
                <w:szCs w:val="24"/>
                <w:lang w:val="en-US"/>
              </w:rPr>
              <w:t>[16</w:t>
            </w:r>
            <w:r w:rsidR="00796B57" w:rsidRPr="00E00129">
              <w:rPr>
                <w:rFonts w:ascii="Arial" w:hAnsi="Arial"/>
                <w:sz w:val="24"/>
                <w:szCs w:val="24"/>
                <w:lang w:val="en-US"/>
              </w:rPr>
              <w:t xml:space="preserve">]   </w:t>
            </w:r>
            <w:r w:rsidR="00796B57" w:rsidRPr="00E00129">
              <w:rPr>
                <w:rFonts w:ascii="Arial" w:hAnsi="Arial" w:cs="Arial"/>
                <w:sz w:val="24"/>
                <w:szCs w:val="24"/>
                <w:lang w:val="en-US"/>
              </w:rPr>
              <w:t xml:space="preserve">At common law, a mortgagee plaintiff has a substantive right to </w:t>
            </w:r>
            <w:proofErr w:type="spellStart"/>
            <w:r w:rsidR="00796B57" w:rsidRPr="00E00129">
              <w:rPr>
                <w:rFonts w:ascii="Arial" w:hAnsi="Arial" w:cs="Arial"/>
                <w:sz w:val="24"/>
                <w:szCs w:val="24"/>
                <w:lang w:val="en-US"/>
              </w:rPr>
              <w:t>realise</w:t>
            </w:r>
            <w:proofErr w:type="spellEnd"/>
            <w:r w:rsidR="00796B57" w:rsidRPr="00E00129">
              <w:rPr>
                <w:rFonts w:ascii="Arial" w:hAnsi="Arial" w:cs="Arial"/>
                <w:sz w:val="24"/>
                <w:szCs w:val="24"/>
                <w:lang w:val="en-US"/>
              </w:rPr>
              <w:t xml:space="preserve"> the immovable property of the judgment debtor in cases where the said judgment creditor duly registered the mortgage bond for the very purpose of securing the debt</w:t>
            </w:r>
            <w:r w:rsidR="008E6C84">
              <w:rPr>
                <w:rFonts w:ascii="Arial" w:hAnsi="Arial" w:cs="Arial"/>
                <w:sz w:val="24"/>
                <w:szCs w:val="24"/>
                <w:lang w:val="en-US"/>
              </w:rPr>
              <w:t>,</w:t>
            </w:r>
            <w:r w:rsidR="00796B57" w:rsidRPr="00E00129">
              <w:rPr>
                <w:rFonts w:ascii="Arial" w:hAnsi="Arial" w:cs="Arial"/>
                <w:sz w:val="24"/>
                <w:szCs w:val="24"/>
                <w:lang w:val="en-US"/>
              </w:rPr>
              <w:t xml:space="preserve"> which is the subject matter of the claim.</w:t>
            </w:r>
            <w:r w:rsidR="00796B57" w:rsidRPr="00E00129">
              <w:rPr>
                <w:rFonts w:ascii="Arial" w:hAnsi="Arial" w:cs="Arial"/>
                <w:sz w:val="24"/>
                <w:szCs w:val="24"/>
                <w:vertAlign w:val="superscript"/>
                <w:lang w:val="en-US"/>
              </w:rPr>
              <w:footnoteReference w:id="2"/>
            </w:r>
            <w:r w:rsidR="008E6C84">
              <w:rPr>
                <w:rFonts w:ascii="Arial" w:hAnsi="Arial" w:cs="Arial"/>
                <w:sz w:val="24"/>
                <w:szCs w:val="24"/>
                <w:lang w:val="en-US"/>
              </w:rPr>
              <w:t xml:space="preserve"> </w:t>
            </w:r>
          </w:p>
          <w:p w14:paraId="6B8FF31E" w14:textId="4E3282D7" w:rsidR="00796B57" w:rsidRPr="00E00129" w:rsidRDefault="008E6C84" w:rsidP="00796B57">
            <w:pPr>
              <w:spacing w:line="360" w:lineRule="auto"/>
              <w:jc w:val="both"/>
              <w:rPr>
                <w:rFonts w:ascii="Arial" w:hAnsi="Arial" w:cs="Arial"/>
                <w:sz w:val="24"/>
                <w:szCs w:val="24"/>
                <w:lang w:val="en-US"/>
              </w:rPr>
            </w:pPr>
            <w:r>
              <w:rPr>
                <w:rFonts w:ascii="Arial" w:hAnsi="Arial" w:cs="Arial"/>
                <w:sz w:val="24"/>
                <w:szCs w:val="24"/>
                <w:lang w:val="en-US"/>
              </w:rPr>
              <w:t xml:space="preserve">[16]  </w:t>
            </w:r>
            <w:r w:rsidR="000B2C49">
              <w:rPr>
                <w:rFonts w:ascii="Arial" w:hAnsi="Arial" w:cs="Arial"/>
                <w:sz w:val="24"/>
                <w:szCs w:val="24"/>
                <w:lang w:val="en-US"/>
              </w:rPr>
              <w:t xml:space="preserve">    </w:t>
            </w:r>
            <w:r>
              <w:rPr>
                <w:rFonts w:ascii="Arial" w:hAnsi="Arial" w:cs="Arial"/>
                <w:sz w:val="24"/>
                <w:szCs w:val="24"/>
                <w:lang w:val="en-US"/>
              </w:rPr>
              <w:t>In the</w:t>
            </w:r>
            <w:r w:rsidR="00796B57" w:rsidRPr="00E00129">
              <w:rPr>
                <w:rFonts w:ascii="Arial" w:hAnsi="Arial" w:cs="Arial"/>
                <w:sz w:val="24"/>
                <w:szCs w:val="24"/>
                <w:lang w:val="en-US"/>
              </w:rPr>
              <w:t xml:space="preserve"> case of </w:t>
            </w:r>
            <w:r w:rsidR="00796B57" w:rsidRPr="00E00129">
              <w:rPr>
                <w:rFonts w:ascii="Arial" w:hAnsi="Arial" w:cs="Arial"/>
                <w:i/>
                <w:sz w:val="24"/>
                <w:szCs w:val="24"/>
                <w:lang w:val="en-US"/>
              </w:rPr>
              <w:t>Namib Building Society v Du Plessis</w:t>
            </w:r>
            <w:r w:rsidR="00796B57" w:rsidRPr="00E00129">
              <w:rPr>
                <w:rFonts w:ascii="Arial" w:hAnsi="Arial" w:cs="Arial"/>
                <w:i/>
                <w:sz w:val="24"/>
                <w:szCs w:val="24"/>
                <w:vertAlign w:val="superscript"/>
                <w:lang w:val="en-US"/>
              </w:rPr>
              <w:footnoteReference w:id="3"/>
            </w:r>
            <w:r>
              <w:rPr>
                <w:rFonts w:ascii="Arial" w:hAnsi="Arial" w:cs="Arial"/>
                <w:sz w:val="24"/>
                <w:szCs w:val="24"/>
                <w:lang w:val="en-US"/>
              </w:rPr>
              <w:t xml:space="preserve"> this c</w:t>
            </w:r>
            <w:r w:rsidR="00C85FF7" w:rsidRPr="00E00129">
              <w:rPr>
                <w:rFonts w:ascii="Arial" w:hAnsi="Arial" w:cs="Arial"/>
                <w:sz w:val="24"/>
                <w:szCs w:val="24"/>
                <w:lang w:val="en-US"/>
              </w:rPr>
              <w:t>ourt said:</w:t>
            </w:r>
          </w:p>
          <w:p w14:paraId="36DE46EE" w14:textId="1CC3E486" w:rsidR="00281366" w:rsidRPr="001631C9" w:rsidRDefault="001631C9" w:rsidP="00796B57">
            <w:pPr>
              <w:spacing w:line="360" w:lineRule="auto"/>
              <w:jc w:val="both"/>
              <w:rPr>
                <w:rFonts w:ascii="Arial" w:hAnsi="Arial" w:cs="Arial"/>
                <w:lang w:val="en-US"/>
              </w:rPr>
            </w:pPr>
            <w:r>
              <w:rPr>
                <w:rFonts w:ascii="Arial" w:hAnsi="Arial" w:cs="Arial"/>
                <w:lang w:val="en-US"/>
              </w:rPr>
              <w:t xml:space="preserve">          </w:t>
            </w:r>
            <w:r w:rsidR="00796B57" w:rsidRPr="001631C9">
              <w:rPr>
                <w:rFonts w:ascii="Arial" w:hAnsi="Arial" w:cs="Arial"/>
                <w:lang w:val="en-US"/>
              </w:rPr>
              <w:t xml:space="preserve">‘A mortgagee plaintiff should in principle be entitled to </w:t>
            </w:r>
            <w:proofErr w:type="spellStart"/>
            <w:r w:rsidR="00796B57" w:rsidRPr="001631C9">
              <w:rPr>
                <w:rFonts w:ascii="Arial" w:hAnsi="Arial" w:cs="Arial"/>
                <w:lang w:val="en-US"/>
              </w:rPr>
              <w:t>realise</w:t>
            </w:r>
            <w:proofErr w:type="spellEnd"/>
            <w:r w:rsidR="00796B57" w:rsidRPr="001631C9">
              <w:rPr>
                <w:rFonts w:ascii="Arial" w:hAnsi="Arial" w:cs="Arial"/>
                <w:lang w:val="en-US"/>
              </w:rPr>
              <w:t xml:space="preserve"> the property over which a mortgage bond was registered for the very purpose of securing the debt on which he sues.  Such a plaintiff has advanced money on the understanding that he can preferentially look to the proceeds </w:t>
            </w:r>
            <w:r w:rsidR="00796B57" w:rsidRPr="001631C9">
              <w:rPr>
                <w:rFonts w:ascii="Arial" w:hAnsi="Arial" w:cs="Arial"/>
                <w:lang w:val="en-US"/>
              </w:rPr>
              <w:lastRenderedPageBreak/>
              <w:t>of the mortgaged property.  Unless some compelling reason exists to require such a plaintiff first to execute against movables, no reason occurs to me why he should not be given the benefit of his bargain.  If some such compelling reason exists, the duty surely lies on the mortgagor defendant to persuade the Court why the property shou</w:t>
            </w:r>
            <w:r w:rsidR="00DD1F58" w:rsidRPr="001631C9">
              <w:rPr>
                <w:rFonts w:ascii="Arial" w:hAnsi="Arial" w:cs="Arial"/>
                <w:lang w:val="en-US"/>
              </w:rPr>
              <w:t>ld not be declared executable.’</w:t>
            </w:r>
          </w:p>
          <w:p w14:paraId="4C6C025C" w14:textId="79646D59" w:rsidR="00796B57" w:rsidRPr="00E00129" w:rsidRDefault="000B2C49" w:rsidP="00796B57">
            <w:pPr>
              <w:spacing w:line="360" w:lineRule="auto"/>
              <w:jc w:val="both"/>
              <w:rPr>
                <w:rFonts w:ascii="Arial" w:hAnsi="Arial" w:cs="Arial"/>
                <w:sz w:val="24"/>
                <w:szCs w:val="24"/>
                <w:lang w:val="en-GB"/>
              </w:rPr>
            </w:pPr>
            <w:r>
              <w:rPr>
                <w:rFonts w:ascii="Arial" w:hAnsi="Arial" w:cs="Arial"/>
                <w:sz w:val="24"/>
                <w:szCs w:val="24"/>
                <w:lang w:val="en-GB"/>
              </w:rPr>
              <w:t>[17</w:t>
            </w:r>
            <w:r w:rsidR="00796B57" w:rsidRPr="00E00129">
              <w:rPr>
                <w:rFonts w:ascii="Arial" w:hAnsi="Arial" w:cs="Arial"/>
                <w:sz w:val="24"/>
                <w:szCs w:val="24"/>
                <w:lang w:val="en-GB"/>
              </w:rPr>
              <w:t>]</w:t>
            </w:r>
            <w:r w:rsidR="00796B57" w:rsidRPr="00E00129">
              <w:rPr>
                <w:rFonts w:ascii="Arial" w:hAnsi="Arial" w:cs="Arial"/>
                <w:sz w:val="24"/>
                <w:szCs w:val="24"/>
                <w:lang w:val="en-GB"/>
              </w:rPr>
              <w:tab/>
            </w:r>
            <w:r w:rsidR="00796B57" w:rsidRPr="00E00129">
              <w:rPr>
                <w:rFonts w:ascii="Arial" w:hAnsi="Arial" w:cs="Arial"/>
                <w:sz w:val="24"/>
                <w:szCs w:val="24"/>
              </w:rPr>
              <w:t xml:space="preserve">The property in question is not only </w:t>
            </w:r>
            <w:r w:rsidR="00796B57" w:rsidRPr="00E00129">
              <w:rPr>
                <w:rFonts w:ascii="Arial" w:hAnsi="Arial" w:cs="Arial"/>
                <w:sz w:val="24"/>
                <w:szCs w:val="24"/>
                <w:lang w:val="en-GB"/>
              </w:rPr>
              <w:t>subject to a mortgage bond</w:t>
            </w:r>
            <w:r w:rsidR="00796B57" w:rsidRPr="00E00129">
              <w:rPr>
                <w:rFonts w:ascii="Arial" w:hAnsi="Arial" w:cs="Arial"/>
                <w:sz w:val="24"/>
                <w:szCs w:val="24"/>
              </w:rPr>
              <w:t xml:space="preserve"> but the </w:t>
            </w:r>
            <w:r w:rsidR="00796B57" w:rsidRPr="00E00129">
              <w:rPr>
                <w:rFonts w:ascii="Arial" w:hAnsi="Arial" w:cs="Arial"/>
                <w:sz w:val="24"/>
                <w:szCs w:val="24"/>
                <w:lang w:val="en-GB"/>
              </w:rPr>
              <w:t xml:space="preserve">respondent does not state that the property in question constitutes his primary home. In </w:t>
            </w:r>
            <w:proofErr w:type="spellStart"/>
            <w:r w:rsidR="00796B57" w:rsidRPr="00E00129">
              <w:rPr>
                <w:rFonts w:ascii="Arial" w:hAnsi="Arial" w:cs="Arial"/>
                <w:i/>
                <w:sz w:val="24"/>
                <w:szCs w:val="24"/>
                <w:lang w:val="en-GB"/>
              </w:rPr>
              <w:t>Futeni</w:t>
            </w:r>
            <w:proofErr w:type="spellEnd"/>
            <w:r w:rsidR="00796B57" w:rsidRPr="00E00129">
              <w:rPr>
                <w:rFonts w:ascii="Arial" w:hAnsi="Arial" w:cs="Arial"/>
                <w:i/>
                <w:sz w:val="24"/>
                <w:szCs w:val="24"/>
                <w:lang w:val="en-GB"/>
              </w:rPr>
              <w:t>,</w:t>
            </w:r>
            <w:r w:rsidR="00796B57" w:rsidRPr="00E00129">
              <w:rPr>
                <w:rFonts w:ascii="Arial" w:hAnsi="Arial" w:cs="Arial"/>
                <w:i/>
                <w:sz w:val="24"/>
                <w:szCs w:val="24"/>
                <w:vertAlign w:val="superscript"/>
                <w:lang w:val="en-GB"/>
              </w:rPr>
              <w:footnoteReference w:id="4"/>
            </w:r>
            <w:r w:rsidR="00796B57" w:rsidRPr="00E00129">
              <w:rPr>
                <w:rFonts w:ascii="Arial" w:hAnsi="Arial" w:cs="Arial"/>
                <w:sz w:val="24"/>
                <w:szCs w:val="24"/>
                <w:lang w:val="en-GB"/>
              </w:rPr>
              <w:t xml:space="preserve"> the court described a primary home as ‘a permanent structure, which constitutes the only viable place that provides shelter and protection from the vicissitudes of the weather and the elements to an individual person, family or even extended family.’</w:t>
            </w:r>
          </w:p>
          <w:p w14:paraId="2226FD12" w14:textId="289C517D" w:rsidR="00796B57" w:rsidRPr="00E00129" w:rsidRDefault="005B60DC" w:rsidP="00281366">
            <w:pPr>
              <w:spacing w:after="0" w:line="360" w:lineRule="auto"/>
              <w:jc w:val="both"/>
              <w:rPr>
                <w:rFonts w:ascii="Arial" w:hAnsi="Arial" w:cs="Arial"/>
                <w:sz w:val="24"/>
                <w:szCs w:val="24"/>
              </w:rPr>
            </w:pPr>
            <w:r>
              <w:rPr>
                <w:rFonts w:ascii="Arial" w:hAnsi="Arial" w:cs="Arial"/>
                <w:sz w:val="24"/>
                <w:szCs w:val="24"/>
                <w:lang w:val="en-GB"/>
              </w:rPr>
              <w:t>[18</w:t>
            </w:r>
            <w:r w:rsidR="00796B57" w:rsidRPr="00E00129">
              <w:rPr>
                <w:rFonts w:ascii="Arial" w:hAnsi="Arial" w:cs="Arial"/>
                <w:sz w:val="24"/>
                <w:szCs w:val="24"/>
                <w:lang w:val="en-GB"/>
              </w:rPr>
              <w:t>]</w:t>
            </w:r>
            <w:r w:rsidR="00796B57" w:rsidRPr="00E00129">
              <w:rPr>
                <w:rFonts w:ascii="Arial" w:hAnsi="Arial" w:cs="Arial"/>
                <w:sz w:val="24"/>
                <w:szCs w:val="24"/>
                <w:lang w:val="en-GB"/>
              </w:rPr>
              <w:tab/>
            </w:r>
            <w:r>
              <w:rPr>
                <w:rFonts w:ascii="Arial" w:hAnsi="Arial" w:cs="Arial"/>
                <w:sz w:val="24"/>
                <w:szCs w:val="24"/>
              </w:rPr>
              <w:t>The object of rule 108, is</w:t>
            </w:r>
            <w:r w:rsidR="00796B57" w:rsidRPr="00E00129">
              <w:rPr>
                <w:rFonts w:ascii="Arial" w:hAnsi="Arial" w:cs="Arial"/>
                <w:sz w:val="24"/>
                <w:szCs w:val="24"/>
              </w:rPr>
              <w:t xml:space="preserve"> based on equitable considerations, </w:t>
            </w:r>
            <w:r w:rsidR="008E6C84">
              <w:rPr>
                <w:rFonts w:ascii="Arial" w:hAnsi="Arial" w:cs="Arial"/>
                <w:sz w:val="24"/>
                <w:szCs w:val="24"/>
              </w:rPr>
              <w:t xml:space="preserve">namely to </w:t>
            </w:r>
            <w:r w:rsidR="00281366">
              <w:rPr>
                <w:rFonts w:ascii="Arial" w:hAnsi="Arial" w:cs="Arial"/>
                <w:sz w:val="24"/>
                <w:szCs w:val="24"/>
              </w:rPr>
              <w:t xml:space="preserve">ameliorate </w:t>
            </w:r>
            <w:r w:rsidR="00281366" w:rsidRPr="00E00129">
              <w:rPr>
                <w:rFonts w:ascii="Arial" w:hAnsi="Arial" w:cs="Arial"/>
                <w:sz w:val="24"/>
                <w:szCs w:val="24"/>
              </w:rPr>
              <w:t>the</w:t>
            </w:r>
            <w:r w:rsidR="00796B57" w:rsidRPr="00E00129">
              <w:rPr>
                <w:rFonts w:ascii="Arial" w:hAnsi="Arial" w:cs="Arial"/>
                <w:sz w:val="24"/>
                <w:szCs w:val="24"/>
              </w:rPr>
              <w:t xml:space="preserve"> sharp point of executing claims against specially hypothecated immovable property</w:t>
            </w:r>
            <w:r>
              <w:rPr>
                <w:rFonts w:ascii="Arial" w:hAnsi="Arial" w:cs="Arial"/>
                <w:sz w:val="24"/>
                <w:szCs w:val="24"/>
              </w:rPr>
              <w:t>,</w:t>
            </w:r>
            <w:r w:rsidR="00796B57" w:rsidRPr="00E00129">
              <w:rPr>
                <w:rFonts w:ascii="Arial" w:hAnsi="Arial" w:cs="Arial"/>
                <w:sz w:val="24"/>
                <w:szCs w:val="24"/>
              </w:rPr>
              <w:t xml:space="preserve"> in </w:t>
            </w:r>
            <w:r w:rsidR="00D442F5">
              <w:rPr>
                <w:rFonts w:ascii="Arial" w:hAnsi="Arial" w:cs="Arial"/>
                <w:sz w:val="24"/>
                <w:szCs w:val="24"/>
              </w:rPr>
              <w:t>order to satisfy a claim.  The Supreme C</w:t>
            </w:r>
            <w:r w:rsidR="00796B57" w:rsidRPr="00E00129">
              <w:rPr>
                <w:rFonts w:ascii="Arial" w:hAnsi="Arial" w:cs="Arial"/>
                <w:sz w:val="24"/>
                <w:szCs w:val="24"/>
              </w:rPr>
              <w:t>ourt</w:t>
            </w:r>
            <w:r w:rsidR="00D442F5">
              <w:rPr>
                <w:rFonts w:ascii="Arial" w:hAnsi="Arial" w:cs="Arial"/>
                <w:sz w:val="24"/>
                <w:szCs w:val="24"/>
              </w:rPr>
              <w:t>,</w:t>
            </w:r>
            <w:r w:rsidR="00796B57" w:rsidRPr="00E00129">
              <w:rPr>
                <w:rFonts w:ascii="Arial" w:hAnsi="Arial" w:cs="Arial"/>
                <w:sz w:val="24"/>
                <w:szCs w:val="24"/>
              </w:rPr>
              <w:t xml:space="preserve"> in </w:t>
            </w:r>
            <w:proofErr w:type="spellStart"/>
            <w:r w:rsidR="00796B57" w:rsidRPr="00E00129">
              <w:rPr>
                <w:rFonts w:ascii="Arial" w:hAnsi="Arial" w:cs="Arial"/>
                <w:i/>
                <w:sz w:val="24"/>
                <w:szCs w:val="24"/>
              </w:rPr>
              <w:t>Kisilip</w:t>
            </w:r>
            <w:r>
              <w:rPr>
                <w:rFonts w:ascii="Arial" w:hAnsi="Arial" w:cs="Arial"/>
                <w:i/>
                <w:sz w:val="24"/>
                <w:szCs w:val="24"/>
              </w:rPr>
              <w:t>ile</w:t>
            </w:r>
            <w:proofErr w:type="spellEnd"/>
            <w:r w:rsidR="00796B57" w:rsidRPr="00E00129">
              <w:rPr>
                <w:rFonts w:ascii="Arial" w:hAnsi="Arial" w:cs="Arial"/>
                <w:i/>
                <w:sz w:val="24"/>
                <w:szCs w:val="24"/>
              </w:rPr>
              <w:t xml:space="preserve"> v First National Bank of Namibia Limited</w:t>
            </w:r>
            <w:r w:rsidR="00796B57" w:rsidRPr="00E00129">
              <w:rPr>
                <w:rStyle w:val="FootnoteReference"/>
                <w:rFonts w:ascii="Arial" w:hAnsi="Arial" w:cs="Arial"/>
                <w:i/>
                <w:sz w:val="24"/>
                <w:szCs w:val="24"/>
              </w:rPr>
              <w:footnoteReference w:id="5"/>
            </w:r>
            <w:r w:rsidR="00796B57" w:rsidRPr="00E00129">
              <w:rPr>
                <w:rFonts w:ascii="Arial" w:hAnsi="Arial" w:cs="Arial"/>
                <w:sz w:val="24"/>
                <w:szCs w:val="24"/>
              </w:rPr>
              <w:t>,</w:t>
            </w:r>
            <w:r w:rsidR="00D442F5">
              <w:rPr>
                <w:rFonts w:ascii="Arial" w:hAnsi="Arial" w:cs="Arial"/>
                <w:sz w:val="24"/>
                <w:szCs w:val="24"/>
              </w:rPr>
              <w:t xml:space="preserve"> with</w:t>
            </w:r>
            <w:r w:rsidR="00796B57" w:rsidRPr="00E00129">
              <w:rPr>
                <w:rFonts w:ascii="Arial" w:hAnsi="Arial" w:cs="Arial"/>
                <w:sz w:val="24"/>
                <w:szCs w:val="24"/>
              </w:rPr>
              <w:t xml:space="preserve"> </w:t>
            </w:r>
            <w:proofErr w:type="spellStart"/>
            <w:r w:rsidR="00796B57" w:rsidRPr="00E00129">
              <w:rPr>
                <w:rFonts w:ascii="Arial" w:hAnsi="Arial" w:cs="Arial"/>
                <w:sz w:val="24"/>
                <w:szCs w:val="24"/>
              </w:rPr>
              <w:t>Damaseb</w:t>
            </w:r>
            <w:proofErr w:type="spellEnd"/>
            <w:r w:rsidR="00796B57" w:rsidRPr="00E00129">
              <w:rPr>
                <w:rFonts w:ascii="Arial" w:hAnsi="Arial" w:cs="Arial"/>
                <w:sz w:val="24"/>
                <w:szCs w:val="24"/>
              </w:rPr>
              <w:t xml:space="preserve"> DCJ (writing the unanimous judgment of the court) stated:</w:t>
            </w:r>
          </w:p>
          <w:p w14:paraId="4CC74DD1" w14:textId="77777777" w:rsidR="00473545" w:rsidRDefault="00B5009C" w:rsidP="00796B57">
            <w:pPr>
              <w:spacing w:line="360" w:lineRule="auto"/>
              <w:jc w:val="both"/>
              <w:rPr>
                <w:rFonts w:ascii="Arial" w:hAnsi="Arial" w:cs="Arial"/>
                <w:sz w:val="24"/>
                <w:szCs w:val="24"/>
              </w:rPr>
            </w:pPr>
            <w:r>
              <w:rPr>
                <w:rFonts w:ascii="Arial" w:hAnsi="Arial" w:cs="Arial"/>
              </w:rPr>
              <w:t xml:space="preserve">    </w:t>
            </w:r>
            <w:r w:rsidR="00796B57" w:rsidRPr="00473545">
              <w:rPr>
                <w:rFonts w:ascii="Arial" w:hAnsi="Arial" w:cs="Arial"/>
              </w:rPr>
              <w:t>‘[19] The debtor must be invited to present alternatives that the court should consider to avoid a sale in execution but bearing in mind that the credit giver has a right to satisfaction of the bargain. The alternatives must be viable in that it must not amount to defeating the commercial interest of the creditor by in effect amounting to non-payment and stringing the creditor along until someday the debtor has the means to pay the debt. Should the circumstances justify, the court must stand the matter down or postpone to a date suitable to itself and the parties to conduct the inquiry. A failure to conduct the inquiry is reversible misdirection. If the debtor is legally unrepresented at the summary judgment proceedings, it behoves counsel for the creditor to draw the court’s attention to the need for the</w:t>
            </w:r>
            <w:r w:rsidR="00DD1F58" w:rsidRPr="00473545">
              <w:rPr>
                <w:rFonts w:ascii="Arial" w:hAnsi="Arial" w:cs="Arial"/>
              </w:rPr>
              <w:t xml:space="preserve"> inquiry in terms of rule 108.</w:t>
            </w:r>
            <w:r w:rsidR="00DD1F58" w:rsidRPr="00E00129">
              <w:rPr>
                <w:rFonts w:ascii="Arial" w:hAnsi="Arial" w:cs="Arial"/>
                <w:sz w:val="24"/>
                <w:szCs w:val="24"/>
              </w:rPr>
              <w:t>’</w:t>
            </w:r>
          </w:p>
          <w:p w14:paraId="15012032" w14:textId="77777777" w:rsidR="00D442F5" w:rsidRPr="00473545" w:rsidRDefault="00473545" w:rsidP="00796B57">
            <w:pPr>
              <w:spacing w:line="360" w:lineRule="auto"/>
              <w:jc w:val="both"/>
              <w:rPr>
                <w:rFonts w:ascii="Arial" w:hAnsi="Arial" w:cs="Arial"/>
                <w:sz w:val="24"/>
                <w:szCs w:val="24"/>
                <w:u w:val="single"/>
              </w:rPr>
            </w:pPr>
            <w:r w:rsidRPr="00473545">
              <w:rPr>
                <w:rFonts w:ascii="Arial" w:hAnsi="Arial" w:cs="Arial"/>
                <w:sz w:val="24"/>
                <w:szCs w:val="24"/>
                <w:u w:val="single"/>
              </w:rPr>
              <w:t>Determination</w:t>
            </w:r>
          </w:p>
          <w:p w14:paraId="2753E370" w14:textId="69814092" w:rsidR="00B5009C" w:rsidRPr="00281366" w:rsidRDefault="005B60DC" w:rsidP="00796B57">
            <w:pPr>
              <w:spacing w:line="360" w:lineRule="auto"/>
              <w:jc w:val="both"/>
              <w:rPr>
                <w:rFonts w:ascii="Arial" w:hAnsi="Arial" w:cs="Arial"/>
                <w:sz w:val="24"/>
                <w:szCs w:val="24"/>
              </w:rPr>
            </w:pPr>
            <w:r>
              <w:rPr>
                <w:rFonts w:ascii="Arial" w:hAnsi="Arial" w:cs="Arial"/>
                <w:sz w:val="24"/>
                <w:szCs w:val="24"/>
              </w:rPr>
              <w:t>[19</w:t>
            </w:r>
            <w:r w:rsidR="00796B57" w:rsidRPr="00E00129">
              <w:rPr>
                <w:rFonts w:ascii="Arial" w:hAnsi="Arial" w:cs="Arial"/>
                <w:sz w:val="24"/>
                <w:szCs w:val="24"/>
              </w:rPr>
              <w:t>]</w:t>
            </w:r>
            <w:r w:rsidR="00796B57" w:rsidRPr="00E00129">
              <w:rPr>
                <w:rFonts w:ascii="Arial" w:hAnsi="Arial" w:cs="Arial"/>
                <w:sz w:val="24"/>
                <w:szCs w:val="24"/>
              </w:rPr>
              <w:tab/>
              <w:t xml:space="preserve">It must be noted by litigants that the age-long and time-tested principle of </w:t>
            </w:r>
            <w:proofErr w:type="spellStart"/>
            <w:r w:rsidR="00796B57" w:rsidRPr="00E00129">
              <w:rPr>
                <w:rFonts w:ascii="Arial" w:hAnsi="Arial" w:cs="Arial"/>
                <w:i/>
                <w:sz w:val="24"/>
                <w:szCs w:val="24"/>
              </w:rPr>
              <w:t>pacta</w:t>
            </w:r>
            <w:proofErr w:type="spellEnd"/>
            <w:r w:rsidR="00796B57" w:rsidRPr="00E00129">
              <w:rPr>
                <w:rFonts w:ascii="Arial" w:hAnsi="Arial" w:cs="Arial"/>
                <w:i/>
                <w:sz w:val="24"/>
                <w:szCs w:val="24"/>
              </w:rPr>
              <w:t xml:space="preserve"> </w:t>
            </w:r>
            <w:proofErr w:type="spellStart"/>
            <w:r w:rsidR="00796B57" w:rsidRPr="00E00129">
              <w:rPr>
                <w:rFonts w:ascii="Arial" w:hAnsi="Arial" w:cs="Arial"/>
                <w:i/>
                <w:sz w:val="24"/>
                <w:szCs w:val="24"/>
              </w:rPr>
              <w:t>sunt</w:t>
            </w:r>
            <w:proofErr w:type="spellEnd"/>
            <w:r w:rsidR="00796B57" w:rsidRPr="00E00129">
              <w:rPr>
                <w:rFonts w:ascii="Arial" w:hAnsi="Arial" w:cs="Arial"/>
                <w:i/>
                <w:sz w:val="24"/>
                <w:szCs w:val="24"/>
              </w:rPr>
              <w:t xml:space="preserve"> </w:t>
            </w:r>
            <w:proofErr w:type="spellStart"/>
            <w:r w:rsidR="00796B57" w:rsidRPr="00E00129">
              <w:rPr>
                <w:rFonts w:ascii="Arial" w:hAnsi="Arial" w:cs="Arial"/>
                <w:i/>
                <w:sz w:val="24"/>
                <w:szCs w:val="24"/>
              </w:rPr>
              <w:t>servanda</w:t>
            </w:r>
            <w:proofErr w:type="spellEnd"/>
            <w:r w:rsidR="00D442F5">
              <w:rPr>
                <w:rFonts w:ascii="Arial" w:hAnsi="Arial" w:cs="Arial"/>
                <w:sz w:val="24"/>
                <w:szCs w:val="24"/>
              </w:rPr>
              <w:t xml:space="preserve"> </w:t>
            </w:r>
            <w:r w:rsidR="004135A0">
              <w:rPr>
                <w:rFonts w:ascii="Arial" w:hAnsi="Arial" w:cs="Arial"/>
                <w:sz w:val="24"/>
                <w:szCs w:val="24"/>
              </w:rPr>
              <w:t xml:space="preserve">(that </w:t>
            </w:r>
            <w:r w:rsidR="00D442F5">
              <w:rPr>
                <w:rFonts w:ascii="Arial" w:hAnsi="Arial" w:cs="Arial"/>
                <w:sz w:val="24"/>
                <w:szCs w:val="24"/>
              </w:rPr>
              <w:t>parties must be held to their undertakings</w:t>
            </w:r>
            <w:r w:rsidR="004135A0">
              <w:rPr>
                <w:rFonts w:ascii="Arial" w:hAnsi="Arial" w:cs="Arial"/>
                <w:sz w:val="24"/>
                <w:szCs w:val="24"/>
              </w:rPr>
              <w:t>), remains</w:t>
            </w:r>
            <w:r w:rsidR="00D442F5">
              <w:rPr>
                <w:rFonts w:ascii="Arial" w:hAnsi="Arial" w:cs="Arial"/>
                <w:sz w:val="24"/>
                <w:szCs w:val="24"/>
              </w:rPr>
              <w:t xml:space="preserve"> part of our law. T</w:t>
            </w:r>
            <w:r w:rsidR="00473545">
              <w:rPr>
                <w:rFonts w:ascii="Arial" w:hAnsi="Arial" w:cs="Arial"/>
                <w:sz w:val="24"/>
                <w:szCs w:val="24"/>
              </w:rPr>
              <w:t xml:space="preserve">he defendant signed a loan agreement with the plaintiff and the promises made therein should be </w:t>
            </w:r>
            <w:r w:rsidR="00B37CB3">
              <w:rPr>
                <w:rFonts w:ascii="Arial" w:hAnsi="Arial" w:cs="Arial"/>
                <w:sz w:val="24"/>
                <w:szCs w:val="24"/>
              </w:rPr>
              <w:t xml:space="preserve">honoured. </w:t>
            </w:r>
            <w:r w:rsidR="00796B57" w:rsidRPr="00E00129">
              <w:rPr>
                <w:rFonts w:ascii="Arial" w:hAnsi="Arial" w:cs="Arial"/>
                <w:sz w:val="24"/>
                <w:szCs w:val="24"/>
              </w:rPr>
              <w:t>Ru</w:t>
            </w:r>
            <w:r w:rsidR="00D442F5">
              <w:rPr>
                <w:rFonts w:ascii="Arial" w:hAnsi="Arial" w:cs="Arial"/>
                <w:sz w:val="24"/>
                <w:szCs w:val="24"/>
              </w:rPr>
              <w:t>le 108 of the rules of court does</w:t>
            </w:r>
            <w:r w:rsidR="00796B57" w:rsidRPr="00E00129">
              <w:rPr>
                <w:rFonts w:ascii="Arial" w:hAnsi="Arial" w:cs="Arial"/>
                <w:sz w:val="24"/>
                <w:szCs w:val="24"/>
              </w:rPr>
              <w:t xml:space="preserve"> not </w:t>
            </w:r>
            <w:r w:rsidR="00D442F5">
              <w:rPr>
                <w:rFonts w:ascii="Arial" w:hAnsi="Arial" w:cs="Arial"/>
                <w:sz w:val="24"/>
                <w:szCs w:val="24"/>
              </w:rPr>
              <w:t xml:space="preserve">serve to </w:t>
            </w:r>
            <w:r w:rsidR="00796B57" w:rsidRPr="00E00129">
              <w:rPr>
                <w:rFonts w:ascii="Arial" w:hAnsi="Arial" w:cs="Arial"/>
                <w:sz w:val="24"/>
                <w:szCs w:val="24"/>
              </w:rPr>
              <w:t>set the</w:t>
            </w:r>
            <w:r w:rsidR="00D442F5">
              <w:rPr>
                <w:rFonts w:ascii="Arial" w:hAnsi="Arial" w:cs="Arial"/>
                <w:sz w:val="24"/>
                <w:szCs w:val="24"/>
              </w:rPr>
              <w:t xml:space="preserve"> </w:t>
            </w:r>
            <w:proofErr w:type="spellStart"/>
            <w:r w:rsidR="00D442F5">
              <w:rPr>
                <w:rFonts w:ascii="Arial" w:hAnsi="Arial" w:cs="Arial"/>
                <w:i/>
                <w:sz w:val="24"/>
                <w:szCs w:val="24"/>
              </w:rPr>
              <w:t>pacta</w:t>
            </w:r>
            <w:proofErr w:type="spellEnd"/>
            <w:r w:rsidR="00D442F5">
              <w:rPr>
                <w:rFonts w:ascii="Arial" w:hAnsi="Arial" w:cs="Arial"/>
                <w:i/>
                <w:sz w:val="24"/>
                <w:szCs w:val="24"/>
              </w:rPr>
              <w:t xml:space="preserve"> </w:t>
            </w:r>
            <w:proofErr w:type="spellStart"/>
            <w:r w:rsidR="00D442F5">
              <w:rPr>
                <w:rFonts w:ascii="Arial" w:hAnsi="Arial" w:cs="Arial"/>
                <w:i/>
                <w:sz w:val="24"/>
                <w:szCs w:val="24"/>
              </w:rPr>
              <w:t>sunt</w:t>
            </w:r>
            <w:proofErr w:type="spellEnd"/>
            <w:r w:rsidR="00D442F5">
              <w:rPr>
                <w:rFonts w:ascii="Arial" w:hAnsi="Arial" w:cs="Arial"/>
                <w:i/>
                <w:sz w:val="24"/>
                <w:szCs w:val="24"/>
              </w:rPr>
              <w:t xml:space="preserve"> </w:t>
            </w:r>
            <w:proofErr w:type="spellStart"/>
            <w:r w:rsidR="00D442F5">
              <w:rPr>
                <w:rFonts w:ascii="Arial" w:hAnsi="Arial" w:cs="Arial"/>
                <w:i/>
                <w:sz w:val="24"/>
                <w:szCs w:val="24"/>
              </w:rPr>
              <w:t>servanda</w:t>
            </w:r>
            <w:proofErr w:type="spellEnd"/>
            <w:r w:rsidR="00D442F5">
              <w:rPr>
                <w:rFonts w:ascii="Arial" w:hAnsi="Arial" w:cs="Arial"/>
                <w:i/>
                <w:sz w:val="24"/>
                <w:szCs w:val="24"/>
              </w:rPr>
              <w:t xml:space="preserve"> </w:t>
            </w:r>
            <w:r w:rsidR="00796B57" w:rsidRPr="00E00129">
              <w:rPr>
                <w:rFonts w:ascii="Arial" w:hAnsi="Arial" w:cs="Arial"/>
                <w:sz w:val="24"/>
                <w:szCs w:val="24"/>
              </w:rPr>
              <w:t xml:space="preserve">principle at nought. In the instant matter, after due enquiry, it seemed </w:t>
            </w:r>
            <w:r w:rsidR="00D442F5">
              <w:rPr>
                <w:rFonts w:ascii="Arial" w:hAnsi="Arial" w:cs="Arial"/>
                <w:sz w:val="24"/>
                <w:szCs w:val="24"/>
              </w:rPr>
              <w:t>clear to me</w:t>
            </w:r>
            <w:r w:rsidR="00473545">
              <w:rPr>
                <w:rFonts w:ascii="Arial" w:hAnsi="Arial" w:cs="Arial"/>
                <w:sz w:val="24"/>
                <w:szCs w:val="24"/>
              </w:rPr>
              <w:t xml:space="preserve"> that the execution debtor</w:t>
            </w:r>
            <w:r w:rsidR="00796B57" w:rsidRPr="00E00129">
              <w:rPr>
                <w:rFonts w:ascii="Arial" w:hAnsi="Arial" w:cs="Arial"/>
                <w:sz w:val="24"/>
                <w:szCs w:val="24"/>
              </w:rPr>
              <w:t xml:space="preserve"> did not seek to rely on the property in </w:t>
            </w:r>
            <w:r w:rsidR="00D442F5">
              <w:rPr>
                <w:rFonts w:ascii="Arial" w:hAnsi="Arial" w:cs="Arial"/>
                <w:sz w:val="24"/>
                <w:szCs w:val="24"/>
              </w:rPr>
              <w:t>question being his primary home. S</w:t>
            </w:r>
            <w:r w:rsidR="00796B57" w:rsidRPr="00E00129">
              <w:rPr>
                <w:rFonts w:ascii="Arial" w:hAnsi="Arial" w:cs="Arial"/>
                <w:sz w:val="24"/>
                <w:szCs w:val="24"/>
              </w:rPr>
              <w:t xml:space="preserve">uch allegation is not made in defendant’s </w:t>
            </w:r>
            <w:r w:rsidR="00473545">
              <w:rPr>
                <w:rFonts w:ascii="Arial" w:hAnsi="Arial" w:cs="Arial"/>
                <w:sz w:val="24"/>
                <w:szCs w:val="24"/>
              </w:rPr>
              <w:t xml:space="preserve">opposing </w:t>
            </w:r>
            <w:r w:rsidR="00796B57" w:rsidRPr="00E00129">
              <w:rPr>
                <w:rFonts w:ascii="Arial" w:hAnsi="Arial" w:cs="Arial"/>
                <w:sz w:val="24"/>
                <w:szCs w:val="24"/>
              </w:rPr>
              <w:t>a</w:t>
            </w:r>
            <w:r w:rsidR="00DC64FA">
              <w:rPr>
                <w:rFonts w:ascii="Arial" w:hAnsi="Arial" w:cs="Arial"/>
                <w:sz w:val="24"/>
                <w:szCs w:val="24"/>
              </w:rPr>
              <w:t>ffidavit</w:t>
            </w:r>
            <w:bookmarkStart w:id="0" w:name="_GoBack"/>
            <w:bookmarkEnd w:id="0"/>
            <w:r w:rsidR="00796B57" w:rsidRPr="00E00129">
              <w:rPr>
                <w:rFonts w:ascii="Arial" w:hAnsi="Arial" w:cs="Arial"/>
                <w:sz w:val="24"/>
                <w:szCs w:val="24"/>
              </w:rPr>
              <w:t xml:space="preserve">. The closest that defendant came to </w:t>
            </w:r>
            <w:r w:rsidR="00473545">
              <w:rPr>
                <w:rFonts w:ascii="Arial" w:hAnsi="Arial" w:cs="Arial"/>
                <w:sz w:val="24"/>
                <w:szCs w:val="24"/>
              </w:rPr>
              <w:t>making such an allegation was</w:t>
            </w:r>
            <w:r w:rsidR="00796B57" w:rsidRPr="00E00129">
              <w:rPr>
                <w:rFonts w:ascii="Arial" w:hAnsi="Arial" w:cs="Arial"/>
                <w:sz w:val="24"/>
                <w:szCs w:val="24"/>
              </w:rPr>
              <w:t xml:space="preserve"> his letter dated 31 January 2022 where he claimed that the property is his </w:t>
            </w:r>
            <w:r w:rsidR="00B37CB3" w:rsidRPr="006360C6">
              <w:rPr>
                <w:rFonts w:ascii="Arial" w:hAnsi="Arial" w:cs="Arial"/>
                <w:sz w:val="24"/>
                <w:szCs w:val="24"/>
              </w:rPr>
              <w:t>‘</w:t>
            </w:r>
            <w:r w:rsidR="00796B57" w:rsidRPr="006360C6">
              <w:rPr>
                <w:rFonts w:ascii="Arial" w:hAnsi="Arial" w:cs="Arial"/>
                <w:sz w:val="24"/>
                <w:szCs w:val="24"/>
              </w:rPr>
              <w:t xml:space="preserve">primary </w:t>
            </w:r>
            <w:r w:rsidR="00E00129" w:rsidRPr="006360C6">
              <w:rPr>
                <w:rFonts w:ascii="Arial" w:hAnsi="Arial" w:cs="Arial"/>
                <w:sz w:val="24"/>
                <w:szCs w:val="24"/>
              </w:rPr>
              <w:t>property</w:t>
            </w:r>
            <w:r w:rsidR="00B37CB3" w:rsidRPr="006360C6">
              <w:rPr>
                <w:rFonts w:ascii="Arial" w:hAnsi="Arial" w:cs="Arial"/>
                <w:sz w:val="24"/>
                <w:szCs w:val="24"/>
              </w:rPr>
              <w:t>’</w:t>
            </w:r>
            <w:r w:rsidR="00E00129" w:rsidRPr="006360C6">
              <w:rPr>
                <w:rFonts w:ascii="Arial" w:hAnsi="Arial" w:cs="Arial"/>
                <w:sz w:val="24"/>
                <w:szCs w:val="24"/>
              </w:rPr>
              <w:t>,</w:t>
            </w:r>
            <w:r w:rsidR="00E00129" w:rsidRPr="00E00129">
              <w:rPr>
                <w:rFonts w:ascii="Arial" w:hAnsi="Arial" w:cs="Arial"/>
                <w:sz w:val="24"/>
                <w:szCs w:val="24"/>
              </w:rPr>
              <w:t xml:space="preserve"> which</w:t>
            </w:r>
            <w:r w:rsidR="00796B57" w:rsidRPr="00E00129">
              <w:rPr>
                <w:rFonts w:ascii="Arial" w:hAnsi="Arial" w:cs="Arial"/>
                <w:sz w:val="24"/>
                <w:szCs w:val="24"/>
              </w:rPr>
              <w:t xml:space="preserve"> is not the same as a primary </w:t>
            </w:r>
            <w:r w:rsidR="00E00129" w:rsidRPr="00E00129">
              <w:rPr>
                <w:rFonts w:ascii="Arial" w:hAnsi="Arial" w:cs="Arial"/>
                <w:sz w:val="24"/>
                <w:szCs w:val="24"/>
              </w:rPr>
              <w:t>home.</w:t>
            </w:r>
            <w:r w:rsidR="00473545">
              <w:rPr>
                <w:rFonts w:ascii="Arial" w:hAnsi="Arial" w:cs="Arial"/>
                <w:sz w:val="24"/>
                <w:szCs w:val="24"/>
              </w:rPr>
              <w:t xml:space="preserve"> </w:t>
            </w:r>
          </w:p>
          <w:p w14:paraId="023ADD35" w14:textId="1ADCF9C6" w:rsidR="00B5009C" w:rsidRDefault="004135A0" w:rsidP="00A92BE4">
            <w:pPr>
              <w:spacing w:line="360" w:lineRule="auto"/>
              <w:jc w:val="both"/>
              <w:rPr>
                <w:rFonts w:ascii="Arial" w:hAnsi="Arial" w:cs="Arial"/>
                <w:color w:val="000000"/>
                <w:sz w:val="24"/>
                <w:szCs w:val="24"/>
                <w:lang w:val="en-US"/>
              </w:rPr>
            </w:pPr>
            <w:r>
              <w:rPr>
                <w:rFonts w:ascii="Arial" w:eastAsia="MS Mincho" w:hAnsi="Arial" w:cs="Arial"/>
                <w:sz w:val="24"/>
                <w:szCs w:val="24"/>
                <w:lang w:val="en-US"/>
              </w:rPr>
              <w:lastRenderedPageBreak/>
              <w:t>[20</w:t>
            </w:r>
            <w:r w:rsidR="00BC23BC">
              <w:rPr>
                <w:rFonts w:ascii="Arial" w:eastAsia="MS Mincho" w:hAnsi="Arial" w:cs="Arial"/>
                <w:sz w:val="24"/>
                <w:szCs w:val="24"/>
                <w:lang w:val="en-US"/>
              </w:rPr>
              <w:t xml:space="preserve">]    </w:t>
            </w:r>
            <w:r w:rsidR="00A92BE4">
              <w:rPr>
                <w:rFonts w:ascii="Arial" w:hAnsi="Arial" w:cs="Arial"/>
                <w:color w:val="000000"/>
                <w:sz w:val="24"/>
                <w:szCs w:val="24"/>
                <w:lang w:val="en-US"/>
              </w:rPr>
              <w:t xml:space="preserve">Although the defendant proposes a payment plan in the aforementioned letter, he does </w:t>
            </w:r>
            <w:r w:rsidR="00A92BE4" w:rsidRPr="00A92BE4">
              <w:rPr>
                <w:rFonts w:ascii="Arial" w:eastAsia="MS Mincho" w:hAnsi="Arial" w:cs="Arial"/>
                <w:sz w:val="24"/>
                <w:szCs w:val="24"/>
                <w:lang w:val="en-US"/>
              </w:rPr>
              <w:t xml:space="preserve">not take the court into his confidence by stating </w:t>
            </w:r>
            <w:r w:rsidR="00A92BE4">
              <w:rPr>
                <w:rFonts w:ascii="Arial" w:hAnsi="Arial" w:cs="Arial"/>
                <w:color w:val="000000"/>
                <w:sz w:val="24"/>
                <w:szCs w:val="24"/>
                <w:lang w:val="en-US"/>
              </w:rPr>
              <w:t>how or when his financial position will improve</w:t>
            </w:r>
            <w:r>
              <w:rPr>
                <w:rFonts w:ascii="Arial" w:hAnsi="Arial" w:cs="Arial"/>
                <w:color w:val="000000"/>
                <w:sz w:val="24"/>
                <w:szCs w:val="24"/>
                <w:lang w:val="en-US"/>
              </w:rPr>
              <w:t xml:space="preserve">, considering that </w:t>
            </w:r>
            <w:r w:rsidR="00A92BE4">
              <w:rPr>
                <w:rFonts w:ascii="Arial" w:hAnsi="Arial" w:cs="Arial"/>
                <w:color w:val="000000"/>
                <w:sz w:val="24"/>
                <w:szCs w:val="24"/>
                <w:lang w:val="en-US"/>
              </w:rPr>
              <w:t xml:space="preserve">he earlier indicated that he is self-employed and does not have funds to </w:t>
            </w:r>
            <w:r>
              <w:rPr>
                <w:rFonts w:ascii="Arial" w:hAnsi="Arial" w:cs="Arial"/>
                <w:color w:val="000000"/>
                <w:sz w:val="24"/>
                <w:szCs w:val="24"/>
                <w:lang w:val="en-US"/>
              </w:rPr>
              <w:t xml:space="preserve">readily </w:t>
            </w:r>
            <w:r w:rsidR="00A92BE4">
              <w:rPr>
                <w:rFonts w:ascii="Arial" w:hAnsi="Arial" w:cs="Arial"/>
                <w:color w:val="000000"/>
                <w:sz w:val="24"/>
                <w:szCs w:val="24"/>
                <w:lang w:val="en-US"/>
              </w:rPr>
              <w:t>settle his debt.</w:t>
            </w:r>
          </w:p>
          <w:p w14:paraId="1CB115F8" w14:textId="5AB98981" w:rsidR="00796B57" w:rsidRPr="00281366" w:rsidRDefault="004135A0" w:rsidP="00796B57">
            <w:pPr>
              <w:spacing w:line="360" w:lineRule="auto"/>
              <w:jc w:val="both"/>
              <w:rPr>
                <w:rFonts w:ascii="Arial" w:eastAsia="MS Mincho" w:hAnsi="Arial" w:cs="Arial"/>
                <w:sz w:val="24"/>
                <w:szCs w:val="24"/>
                <w:lang w:val="en-US"/>
              </w:rPr>
            </w:pPr>
            <w:r>
              <w:rPr>
                <w:rFonts w:ascii="Arial" w:eastAsia="MS Mincho" w:hAnsi="Arial" w:cs="Arial"/>
                <w:sz w:val="24"/>
                <w:szCs w:val="24"/>
                <w:lang w:val="en-US"/>
              </w:rPr>
              <w:t>[21</w:t>
            </w:r>
            <w:r w:rsidR="00A92BE4">
              <w:rPr>
                <w:rFonts w:ascii="Arial" w:eastAsia="MS Mincho" w:hAnsi="Arial" w:cs="Arial"/>
                <w:sz w:val="24"/>
                <w:szCs w:val="24"/>
                <w:lang w:val="en-US"/>
              </w:rPr>
              <w:t xml:space="preserve">]    </w:t>
            </w:r>
            <w:r>
              <w:rPr>
                <w:rFonts w:ascii="Arial" w:hAnsi="Arial" w:cs="Arial"/>
                <w:color w:val="000000"/>
                <w:sz w:val="24"/>
                <w:szCs w:val="24"/>
                <w:lang w:val="en-US"/>
              </w:rPr>
              <w:t>The</w:t>
            </w:r>
            <w:r w:rsidR="00B37CB3">
              <w:rPr>
                <w:rFonts w:ascii="Arial" w:hAnsi="Arial" w:cs="Arial"/>
                <w:color w:val="000000"/>
                <w:sz w:val="24"/>
                <w:szCs w:val="24"/>
                <w:lang w:val="en-US"/>
              </w:rPr>
              <w:t xml:space="preserve"> </w:t>
            </w:r>
            <w:r w:rsidR="007042E2">
              <w:rPr>
                <w:rFonts w:ascii="Arial" w:hAnsi="Arial" w:cs="Arial"/>
                <w:sz w:val="24"/>
                <w:szCs w:val="24"/>
              </w:rPr>
              <w:t xml:space="preserve">payment </w:t>
            </w:r>
            <w:r w:rsidR="007042E2" w:rsidRPr="00E00129">
              <w:rPr>
                <w:rFonts w:ascii="Arial" w:hAnsi="Arial" w:cs="Arial"/>
                <w:sz w:val="24"/>
                <w:szCs w:val="24"/>
              </w:rPr>
              <w:t>alternatives</w:t>
            </w:r>
            <w:r>
              <w:rPr>
                <w:rFonts w:ascii="Arial" w:hAnsi="Arial" w:cs="Arial"/>
                <w:sz w:val="24"/>
                <w:szCs w:val="24"/>
              </w:rPr>
              <w:t xml:space="preserve"> proposed by the defendant</w:t>
            </w:r>
            <w:r w:rsidR="00BC23BC">
              <w:rPr>
                <w:rFonts w:ascii="Arial" w:hAnsi="Arial" w:cs="Arial"/>
                <w:sz w:val="24"/>
                <w:szCs w:val="24"/>
              </w:rPr>
              <w:t xml:space="preserve"> must be viable in that they </w:t>
            </w:r>
            <w:r w:rsidR="00796B57" w:rsidRPr="00E00129">
              <w:rPr>
                <w:rFonts w:ascii="Arial" w:hAnsi="Arial" w:cs="Arial"/>
                <w:sz w:val="24"/>
                <w:szCs w:val="24"/>
              </w:rPr>
              <w:t>must not amount to defeating the commercial interest</w:t>
            </w:r>
            <w:r>
              <w:rPr>
                <w:rFonts w:ascii="Arial" w:hAnsi="Arial" w:cs="Arial"/>
                <w:sz w:val="24"/>
                <w:szCs w:val="24"/>
              </w:rPr>
              <w:t>s</w:t>
            </w:r>
            <w:r w:rsidR="00796B57" w:rsidRPr="00E00129">
              <w:rPr>
                <w:rFonts w:ascii="Arial" w:hAnsi="Arial" w:cs="Arial"/>
                <w:sz w:val="24"/>
                <w:szCs w:val="24"/>
              </w:rPr>
              <w:t xml:space="preserve"> of the creditor</w:t>
            </w:r>
            <w:r w:rsidR="006360C6">
              <w:rPr>
                <w:rFonts w:ascii="Arial" w:hAnsi="Arial" w:cs="Arial"/>
                <w:sz w:val="24"/>
                <w:szCs w:val="24"/>
              </w:rPr>
              <w:t>. The court must be astute</w:t>
            </w:r>
            <w:r w:rsidR="00796B57" w:rsidRPr="00E00129">
              <w:rPr>
                <w:rFonts w:ascii="Arial" w:hAnsi="Arial" w:cs="Arial"/>
                <w:sz w:val="24"/>
                <w:szCs w:val="24"/>
              </w:rPr>
              <w:t xml:space="preserve"> </w:t>
            </w:r>
            <w:r w:rsidR="006360C6">
              <w:rPr>
                <w:rFonts w:ascii="Arial" w:hAnsi="Arial" w:cs="Arial"/>
                <w:sz w:val="24"/>
                <w:szCs w:val="24"/>
              </w:rPr>
              <w:t>not to allow a situation that leads</w:t>
            </w:r>
            <w:r w:rsidR="007042E2">
              <w:rPr>
                <w:rFonts w:ascii="Arial" w:hAnsi="Arial" w:cs="Arial"/>
                <w:sz w:val="24"/>
                <w:szCs w:val="24"/>
              </w:rPr>
              <w:t xml:space="preserve"> </w:t>
            </w:r>
            <w:r w:rsidR="00796B57" w:rsidRPr="00E00129">
              <w:rPr>
                <w:rFonts w:ascii="Arial" w:hAnsi="Arial" w:cs="Arial"/>
                <w:sz w:val="24"/>
                <w:szCs w:val="24"/>
              </w:rPr>
              <w:t xml:space="preserve">to non-payment </w:t>
            </w:r>
            <w:r w:rsidR="006360C6">
              <w:rPr>
                <w:rFonts w:ascii="Arial" w:hAnsi="Arial" w:cs="Arial"/>
                <w:sz w:val="24"/>
                <w:szCs w:val="24"/>
              </w:rPr>
              <w:t xml:space="preserve">of the debt </w:t>
            </w:r>
            <w:r w:rsidR="00796B57" w:rsidRPr="00E00129">
              <w:rPr>
                <w:rFonts w:ascii="Arial" w:hAnsi="Arial" w:cs="Arial"/>
                <w:sz w:val="24"/>
                <w:szCs w:val="24"/>
              </w:rPr>
              <w:t xml:space="preserve">and </w:t>
            </w:r>
            <w:r>
              <w:rPr>
                <w:rFonts w:ascii="Arial" w:hAnsi="Arial" w:cs="Arial"/>
                <w:sz w:val="24"/>
                <w:szCs w:val="24"/>
              </w:rPr>
              <w:t xml:space="preserve">contemporaneously </w:t>
            </w:r>
            <w:r w:rsidR="00796B57" w:rsidRPr="00E00129">
              <w:rPr>
                <w:rFonts w:ascii="Arial" w:hAnsi="Arial" w:cs="Arial"/>
                <w:sz w:val="24"/>
                <w:szCs w:val="24"/>
              </w:rPr>
              <w:t>stringing the creditor along until someday</w:t>
            </w:r>
            <w:r w:rsidR="006360C6">
              <w:rPr>
                <w:rFonts w:ascii="Arial" w:hAnsi="Arial" w:cs="Arial"/>
                <w:sz w:val="24"/>
                <w:szCs w:val="24"/>
              </w:rPr>
              <w:t xml:space="preserve"> when</w:t>
            </w:r>
            <w:r w:rsidR="00796B57" w:rsidRPr="00E00129">
              <w:rPr>
                <w:rFonts w:ascii="Arial" w:hAnsi="Arial" w:cs="Arial"/>
                <w:sz w:val="24"/>
                <w:szCs w:val="24"/>
              </w:rPr>
              <w:t xml:space="preserve"> the debtor has the means to pay the debt</w:t>
            </w:r>
            <w:r w:rsidR="00E00129">
              <w:rPr>
                <w:rFonts w:ascii="Arial" w:hAnsi="Arial" w:cs="Arial"/>
                <w:sz w:val="24"/>
                <w:szCs w:val="24"/>
              </w:rPr>
              <w:t>.</w:t>
            </w:r>
            <w:r w:rsidR="00B37CB3" w:rsidRPr="00E00129">
              <w:rPr>
                <w:rFonts w:ascii="Arial" w:eastAsia="MS Mincho" w:hAnsi="Arial" w:cs="Arial"/>
                <w:sz w:val="24"/>
                <w:szCs w:val="24"/>
                <w:lang w:val="en-US"/>
              </w:rPr>
              <w:t xml:space="preserve"> </w:t>
            </w:r>
          </w:p>
          <w:p w14:paraId="0236383E" w14:textId="4CA46B69" w:rsidR="00A65FE7" w:rsidRDefault="00A65FE7" w:rsidP="00796B57">
            <w:pPr>
              <w:spacing w:line="360" w:lineRule="auto"/>
              <w:jc w:val="both"/>
              <w:rPr>
                <w:rFonts w:ascii="Arial" w:eastAsia="MS Mincho" w:hAnsi="Arial" w:cs="Arial"/>
                <w:sz w:val="24"/>
                <w:szCs w:val="24"/>
                <w:lang w:val="en-US"/>
              </w:rPr>
            </w:pPr>
            <w:r>
              <w:rPr>
                <w:rFonts w:ascii="Arial" w:eastAsia="MS Mincho" w:hAnsi="Arial" w:cs="Arial"/>
                <w:sz w:val="24"/>
                <w:szCs w:val="24"/>
                <w:lang w:val="en-US"/>
              </w:rPr>
              <w:t xml:space="preserve"> [22</w:t>
            </w:r>
            <w:r w:rsidR="00796B57" w:rsidRPr="00E00129">
              <w:rPr>
                <w:rFonts w:ascii="Arial" w:eastAsia="MS Mincho" w:hAnsi="Arial" w:cs="Arial"/>
                <w:sz w:val="24"/>
                <w:szCs w:val="24"/>
                <w:lang w:val="en-US"/>
              </w:rPr>
              <w:t>]</w:t>
            </w:r>
            <w:r w:rsidR="00796B57" w:rsidRPr="00E00129">
              <w:rPr>
                <w:rFonts w:ascii="Arial" w:eastAsia="MS Mincho" w:hAnsi="Arial" w:cs="Arial"/>
                <w:sz w:val="24"/>
                <w:szCs w:val="24"/>
                <w:lang w:val="en-US"/>
              </w:rPr>
              <w:tab/>
              <w:t>The defendant</w:t>
            </w:r>
            <w:r w:rsidR="004135A0">
              <w:rPr>
                <w:rFonts w:ascii="Arial" w:eastAsia="MS Mincho" w:hAnsi="Arial" w:cs="Arial"/>
                <w:sz w:val="24"/>
                <w:szCs w:val="24"/>
                <w:lang w:val="en-US"/>
              </w:rPr>
              <w:t>’s</w:t>
            </w:r>
            <w:r w:rsidR="00796B57" w:rsidRPr="00E00129">
              <w:rPr>
                <w:rFonts w:ascii="Arial" w:eastAsia="MS Mincho" w:hAnsi="Arial" w:cs="Arial"/>
                <w:sz w:val="24"/>
                <w:szCs w:val="24"/>
                <w:lang w:val="en-US"/>
              </w:rPr>
              <w:t xml:space="preserve"> debt to the plaintiff is substantial and I am satisfied that th</w:t>
            </w:r>
            <w:r w:rsidR="006360C6">
              <w:rPr>
                <w:rFonts w:ascii="Arial" w:eastAsia="MS Mincho" w:hAnsi="Arial" w:cs="Arial"/>
                <w:sz w:val="24"/>
                <w:szCs w:val="24"/>
                <w:lang w:val="en-US"/>
              </w:rPr>
              <w:t>e defendant</w:t>
            </w:r>
            <w:r w:rsidR="004135A0">
              <w:rPr>
                <w:rFonts w:ascii="Arial" w:eastAsia="MS Mincho" w:hAnsi="Arial" w:cs="Arial"/>
                <w:sz w:val="24"/>
                <w:szCs w:val="24"/>
                <w:lang w:val="en-US"/>
              </w:rPr>
              <w:t>, despite being afforded an opportunity,</w:t>
            </w:r>
            <w:r w:rsidR="00796B57" w:rsidRPr="00E00129">
              <w:rPr>
                <w:rFonts w:ascii="Arial" w:eastAsia="MS Mincho" w:hAnsi="Arial" w:cs="Arial"/>
                <w:sz w:val="24"/>
                <w:szCs w:val="24"/>
                <w:lang w:val="en-US"/>
              </w:rPr>
              <w:t xml:space="preserve"> failed to place facts before the court to indicate that the debt can be satisfied in a r</w:t>
            </w:r>
            <w:r>
              <w:rPr>
                <w:rFonts w:ascii="Arial" w:eastAsia="MS Mincho" w:hAnsi="Arial" w:cs="Arial"/>
                <w:sz w:val="24"/>
                <w:szCs w:val="24"/>
                <w:lang w:val="en-US"/>
              </w:rPr>
              <w:t>easonable manner, without invok</w:t>
            </w:r>
            <w:r w:rsidR="00796B57" w:rsidRPr="00E00129">
              <w:rPr>
                <w:rFonts w:ascii="Arial" w:eastAsia="MS Mincho" w:hAnsi="Arial" w:cs="Arial"/>
                <w:sz w:val="24"/>
                <w:szCs w:val="24"/>
                <w:lang w:val="en-US"/>
              </w:rPr>
              <w:t xml:space="preserve">ing the drastic consequences of declaring the mortgaged property executable. </w:t>
            </w:r>
            <w:r w:rsidR="006360C6">
              <w:rPr>
                <w:rFonts w:ascii="Arial" w:eastAsia="MS Mincho" w:hAnsi="Arial" w:cs="Arial"/>
                <w:sz w:val="24"/>
                <w:szCs w:val="24"/>
                <w:lang w:val="en-US"/>
              </w:rPr>
              <w:t>Although granting this relief is no</w:t>
            </w:r>
            <w:r w:rsidR="005325C5">
              <w:rPr>
                <w:rFonts w:ascii="Arial" w:eastAsia="MS Mincho" w:hAnsi="Arial" w:cs="Arial"/>
                <w:sz w:val="24"/>
                <w:szCs w:val="24"/>
                <w:lang w:val="en-US"/>
              </w:rPr>
              <w:t>t</w:t>
            </w:r>
            <w:r w:rsidR="006360C6">
              <w:rPr>
                <w:rFonts w:ascii="Arial" w:eastAsia="MS Mincho" w:hAnsi="Arial" w:cs="Arial"/>
                <w:sz w:val="24"/>
                <w:szCs w:val="24"/>
                <w:lang w:val="en-US"/>
              </w:rPr>
              <w:t xml:space="preserve"> always easy, considering the effects thereof on the judgment debtor, the court must grant such applications </w:t>
            </w:r>
            <w:r w:rsidR="005325C5">
              <w:rPr>
                <w:rFonts w:ascii="Arial" w:eastAsia="MS Mincho" w:hAnsi="Arial" w:cs="Arial"/>
                <w:sz w:val="24"/>
                <w:szCs w:val="24"/>
                <w:lang w:val="en-US"/>
              </w:rPr>
              <w:t>in cases where there are no less drastic measures available to exploit. This case is one such case.</w:t>
            </w:r>
          </w:p>
          <w:p w14:paraId="543BFA52" w14:textId="77777777" w:rsidR="005325C5" w:rsidRPr="005325C5" w:rsidRDefault="005325C5" w:rsidP="00796B57">
            <w:pPr>
              <w:spacing w:line="360" w:lineRule="auto"/>
              <w:jc w:val="both"/>
              <w:rPr>
                <w:rFonts w:ascii="Arial" w:eastAsia="MS Mincho" w:hAnsi="Arial" w:cs="Arial"/>
                <w:sz w:val="24"/>
                <w:szCs w:val="24"/>
                <w:u w:val="single"/>
                <w:lang w:val="en-US"/>
              </w:rPr>
            </w:pPr>
            <w:r>
              <w:rPr>
                <w:rFonts w:ascii="Arial" w:eastAsia="MS Mincho" w:hAnsi="Arial" w:cs="Arial"/>
                <w:sz w:val="24"/>
                <w:szCs w:val="24"/>
                <w:u w:val="single"/>
                <w:lang w:val="en-US"/>
              </w:rPr>
              <w:t>Costs</w:t>
            </w:r>
          </w:p>
          <w:p w14:paraId="1DA9641B" w14:textId="48CF4A58" w:rsidR="00B5009C" w:rsidRDefault="005325C5" w:rsidP="00796B57">
            <w:pPr>
              <w:spacing w:line="360" w:lineRule="auto"/>
              <w:jc w:val="both"/>
              <w:rPr>
                <w:rFonts w:ascii="Arial" w:hAnsi="Arial" w:cs="Arial"/>
                <w:sz w:val="24"/>
                <w:szCs w:val="24"/>
                <w:lang w:val="en-US"/>
              </w:rPr>
            </w:pPr>
            <w:r>
              <w:rPr>
                <w:rFonts w:ascii="Arial" w:hAnsi="Arial" w:cs="Arial"/>
                <w:sz w:val="24"/>
                <w:szCs w:val="24"/>
                <w:lang w:val="en-US"/>
              </w:rPr>
              <w:t xml:space="preserve">[22] </w:t>
            </w:r>
            <w:r w:rsidR="00796B57" w:rsidRPr="00E00129">
              <w:rPr>
                <w:rFonts w:ascii="Arial" w:hAnsi="Arial" w:cs="Arial"/>
                <w:sz w:val="24"/>
                <w:szCs w:val="24"/>
                <w:lang w:val="en-US"/>
              </w:rPr>
              <w:t>This leaves only the question of costs</w:t>
            </w:r>
            <w:r w:rsidR="00A65FE7">
              <w:rPr>
                <w:rFonts w:ascii="Arial" w:hAnsi="Arial" w:cs="Arial"/>
                <w:sz w:val="24"/>
                <w:szCs w:val="24"/>
                <w:lang w:val="en-US"/>
              </w:rPr>
              <w:t xml:space="preserve"> for determination</w:t>
            </w:r>
            <w:r w:rsidR="00796B57" w:rsidRPr="00E00129">
              <w:rPr>
                <w:rFonts w:ascii="Arial" w:hAnsi="Arial" w:cs="Arial"/>
                <w:sz w:val="24"/>
                <w:szCs w:val="24"/>
                <w:lang w:val="en-US"/>
              </w:rPr>
              <w:t>. The general rule</w:t>
            </w:r>
            <w:r w:rsidR="00A65FE7">
              <w:rPr>
                <w:rFonts w:ascii="Arial" w:hAnsi="Arial" w:cs="Arial"/>
                <w:sz w:val="24"/>
                <w:szCs w:val="24"/>
                <w:lang w:val="en-US"/>
              </w:rPr>
              <w:t>s are</w:t>
            </w:r>
            <w:r>
              <w:rPr>
                <w:rFonts w:ascii="Arial" w:hAnsi="Arial" w:cs="Arial"/>
                <w:sz w:val="24"/>
                <w:szCs w:val="24"/>
                <w:lang w:val="en-US"/>
              </w:rPr>
              <w:t xml:space="preserve"> that costs follow the event</w:t>
            </w:r>
            <w:r w:rsidR="00796B57" w:rsidRPr="00E00129">
              <w:rPr>
                <w:rFonts w:ascii="Arial" w:hAnsi="Arial" w:cs="Arial"/>
                <w:sz w:val="24"/>
                <w:szCs w:val="24"/>
                <w:lang w:val="en-US"/>
              </w:rPr>
              <w:t xml:space="preserve"> and that </w:t>
            </w:r>
            <w:r w:rsidR="00A65FE7">
              <w:rPr>
                <w:rFonts w:ascii="Arial" w:hAnsi="Arial" w:cs="Arial"/>
                <w:sz w:val="24"/>
                <w:szCs w:val="24"/>
                <w:lang w:val="en-US"/>
              </w:rPr>
              <w:t xml:space="preserve">the granting of </w:t>
            </w:r>
            <w:r w:rsidR="00796B57" w:rsidRPr="00E00129">
              <w:rPr>
                <w:rFonts w:ascii="Arial" w:hAnsi="Arial" w:cs="Arial"/>
                <w:sz w:val="24"/>
                <w:szCs w:val="24"/>
                <w:lang w:val="en-US"/>
              </w:rPr>
              <w:t xml:space="preserve">costs </w:t>
            </w:r>
            <w:r w:rsidR="00A65FE7">
              <w:rPr>
                <w:rFonts w:ascii="Arial" w:hAnsi="Arial" w:cs="Arial"/>
                <w:sz w:val="24"/>
                <w:szCs w:val="24"/>
                <w:lang w:val="en-US"/>
              </w:rPr>
              <w:t>lies</w:t>
            </w:r>
            <w:r w:rsidR="00796B57" w:rsidRPr="00E00129">
              <w:rPr>
                <w:rFonts w:ascii="Arial" w:hAnsi="Arial" w:cs="Arial"/>
                <w:sz w:val="24"/>
                <w:szCs w:val="24"/>
                <w:lang w:val="en-US"/>
              </w:rPr>
              <w:t xml:space="preserve"> in the discretion of the court. No reasons have been advanced </w:t>
            </w:r>
            <w:r w:rsidR="00A65FE7">
              <w:rPr>
                <w:rFonts w:ascii="Arial" w:hAnsi="Arial" w:cs="Arial"/>
                <w:sz w:val="24"/>
                <w:szCs w:val="24"/>
                <w:lang w:val="en-US"/>
              </w:rPr>
              <w:t>n</w:t>
            </w:r>
            <w:r>
              <w:rPr>
                <w:rFonts w:ascii="Arial" w:hAnsi="Arial" w:cs="Arial"/>
                <w:sz w:val="24"/>
                <w:szCs w:val="24"/>
                <w:lang w:val="en-US"/>
              </w:rPr>
              <w:t>or are apparent</w:t>
            </w:r>
            <w:r w:rsidR="00A65FE7">
              <w:rPr>
                <w:rFonts w:ascii="Arial" w:hAnsi="Arial" w:cs="Arial"/>
                <w:sz w:val="24"/>
                <w:szCs w:val="24"/>
                <w:lang w:val="en-US"/>
              </w:rPr>
              <w:t>,</w:t>
            </w:r>
            <w:r>
              <w:rPr>
                <w:rFonts w:ascii="Arial" w:hAnsi="Arial" w:cs="Arial"/>
                <w:sz w:val="24"/>
                <w:szCs w:val="24"/>
                <w:lang w:val="en-US"/>
              </w:rPr>
              <w:t xml:space="preserve"> as to </w:t>
            </w:r>
            <w:r w:rsidR="00796B57" w:rsidRPr="00E00129">
              <w:rPr>
                <w:rFonts w:ascii="Arial" w:hAnsi="Arial" w:cs="Arial"/>
                <w:sz w:val="24"/>
                <w:szCs w:val="24"/>
                <w:lang w:val="en-US"/>
              </w:rPr>
              <w:t>why the general rule</w:t>
            </w:r>
            <w:r w:rsidR="00A65FE7">
              <w:rPr>
                <w:rFonts w:ascii="Arial" w:hAnsi="Arial" w:cs="Arial"/>
                <w:sz w:val="24"/>
                <w:szCs w:val="24"/>
                <w:lang w:val="en-US"/>
              </w:rPr>
              <w:t xml:space="preserve"> that costs follow the event,</w:t>
            </w:r>
            <w:r w:rsidR="00796B57" w:rsidRPr="00E00129">
              <w:rPr>
                <w:rFonts w:ascii="Arial" w:hAnsi="Arial" w:cs="Arial"/>
                <w:sz w:val="24"/>
                <w:szCs w:val="24"/>
                <w:lang w:val="en-US"/>
              </w:rPr>
              <w:t xml:space="preserve"> must not apply</w:t>
            </w:r>
            <w:r w:rsidR="00A65FE7">
              <w:rPr>
                <w:rFonts w:ascii="Arial" w:hAnsi="Arial" w:cs="Arial"/>
                <w:sz w:val="24"/>
                <w:szCs w:val="24"/>
                <w:lang w:val="en-US"/>
              </w:rPr>
              <w:t xml:space="preserve"> in this case</w:t>
            </w:r>
            <w:r w:rsidR="00796B57" w:rsidRPr="00E00129">
              <w:rPr>
                <w:rFonts w:ascii="Arial" w:hAnsi="Arial" w:cs="Arial"/>
                <w:sz w:val="24"/>
                <w:szCs w:val="24"/>
                <w:lang w:val="en-US"/>
              </w:rPr>
              <w:t>.</w:t>
            </w:r>
            <w:r>
              <w:rPr>
                <w:rFonts w:ascii="Arial" w:hAnsi="Arial" w:cs="Arial"/>
                <w:sz w:val="24"/>
                <w:szCs w:val="24"/>
                <w:lang w:val="en-US"/>
              </w:rPr>
              <w:t xml:space="preserve"> The plaintiff has been successful and </w:t>
            </w:r>
            <w:r w:rsidR="00A65FE7">
              <w:rPr>
                <w:rFonts w:ascii="Arial" w:hAnsi="Arial" w:cs="Arial"/>
                <w:sz w:val="24"/>
                <w:szCs w:val="24"/>
                <w:lang w:val="en-US"/>
              </w:rPr>
              <w:t xml:space="preserve">is </w:t>
            </w:r>
            <w:r>
              <w:rPr>
                <w:rFonts w:ascii="Arial" w:hAnsi="Arial" w:cs="Arial"/>
                <w:sz w:val="24"/>
                <w:szCs w:val="24"/>
                <w:lang w:val="en-US"/>
              </w:rPr>
              <w:t>thus entitled to its costs as recorded in the agreements signed by the parties.</w:t>
            </w:r>
          </w:p>
          <w:p w14:paraId="0672159C" w14:textId="14222D78" w:rsidR="00B5009C" w:rsidRDefault="00A65FE7" w:rsidP="00796B57">
            <w:pPr>
              <w:spacing w:line="360" w:lineRule="auto"/>
              <w:jc w:val="both"/>
              <w:rPr>
                <w:rFonts w:ascii="Arial" w:hAnsi="Arial" w:cs="Arial"/>
                <w:sz w:val="24"/>
                <w:szCs w:val="24"/>
                <w:lang w:val="en-US"/>
              </w:rPr>
            </w:pPr>
            <w:r>
              <w:rPr>
                <w:rFonts w:ascii="Arial" w:eastAsia="MS Mincho" w:hAnsi="Arial" w:cs="Arial"/>
                <w:sz w:val="24"/>
                <w:szCs w:val="24"/>
                <w:lang w:val="en-US"/>
              </w:rPr>
              <w:t>[23</w:t>
            </w:r>
            <w:r w:rsidR="00B5009C" w:rsidRPr="00E00129">
              <w:rPr>
                <w:rFonts w:ascii="Arial" w:eastAsia="MS Mincho" w:hAnsi="Arial" w:cs="Arial"/>
                <w:sz w:val="24"/>
                <w:szCs w:val="24"/>
                <w:lang w:val="en-US"/>
              </w:rPr>
              <w:t>]</w:t>
            </w:r>
            <w:r w:rsidR="00B5009C">
              <w:rPr>
                <w:rFonts w:ascii="Arial" w:eastAsia="MS Mincho" w:hAnsi="Arial" w:cs="Arial"/>
                <w:sz w:val="24"/>
                <w:szCs w:val="24"/>
                <w:lang w:val="en-US"/>
              </w:rPr>
              <w:t xml:space="preserve">  I</w:t>
            </w:r>
            <w:r w:rsidR="00B5009C">
              <w:rPr>
                <w:rFonts w:ascii="Arial" w:hAnsi="Arial" w:cs="Arial"/>
                <w:sz w:val="24"/>
                <w:szCs w:val="24"/>
                <w:lang w:val="en-US"/>
              </w:rPr>
              <w:t>n the resu</w:t>
            </w:r>
            <w:r>
              <w:rPr>
                <w:rFonts w:ascii="Arial" w:hAnsi="Arial" w:cs="Arial"/>
                <w:sz w:val="24"/>
                <w:szCs w:val="24"/>
                <w:lang w:val="en-US"/>
              </w:rPr>
              <w:t>lt, the following order is made</w:t>
            </w:r>
            <w:r w:rsidR="00B5009C">
              <w:rPr>
                <w:rFonts w:ascii="Arial" w:hAnsi="Arial" w:cs="Arial"/>
                <w:sz w:val="24"/>
                <w:szCs w:val="24"/>
                <w:lang w:val="en-US"/>
              </w:rPr>
              <w:t>:</w:t>
            </w:r>
          </w:p>
          <w:p w14:paraId="61B3C52E" w14:textId="77777777" w:rsidR="00B5009C" w:rsidRPr="005325C5" w:rsidRDefault="005325C5" w:rsidP="00B5009C">
            <w:pPr>
              <w:pStyle w:val="ListParagraph"/>
              <w:spacing w:after="0" w:line="360" w:lineRule="auto"/>
              <w:ind w:left="0"/>
              <w:jc w:val="both"/>
              <w:rPr>
                <w:rFonts w:ascii="Arial" w:hAnsi="Arial" w:cs="Arial"/>
                <w:color w:val="000000"/>
                <w:sz w:val="24"/>
                <w:szCs w:val="24"/>
              </w:rPr>
            </w:pPr>
            <w:r w:rsidRPr="005325C5">
              <w:rPr>
                <w:rFonts w:ascii="Arial" w:hAnsi="Arial" w:cs="Arial"/>
                <w:color w:val="000000"/>
                <w:sz w:val="24"/>
                <w:szCs w:val="24"/>
              </w:rPr>
              <w:t>The p</w:t>
            </w:r>
            <w:r w:rsidR="00B5009C" w:rsidRPr="005325C5">
              <w:rPr>
                <w:rFonts w:ascii="Arial" w:hAnsi="Arial" w:cs="Arial"/>
                <w:color w:val="000000"/>
                <w:sz w:val="24"/>
                <w:szCs w:val="24"/>
              </w:rPr>
              <w:t>laintiff`s application for summary judgment is granted against the Defendant in the following terms:</w:t>
            </w:r>
          </w:p>
          <w:p w14:paraId="48A068CD" w14:textId="77777777" w:rsidR="00B5009C" w:rsidRPr="00E00129" w:rsidRDefault="00B5009C" w:rsidP="00B5009C">
            <w:pPr>
              <w:pStyle w:val="ListParagraph"/>
              <w:spacing w:after="0" w:line="360" w:lineRule="auto"/>
              <w:ind w:left="446"/>
              <w:jc w:val="both"/>
              <w:rPr>
                <w:rFonts w:ascii="Arial" w:hAnsi="Arial" w:cs="Arial"/>
                <w:color w:val="000000"/>
                <w:sz w:val="24"/>
                <w:szCs w:val="24"/>
              </w:rPr>
            </w:pPr>
          </w:p>
          <w:p w14:paraId="7C5280BB" w14:textId="5363FE8A" w:rsidR="00B5009C" w:rsidRPr="00E00129" w:rsidRDefault="00B5009C" w:rsidP="00281366">
            <w:pPr>
              <w:pStyle w:val="ListParagraph"/>
              <w:spacing w:after="0" w:line="360" w:lineRule="auto"/>
              <w:ind w:left="446"/>
              <w:jc w:val="both"/>
              <w:rPr>
                <w:rFonts w:ascii="Arial" w:hAnsi="Arial" w:cs="Arial"/>
                <w:color w:val="000000"/>
                <w:sz w:val="24"/>
                <w:szCs w:val="24"/>
              </w:rPr>
            </w:pPr>
            <w:r w:rsidRPr="00E00129">
              <w:rPr>
                <w:rFonts w:ascii="Arial" w:hAnsi="Arial" w:cs="Arial"/>
                <w:color w:val="000000"/>
                <w:sz w:val="24"/>
                <w:szCs w:val="24"/>
              </w:rPr>
              <w:t>1.</w:t>
            </w:r>
            <w:r w:rsidRPr="00E00129">
              <w:rPr>
                <w:rFonts w:ascii="Arial" w:hAnsi="Arial" w:cs="Arial"/>
                <w:color w:val="000000"/>
                <w:sz w:val="24"/>
                <w:szCs w:val="24"/>
              </w:rPr>
              <w:tab/>
              <w:t>Payment in the amount of N$2,939,071.14;</w:t>
            </w:r>
          </w:p>
          <w:p w14:paraId="15127F3E" w14:textId="3E28D58A" w:rsidR="00B5009C" w:rsidRPr="00E00129" w:rsidRDefault="00B5009C" w:rsidP="00281366">
            <w:pPr>
              <w:pStyle w:val="ListParagraph"/>
              <w:spacing w:after="0" w:line="360" w:lineRule="auto"/>
              <w:ind w:left="446"/>
              <w:jc w:val="both"/>
              <w:rPr>
                <w:rFonts w:ascii="Arial" w:hAnsi="Arial" w:cs="Arial"/>
                <w:color w:val="000000"/>
                <w:sz w:val="24"/>
                <w:szCs w:val="24"/>
              </w:rPr>
            </w:pPr>
            <w:r w:rsidRPr="00E00129">
              <w:rPr>
                <w:rFonts w:ascii="Arial" w:hAnsi="Arial" w:cs="Arial"/>
                <w:color w:val="000000"/>
                <w:sz w:val="24"/>
                <w:szCs w:val="24"/>
              </w:rPr>
              <w:t>2.  Interest on the amount of N$2,939,071.14, calculated daily and capitalised monthly at the rate of 12.00% calculated from 17 January 2022 until date of final payment;</w:t>
            </w:r>
          </w:p>
          <w:p w14:paraId="01A819E3" w14:textId="77777777" w:rsidR="00B5009C" w:rsidRPr="00E00129" w:rsidRDefault="00B5009C" w:rsidP="00281366">
            <w:pPr>
              <w:pStyle w:val="ListParagraph"/>
              <w:spacing w:after="0" w:line="360" w:lineRule="auto"/>
              <w:ind w:left="725"/>
              <w:jc w:val="both"/>
              <w:rPr>
                <w:rFonts w:ascii="Arial" w:hAnsi="Arial" w:cs="Arial"/>
                <w:color w:val="000000"/>
                <w:sz w:val="24"/>
                <w:szCs w:val="24"/>
              </w:rPr>
            </w:pPr>
            <w:r w:rsidRPr="00E00129">
              <w:rPr>
                <w:rFonts w:ascii="Arial" w:hAnsi="Arial" w:cs="Arial"/>
                <w:color w:val="000000"/>
                <w:sz w:val="24"/>
                <w:szCs w:val="24"/>
              </w:rPr>
              <w:t>3.</w:t>
            </w:r>
            <w:r w:rsidRPr="00E00129">
              <w:rPr>
                <w:rFonts w:ascii="Arial" w:hAnsi="Arial" w:cs="Arial"/>
                <w:color w:val="000000"/>
                <w:sz w:val="24"/>
                <w:szCs w:val="24"/>
              </w:rPr>
              <w:tab/>
              <w:t xml:space="preserve">  An order </w:t>
            </w:r>
            <w:r w:rsidR="005325C5">
              <w:rPr>
                <w:rFonts w:ascii="Arial" w:hAnsi="Arial" w:cs="Arial"/>
                <w:color w:val="000000"/>
                <w:sz w:val="24"/>
                <w:szCs w:val="24"/>
              </w:rPr>
              <w:t xml:space="preserve">is hereby issued </w:t>
            </w:r>
            <w:r w:rsidRPr="00E00129">
              <w:rPr>
                <w:rFonts w:ascii="Arial" w:hAnsi="Arial" w:cs="Arial"/>
                <w:color w:val="000000"/>
                <w:sz w:val="24"/>
                <w:szCs w:val="24"/>
              </w:rPr>
              <w:t>declaring the following property executable:</w:t>
            </w:r>
          </w:p>
          <w:p w14:paraId="76122A42" w14:textId="77777777" w:rsidR="00B5009C" w:rsidRPr="00E00129" w:rsidRDefault="00B5009C" w:rsidP="00281366">
            <w:pPr>
              <w:pStyle w:val="ListParagraph"/>
              <w:spacing w:after="0" w:line="360" w:lineRule="auto"/>
              <w:ind w:left="0"/>
              <w:jc w:val="both"/>
              <w:rPr>
                <w:rFonts w:ascii="Arial" w:hAnsi="Arial" w:cs="Arial"/>
                <w:color w:val="000000"/>
                <w:sz w:val="24"/>
                <w:szCs w:val="24"/>
              </w:rPr>
            </w:pPr>
          </w:p>
          <w:p w14:paraId="31EC28D7"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CERTAIN :      ERF 4222 (A PORTION OF ERF 3148) WINDHOEK</w:t>
            </w:r>
          </w:p>
          <w:p w14:paraId="4BE78FE7"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p>
          <w:p w14:paraId="0D887BEB" w14:textId="4F7DE156" w:rsidR="00B5009C" w:rsidRPr="00E00129" w:rsidRDefault="00B5009C" w:rsidP="00B5009C">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lastRenderedPageBreak/>
              <w:t>SITUATE :       IN THE MUNICIPALITY OF W</w:t>
            </w:r>
            <w:r w:rsidR="00281366">
              <w:rPr>
                <w:rFonts w:ascii="Arial" w:hAnsi="Arial" w:cs="Arial"/>
                <w:color w:val="000000"/>
                <w:sz w:val="24"/>
                <w:szCs w:val="24"/>
              </w:rPr>
              <w:t>INDHOEK</w:t>
            </w:r>
          </w:p>
          <w:p w14:paraId="4806A888"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p>
          <w:p w14:paraId="427C5228"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 xml:space="preserve">                        REGISTRATION DIVISION “K”</w:t>
            </w:r>
          </w:p>
          <w:p w14:paraId="36689FD3"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p>
          <w:p w14:paraId="66C82C94"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 xml:space="preserve">                         KHOMAS REGION</w:t>
            </w:r>
          </w:p>
          <w:p w14:paraId="28631C2F"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p>
          <w:p w14:paraId="7D3CF88F"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MEASURING: 1202 (ONE TWO ZERO TWO) SQUARE METRES</w:t>
            </w:r>
          </w:p>
          <w:p w14:paraId="27187CB6"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p>
          <w:p w14:paraId="71752835"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HELD BY DEED OF TRANSFER NO. T 643/2013</w:t>
            </w:r>
          </w:p>
          <w:p w14:paraId="36946E25"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p>
          <w:p w14:paraId="775242B3" w14:textId="77777777" w:rsidR="00B5009C" w:rsidRPr="00E00129" w:rsidRDefault="00B5009C" w:rsidP="00B5009C">
            <w:pPr>
              <w:pStyle w:val="ListParagraph"/>
              <w:spacing w:after="0" w:line="240" w:lineRule="auto"/>
              <w:ind w:left="446"/>
              <w:jc w:val="both"/>
              <w:rPr>
                <w:rFonts w:ascii="Arial" w:hAnsi="Arial" w:cs="Arial"/>
                <w:color w:val="000000"/>
                <w:sz w:val="24"/>
                <w:szCs w:val="24"/>
              </w:rPr>
            </w:pPr>
            <w:r w:rsidRPr="00E00129">
              <w:rPr>
                <w:rFonts w:ascii="Arial" w:hAnsi="Arial" w:cs="Arial"/>
                <w:color w:val="000000"/>
                <w:sz w:val="24"/>
                <w:szCs w:val="24"/>
              </w:rPr>
              <w:t>SUBJECT     :  TO THE CONDITIONS CONTAINED THEREIN</w:t>
            </w:r>
          </w:p>
          <w:p w14:paraId="29D5D540" w14:textId="77777777" w:rsidR="00B5009C" w:rsidRPr="00E00129" w:rsidRDefault="00B5009C" w:rsidP="00B5009C">
            <w:pPr>
              <w:pStyle w:val="ListParagraph"/>
              <w:spacing w:after="0" w:line="360" w:lineRule="auto"/>
              <w:ind w:left="0"/>
              <w:jc w:val="both"/>
              <w:rPr>
                <w:rFonts w:ascii="Arial" w:hAnsi="Arial" w:cs="Arial"/>
                <w:color w:val="000000"/>
                <w:sz w:val="24"/>
                <w:szCs w:val="24"/>
              </w:rPr>
            </w:pPr>
          </w:p>
          <w:p w14:paraId="6C0526BC" w14:textId="77777777" w:rsidR="00281366" w:rsidRDefault="00281366" w:rsidP="00281366">
            <w:pPr>
              <w:spacing w:line="360" w:lineRule="auto"/>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t>Costs of suit</w:t>
            </w:r>
            <w:r w:rsidR="00B5009C" w:rsidRPr="00E00129">
              <w:rPr>
                <w:rFonts w:ascii="Arial" w:hAnsi="Arial" w:cs="Arial"/>
                <w:color w:val="000000"/>
                <w:sz w:val="24"/>
                <w:szCs w:val="24"/>
              </w:rPr>
              <w:t xml:space="preserve"> on an attorney and client scale.</w:t>
            </w:r>
          </w:p>
          <w:p w14:paraId="0B62B46C" w14:textId="7703935B" w:rsidR="00281366" w:rsidRPr="00281366" w:rsidRDefault="00281366" w:rsidP="00281366">
            <w:pPr>
              <w:spacing w:line="360" w:lineRule="auto"/>
              <w:ind w:left="815" w:hanging="815"/>
              <w:jc w:val="both"/>
              <w:rPr>
                <w:rFonts w:ascii="Arial" w:hAnsi="Arial" w:cs="Arial"/>
                <w:color w:val="000000"/>
                <w:sz w:val="24"/>
                <w:szCs w:val="24"/>
              </w:rPr>
            </w:pPr>
            <w:r>
              <w:rPr>
                <w:rFonts w:ascii="Arial" w:hAnsi="Arial" w:cs="Arial"/>
                <w:color w:val="000000"/>
                <w:sz w:val="24"/>
                <w:szCs w:val="24"/>
              </w:rPr>
              <w:t>5.        The matter is removed from the roll and regarded as finalised.</w:t>
            </w:r>
          </w:p>
        </w:tc>
      </w:tr>
      <w:tr w:rsidR="00243A84" w:rsidRPr="00E00129" w14:paraId="641BEE5A" w14:textId="77777777" w:rsidTr="0029776E">
        <w:tc>
          <w:tcPr>
            <w:tcW w:w="9720" w:type="dxa"/>
            <w:gridSpan w:val="3"/>
            <w:shd w:val="clear" w:color="auto" w:fill="auto"/>
          </w:tcPr>
          <w:p w14:paraId="58C3AF3B" w14:textId="77777777" w:rsidR="008D28CE" w:rsidRPr="00E00129" w:rsidRDefault="008D28CE" w:rsidP="00E00129">
            <w:pPr>
              <w:pStyle w:val="Heading2"/>
              <w:rPr>
                <w:color w:val="000000"/>
              </w:rPr>
            </w:pPr>
          </w:p>
          <w:p w14:paraId="66263DC0" w14:textId="77777777" w:rsidR="008013B4" w:rsidRPr="00E00129" w:rsidRDefault="008013B4" w:rsidP="00E00129">
            <w:pPr>
              <w:pStyle w:val="ListParagraph"/>
              <w:tabs>
                <w:tab w:val="left" w:pos="575"/>
              </w:tabs>
              <w:spacing w:after="0" w:line="360" w:lineRule="auto"/>
              <w:ind w:left="0" w:right="164"/>
              <w:jc w:val="both"/>
              <w:rPr>
                <w:rFonts w:ascii="Arial" w:hAnsi="Arial" w:cs="Arial"/>
                <w:color w:val="000000"/>
                <w:sz w:val="24"/>
                <w:szCs w:val="24"/>
              </w:rPr>
            </w:pPr>
          </w:p>
        </w:tc>
      </w:tr>
      <w:tr w:rsidR="00243A84" w:rsidRPr="00E00129" w14:paraId="662104BE" w14:textId="77777777" w:rsidTr="0029776E">
        <w:tc>
          <w:tcPr>
            <w:tcW w:w="5090" w:type="dxa"/>
            <w:shd w:val="clear" w:color="auto" w:fill="auto"/>
          </w:tcPr>
          <w:p w14:paraId="1E93D959" w14:textId="77777777" w:rsidR="00BE5489" w:rsidRPr="00E00129" w:rsidRDefault="00EB27A0" w:rsidP="0029776E">
            <w:pPr>
              <w:spacing w:after="0" w:line="360" w:lineRule="auto"/>
              <w:jc w:val="center"/>
              <w:rPr>
                <w:rFonts w:ascii="Arial" w:hAnsi="Arial" w:cs="Arial"/>
                <w:b/>
                <w:color w:val="000000"/>
                <w:sz w:val="24"/>
                <w:szCs w:val="24"/>
              </w:rPr>
            </w:pPr>
            <w:r w:rsidRPr="00E00129">
              <w:rPr>
                <w:rFonts w:ascii="Arial" w:hAnsi="Arial" w:cs="Arial"/>
                <w:b/>
                <w:color w:val="000000"/>
                <w:sz w:val="24"/>
                <w:szCs w:val="24"/>
              </w:rPr>
              <w:t>Judge’s signature:</w:t>
            </w:r>
          </w:p>
        </w:tc>
        <w:tc>
          <w:tcPr>
            <w:tcW w:w="4630" w:type="dxa"/>
            <w:gridSpan w:val="2"/>
            <w:shd w:val="clear" w:color="auto" w:fill="auto"/>
          </w:tcPr>
          <w:p w14:paraId="2905FF54" w14:textId="77777777" w:rsidR="00BE5489" w:rsidRPr="00E00129" w:rsidRDefault="00EB27A0" w:rsidP="0029776E">
            <w:pPr>
              <w:spacing w:after="0" w:line="360" w:lineRule="auto"/>
              <w:jc w:val="center"/>
              <w:rPr>
                <w:rFonts w:ascii="Arial" w:hAnsi="Arial" w:cs="Arial"/>
                <w:b/>
                <w:color w:val="000000"/>
                <w:sz w:val="24"/>
                <w:szCs w:val="24"/>
              </w:rPr>
            </w:pPr>
            <w:r w:rsidRPr="00E00129">
              <w:rPr>
                <w:rFonts w:ascii="Arial" w:hAnsi="Arial" w:cs="Arial"/>
                <w:b/>
                <w:color w:val="000000"/>
                <w:sz w:val="24"/>
                <w:szCs w:val="24"/>
              </w:rPr>
              <w:t>Note to the parties:</w:t>
            </w:r>
          </w:p>
        </w:tc>
      </w:tr>
      <w:tr w:rsidR="00243A84" w:rsidRPr="00E00129" w14:paraId="60D19CD6" w14:textId="77777777" w:rsidTr="0029776E">
        <w:trPr>
          <w:trHeight w:val="1114"/>
        </w:trPr>
        <w:tc>
          <w:tcPr>
            <w:tcW w:w="5090" w:type="dxa"/>
            <w:shd w:val="clear" w:color="auto" w:fill="auto"/>
          </w:tcPr>
          <w:p w14:paraId="1BBFD4F4" w14:textId="77777777" w:rsidR="009F6C8B" w:rsidRPr="00E00129" w:rsidRDefault="009F6C8B" w:rsidP="0029776E">
            <w:pPr>
              <w:spacing w:after="0" w:line="360" w:lineRule="auto"/>
              <w:jc w:val="both"/>
              <w:rPr>
                <w:rFonts w:ascii="Arial" w:hAnsi="Arial" w:cs="Arial"/>
                <w:color w:val="000000"/>
                <w:sz w:val="24"/>
                <w:szCs w:val="24"/>
              </w:rPr>
            </w:pPr>
          </w:p>
        </w:tc>
        <w:tc>
          <w:tcPr>
            <w:tcW w:w="4630" w:type="dxa"/>
            <w:gridSpan w:val="2"/>
            <w:shd w:val="clear" w:color="auto" w:fill="auto"/>
          </w:tcPr>
          <w:p w14:paraId="295945A5" w14:textId="77777777" w:rsidR="00BE5489" w:rsidRPr="00E00129" w:rsidRDefault="0060394A" w:rsidP="0029776E">
            <w:pPr>
              <w:spacing w:after="0" w:line="360" w:lineRule="auto"/>
              <w:jc w:val="both"/>
              <w:rPr>
                <w:rFonts w:ascii="Arial" w:hAnsi="Arial" w:cs="Arial"/>
                <w:color w:val="000000"/>
                <w:sz w:val="24"/>
                <w:szCs w:val="24"/>
              </w:rPr>
            </w:pPr>
            <w:r w:rsidRPr="00E00129">
              <w:rPr>
                <w:rFonts w:ascii="Arial" w:hAnsi="Arial" w:cs="Arial"/>
                <w:color w:val="000000"/>
                <w:sz w:val="24"/>
                <w:szCs w:val="24"/>
              </w:rPr>
              <w:t>Not applicable.</w:t>
            </w:r>
          </w:p>
        </w:tc>
      </w:tr>
      <w:tr w:rsidR="00243A84" w:rsidRPr="00E00129" w14:paraId="56407E03" w14:textId="77777777" w:rsidTr="0029776E">
        <w:tc>
          <w:tcPr>
            <w:tcW w:w="9720" w:type="dxa"/>
            <w:gridSpan w:val="3"/>
            <w:shd w:val="clear" w:color="auto" w:fill="auto"/>
          </w:tcPr>
          <w:p w14:paraId="647AAC09" w14:textId="77777777" w:rsidR="005807DA" w:rsidRPr="00E00129" w:rsidRDefault="005807DA" w:rsidP="0029776E">
            <w:pPr>
              <w:spacing w:after="0" w:line="360" w:lineRule="auto"/>
              <w:rPr>
                <w:rFonts w:ascii="Arial" w:hAnsi="Arial" w:cs="Arial"/>
                <w:b/>
                <w:color w:val="000000"/>
                <w:sz w:val="24"/>
                <w:szCs w:val="24"/>
              </w:rPr>
            </w:pPr>
          </w:p>
          <w:p w14:paraId="5126BD7E" w14:textId="77777777" w:rsidR="00A23F8A" w:rsidRPr="00E00129" w:rsidRDefault="00A23F8A" w:rsidP="0029776E">
            <w:pPr>
              <w:spacing w:after="0" w:line="360" w:lineRule="auto"/>
              <w:jc w:val="center"/>
              <w:rPr>
                <w:rFonts w:ascii="Arial" w:hAnsi="Arial" w:cs="Arial"/>
                <w:b/>
                <w:color w:val="000000"/>
                <w:sz w:val="24"/>
                <w:szCs w:val="24"/>
              </w:rPr>
            </w:pPr>
            <w:r w:rsidRPr="00E00129">
              <w:rPr>
                <w:rFonts w:ascii="Arial" w:hAnsi="Arial" w:cs="Arial"/>
                <w:b/>
                <w:color w:val="000000"/>
                <w:sz w:val="24"/>
                <w:szCs w:val="24"/>
              </w:rPr>
              <w:t>Counsel:</w:t>
            </w:r>
          </w:p>
        </w:tc>
      </w:tr>
      <w:tr w:rsidR="00243A84" w:rsidRPr="00E00129" w14:paraId="7B7F0F67" w14:textId="77777777" w:rsidTr="0029776E">
        <w:tc>
          <w:tcPr>
            <w:tcW w:w="5090" w:type="dxa"/>
            <w:shd w:val="clear" w:color="auto" w:fill="auto"/>
          </w:tcPr>
          <w:p w14:paraId="032F20DF" w14:textId="77777777" w:rsidR="00FD38C2" w:rsidRPr="00E00129" w:rsidRDefault="0002256F" w:rsidP="0029776E">
            <w:pPr>
              <w:spacing w:after="0" w:line="360" w:lineRule="auto"/>
              <w:jc w:val="center"/>
              <w:rPr>
                <w:rFonts w:ascii="Arial" w:hAnsi="Arial" w:cs="Arial"/>
                <w:b/>
                <w:color w:val="000000"/>
                <w:sz w:val="24"/>
                <w:szCs w:val="24"/>
              </w:rPr>
            </w:pPr>
            <w:r w:rsidRPr="00E00129">
              <w:rPr>
                <w:rFonts w:ascii="Arial" w:hAnsi="Arial" w:cs="Arial"/>
                <w:b/>
                <w:color w:val="000000"/>
                <w:sz w:val="24"/>
                <w:szCs w:val="24"/>
              </w:rPr>
              <w:t>Plaintiff</w:t>
            </w:r>
          </w:p>
        </w:tc>
        <w:tc>
          <w:tcPr>
            <w:tcW w:w="4630" w:type="dxa"/>
            <w:gridSpan w:val="2"/>
            <w:shd w:val="clear" w:color="auto" w:fill="auto"/>
          </w:tcPr>
          <w:p w14:paraId="420CAE14" w14:textId="77777777" w:rsidR="00FD38C2" w:rsidRPr="00E00129" w:rsidRDefault="00C84F4C" w:rsidP="0029776E">
            <w:pPr>
              <w:spacing w:after="0" w:line="360" w:lineRule="auto"/>
              <w:jc w:val="center"/>
              <w:rPr>
                <w:rFonts w:ascii="Arial" w:hAnsi="Arial" w:cs="Arial"/>
                <w:b/>
                <w:color w:val="000000"/>
                <w:sz w:val="24"/>
                <w:szCs w:val="24"/>
              </w:rPr>
            </w:pPr>
            <w:r w:rsidRPr="00E00129">
              <w:rPr>
                <w:rFonts w:ascii="Arial" w:hAnsi="Arial" w:cs="Arial"/>
                <w:b/>
                <w:color w:val="000000"/>
                <w:sz w:val="24"/>
                <w:szCs w:val="24"/>
              </w:rPr>
              <w:t>Defendant</w:t>
            </w:r>
          </w:p>
        </w:tc>
      </w:tr>
      <w:tr w:rsidR="00A23F8A" w:rsidRPr="00E00129" w14:paraId="200D25A4" w14:textId="77777777" w:rsidTr="0029776E">
        <w:tc>
          <w:tcPr>
            <w:tcW w:w="5090" w:type="dxa"/>
            <w:shd w:val="clear" w:color="auto" w:fill="auto"/>
          </w:tcPr>
          <w:p w14:paraId="547EE6F7" w14:textId="269D3A12" w:rsidR="008E6759" w:rsidRPr="00E00129" w:rsidRDefault="009A2953" w:rsidP="0029776E">
            <w:pPr>
              <w:spacing w:after="0" w:line="360" w:lineRule="auto"/>
              <w:jc w:val="center"/>
              <w:rPr>
                <w:rFonts w:ascii="Arial" w:hAnsi="Arial" w:cs="Arial"/>
                <w:color w:val="000000"/>
                <w:sz w:val="24"/>
                <w:szCs w:val="24"/>
              </w:rPr>
            </w:pPr>
            <w:r>
              <w:rPr>
                <w:rFonts w:ascii="Arial" w:hAnsi="Arial" w:cs="Arial"/>
                <w:color w:val="000000"/>
                <w:sz w:val="24"/>
                <w:szCs w:val="24"/>
              </w:rPr>
              <w:t>K</w:t>
            </w:r>
            <w:r w:rsidR="00E00129">
              <w:rPr>
                <w:rFonts w:ascii="Arial" w:hAnsi="Arial" w:cs="Arial"/>
                <w:color w:val="000000"/>
                <w:sz w:val="24"/>
                <w:szCs w:val="24"/>
              </w:rPr>
              <w:t xml:space="preserve"> </w:t>
            </w:r>
            <w:proofErr w:type="spellStart"/>
            <w:r w:rsidR="00E00129">
              <w:rPr>
                <w:rFonts w:ascii="Arial" w:hAnsi="Arial" w:cs="Arial"/>
                <w:color w:val="000000"/>
                <w:sz w:val="24"/>
                <w:szCs w:val="24"/>
              </w:rPr>
              <w:t>Angula</w:t>
            </w:r>
            <w:proofErr w:type="spellEnd"/>
          </w:p>
          <w:p w14:paraId="236F7802" w14:textId="77777777" w:rsidR="008E6759" w:rsidRPr="00E00129" w:rsidRDefault="009E31F0" w:rsidP="00E00129">
            <w:pPr>
              <w:spacing w:after="0" w:line="360" w:lineRule="auto"/>
              <w:jc w:val="center"/>
              <w:rPr>
                <w:rFonts w:ascii="Arial" w:hAnsi="Arial" w:cs="Arial"/>
                <w:color w:val="000000"/>
                <w:sz w:val="24"/>
                <w:szCs w:val="24"/>
              </w:rPr>
            </w:pPr>
            <w:r w:rsidRPr="00E00129">
              <w:rPr>
                <w:rFonts w:ascii="Arial" w:hAnsi="Arial" w:cs="Arial"/>
                <w:color w:val="000000"/>
                <w:sz w:val="24"/>
                <w:szCs w:val="24"/>
              </w:rPr>
              <w:t>of</w:t>
            </w:r>
          </w:p>
          <w:p w14:paraId="065BBC3F" w14:textId="77777777" w:rsidR="008E6759" w:rsidRPr="00E00129" w:rsidRDefault="00E00129" w:rsidP="00E00129">
            <w:pPr>
              <w:spacing w:after="0" w:line="360" w:lineRule="auto"/>
              <w:jc w:val="center"/>
              <w:rPr>
                <w:rFonts w:ascii="Arial" w:hAnsi="Arial" w:cs="Arial"/>
                <w:color w:val="000000"/>
                <w:sz w:val="24"/>
                <w:szCs w:val="24"/>
              </w:rPr>
            </w:pPr>
            <w:proofErr w:type="spellStart"/>
            <w:r>
              <w:rPr>
                <w:rFonts w:ascii="Arial" w:hAnsi="Arial" w:cs="Arial"/>
                <w:color w:val="000000"/>
                <w:sz w:val="24"/>
                <w:szCs w:val="24"/>
              </w:rPr>
              <w:t>Angula</w:t>
            </w:r>
            <w:proofErr w:type="spellEnd"/>
            <w:r>
              <w:rPr>
                <w:rFonts w:ascii="Arial" w:hAnsi="Arial" w:cs="Arial"/>
                <w:color w:val="000000"/>
                <w:sz w:val="24"/>
                <w:szCs w:val="24"/>
              </w:rPr>
              <w:t xml:space="preserve"> Co </w:t>
            </w:r>
            <w:r w:rsidRPr="00E00129">
              <w:rPr>
                <w:rFonts w:ascii="Arial" w:hAnsi="Arial" w:cs="Arial"/>
                <w:color w:val="000000"/>
                <w:sz w:val="24"/>
                <w:szCs w:val="24"/>
              </w:rPr>
              <w:t>Inc.</w:t>
            </w:r>
            <w:r w:rsidR="008013B4" w:rsidRPr="00E00129">
              <w:rPr>
                <w:rFonts w:ascii="Arial" w:hAnsi="Arial" w:cs="Arial"/>
                <w:color w:val="000000"/>
                <w:sz w:val="24"/>
                <w:szCs w:val="24"/>
              </w:rPr>
              <w:t>,</w:t>
            </w:r>
            <w:r w:rsidR="008E6759" w:rsidRPr="00E00129">
              <w:rPr>
                <w:rFonts w:ascii="Arial" w:hAnsi="Arial" w:cs="Arial"/>
                <w:color w:val="000000"/>
                <w:sz w:val="24"/>
                <w:szCs w:val="24"/>
              </w:rPr>
              <w:t xml:space="preserve"> Windhoek</w:t>
            </w:r>
          </w:p>
        </w:tc>
        <w:tc>
          <w:tcPr>
            <w:tcW w:w="4630" w:type="dxa"/>
            <w:gridSpan w:val="2"/>
            <w:shd w:val="clear" w:color="auto" w:fill="auto"/>
          </w:tcPr>
          <w:p w14:paraId="0851765C" w14:textId="749581B0" w:rsidR="00C84F4C" w:rsidRPr="00E00129" w:rsidRDefault="00E00129" w:rsidP="0029776E">
            <w:pPr>
              <w:spacing w:after="0" w:line="360" w:lineRule="auto"/>
              <w:jc w:val="center"/>
              <w:rPr>
                <w:rFonts w:ascii="Arial" w:hAnsi="Arial" w:cs="Arial"/>
                <w:color w:val="000000"/>
                <w:sz w:val="24"/>
                <w:szCs w:val="24"/>
              </w:rPr>
            </w:pPr>
            <w:r w:rsidRPr="00E00129">
              <w:rPr>
                <w:rFonts w:ascii="Arial" w:hAnsi="Arial" w:cs="Arial"/>
                <w:color w:val="000000"/>
                <w:sz w:val="24"/>
                <w:szCs w:val="24"/>
                <w:shd w:val="clear" w:color="auto" w:fill="FFFFFF"/>
              </w:rPr>
              <w:t>A</w:t>
            </w:r>
            <w:r w:rsidR="009A2953">
              <w:rPr>
                <w:rFonts w:ascii="Arial" w:hAnsi="Arial" w:cs="Arial"/>
                <w:color w:val="000000"/>
                <w:sz w:val="24"/>
                <w:szCs w:val="24"/>
                <w:shd w:val="clear" w:color="auto" w:fill="FFFFFF"/>
              </w:rPr>
              <w:t xml:space="preserve"> </w:t>
            </w:r>
            <w:proofErr w:type="spellStart"/>
            <w:r w:rsidRPr="00E00129">
              <w:rPr>
                <w:rFonts w:ascii="Arial" w:hAnsi="Arial" w:cs="Arial"/>
                <w:color w:val="000000"/>
                <w:sz w:val="24"/>
                <w:szCs w:val="24"/>
                <w:shd w:val="clear" w:color="auto" w:fill="FFFFFF"/>
              </w:rPr>
              <w:t>Helmuth</w:t>
            </w:r>
            <w:proofErr w:type="spellEnd"/>
          </w:p>
          <w:p w14:paraId="3836671D" w14:textId="77777777" w:rsidR="00265783" w:rsidRPr="00E00129" w:rsidRDefault="00265783" w:rsidP="0029776E">
            <w:pPr>
              <w:spacing w:after="0" w:line="360" w:lineRule="auto"/>
              <w:jc w:val="center"/>
              <w:rPr>
                <w:rFonts w:ascii="Arial" w:hAnsi="Arial" w:cs="Arial"/>
                <w:color w:val="000000"/>
                <w:sz w:val="24"/>
                <w:szCs w:val="24"/>
              </w:rPr>
            </w:pPr>
          </w:p>
          <w:p w14:paraId="1A1E8626" w14:textId="77777777" w:rsidR="006E49A3" w:rsidRPr="00E00129" w:rsidRDefault="00E00129" w:rsidP="00E00129">
            <w:pPr>
              <w:spacing w:after="0" w:line="360" w:lineRule="auto"/>
              <w:jc w:val="center"/>
              <w:rPr>
                <w:rFonts w:ascii="Arial" w:hAnsi="Arial" w:cs="Arial"/>
                <w:color w:val="000000"/>
                <w:sz w:val="24"/>
                <w:szCs w:val="24"/>
              </w:rPr>
            </w:pPr>
            <w:r>
              <w:rPr>
                <w:rFonts w:ascii="Arial" w:hAnsi="Arial" w:cs="Arial"/>
                <w:color w:val="000000"/>
                <w:sz w:val="24"/>
                <w:szCs w:val="24"/>
              </w:rPr>
              <w:t>The Defendant in person</w:t>
            </w:r>
          </w:p>
        </w:tc>
      </w:tr>
    </w:tbl>
    <w:p w14:paraId="3369C325" w14:textId="77777777" w:rsidR="00AA43A9" w:rsidRPr="00E00129" w:rsidRDefault="00AA43A9" w:rsidP="00261ADD">
      <w:pPr>
        <w:spacing w:after="0" w:line="360" w:lineRule="auto"/>
        <w:jc w:val="both"/>
        <w:rPr>
          <w:rFonts w:ascii="Arial" w:hAnsi="Arial" w:cs="Arial"/>
          <w:color w:val="000000"/>
          <w:sz w:val="24"/>
          <w:szCs w:val="24"/>
        </w:rPr>
      </w:pPr>
    </w:p>
    <w:p w14:paraId="7B702F9D" w14:textId="77777777" w:rsidR="00AA43A9" w:rsidRPr="00E00129" w:rsidRDefault="00AA43A9" w:rsidP="00AA43A9">
      <w:pPr>
        <w:rPr>
          <w:rFonts w:ascii="Arial" w:hAnsi="Arial" w:cs="Arial"/>
          <w:color w:val="000000"/>
          <w:sz w:val="24"/>
          <w:szCs w:val="24"/>
        </w:rPr>
      </w:pPr>
    </w:p>
    <w:p w14:paraId="19DF9DB0" w14:textId="77777777" w:rsidR="00AA43A9" w:rsidRPr="00E00129" w:rsidRDefault="00AA43A9" w:rsidP="00AA43A9">
      <w:pPr>
        <w:rPr>
          <w:rFonts w:ascii="Arial" w:hAnsi="Arial" w:cs="Arial"/>
          <w:color w:val="000000"/>
          <w:sz w:val="24"/>
          <w:szCs w:val="24"/>
        </w:rPr>
      </w:pPr>
    </w:p>
    <w:p w14:paraId="32B121F6" w14:textId="77777777" w:rsidR="00374046" w:rsidRPr="00E00129" w:rsidRDefault="00374046" w:rsidP="00AA43A9">
      <w:pPr>
        <w:spacing w:line="360" w:lineRule="auto"/>
        <w:jc w:val="both"/>
        <w:rPr>
          <w:rFonts w:ascii="Arial" w:hAnsi="Arial" w:cs="Arial"/>
          <w:color w:val="000000"/>
          <w:sz w:val="24"/>
          <w:szCs w:val="24"/>
        </w:rPr>
      </w:pPr>
    </w:p>
    <w:sectPr w:rsidR="00374046" w:rsidRPr="00E00129" w:rsidSect="009A0E04">
      <w:headerReference w:type="default" r:id="rId13"/>
      <w:footerReference w:type="default" r:id="rId14"/>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B763" w14:textId="77777777" w:rsidR="002B5E79" w:rsidRDefault="002B5E79" w:rsidP="00A23F8A">
      <w:pPr>
        <w:spacing w:after="0" w:line="240" w:lineRule="auto"/>
      </w:pPr>
      <w:r>
        <w:separator/>
      </w:r>
    </w:p>
  </w:endnote>
  <w:endnote w:type="continuationSeparator" w:id="0">
    <w:p w14:paraId="40FD828B" w14:textId="77777777" w:rsidR="002B5E79" w:rsidRDefault="002B5E79"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20B3" w14:textId="77777777" w:rsidR="004135A0" w:rsidRDefault="004135A0" w:rsidP="009A0E04">
    <w:pPr>
      <w:pStyle w:val="Footer"/>
    </w:pPr>
  </w:p>
  <w:p w14:paraId="08A651D1" w14:textId="77777777" w:rsidR="004135A0" w:rsidRDefault="004135A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9EDD" w14:textId="77777777" w:rsidR="002B5E79" w:rsidRDefault="002B5E79" w:rsidP="00A23F8A">
      <w:pPr>
        <w:spacing w:after="0" w:line="240" w:lineRule="auto"/>
      </w:pPr>
      <w:r>
        <w:separator/>
      </w:r>
    </w:p>
  </w:footnote>
  <w:footnote w:type="continuationSeparator" w:id="0">
    <w:p w14:paraId="1D7FFD3D" w14:textId="77777777" w:rsidR="002B5E79" w:rsidRDefault="002B5E79" w:rsidP="00A23F8A">
      <w:pPr>
        <w:spacing w:after="0" w:line="240" w:lineRule="auto"/>
      </w:pPr>
      <w:r>
        <w:continuationSeparator/>
      </w:r>
    </w:p>
  </w:footnote>
  <w:footnote w:id="1">
    <w:p w14:paraId="0A20D966" w14:textId="4AB1F21E" w:rsidR="004135A0" w:rsidRDefault="004135A0" w:rsidP="00F14E74">
      <w:pPr>
        <w:pStyle w:val="FootnoteText"/>
      </w:pPr>
      <w:r>
        <w:rPr>
          <w:rStyle w:val="FootnoteReference"/>
        </w:rPr>
        <w:footnoteRef/>
      </w:r>
      <w:r>
        <w:t xml:space="preserve"> </w:t>
      </w:r>
      <w:proofErr w:type="spellStart"/>
      <w:r w:rsidR="009A2953" w:rsidRPr="009A2953">
        <w:rPr>
          <w:rFonts w:ascii="Arial" w:hAnsi="Arial" w:cs="Arial"/>
          <w:i/>
          <w:color w:val="000000"/>
          <w:lang w:val="en-US"/>
        </w:rPr>
        <w:t>Maharaj</w:t>
      </w:r>
      <w:proofErr w:type="spellEnd"/>
      <w:r w:rsidR="009A2953" w:rsidRPr="009A2953">
        <w:rPr>
          <w:rFonts w:ascii="Arial" w:hAnsi="Arial" w:cs="Arial"/>
          <w:i/>
          <w:color w:val="000000"/>
          <w:lang w:val="en-US"/>
        </w:rPr>
        <w:t xml:space="preserve"> v Barclays National Bank Ltd</w:t>
      </w:r>
      <w:r w:rsidR="009A2953">
        <w:t xml:space="preserve"> </w:t>
      </w:r>
      <w:r>
        <w:t>1976 (1) SA 418 (A) at 425 – 426 (E).</w:t>
      </w:r>
    </w:p>
    <w:p w14:paraId="2940C82B" w14:textId="77777777" w:rsidR="004135A0" w:rsidRPr="00D11A5D" w:rsidRDefault="004135A0" w:rsidP="00F14E74">
      <w:pPr>
        <w:pStyle w:val="FootnoteText"/>
      </w:pPr>
    </w:p>
  </w:footnote>
  <w:footnote w:id="2">
    <w:p w14:paraId="354BD03F" w14:textId="77777777" w:rsidR="004135A0" w:rsidRPr="009A2458" w:rsidRDefault="004135A0" w:rsidP="00796B57">
      <w:pPr>
        <w:pStyle w:val="FootnoteText"/>
        <w:tabs>
          <w:tab w:val="left" w:pos="360"/>
        </w:tabs>
        <w:rPr>
          <w:rFonts w:ascii="Arial" w:hAnsi="Arial" w:cs="Arial"/>
        </w:rPr>
      </w:pPr>
      <w:r w:rsidRPr="009A2458">
        <w:rPr>
          <w:rStyle w:val="FootnoteReference"/>
          <w:rFonts w:ascii="Arial" w:hAnsi="Arial" w:cs="Arial"/>
        </w:rPr>
        <w:footnoteRef/>
      </w:r>
      <w:r w:rsidRPr="009A2458">
        <w:rPr>
          <w:rFonts w:ascii="Arial" w:hAnsi="Arial" w:cs="Arial"/>
        </w:rPr>
        <w:t xml:space="preserve"> </w:t>
      </w:r>
      <w:r w:rsidRPr="009A2458">
        <w:rPr>
          <w:rFonts w:ascii="Arial" w:hAnsi="Arial" w:cs="Arial"/>
        </w:rPr>
        <w:tab/>
      </w:r>
      <w:proofErr w:type="spellStart"/>
      <w:r w:rsidRPr="009A2458">
        <w:rPr>
          <w:rFonts w:ascii="Arial" w:hAnsi="Arial" w:cs="Arial"/>
          <w:i/>
        </w:rPr>
        <w:t>Futeni</w:t>
      </w:r>
      <w:proofErr w:type="spellEnd"/>
      <w:r w:rsidRPr="009A2458">
        <w:rPr>
          <w:rFonts w:ascii="Arial" w:hAnsi="Arial" w:cs="Arial"/>
          <w:i/>
        </w:rPr>
        <w:t xml:space="preserve"> Collection (Pty) Ltd v De </w:t>
      </w:r>
      <w:proofErr w:type="spellStart"/>
      <w:r w:rsidRPr="009A2458">
        <w:rPr>
          <w:rFonts w:ascii="Arial" w:hAnsi="Arial" w:cs="Arial"/>
          <w:i/>
        </w:rPr>
        <w:t>Duine</w:t>
      </w:r>
      <w:proofErr w:type="spellEnd"/>
      <w:r w:rsidRPr="009A2458">
        <w:rPr>
          <w:rFonts w:ascii="Arial" w:hAnsi="Arial" w:cs="Arial"/>
          <w:i/>
        </w:rPr>
        <w:t xml:space="preserve"> (Pty) Ltd</w:t>
      </w:r>
      <w:r w:rsidRPr="009A2458">
        <w:rPr>
          <w:rFonts w:ascii="Arial" w:hAnsi="Arial" w:cs="Arial"/>
        </w:rPr>
        <w:t xml:space="preserve"> 2015 (3) NR 829 (HC). At para [25].</w:t>
      </w:r>
    </w:p>
  </w:footnote>
  <w:footnote w:id="3">
    <w:p w14:paraId="3880C453" w14:textId="77777777" w:rsidR="004135A0" w:rsidRDefault="004135A0" w:rsidP="00796B57">
      <w:pPr>
        <w:pStyle w:val="FootnoteText"/>
        <w:tabs>
          <w:tab w:val="left" w:pos="360"/>
        </w:tabs>
      </w:pPr>
      <w:r w:rsidRPr="009A2458">
        <w:rPr>
          <w:rStyle w:val="FootnoteReference"/>
          <w:rFonts w:ascii="Arial" w:hAnsi="Arial" w:cs="Arial"/>
        </w:rPr>
        <w:footnoteRef/>
      </w:r>
      <w:r w:rsidRPr="009A2458">
        <w:rPr>
          <w:rFonts w:ascii="Arial" w:hAnsi="Arial" w:cs="Arial"/>
        </w:rPr>
        <w:t xml:space="preserve"> </w:t>
      </w:r>
      <w:r w:rsidRPr="009A2458">
        <w:rPr>
          <w:rFonts w:ascii="Arial" w:hAnsi="Arial" w:cs="Arial"/>
        </w:rPr>
        <w:tab/>
      </w:r>
      <w:r>
        <w:rPr>
          <w:rFonts w:ascii="Arial" w:hAnsi="Arial" w:cs="Arial"/>
        </w:rPr>
        <w:t>1990 NR 161 (HC)</w:t>
      </w:r>
      <w:r w:rsidRPr="009A2458">
        <w:rPr>
          <w:rFonts w:ascii="Arial" w:hAnsi="Arial" w:cs="Arial"/>
        </w:rPr>
        <w:t xml:space="preserve"> at 163J – 164A.</w:t>
      </w:r>
    </w:p>
  </w:footnote>
  <w:footnote w:id="4">
    <w:p w14:paraId="3EF869E9" w14:textId="472A967F" w:rsidR="004135A0" w:rsidRPr="00847FE2" w:rsidRDefault="004135A0" w:rsidP="00796B57">
      <w:pPr>
        <w:pStyle w:val="FootnoteText"/>
        <w:rPr>
          <w:rFonts w:ascii="Arial" w:hAnsi="Arial"/>
          <w:lang w:val="en-US"/>
        </w:rPr>
      </w:pPr>
      <w:r w:rsidRPr="00137936">
        <w:rPr>
          <w:rStyle w:val="FootnoteReference"/>
          <w:rFonts w:ascii="Arial" w:hAnsi="Arial" w:cs="Arial"/>
        </w:rPr>
        <w:footnoteRef/>
      </w:r>
      <w:r w:rsidRPr="00137936">
        <w:rPr>
          <w:rFonts w:ascii="Arial" w:hAnsi="Arial" w:cs="Arial"/>
        </w:rPr>
        <w:t xml:space="preserve"> </w:t>
      </w:r>
      <w:proofErr w:type="spellStart"/>
      <w:r w:rsidRPr="00137936">
        <w:rPr>
          <w:rFonts w:ascii="Arial" w:hAnsi="Arial" w:cs="Arial"/>
          <w:i/>
          <w:lang w:val="en-US"/>
        </w:rPr>
        <w:t>Futeni</w:t>
      </w:r>
      <w:proofErr w:type="spellEnd"/>
      <w:r w:rsidRPr="00137936">
        <w:rPr>
          <w:rFonts w:ascii="Arial" w:hAnsi="Arial" w:cs="Arial"/>
          <w:i/>
          <w:lang w:val="en-US"/>
        </w:rPr>
        <w:t xml:space="preserve"> Collections (Pty) Ltd v De </w:t>
      </w:r>
      <w:proofErr w:type="spellStart"/>
      <w:r w:rsidRPr="00137936">
        <w:rPr>
          <w:rFonts w:ascii="Arial" w:hAnsi="Arial" w:cs="Arial"/>
          <w:i/>
          <w:lang w:val="en-US"/>
        </w:rPr>
        <w:t>Duine</w:t>
      </w:r>
      <w:proofErr w:type="spellEnd"/>
      <w:r w:rsidRPr="00137936">
        <w:rPr>
          <w:rFonts w:ascii="Arial" w:hAnsi="Arial" w:cs="Arial"/>
          <w:i/>
          <w:lang w:val="en-US"/>
        </w:rPr>
        <w:t xml:space="preserve"> </w:t>
      </w:r>
      <w:r w:rsidRPr="00137936">
        <w:rPr>
          <w:rFonts w:ascii="Arial" w:hAnsi="Arial" w:cs="Arial"/>
          <w:lang w:val="en-US"/>
        </w:rPr>
        <w:t>(I 3044-2014) [2015] NAHCMD 119 (27 May 2015)</w:t>
      </w:r>
      <w:r>
        <w:rPr>
          <w:rFonts w:ascii="Arial" w:hAnsi="Arial" w:cs="Arial"/>
          <w:lang w:val="en-US"/>
        </w:rPr>
        <w:t>.</w:t>
      </w:r>
    </w:p>
  </w:footnote>
  <w:footnote w:id="5">
    <w:p w14:paraId="5B03ED9A" w14:textId="52906F90" w:rsidR="004135A0" w:rsidRPr="0065469D" w:rsidRDefault="004135A0" w:rsidP="00796B57">
      <w:pPr>
        <w:pStyle w:val="FootnoteText"/>
        <w:rPr>
          <w:lang w:val="en-US"/>
        </w:rPr>
      </w:pPr>
      <w:r>
        <w:rPr>
          <w:rStyle w:val="FootnoteReference"/>
        </w:rPr>
        <w:footnoteRef/>
      </w:r>
      <w:r>
        <w:t xml:space="preserve"> </w:t>
      </w:r>
      <w:proofErr w:type="spellStart"/>
      <w:r w:rsidRPr="0065469D">
        <w:rPr>
          <w:i/>
          <w:lang w:val="en-GB"/>
        </w:rPr>
        <w:t>Kisilip</w:t>
      </w:r>
      <w:r>
        <w:rPr>
          <w:i/>
          <w:lang w:val="en-GB"/>
        </w:rPr>
        <w:t>ile</w:t>
      </w:r>
      <w:proofErr w:type="spellEnd"/>
      <w:r w:rsidRPr="0065469D">
        <w:rPr>
          <w:i/>
          <w:lang w:val="en-GB"/>
        </w:rPr>
        <w:t xml:space="preserve"> v First National Bank of Namibia Limited</w:t>
      </w:r>
      <w:r>
        <w:rPr>
          <w:lang w:val="en-GB"/>
        </w:rPr>
        <w:t xml:space="preserve"> (SA 65/2019) [2021] NASC 52 (25 August 2021</w:t>
      </w:r>
      <w:r w:rsidRPr="0065469D">
        <w:rPr>
          <w:lang w:val="en-GB"/>
        </w:rPr>
        <w:t>)</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939A7" w14:textId="77777777" w:rsidR="004135A0" w:rsidRDefault="004135A0">
    <w:pPr>
      <w:pStyle w:val="Header"/>
      <w:jc w:val="right"/>
    </w:pPr>
    <w:r>
      <w:fldChar w:fldCharType="begin"/>
    </w:r>
    <w:r>
      <w:instrText xml:space="preserve"> PAGE   \* MERGEFORMAT </w:instrText>
    </w:r>
    <w:r>
      <w:fldChar w:fldCharType="separate"/>
    </w:r>
    <w:r w:rsidR="00DC64FA">
      <w:rPr>
        <w:noProof/>
      </w:rPr>
      <w:t>2</w:t>
    </w:r>
    <w:r>
      <w:rPr>
        <w:noProof/>
      </w:rPr>
      <w:fldChar w:fldCharType="end"/>
    </w:r>
  </w:p>
  <w:p w14:paraId="149581CE" w14:textId="77777777" w:rsidR="004135A0" w:rsidRDefault="00413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28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AA942CC"/>
    <w:multiLevelType w:val="hybridMultilevel"/>
    <w:tmpl w:val="A04E732E"/>
    <w:lvl w:ilvl="0" w:tplc="B7E677FC">
      <w:start w:val="1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F1B29"/>
    <w:multiLevelType w:val="multilevel"/>
    <w:tmpl w:val="3668A1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AF168B"/>
    <w:multiLevelType w:val="hybridMultilevel"/>
    <w:tmpl w:val="58542948"/>
    <w:lvl w:ilvl="0" w:tplc="51D6EAE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715D4"/>
    <w:multiLevelType w:val="hybridMultilevel"/>
    <w:tmpl w:val="0FD6E00A"/>
    <w:lvl w:ilvl="0" w:tplc="15C20A2E">
      <w:start w:val="1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DDB09AD"/>
    <w:multiLevelType w:val="multilevel"/>
    <w:tmpl w:val="C8947A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400726"/>
    <w:multiLevelType w:val="hybridMultilevel"/>
    <w:tmpl w:val="EBCC91DC"/>
    <w:lvl w:ilvl="0" w:tplc="2ACC44BA">
      <w:start w:val="21"/>
      <w:numFmt w:val="decimal"/>
      <w:lvlText w:val="[%1]"/>
      <w:lvlJc w:val="left"/>
      <w:pPr>
        <w:ind w:left="0" w:firstLine="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14">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1E442BE"/>
    <w:multiLevelType w:val="hybridMultilevel"/>
    <w:tmpl w:val="25F81266"/>
    <w:lvl w:ilvl="0" w:tplc="7B1E97C4">
      <w:start w:val="1"/>
      <w:numFmt w:val="decimal"/>
      <w:lvlText w:val="[%1]"/>
      <w:lvlJc w:val="left"/>
      <w:pPr>
        <w:ind w:left="360" w:hanging="360"/>
      </w:pPr>
      <w:rPr>
        <w:rFonts w:hint="default"/>
        <w:i w:val="0"/>
      </w:rPr>
    </w:lvl>
    <w:lvl w:ilvl="1" w:tplc="1C090019" w:tentative="1">
      <w:start w:val="1"/>
      <w:numFmt w:val="lowerLetter"/>
      <w:lvlText w:val="%2."/>
      <w:lvlJc w:val="left"/>
      <w:pPr>
        <w:ind w:left="994" w:hanging="360"/>
      </w:pPr>
    </w:lvl>
    <w:lvl w:ilvl="2" w:tplc="1C09001B" w:tentative="1">
      <w:start w:val="1"/>
      <w:numFmt w:val="lowerRoman"/>
      <w:lvlText w:val="%3."/>
      <w:lvlJc w:val="right"/>
      <w:pPr>
        <w:ind w:left="1714" w:hanging="180"/>
      </w:pPr>
    </w:lvl>
    <w:lvl w:ilvl="3" w:tplc="1C09000F" w:tentative="1">
      <w:start w:val="1"/>
      <w:numFmt w:val="decimal"/>
      <w:lvlText w:val="%4."/>
      <w:lvlJc w:val="left"/>
      <w:pPr>
        <w:ind w:left="2434" w:hanging="360"/>
      </w:pPr>
    </w:lvl>
    <w:lvl w:ilvl="4" w:tplc="1C090019" w:tentative="1">
      <w:start w:val="1"/>
      <w:numFmt w:val="lowerLetter"/>
      <w:lvlText w:val="%5."/>
      <w:lvlJc w:val="left"/>
      <w:pPr>
        <w:ind w:left="3154" w:hanging="360"/>
      </w:pPr>
    </w:lvl>
    <w:lvl w:ilvl="5" w:tplc="1C09001B" w:tentative="1">
      <w:start w:val="1"/>
      <w:numFmt w:val="lowerRoman"/>
      <w:lvlText w:val="%6."/>
      <w:lvlJc w:val="right"/>
      <w:pPr>
        <w:ind w:left="3874" w:hanging="180"/>
      </w:pPr>
    </w:lvl>
    <w:lvl w:ilvl="6" w:tplc="1C09000F" w:tentative="1">
      <w:start w:val="1"/>
      <w:numFmt w:val="decimal"/>
      <w:lvlText w:val="%7."/>
      <w:lvlJc w:val="left"/>
      <w:pPr>
        <w:ind w:left="4594" w:hanging="360"/>
      </w:pPr>
    </w:lvl>
    <w:lvl w:ilvl="7" w:tplc="1C090019" w:tentative="1">
      <w:start w:val="1"/>
      <w:numFmt w:val="lowerLetter"/>
      <w:lvlText w:val="%8."/>
      <w:lvlJc w:val="left"/>
      <w:pPr>
        <w:ind w:left="5314" w:hanging="360"/>
      </w:pPr>
    </w:lvl>
    <w:lvl w:ilvl="8" w:tplc="1C09001B" w:tentative="1">
      <w:start w:val="1"/>
      <w:numFmt w:val="lowerRoman"/>
      <w:lvlText w:val="%9."/>
      <w:lvlJc w:val="right"/>
      <w:pPr>
        <w:ind w:left="6034" w:hanging="180"/>
      </w:pPr>
    </w:lvl>
  </w:abstractNum>
  <w:abstractNum w:abstractNumId="16">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DA6428"/>
    <w:multiLevelType w:val="hybridMultilevel"/>
    <w:tmpl w:val="3BE41EA8"/>
    <w:lvl w:ilvl="0" w:tplc="4DF0678E">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F21F6"/>
    <w:multiLevelType w:val="multilevel"/>
    <w:tmpl w:val="061A8F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6"/>
  </w:num>
  <w:num w:numId="4">
    <w:abstractNumId w:val="14"/>
  </w:num>
  <w:num w:numId="5">
    <w:abstractNumId w:val="10"/>
  </w:num>
  <w:num w:numId="6">
    <w:abstractNumId w:val="8"/>
  </w:num>
  <w:num w:numId="7">
    <w:abstractNumId w:val="19"/>
  </w:num>
  <w:num w:numId="8">
    <w:abstractNumId w:val="18"/>
  </w:num>
  <w:num w:numId="9">
    <w:abstractNumId w:val="7"/>
  </w:num>
  <w:num w:numId="10">
    <w:abstractNumId w:val="13"/>
  </w:num>
  <w:num w:numId="11">
    <w:abstractNumId w:val="6"/>
  </w:num>
  <w:num w:numId="12">
    <w:abstractNumId w:val="11"/>
  </w:num>
  <w:num w:numId="13">
    <w:abstractNumId w:val="20"/>
  </w:num>
  <w:num w:numId="14">
    <w:abstractNumId w:val="2"/>
  </w:num>
  <w:num w:numId="15">
    <w:abstractNumId w:val="12"/>
  </w:num>
  <w:num w:numId="16">
    <w:abstractNumId w:val="3"/>
  </w:num>
  <w:num w:numId="17">
    <w:abstractNumId w:val="17"/>
  </w:num>
  <w:num w:numId="18">
    <w:abstractNumId w:val="5"/>
  </w:num>
  <w:num w:numId="19">
    <w:abstractNumId w:val="15"/>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2256F"/>
    <w:rsid w:val="00026D86"/>
    <w:rsid w:val="00031F30"/>
    <w:rsid w:val="00062068"/>
    <w:rsid w:val="00065CE7"/>
    <w:rsid w:val="00070360"/>
    <w:rsid w:val="000801F2"/>
    <w:rsid w:val="00086913"/>
    <w:rsid w:val="00090783"/>
    <w:rsid w:val="00092FD2"/>
    <w:rsid w:val="000B2C49"/>
    <w:rsid w:val="000C0A07"/>
    <w:rsid w:val="000C5864"/>
    <w:rsid w:val="000D3358"/>
    <w:rsid w:val="000D5FE9"/>
    <w:rsid w:val="000E362A"/>
    <w:rsid w:val="000F1180"/>
    <w:rsid w:val="00104F34"/>
    <w:rsid w:val="00110AD8"/>
    <w:rsid w:val="00112D50"/>
    <w:rsid w:val="00113321"/>
    <w:rsid w:val="00113EA2"/>
    <w:rsid w:val="00117B27"/>
    <w:rsid w:val="00124EC8"/>
    <w:rsid w:val="00125B37"/>
    <w:rsid w:val="001338C3"/>
    <w:rsid w:val="001417E6"/>
    <w:rsid w:val="001548E9"/>
    <w:rsid w:val="001631C9"/>
    <w:rsid w:val="00165FEE"/>
    <w:rsid w:val="0017153C"/>
    <w:rsid w:val="00171D3E"/>
    <w:rsid w:val="001744F5"/>
    <w:rsid w:val="001804AD"/>
    <w:rsid w:val="001A2271"/>
    <w:rsid w:val="001A41B4"/>
    <w:rsid w:val="001B0A2C"/>
    <w:rsid w:val="001B23D9"/>
    <w:rsid w:val="001B710C"/>
    <w:rsid w:val="001C6E34"/>
    <w:rsid w:val="001D41D2"/>
    <w:rsid w:val="001E39EE"/>
    <w:rsid w:val="001E70F9"/>
    <w:rsid w:val="001F1ECD"/>
    <w:rsid w:val="001F2E8C"/>
    <w:rsid w:val="001F4A48"/>
    <w:rsid w:val="002002FA"/>
    <w:rsid w:val="00203E3D"/>
    <w:rsid w:val="002100DF"/>
    <w:rsid w:val="002207D9"/>
    <w:rsid w:val="00223D66"/>
    <w:rsid w:val="00243A84"/>
    <w:rsid w:val="00251125"/>
    <w:rsid w:val="00261ADD"/>
    <w:rsid w:val="00262759"/>
    <w:rsid w:val="00263A9B"/>
    <w:rsid w:val="00264403"/>
    <w:rsid w:val="00265783"/>
    <w:rsid w:val="00266B3E"/>
    <w:rsid w:val="002736CF"/>
    <w:rsid w:val="00281366"/>
    <w:rsid w:val="00281A10"/>
    <w:rsid w:val="00281FAB"/>
    <w:rsid w:val="002860FF"/>
    <w:rsid w:val="00293A19"/>
    <w:rsid w:val="00297496"/>
    <w:rsid w:val="0029776E"/>
    <w:rsid w:val="002B1C34"/>
    <w:rsid w:val="002B3F1D"/>
    <w:rsid w:val="002B5E79"/>
    <w:rsid w:val="002C3150"/>
    <w:rsid w:val="002C6FA8"/>
    <w:rsid w:val="002D4C2A"/>
    <w:rsid w:val="002D5E9B"/>
    <w:rsid w:val="002E3BFB"/>
    <w:rsid w:val="002F61B1"/>
    <w:rsid w:val="00300CF7"/>
    <w:rsid w:val="0030287B"/>
    <w:rsid w:val="00323762"/>
    <w:rsid w:val="00334EC0"/>
    <w:rsid w:val="003375D1"/>
    <w:rsid w:val="00342AC5"/>
    <w:rsid w:val="00347DBC"/>
    <w:rsid w:val="00350552"/>
    <w:rsid w:val="00351D08"/>
    <w:rsid w:val="0035433B"/>
    <w:rsid w:val="00354B5F"/>
    <w:rsid w:val="00357294"/>
    <w:rsid w:val="00364D3C"/>
    <w:rsid w:val="00366F4F"/>
    <w:rsid w:val="00371CD0"/>
    <w:rsid w:val="003723C3"/>
    <w:rsid w:val="00374046"/>
    <w:rsid w:val="00391FCE"/>
    <w:rsid w:val="0039308E"/>
    <w:rsid w:val="00393E41"/>
    <w:rsid w:val="00396AF1"/>
    <w:rsid w:val="003A0103"/>
    <w:rsid w:val="003A7E2F"/>
    <w:rsid w:val="003B0E74"/>
    <w:rsid w:val="003C4403"/>
    <w:rsid w:val="003C4613"/>
    <w:rsid w:val="003D6963"/>
    <w:rsid w:val="003E3D0D"/>
    <w:rsid w:val="003E50E8"/>
    <w:rsid w:val="003E5299"/>
    <w:rsid w:val="003E58A0"/>
    <w:rsid w:val="003F4C8D"/>
    <w:rsid w:val="003F52A2"/>
    <w:rsid w:val="003F63E0"/>
    <w:rsid w:val="004001C2"/>
    <w:rsid w:val="004135A0"/>
    <w:rsid w:val="004142A0"/>
    <w:rsid w:val="00422930"/>
    <w:rsid w:val="00422CA6"/>
    <w:rsid w:val="00425554"/>
    <w:rsid w:val="004514DE"/>
    <w:rsid w:val="004546CC"/>
    <w:rsid w:val="004551DE"/>
    <w:rsid w:val="00456199"/>
    <w:rsid w:val="00461CAC"/>
    <w:rsid w:val="00462015"/>
    <w:rsid w:val="004701FF"/>
    <w:rsid w:val="00470B0C"/>
    <w:rsid w:val="00473545"/>
    <w:rsid w:val="004A3AFE"/>
    <w:rsid w:val="004A6FCE"/>
    <w:rsid w:val="004A7BBE"/>
    <w:rsid w:val="004B355E"/>
    <w:rsid w:val="004B4B38"/>
    <w:rsid w:val="004B5538"/>
    <w:rsid w:val="004B5E87"/>
    <w:rsid w:val="004C1D28"/>
    <w:rsid w:val="004E4D81"/>
    <w:rsid w:val="004E581F"/>
    <w:rsid w:val="004E7D33"/>
    <w:rsid w:val="0050338C"/>
    <w:rsid w:val="00510ECD"/>
    <w:rsid w:val="005234EE"/>
    <w:rsid w:val="005325C5"/>
    <w:rsid w:val="00537DC1"/>
    <w:rsid w:val="005403D8"/>
    <w:rsid w:val="00554195"/>
    <w:rsid w:val="00554994"/>
    <w:rsid w:val="005577B6"/>
    <w:rsid w:val="00560857"/>
    <w:rsid w:val="00562A14"/>
    <w:rsid w:val="005647BC"/>
    <w:rsid w:val="0056512A"/>
    <w:rsid w:val="005807DA"/>
    <w:rsid w:val="005856DC"/>
    <w:rsid w:val="00593234"/>
    <w:rsid w:val="005955B1"/>
    <w:rsid w:val="00596CD4"/>
    <w:rsid w:val="005A65F9"/>
    <w:rsid w:val="005A66F8"/>
    <w:rsid w:val="005B1A5C"/>
    <w:rsid w:val="005B60DC"/>
    <w:rsid w:val="005B7A31"/>
    <w:rsid w:val="005D0592"/>
    <w:rsid w:val="005D6172"/>
    <w:rsid w:val="005D7161"/>
    <w:rsid w:val="005E5A8F"/>
    <w:rsid w:val="00601649"/>
    <w:rsid w:val="0060394A"/>
    <w:rsid w:val="006039AA"/>
    <w:rsid w:val="00610CF8"/>
    <w:rsid w:val="0061768C"/>
    <w:rsid w:val="00621D33"/>
    <w:rsid w:val="00621EE8"/>
    <w:rsid w:val="0062225A"/>
    <w:rsid w:val="00627C26"/>
    <w:rsid w:val="00631BB2"/>
    <w:rsid w:val="006360C6"/>
    <w:rsid w:val="0064250A"/>
    <w:rsid w:val="00642A07"/>
    <w:rsid w:val="006475B1"/>
    <w:rsid w:val="00647A7B"/>
    <w:rsid w:val="00652595"/>
    <w:rsid w:val="00666306"/>
    <w:rsid w:val="00671B63"/>
    <w:rsid w:val="006809D8"/>
    <w:rsid w:val="00683211"/>
    <w:rsid w:val="00686B3F"/>
    <w:rsid w:val="006972A3"/>
    <w:rsid w:val="006A0576"/>
    <w:rsid w:val="006A08E3"/>
    <w:rsid w:val="006B05F9"/>
    <w:rsid w:val="006B1F56"/>
    <w:rsid w:val="006B3540"/>
    <w:rsid w:val="006B3C94"/>
    <w:rsid w:val="006C2872"/>
    <w:rsid w:val="006D1141"/>
    <w:rsid w:val="006D22F9"/>
    <w:rsid w:val="006D2D84"/>
    <w:rsid w:val="006D5A0A"/>
    <w:rsid w:val="006E2964"/>
    <w:rsid w:val="006E49A3"/>
    <w:rsid w:val="006F4A66"/>
    <w:rsid w:val="007042E2"/>
    <w:rsid w:val="00705CB6"/>
    <w:rsid w:val="00711F52"/>
    <w:rsid w:val="00715AD2"/>
    <w:rsid w:val="00723F03"/>
    <w:rsid w:val="0072640A"/>
    <w:rsid w:val="0073012B"/>
    <w:rsid w:val="007329D4"/>
    <w:rsid w:val="007447AE"/>
    <w:rsid w:val="00745E2E"/>
    <w:rsid w:val="00747B22"/>
    <w:rsid w:val="00753030"/>
    <w:rsid w:val="00764071"/>
    <w:rsid w:val="00767C1C"/>
    <w:rsid w:val="00771750"/>
    <w:rsid w:val="00774702"/>
    <w:rsid w:val="0078341F"/>
    <w:rsid w:val="00786DE8"/>
    <w:rsid w:val="0079456D"/>
    <w:rsid w:val="00796B57"/>
    <w:rsid w:val="00797188"/>
    <w:rsid w:val="00797247"/>
    <w:rsid w:val="007A64D4"/>
    <w:rsid w:val="007C6B41"/>
    <w:rsid w:val="007E0FC3"/>
    <w:rsid w:val="007F0F86"/>
    <w:rsid w:val="007F3A74"/>
    <w:rsid w:val="00800A86"/>
    <w:rsid w:val="008013B4"/>
    <w:rsid w:val="00805203"/>
    <w:rsid w:val="00805BCE"/>
    <w:rsid w:val="00806B14"/>
    <w:rsid w:val="0081085E"/>
    <w:rsid w:val="00812E09"/>
    <w:rsid w:val="0081352A"/>
    <w:rsid w:val="00813DA1"/>
    <w:rsid w:val="00823237"/>
    <w:rsid w:val="00825474"/>
    <w:rsid w:val="00826F64"/>
    <w:rsid w:val="00837272"/>
    <w:rsid w:val="008449D1"/>
    <w:rsid w:val="008461E6"/>
    <w:rsid w:val="00851B88"/>
    <w:rsid w:val="008616EC"/>
    <w:rsid w:val="00864008"/>
    <w:rsid w:val="00864FC2"/>
    <w:rsid w:val="00867BDF"/>
    <w:rsid w:val="00890143"/>
    <w:rsid w:val="008930A5"/>
    <w:rsid w:val="008A14A9"/>
    <w:rsid w:val="008B1C23"/>
    <w:rsid w:val="008B61FE"/>
    <w:rsid w:val="008C0AC7"/>
    <w:rsid w:val="008C44A2"/>
    <w:rsid w:val="008D28CE"/>
    <w:rsid w:val="008D2B93"/>
    <w:rsid w:val="008D5B8D"/>
    <w:rsid w:val="008D65E9"/>
    <w:rsid w:val="008D79D4"/>
    <w:rsid w:val="008E6759"/>
    <w:rsid w:val="008E6C84"/>
    <w:rsid w:val="00902CE8"/>
    <w:rsid w:val="00905A48"/>
    <w:rsid w:val="00912D4E"/>
    <w:rsid w:val="00913A1D"/>
    <w:rsid w:val="00915248"/>
    <w:rsid w:val="009152BB"/>
    <w:rsid w:val="0091563F"/>
    <w:rsid w:val="00921C37"/>
    <w:rsid w:val="00921FBA"/>
    <w:rsid w:val="009228FD"/>
    <w:rsid w:val="00945A2F"/>
    <w:rsid w:val="00947BEE"/>
    <w:rsid w:val="00952193"/>
    <w:rsid w:val="00954EC3"/>
    <w:rsid w:val="00957B5E"/>
    <w:rsid w:val="009633A4"/>
    <w:rsid w:val="00970B8C"/>
    <w:rsid w:val="00970DAC"/>
    <w:rsid w:val="00971AB4"/>
    <w:rsid w:val="0098277A"/>
    <w:rsid w:val="00990B82"/>
    <w:rsid w:val="00992A7D"/>
    <w:rsid w:val="00997334"/>
    <w:rsid w:val="009A0E04"/>
    <w:rsid w:val="009A20DA"/>
    <w:rsid w:val="009A2953"/>
    <w:rsid w:val="009A5F60"/>
    <w:rsid w:val="009B096F"/>
    <w:rsid w:val="009B0C25"/>
    <w:rsid w:val="009C36A5"/>
    <w:rsid w:val="009C7093"/>
    <w:rsid w:val="009E14CB"/>
    <w:rsid w:val="009E31F0"/>
    <w:rsid w:val="009F24FA"/>
    <w:rsid w:val="009F6C8B"/>
    <w:rsid w:val="00A06FD8"/>
    <w:rsid w:val="00A13C37"/>
    <w:rsid w:val="00A14435"/>
    <w:rsid w:val="00A16AC6"/>
    <w:rsid w:val="00A200C8"/>
    <w:rsid w:val="00A23F8A"/>
    <w:rsid w:val="00A258AF"/>
    <w:rsid w:val="00A40097"/>
    <w:rsid w:val="00A4515E"/>
    <w:rsid w:val="00A5368E"/>
    <w:rsid w:val="00A5758F"/>
    <w:rsid w:val="00A635A8"/>
    <w:rsid w:val="00A6494E"/>
    <w:rsid w:val="00A65FE7"/>
    <w:rsid w:val="00A772D3"/>
    <w:rsid w:val="00A81203"/>
    <w:rsid w:val="00A82F94"/>
    <w:rsid w:val="00A92BE4"/>
    <w:rsid w:val="00AA43A9"/>
    <w:rsid w:val="00AA5920"/>
    <w:rsid w:val="00AB059F"/>
    <w:rsid w:val="00AB3745"/>
    <w:rsid w:val="00AB5193"/>
    <w:rsid w:val="00AC0DE5"/>
    <w:rsid w:val="00AC4198"/>
    <w:rsid w:val="00AC43D8"/>
    <w:rsid w:val="00AD0FCD"/>
    <w:rsid w:val="00AD1833"/>
    <w:rsid w:val="00AE0920"/>
    <w:rsid w:val="00B00B6E"/>
    <w:rsid w:val="00B04353"/>
    <w:rsid w:val="00B07B4B"/>
    <w:rsid w:val="00B160EB"/>
    <w:rsid w:val="00B1649C"/>
    <w:rsid w:val="00B30012"/>
    <w:rsid w:val="00B308B1"/>
    <w:rsid w:val="00B337FC"/>
    <w:rsid w:val="00B37CB3"/>
    <w:rsid w:val="00B40BBE"/>
    <w:rsid w:val="00B41525"/>
    <w:rsid w:val="00B4625E"/>
    <w:rsid w:val="00B5009C"/>
    <w:rsid w:val="00B53D6D"/>
    <w:rsid w:val="00B544D1"/>
    <w:rsid w:val="00B54DC8"/>
    <w:rsid w:val="00B62083"/>
    <w:rsid w:val="00B66325"/>
    <w:rsid w:val="00B76671"/>
    <w:rsid w:val="00B8518D"/>
    <w:rsid w:val="00B907A1"/>
    <w:rsid w:val="00B9532F"/>
    <w:rsid w:val="00BA213D"/>
    <w:rsid w:val="00BA3715"/>
    <w:rsid w:val="00BA48EA"/>
    <w:rsid w:val="00BB1E6E"/>
    <w:rsid w:val="00BB388A"/>
    <w:rsid w:val="00BB5C07"/>
    <w:rsid w:val="00BC0190"/>
    <w:rsid w:val="00BC23BC"/>
    <w:rsid w:val="00BC4D4A"/>
    <w:rsid w:val="00BD1270"/>
    <w:rsid w:val="00BD4CF1"/>
    <w:rsid w:val="00BE41CA"/>
    <w:rsid w:val="00BE5489"/>
    <w:rsid w:val="00BE655B"/>
    <w:rsid w:val="00BE7DE8"/>
    <w:rsid w:val="00BF539E"/>
    <w:rsid w:val="00BF6DAE"/>
    <w:rsid w:val="00BF7010"/>
    <w:rsid w:val="00C01AC1"/>
    <w:rsid w:val="00C0241F"/>
    <w:rsid w:val="00C04EBD"/>
    <w:rsid w:val="00C06B39"/>
    <w:rsid w:val="00C10C58"/>
    <w:rsid w:val="00C119BC"/>
    <w:rsid w:val="00C1256B"/>
    <w:rsid w:val="00C1466A"/>
    <w:rsid w:val="00C15F6C"/>
    <w:rsid w:val="00C219A1"/>
    <w:rsid w:val="00C249D9"/>
    <w:rsid w:val="00C32DBD"/>
    <w:rsid w:val="00C332BE"/>
    <w:rsid w:val="00C356C5"/>
    <w:rsid w:val="00C448EC"/>
    <w:rsid w:val="00C50A1F"/>
    <w:rsid w:val="00C73154"/>
    <w:rsid w:val="00C84F4C"/>
    <w:rsid w:val="00C85FF7"/>
    <w:rsid w:val="00C879A7"/>
    <w:rsid w:val="00CA2B73"/>
    <w:rsid w:val="00CA4320"/>
    <w:rsid w:val="00CB39F0"/>
    <w:rsid w:val="00CB4CA9"/>
    <w:rsid w:val="00CB57A8"/>
    <w:rsid w:val="00CC191C"/>
    <w:rsid w:val="00CC2FF7"/>
    <w:rsid w:val="00CC4D82"/>
    <w:rsid w:val="00CC4E7A"/>
    <w:rsid w:val="00CC5024"/>
    <w:rsid w:val="00CE7E27"/>
    <w:rsid w:val="00CF3D16"/>
    <w:rsid w:val="00CF6287"/>
    <w:rsid w:val="00D0287E"/>
    <w:rsid w:val="00D0634C"/>
    <w:rsid w:val="00D10858"/>
    <w:rsid w:val="00D153C7"/>
    <w:rsid w:val="00D15621"/>
    <w:rsid w:val="00D22ACF"/>
    <w:rsid w:val="00D30C08"/>
    <w:rsid w:val="00D36ECC"/>
    <w:rsid w:val="00D40029"/>
    <w:rsid w:val="00D442F5"/>
    <w:rsid w:val="00D51DA9"/>
    <w:rsid w:val="00D536CB"/>
    <w:rsid w:val="00D6088F"/>
    <w:rsid w:val="00D64023"/>
    <w:rsid w:val="00D67A72"/>
    <w:rsid w:val="00D71EE5"/>
    <w:rsid w:val="00D73FFF"/>
    <w:rsid w:val="00D766B2"/>
    <w:rsid w:val="00D83B51"/>
    <w:rsid w:val="00D862BF"/>
    <w:rsid w:val="00D87936"/>
    <w:rsid w:val="00DC32B4"/>
    <w:rsid w:val="00DC392E"/>
    <w:rsid w:val="00DC64FA"/>
    <w:rsid w:val="00DD1F31"/>
    <w:rsid w:val="00DD1F58"/>
    <w:rsid w:val="00DE5291"/>
    <w:rsid w:val="00DE5ECE"/>
    <w:rsid w:val="00DF2EED"/>
    <w:rsid w:val="00E00129"/>
    <w:rsid w:val="00E1002B"/>
    <w:rsid w:val="00E22A92"/>
    <w:rsid w:val="00E256F6"/>
    <w:rsid w:val="00E3339B"/>
    <w:rsid w:val="00E37439"/>
    <w:rsid w:val="00E41527"/>
    <w:rsid w:val="00E41C88"/>
    <w:rsid w:val="00E44BBF"/>
    <w:rsid w:val="00E619CB"/>
    <w:rsid w:val="00E642EE"/>
    <w:rsid w:val="00E74FC1"/>
    <w:rsid w:val="00E765F9"/>
    <w:rsid w:val="00E8189C"/>
    <w:rsid w:val="00E87049"/>
    <w:rsid w:val="00EA06CF"/>
    <w:rsid w:val="00EB27A0"/>
    <w:rsid w:val="00EE19B5"/>
    <w:rsid w:val="00EF2187"/>
    <w:rsid w:val="00F062D7"/>
    <w:rsid w:val="00F11950"/>
    <w:rsid w:val="00F14E74"/>
    <w:rsid w:val="00F16C57"/>
    <w:rsid w:val="00F24301"/>
    <w:rsid w:val="00F3787E"/>
    <w:rsid w:val="00F43609"/>
    <w:rsid w:val="00F45975"/>
    <w:rsid w:val="00F53DDE"/>
    <w:rsid w:val="00F571A4"/>
    <w:rsid w:val="00F63876"/>
    <w:rsid w:val="00F66EB8"/>
    <w:rsid w:val="00F71EB9"/>
    <w:rsid w:val="00F72F82"/>
    <w:rsid w:val="00FB2069"/>
    <w:rsid w:val="00FB4C9F"/>
    <w:rsid w:val="00FD3814"/>
    <w:rsid w:val="00FD38C2"/>
    <w:rsid w:val="00FE4680"/>
    <w:rsid w:val="00FF2E3F"/>
    <w:rsid w:val="00FF47EF"/>
    <w:rsid w:val="00FF561E"/>
    <w:rsid w:val="00FF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FCF4B"/>
  <w15:docId w15:val="{E45C681F-B1B3-4802-B699-8F38754E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29"/>
    <w:pPr>
      <w:spacing w:after="160" w:line="259" w:lineRule="auto"/>
    </w:pPr>
    <w:rPr>
      <w:sz w:val="22"/>
      <w:szCs w:val="22"/>
      <w:lang w:val="en-ZA"/>
    </w:rPr>
  </w:style>
  <w:style w:type="paragraph" w:styleId="Heading1">
    <w:name w:val="heading 1"/>
    <w:basedOn w:val="Normal"/>
    <w:next w:val="Normal"/>
    <w:link w:val="Heading1Char"/>
    <w:uiPriority w:val="9"/>
    <w:qFormat/>
    <w:rsid w:val="00800A86"/>
    <w:pPr>
      <w:keepNext/>
      <w:spacing w:after="0" w:line="360" w:lineRule="auto"/>
      <w:jc w:val="both"/>
      <w:outlineLvl w:val="0"/>
    </w:pPr>
    <w:rPr>
      <w:rFonts w:ascii="Arial" w:hAnsi="Arial" w:cs="Arial"/>
      <w:bCs/>
      <w:u w:val="single"/>
    </w:rPr>
  </w:style>
  <w:style w:type="paragraph" w:styleId="Heading2">
    <w:name w:val="heading 2"/>
    <w:basedOn w:val="Normal"/>
    <w:next w:val="Normal"/>
    <w:link w:val="Heading2Char"/>
    <w:uiPriority w:val="9"/>
    <w:unhideWhenUsed/>
    <w:qFormat/>
    <w:rsid w:val="00CE7E27"/>
    <w:pPr>
      <w:keepNext/>
      <w:spacing w:after="0" w:line="360" w:lineRule="auto"/>
      <w:jc w:val="both"/>
      <w:outlineLvl w:val="1"/>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link w:val="ListParagraphChar"/>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unhideWhenUsed/>
    <w:rsid w:val="00B07B4B"/>
    <w:pPr>
      <w:spacing w:after="0" w:line="240" w:lineRule="auto"/>
    </w:pPr>
    <w:rPr>
      <w:sz w:val="20"/>
      <w:szCs w:val="20"/>
    </w:rPr>
  </w:style>
  <w:style w:type="character" w:customStyle="1" w:styleId="FootnoteTextChar">
    <w:name w:val="Footnote Text Char"/>
    <w:link w:val="FootnoteText"/>
    <w:uiPriority w:val="99"/>
    <w:rsid w:val="00B07B4B"/>
    <w:rPr>
      <w:sz w:val="20"/>
      <w:szCs w:val="20"/>
    </w:rPr>
  </w:style>
  <w:style w:type="character" w:styleId="FootnoteReference">
    <w:name w:val="footnote reference"/>
    <w:uiPriority w:val="99"/>
    <w:unhideWhenUsed/>
    <w:rsid w:val="00B07B4B"/>
    <w:rPr>
      <w:vertAlign w:val="superscript"/>
    </w:rPr>
  </w:style>
  <w:style w:type="character" w:customStyle="1" w:styleId="ListParagraphChar">
    <w:name w:val="List Paragraph Char"/>
    <w:basedOn w:val="DefaultParagraphFont"/>
    <w:link w:val="ListParagraph"/>
    <w:uiPriority w:val="34"/>
    <w:rsid w:val="00E74FC1"/>
  </w:style>
  <w:style w:type="character" w:customStyle="1" w:styleId="Heading1Char">
    <w:name w:val="Heading 1 Char"/>
    <w:link w:val="Heading1"/>
    <w:uiPriority w:val="9"/>
    <w:rsid w:val="00800A86"/>
    <w:rPr>
      <w:rFonts w:ascii="Arial" w:hAnsi="Arial" w:cs="Arial"/>
      <w:bCs/>
      <w:u w:val="single"/>
    </w:rPr>
  </w:style>
  <w:style w:type="paragraph" w:styleId="BodyText">
    <w:name w:val="Body Text"/>
    <w:basedOn w:val="Normal"/>
    <w:link w:val="BodyTextChar"/>
    <w:uiPriority w:val="99"/>
    <w:unhideWhenUsed/>
    <w:rsid w:val="00C219A1"/>
    <w:pPr>
      <w:tabs>
        <w:tab w:val="left" w:pos="575"/>
      </w:tabs>
      <w:spacing w:after="0" w:line="360" w:lineRule="auto"/>
      <w:jc w:val="both"/>
    </w:pPr>
    <w:rPr>
      <w:rFonts w:ascii="Arial" w:hAnsi="Arial" w:cs="Arial"/>
    </w:rPr>
  </w:style>
  <w:style w:type="character" w:customStyle="1" w:styleId="BodyTextChar">
    <w:name w:val="Body Text Char"/>
    <w:link w:val="BodyText"/>
    <w:uiPriority w:val="99"/>
    <w:rsid w:val="00C219A1"/>
    <w:rPr>
      <w:rFonts w:ascii="Arial" w:hAnsi="Arial" w:cs="Arial"/>
    </w:rPr>
  </w:style>
  <w:style w:type="character" w:customStyle="1" w:styleId="Heading2Char">
    <w:name w:val="Heading 2 Char"/>
    <w:link w:val="Heading2"/>
    <w:uiPriority w:val="9"/>
    <w:rsid w:val="00CE7E27"/>
    <w:rPr>
      <w:rFonts w:ascii="Arial" w:hAnsi="Arial" w:cs="Arial"/>
      <w:sz w:val="24"/>
      <w:szCs w:val="24"/>
      <w:u w:val="single"/>
    </w:rPr>
  </w:style>
  <w:style w:type="paragraph" w:styleId="BodyText2">
    <w:name w:val="Body Text 2"/>
    <w:basedOn w:val="Normal"/>
    <w:link w:val="BodyText2Char"/>
    <w:uiPriority w:val="99"/>
    <w:unhideWhenUsed/>
    <w:rsid w:val="00CB57A8"/>
    <w:pPr>
      <w:tabs>
        <w:tab w:val="left" w:pos="575"/>
      </w:tabs>
      <w:spacing w:after="0" w:line="360" w:lineRule="auto"/>
      <w:jc w:val="both"/>
    </w:pPr>
    <w:rPr>
      <w:rFonts w:ascii="Arial" w:hAnsi="Arial" w:cs="Arial"/>
      <w:sz w:val="24"/>
      <w:szCs w:val="24"/>
    </w:rPr>
  </w:style>
  <w:style w:type="character" w:customStyle="1" w:styleId="BodyText2Char">
    <w:name w:val="Body Text 2 Char"/>
    <w:link w:val="BodyText2"/>
    <w:uiPriority w:val="99"/>
    <w:rsid w:val="00CB57A8"/>
    <w:rPr>
      <w:rFonts w:ascii="Arial" w:hAnsi="Arial" w:cs="Arial"/>
      <w:sz w:val="24"/>
      <w:szCs w:val="24"/>
    </w:rPr>
  </w:style>
  <w:style w:type="paragraph" w:styleId="NormalWeb">
    <w:name w:val="Normal (Web)"/>
    <w:basedOn w:val="Normal"/>
    <w:uiPriority w:val="99"/>
    <w:semiHidden/>
    <w:unhideWhenUsed/>
    <w:rsid w:val="00D30C08"/>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8108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1118">
      <w:bodyDiv w:val="1"/>
      <w:marLeft w:val="0"/>
      <w:marRight w:val="0"/>
      <w:marTop w:val="0"/>
      <w:marBottom w:val="0"/>
      <w:divBdr>
        <w:top w:val="none" w:sz="0" w:space="0" w:color="auto"/>
        <w:left w:val="none" w:sz="0" w:space="0" w:color="auto"/>
        <w:bottom w:val="none" w:sz="0" w:space="0" w:color="auto"/>
        <w:right w:val="none" w:sz="0" w:space="0" w:color="auto"/>
      </w:divBdr>
    </w:div>
    <w:div w:id="491724693">
      <w:bodyDiv w:val="1"/>
      <w:marLeft w:val="0"/>
      <w:marRight w:val="0"/>
      <w:marTop w:val="0"/>
      <w:marBottom w:val="0"/>
      <w:divBdr>
        <w:top w:val="none" w:sz="0" w:space="0" w:color="auto"/>
        <w:left w:val="none" w:sz="0" w:space="0" w:color="auto"/>
        <w:bottom w:val="none" w:sz="0" w:space="0" w:color="auto"/>
        <w:right w:val="none" w:sz="0" w:space="0" w:color="auto"/>
      </w:divBdr>
    </w:div>
    <w:div w:id="747271948">
      <w:bodyDiv w:val="1"/>
      <w:marLeft w:val="0"/>
      <w:marRight w:val="0"/>
      <w:marTop w:val="0"/>
      <w:marBottom w:val="0"/>
      <w:divBdr>
        <w:top w:val="none" w:sz="0" w:space="0" w:color="auto"/>
        <w:left w:val="none" w:sz="0" w:space="0" w:color="auto"/>
        <w:bottom w:val="none" w:sz="0" w:space="0" w:color="auto"/>
        <w:right w:val="none" w:sz="0" w:space="0" w:color="auto"/>
      </w:divBdr>
    </w:div>
    <w:div w:id="114820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2023-04-05T18:30:00+00:00</Judgment_x0020_Date>
    <Year xmlns="c1afb1bd-f2fb-40fd-9abb-aea55b4d7662">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8AC2C-7D60-4677-877D-2B2F17362BF9}"/>
</file>

<file path=customXml/itemProps2.xml><?xml version="1.0" encoding="utf-8"?>
<ds:datastoreItem xmlns:ds="http://schemas.openxmlformats.org/officeDocument/2006/customXml" ds:itemID="{D9D41F77-EAB0-494A-8946-9F178E23A819}"/>
</file>

<file path=customXml/itemProps3.xml><?xml version="1.0" encoding="utf-8"?>
<ds:datastoreItem xmlns:ds="http://schemas.openxmlformats.org/officeDocument/2006/customXml" ds:itemID="{08B419F2-4A1B-4A5D-A462-049EB0DC87FA}"/>
</file>

<file path=customXml/itemProps4.xml><?xml version="1.0" encoding="utf-8"?>
<ds:datastoreItem xmlns:ds="http://schemas.openxmlformats.org/officeDocument/2006/customXml" ds:itemID="{610AB892-823C-4946-AFB9-09A0C34CD7C3}"/>
</file>

<file path=customXml/itemProps5.xml><?xml version="1.0" encoding="utf-8"?>
<ds:datastoreItem xmlns:ds="http://schemas.openxmlformats.org/officeDocument/2006/customXml" ds:itemID="{781CD7E4-630A-42DD-A20E-7CF1BE96ACF8}"/>
</file>

<file path=docProps/app.xml><?xml version="1.0" encoding="utf-8"?>
<Properties xmlns="http://schemas.openxmlformats.org/officeDocument/2006/extended-properties" xmlns:vt="http://schemas.openxmlformats.org/officeDocument/2006/docPropsVTypes">
  <Template>Normal</Template>
  <TotalTime>2</TotalTime>
  <Pages>1</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Nedbank Namibia Limited v Hallie Investment 116 CC (HC-MD-CIV- ACT-CON-2022-02817) [2022] NAHCMD 23 (02 February 2023)</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Nedbank Namibia Limited v Angelo Rowen Helmuth (HC-MD-CIV-ACT-CON-2022-00429) [2023] NAHCMD 178 (6 April 2023)</dc:title>
  <dc:subject/>
  <dc:creator>E. Kharases</dc:creator>
  <cp:keywords/>
  <dc:description/>
  <cp:lastModifiedBy>Collins Omalu</cp:lastModifiedBy>
  <cp:revision>4</cp:revision>
  <cp:lastPrinted>2023-04-06T13:11:00Z</cp:lastPrinted>
  <dcterms:created xsi:type="dcterms:W3CDTF">2023-04-11T12:25:00Z</dcterms:created>
  <dcterms:modified xsi:type="dcterms:W3CDTF">2023-04-28T06:12:00Z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y fmtid="{D5CDD505-2E9C-101B-9397-08002B2CF9AE}" pid="3" name="GrammarlyDocumentId">
    <vt:lpwstr>c7b938d052d1ed9d8a8a05e1980bcb282e10a9c324e77400310baadc4def7fec</vt:lpwstr>
  </property>
</Properties>
</file>