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41" w:rsidRPr="00D10241" w:rsidRDefault="00D10241" w:rsidP="00D10241">
      <w:pPr>
        <w:spacing w:after="0" w:line="240" w:lineRule="auto"/>
        <w:jc w:val="center"/>
        <w:rPr>
          <w:rFonts w:ascii="Arial" w:eastAsia="Times New Roman" w:hAnsi="Arial" w:cs="Arial"/>
          <w:b/>
          <w:sz w:val="24"/>
          <w:szCs w:val="24"/>
          <w:lang w:val="en-GB"/>
        </w:rPr>
      </w:pPr>
      <w:r w:rsidRPr="00D10241">
        <w:rPr>
          <w:rFonts w:ascii="Arial" w:eastAsia="Times New Roman" w:hAnsi="Arial" w:cs="Arial"/>
          <w:b/>
          <w:sz w:val="24"/>
          <w:szCs w:val="24"/>
          <w:lang w:val="en-GB"/>
        </w:rPr>
        <w:t>REPUBLIC OF NAMIBIA</w:t>
      </w:r>
    </w:p>
    <w:p w:rsidR="00D10241" w:rsidRPr="00D10241" w:rsidRDefault="00D10241" w:rsidP="00D10241">
      <w:pPr>
        <w:spacing w:after="0" w:line="240" w:lineRule="auto"/>
        <w:jc w:val="center"/>
        <w:rPr>
          <w:rFonts w:ascii="Arial" w:eastAsia="Times New Roman" w:hAnsi="Arial" w:cs="Arial"/>
          <w:sz w:val="24"/>
          <w:szCs w:val="24"/>
          <w:lang w:val="en-GB"/>
        </w:rPr>
      </w:pPr>
      <w:r w:rsidRPr="00D10241">
        <w:rPr>
          <w:rFonts w:ascii="Arial" w:eastAsia="Times New Roman" w:hAnsi="Arial" w:cs="Arial"/>
          <w:noProof/>
          <w:sz w:val="24"/>
          <w:szCs w:val="24"/>
        </w:rPr>
        <w:drawing>
          <wp:inline distT="0" distB="0" distL="0" distR="0" wp14:anchorId="29D8AF0F" wp14:editId="78C0AB9C">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D10241" w:rsidRPr="00D10241" w:rsidRDefault="00D10241" w:rsidP="00D10241">
      <w:pPr>
        <w:spacing w:after="0" w:line="240" w:lineRule="auto"/>
        <w:jc w:val="center"/>
        <w:rPr>
          <w:rFonts w:ascii="Arial" w:eastAsia="Times New Roman" w:hAnsi="Arial" w:cs="Arial"/>
          <w:sz w:val="24"/>
          <w:szCs w:val="24"/>
          <w:lang w:val="en-GB"/>
        </w:rPr>
      </w:pPr>
    </w:p>
    <w:p w:rsidR="00D10241" w:rsidRPr="00D10241" w:rsidRDefault="00D10241" w:rsidP="00D10241">
      <w:pPr>
        <w:spacing w:after="0" w:line="360" w:lineRule="auto"/>
        <w:jc w:val="center"/>
        <w:rPr>
          <w:rFonts w:ascii="Arial" w:eastAsia="Times New Roman" w:hAnsi="Arial" w:cs="Arial"/>
          <w:b/>
          <w:sz w:val="24"/>
          <w:szCs w:val="24"/>
          <w:lang w:val="en-GB"/>
        </w:rPr>
      </w:pPr>
      <w:r w:rsidRPr="00D10241">
        <w:rPr>
          <w:rFonts w:ascii="Arial" w:eastAsia="Times New Roman" w:hAnsi="Arial" w:cs="Arial"/>
          <w:b/>
          <w:sz w:val="24"/>
          <w:szCs w:val="24"/>
          <w:lang w:val="en-GB"/>
        </w:rPr>
        <w:t>IN THE HIGH COURT OF NAMIBIA, MAIN DIVISION, WINDHOEK</w:t>
      </w:r>
    </w:p>
    <w:p w:rsidR="00D10241" w:rsidRPr="00D10241" w:rsidRDefault="00D10241" w:rsidP="00D10241">
      <w:pPr>
        <w:spacing w:after="0" w:line="360" w:lineRule="auto"/>
        <w:jc w:val="center"/>
        <w:rPr>
          <w:rFonts w:ascii="Arial" w:eastAsia="Times New Roman" w:hAnsi="Arial" w:cs="Arial"/>
          <w:sz w:val="24"/>
          <w:szCs w:val="24"/>
          <w:lang w:val="en-GB"/>
        </w:rPr>
      </w:pPr>
      <w:r w:rsidRPr="00D10241">
        <w:rPr>
          <w:rFonts w:ascii="Arial" w:eastAsia="Times New Roman" w:hAnsi="Arial" w:cs="Arial"/>
          <w:b/>
          <w:sz w:val="24"/>
          <w:szCs w:val="24"/>
          <w:lang w:val="en-GB"/>
        </w:rPr>
        <w:t>REVIEW JUDGMENT</w:t>
      </w:r>
    </w:p>
    <w:p w:rsidR="00D10241" w:rsidRPr="00D10241" w:rsidRDefault="00D10241" w:rsidP="00D10241">
      <w:pPr>
        <w:spacing w:line="256" w:lineRule="auto"/>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D10241" w:rsidRPr="00D10241" w:rsidTr="00214E84">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D10241" w:rsidRPr="00D10241" w:rsidRDefault="00122A39" w:rsidP="00D10241">
            <w:pPr>
              <w:spacing w:line="360" w:lineRule="auto"/>
              <w:jc w:val="both"/>
              <w:rPr>
                <w:rFonts w:ascii="Arial" w:hAnsi="Arial" w:cs="Arial"/>
                <w:color w:val="171717" w:themeColor="background2" w:themeShade="1A"/>
                <w:sz w:val="24"/>
                <w:szCs w:val="24"/>
              </w:rPr>
            </w:pPr>
            <w:r>
              <w:rPr>
                <w:rFonts w:ascii="Arial" w:hAnsi="Arial" w:cs="Arial"/>
                <w:b/>
                <w:color w:val="171717" w:themeColor="background2" w:themeShade="1A"/>
                <w:sz w:val="24"/>
                <w:szCs w:val="24"/>
              </w:rPr>
              <w:t>C</w:t>
            </w:r>
            <w:r w:rsidR="00D10241" w:rsidRPr="00D10241">
              <w:rPr>
                <w:rFonts w:ascii="Arial" w:hAnsi="Arial" w:cs="Arial"/>
                <w:b/>
                <w:color w:val="171717" w:themeColor="background2" w:themeShade="1A"/>
                <w:sz w:val="24"/>
                <w:szCs w:val="24"/>
              </w:rPr>
              <w:t>ase Title:</w:t>
            </w:r>
          </w:p>
          <w:p w:rsidR="00D10241" w:rsidRPr="00D10241" w:rsidRDefault="00D10241" w:rsidP="00D10241">
            <w:pPr>
              <w:spacing w:line="360" w:lineRule="auto"/>
              <w:jc w:val="both"/>
              <w:rPr>
                <w:rFonts w:ascii="Arial" w:hAnsi="Arial" w:cs="Arial"/>
                <w:i/>
                <w:color w:val="171717" w:themeColor="background2" w:themeShade="1A"/>
                <w:sz w:val="24"/>
                <w:szCs w:val="24"/>
              </w:rPr>
            </w:pPr>
            <w:r w:rsidRPr="00D10241">
              <w:rPr>
                <w:rFonts w:ascii="Arial" w:hAnsi="Arial" w:cs="Arial"/>
                <w:i/>
                <w:color w:val="171717" w:themeColor="background2" w:themeShade="1A"/>
                <w:sz w:val="24"/>
                <w:szCs w:val="24"/>
              </w:rPr>
              <w:t xml:space="preserve">The State v </w:t>
            </w:r>
            <w:r>
              <w:rPr>
                <w:rFonts w:ascii="Arial" w:hAnsi="Arial" w:cs="Arial"/>
                <w:i/>
                <w:color w:val="171717" w:themeColor="background2" w:themeShade="1A"/>
                <w:sz w:val="24"/>
                <w:szCs w:val="24"/>
              </w:rPr>
              <w:t>Gerson Rico Swartbooi</w:t>
            </w:r>
          </w:p>
        </w:tc>
        <w:tc>
          <w:tcPr>
            <w:tcW w:w="4323" w:type="dxa"/>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both"/>
              <w:rPr>
                <w:rFonts w:ascii="Arial" w:hAnsi="Arial" w:cs="Arial"/>
                <w:b/>
                <w:color w:val="171717" w:themeColor="background2" w:themeShade="1A"/>
                <w:sz w:val="24"/>
                <w:szCs w:val="24"/>
              </w:rPr>
            </w:pPr>
            <w:r w:rsidRPr="00D10241">
              <w:rPr>
                <w:rFonts w:ascii="Arial" w:hAnsi="Arial" w:cs="Arial"/>
                <w:b/>
                <w:color w:val="171717" w:themeColor="background2" w:themeShade="1A"/>
                <w:sz w:val="24"/>
                <w:szCs w:val="24"/>
              </w:rPr>
              <w:t>Case No:</w:t>
            </w:r>
          </w:p>
          <w:p w:rsidR="00D10241" w:rsidRPr="00D10241" w:rsidRDefault="00656604" w:rsidP="00D10241">
            <w:pPr>
              <w:spacing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CR 122</w:t>
            </w:r>
            <w:r w:rsidR="00D10241" w:rsidRPr="00D10241">
              <w:rPr>
                <w:rFonts w:ascii="Arial" w:hAnsi="Arial" w:cs="Arial"/>
                <w:color w:val="171717" w:themeColor="background2" w:themeShade="1A"/>
                <w:sz w:val="24"/>
                <w:szCs w:val="24"/>
              </w:rPr>
              <w:t>/2022</w:t>
            </w:r>
          </w:p>
        </w:tc>
      </w:tr>
      <w:tr w:rsidR="00D10241" w:rsidRPr="00D10241" w:rsidTr="00214E84">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b/>
                <w:sz w:val="24"/>
                <w:szCs w:val="24"/>
              </w:rPr>
            </w:pPr>
            <w:r w:rsidRPr="00D10241">
              <w:rPr>
                <w:rFonts w:ascii="Arial" w:hAnsi="Arial" w:cs="Arial"/>
                <w:b/>
                <w:sz w:val="24"/>
                <w:szCs w:val="24"/>
              </w:rPr>
              <w:t>High Court MD Review No:</w:t>
            </w:r>
          </w:p>
          <w:p w:rsidR="00D10241" w:rsidRPr="00D10241" w:rsidRDefault="00D10241" w:rsidP="00D10241">
            <w:pPr>
              <w:spacing w:line="360" w:lineRule="auto"/>
              <w:jc w:val="both"/>
              <w:rPr>
                <w:rFonts w:ascii="Arial" w:hAnsi="Arial" w:cs="Arial"/>
                <w:sz w:val="24"/>
                <w:szCs w:val="24"/>
              </w:rPr>
            </w:pPr>
            <w:r w:rsidRPr="00D10241">
              <w:rPr>
                <w:rFonts w:ascii="Arial" w:hAnsi="Arial" w:cs="Arial"/>
                <w:sz w:val="24"/>
                <w:szCs w:val="24"/>
              </w:rPr>
              <w:t>1</w:t>
            </w:r>
            <w:r>
              <w:rPr>
                <w:rFonts w:ascii="Arial" w:hAnsi="Arial" w:cs="Arial"/>
                <w:sz w:val="24"/>
                <w:szCs w:val="24"/>
              </w:rPr>
              <w:t>168</w:t>
            </w:r>
            <w:r w:rsidRPr="00D10241">
              <w:rPr>
                <w:rFonts w:ascii="Arial" w:hAnsi="Arial" w:cs="Arial"/>
                <w:sz w:val="24"/>
                <w:szCs w:val="24"/>
              </w:rPr>
              <w:t>/2022</w:t>
            </w:r>
          </w:p>
        </w:tc>
        <w:tc>
          <w:tcPr>
            <w:tcW w:w="4323" w:type="dxa"/>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both"/>
              <w:rPr>
                <w:rFonts w:ascii="Arial" w:hAnsi="Arial" w:cs="Arial"/>
                <w:sz w:val="24"/>
                <w:szCs w:val="24"/>
              </w:rPr>
            </w:pPr>
            <w:r w:rsidRPr="00D10241">
              <w:rPr>
                <w:rFonts w:ascii="Arial" w:hAnsi="Arial" w:cs="Arial"/>
                <w:b/>
                <w:sz w:val="24"/>
                <w:szCs w:val="24"/>
              </w:rPr>
              <w:t>Division of Court:</w:t>
            </w:r>
          </w:p>
          <w:p w:rsidR="00D10241" w:rsidRPr="00D10241" w:rsidRDefault="00D10241" w:rsidP="00D10241">
            <w:pPr>
              <w:spacing w:line="360" w:lineRule="auto"/>
              <w:jc w:val="both"/>
              <w:rPr>
                <w:rFonts w:ascii="Arial" w:hAnsi="Arial" w:cs="Arial"/>
                <w:sz w:val="24"/>
                <w:szCs w:val="24"/>
              </w:rPr>
            </w:pPr>
            <w:r w:rsidRPr="00D10241">
              <w:rPr>
                <w:rFonts w:ascii="Arial" w:hAnsi="Arial" w:cs="Arial"/>
                <w:sz w:val="24"/>
                <w:szCs w:val="24"/>
              </w:rPr>
              <w:t>Main Division</w:t>
            </w:r>
          </w:p>
        </w:tc>
      </w:tr>
      <w:tr w:rsidR="00D10241" w:rsidRPr="00D10241" w:rsidTr="00214E84">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276" w:lineRule="auto"/>
              <w:contextualSpacing/>
              <w:jc w:val="both"/>
              <w:rPr>
                <w:rFonts w:ascii="Arial" w:hAnsi="Arial" w:cs="Arial"/>
                <w:b/>
                <w:sz w:val="24"/>
                <w:szCs w:val="24"/>
              </w:rPr>
            </w:pPr>
            <w:r w:rsidRPr="00D10241">
              <w:rPr>
                <w:rFonts w:ascii="Arial" w:hAnsi="Arial" w:cs="Arial"/>
                <w:b/>
                <w:sz w:val="24"/>
                <w:szCs w:val="24"/>
              </w:rPr>
              <w:t>Heard before:</w:t>
            </w:r>
          </w:p>
          <w:p w:rsidR="00D10241" w:rsidRPr="00D10241" w:rsidRDefault="00D10241" w:rsidP="00A94EAB">
            <w:pPr>
              <w:spacing w:line="276" w:lineRule="auto"/>
              <w:contextualSpacing/>
              <w:jc w:val="both"/>
              <w:rPr>
                <w:rFonts w:ascii="Arial" w:hAnsi="Arial" w:cs="Arial"/>
                <w:sz w:val="24"/>
                <w:szCs w:val="24"/>
              </w:rPr>
            </w:pPr>
            <w:r w:rsidRPr="00D10241">
              <w:rPr>
                <w:rFonts w:ascii="Arial" w:hAnsi="Arial" w:cs="Arial"/>
                <w:sz w:val="24"/>
                <w:szCs w:val="24"/>
              </w:rPr>
              <w:t>January</w:t>
            </w:r>
            <w:r w:rsidR="00A94EAB">
              <w:rPr>
                <w:rFonts w:ascii="Arial" w:hAnsi="Arial" w:cs="Arial"/>
                <w:sz w:val="24"/>
                <w:szCs w:val="24"/>
              </w:rPr>
              <w:t xml:space="preserve"> J</w:t>
            </w:r>
            <w:r w:rsidRPr="00D10241">
              <w:rPr>
                <w:rFonts w:ascii="Arial" w:hAnsi="Arial" w:cs="Arial"/>
                <w:sz w:val="24"/>
                <w:szCs w:val="24"/>
              </w:rPr>
              <w:t xml:space="preserve"> </w:t>
            </w:r>
            <w:r w:rsidRPr="00D10241">
              <w:rPr>
                <w:rFonts w:ascii="Arial" w:hAnsi="Arial" w:cs="Arial"/>
                <w:i/>
                <w:sz w:val="24"/>
                <w:szCs w:val="24"/>
              </w:rPr>
              <w:t xml:space="preserve">et </w:t>
            </w:r>
            <w:r w:rsidR="002E1B11">
              <w:rPr>
                <w:rFonts w:ascii="Arial" w:hAnsi="Arial" w:cs="Arial"/>
                <w:sz w:val="24"/>
                <w:szCs w:val="24"/>
              </w:rPr>
              <w:t>Usiku</w:t>
            </w:r>
            <w:r w:rsidR="00A94EAB">
              <w:rPr>
                <w:rFonts w:ascii="Arial" w:hAnsi="Arial" w:cs="Arial"/>
                <w:sz w:val="24"/>
                <w:szCs w:val="24"/>
              </w:rPr>
              <w:t xml:space="preserve"> J</w:t>
            </w:r>
          </w:p>
        </w:tc>
        <w:tc>
          <w:tcPr>
            <w:tcW w:w="4323" w:type="dxa"/>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276" w:lineRule="auto"/>
              <w:contextualSpacing/>
              <w:jc w:val="both"/>
              <w:rPr>
                <w:rFonts w:ascii="Arial" w:hAnsi="Arial" w:cs="Arial"/>
                <w:b/>
                <w:sz w:val="24"/>
                <w:szCs w:val="24"/>
              </w:rPr>
            </w:pPr>
            <w:r w:rsidRPr="00D10241">
              <w:rPr>
                <w:rFonts w:ascii="Arial" w:hAnsi="Arial" w:cs="Arial"/>
                <w:b/>
                <w:sz w:val="24"/>
                <w:szCs w:val="24"/>
              </w:rPr>
              <w:t>Delivered on:</w:t>
            </w:r>
          </w:p>
          <w:p w:rsidR="00D10241" w:rsidRPr="00D10241" w:rsidRDefault="00ED2DC8" w:rsidP="00D10241">
            <w:pPr>
              <w:spacing w:line="276" w:lineRule="auto"/>
              <w:contextualSpacing/>
              <w:jc w:val="both"/>
              <w:rPr>
                <w:rFonts w:ascii="Arial" w:hAnsi="Arial" w:cs="Arial"/>
                <w:sz w:val="24"/>
                <w:szCs w:val="24"/>
              </w:rPr>
            </w:pPr>
            <w:r>
              <w:rPr>
                <w:rFonts w:ascii="Arial" w:hAnsi="Arial" w:cs="Arial"/>
                <w:sz w:val="24"/>
                <w:szCs w:val="24"/>
              </w:rPr>
              <w:t>13</w:t>
            </w:r>
            <w:r w:rsidR="00122A39">
              <w:rPr>
                <w:rFonts w:ascii="Arial" w:hAnsi="Arial" w:cs="Arial"/>
                <w:sz w:val="24"/>
                <w:szCs w:val="24"/>
              </w:rPr>
              <w:t xml:space="preserve"> April</w:t>
            </w:r>
            <w:r w:rsidR="00D10241" w:rsidRPr="00D10241">
              <w:rPr>
                <w:rFonts w:ascii="Arial" w:hAnsi="Arial" w:cs="Arial"/>
                <w:sz w:val="24"/>
                <w:szCs w:val="24"/>
              </w:rPr>
              <w:t xml:space="preserve"> 2023</w:t>
            </w:r>
          </w:p>
          <w:p w:rsidR="00D10241" w:rsidRPr="00D10241" w:rsidRDefault="00D10241" w:rsidP="00D10241">
            <w:pPr>
              <w:spacing w:line="276" w:lineRule="auto"/>
              <w:contextualSpacing/>
              <w:jc w:val="both"/>
              <w:rPr>
                <w:rFonts w:ascii="Arial" w:hAnsi="Arial" w:cs="Arial"/>
                <w:sz w:val="24"/>
                <w:szCs w:val="24"/>
              </w:rPr>
            </w:pP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both"/>
              <w:rPr>
                <w:rFonts w:ascii="Arial" w:hAnsi="Arial" w:cs="Arial"/>
                <w:color w:val="0D0D0D" w:themeColor="text1" w:themeTint="F2"/>
                <w:sz w:val="24"/>
                <w:szCs w:val="24"/>
              </w:rPr>
            </w:pPr>
            <w:r w:rsidRPr="00D10241">
              <w:rPr>
                <w:rFonts w:ascii="Arial" w:hAnsi="Arial" w:cs="Arial"/>
                <w:b/>
                <w:color w:val="0D0D0D" w:themeColor="text1" w:themeTint="F2"/>
                <w:sz w:val="24"/>
                <w:szCs w:val="24"/>
              </w:rPr>
              <w:t xml:space="preserve">Neutral citation: </w:t>
            </w:r>
            <w:r w:rsidRPr="00D10241">
              <w:rPr>
                <w:rFonts w:ascii="Arial" w:hAnsi="Arial" w:cs="Arial"/>
                <w:i/>
                <w:color w:val="0D0D0D" w:themeColor="text1" w:themeTint="F2"/>
                <w:sz w:val="24"/>
                <w:szCs w:val="24"/>
              </w:rPr>
              <w:t>S v</w:t>
            </w:r>
            <w:r w:rsidRPr="00D10241">
              <w:rPr>
                <w:rFonts w:ascii="Arial" w:hAnsi="Arial" w:cs="Arial"/>
                <w:b/>
                <w:color w:val="0D0D0D" w:themeColor="text1" w:themeTint="F2"/>
                <w:sz w:val="24"/>
                <w:szCs w:val="24"/>
              </w:rPr>
              <w:t xml:space="preserve"> </w:t>
            </w:r>
            <w:r>
              <w:rPr>
                <w:rFonts w:ascii="Arial" w:hAnsi="Arial" w:cs="Arial"/>
                <w:i/>
                <w:color w:val="0D0D0D" w:themeColor="text1" w:themeTint="F2"/>
                <w:sz w:val="24"/>
                <w:szCs w:val="24"/>
              </w:rPr>
              <w:t xml:space="preserve">Swartbooi </w:t>
            </w:r>
            <w:r w:rsidR="00656604">
              <w:rPr>
                <w:rFonts w:ascii="Arial" w:hAnsi="Arial" w:cs="Arial"/>
                <w:color w:val="0D0D0D" w:themeColor="text1" w:themeTint="F2"/>
                <w:sz w:val="24"/>
                <w:szCs w:val="24"/>
              </w:rPr>
              <w:t>(CR 122</w:t>
            </w:r>
            <w:r w:rsidR="00506E71">
              <w:rPr>
                <w:rFonts w:ascii="Arial" w:hAnsi="Arial" w:cs="Arial"/>
                <w:color w:val="0D0D0D" w:themeColor="text1" w:themeTint="F2"/>
                <w:sz w:val="24"/>
                <w:szCs w:val="24"/>
              </w:rPr>
              <w:t>/2022</w:t>
            </w:r>
            <w:r w:rsidR="00656604">
              <w:rPr>
                <w:rFonts w:ascii="Arial" w:hAnsi="Arial" w:cs="Arial"/>
                <w:color w:val="0D0D0D" w:themeColor="text1" w:themeTint="F2"/>
                <w:sz w:val="24"/>
                <w:szCs w:val="24"/>
              </w:rPr>
              <w:t>) [2023</w:t>
            </w:r>
            <w:r w:rsidR="00CA42E6">
              <w:rPr>
                <w:rFonts w:ascii="Arial" w:hAnsi="Arial" w:cs="Arial"/>
                <w:color w:val="0D0D0D" w:themeColor="text1" w:themeTint="F2"/>
                <w:sz w:val="24"/>
                <w:szCs w:val="24"/>
              </w:rPr>
              <w:t xml:space="preserve">] NAHCMD </w:t>
            </w:r>
            <w:r w:rsidR="00393E31">
              <w:rPr>
                <w:rFonts w:ascii="Arial" w:hAnsi="Arial" w:cs="Arial"/>
                <w:color w:val="0D0D0D" w:themeColor="text1" w:themeTint="F2"/>
                <w:sz w:val="24"/>
                <w:szCs w:val="24"/>
              </w:rPr>
              <w:t>187</w:t>
            </w:r>
            <w:r w:rsidR="00ED2DC8">
              <w:rPr>
                <w:rFonts w:ascii="Arial" w:hAnsi="Arial" w:cs="Arial"/>
                <w:color w:val="0D0D0D" w:themeColor="text1" w:themeTint="F2"/>
                <w:sz w:val="24"/>
                <w:szCs w:val="24"/>
              </w:rPr>
              <w:t xml:space="preserve"> (13</w:t>
            </w:r>
            <w:r w:rsidRPr="00D10241">
              <w:rPr>
                <w:rFonts w:ascii="Arial" w:hAnsi="Arial" w:cs="Arial"/>
                <w:color w:val="0D0D0D" w:themeColor="text1" w:themeTint="F2"/>
                <w:sz w:val="24"/>
                <w:szCs w:val="24"/>
              </w:rPr>
              <w:t xml:space="preserve"> </w:t>
            </w:r>
            <w:r w:rsidR="00122A39">
              <w:rPr>
                <w:rFonts w:ascii="Arial" w:hAnsi="Arial" w:cs="Arial"/>
                <w:color w:val="0D0D0D" w:themeColor="text1" w:themeTint="F2"/>
                <w:sz w:val="24"/>
                <w:szCs w:val="24"/>
              </w:rPr>
              <w:t>April</w:t>
            </w:r>
            <w:r w:rsidRPr="00D10241">
              <w:rPr>
                <w:rFonts w:ascii="Arial" w:hAnsi="Arial" w:cs="Arial"/>
                <w:color w:val="0D0D0D" w:themeColor="text1" w:themeTint="F2"/>
                <w:sz w:val="24"/>
                <w:szCs w:val="24"/>
              </w:rPr>
              <w:t xml:space="preserve"> 2023)</w:t>
            </w:r>
          </w:p>
          <w:p w:rsidR="00D10241" w:rsidRPr="00D10241" w:rsidRDefault="00D10241" w:rsidP="00D10241">
            <w:pPr>
              <w:spacing w:line="360" w:lineRule="auto"/>
              <w:jc w:val="both"/>
              <w:rPr>
                <w:rFonts w:ascii="Arial" w:hAnsi="Arial" w:cs="Arial"/>
                <w:color w:val="0D0D0D" w:themeColor="text1" w:themeTint="F2"/>
                <w:sz w:val="24"/>
                <w:szCs w:val="24"/>
              </w:rPr>
            </w:pP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b/>
                <w:sz w:val="24"/>
                <w:szCs w:val="24"/>
              </w:rPr>
            </w:pPr>
          </w:p>
          <w:p w:rsidR="00D10241" w:rsidRPr="00D10241" w:rsidRDefault="00D10241" w:rsidP="00D10241">
            <w:pPr>
              <w:spacing w:line="360" w:lineRule="auto"/>
              <w:jc w:val="both"/>
              <w:rPr>
                <w:rFonts w:ascii="Arial" w:hAnsi="Arial" w:cs="Arial"/>
                <w:b/>
                <w:sz w:val="24"/>
                <w:szCs w:val="24"/>
              </w:rPr>
            </w:pPr>
            <w:r w:rsidRPr="00D10241">
              <w:rPr>
                <w:rFonts w:ascii="Arial" w:hAnsi="Arial" w:cs="Arial"/>
                <w:b/>
                <w:sz w:val="24"/>
                <w:szCs w:val="24"/>
              </w:rPr>
              <w:t>The order:</w:t>
            </w:r>
          </w:p>
          <w:p w:rsidR="00933992" w:rsidRPr="00B46E64" w:rsidRDefault="00933992" w:rsidP="00933992">
            <w:pPr>
              <w:numPr>
                <w:ilvl w:val="0"/>
                <w:numId w:val="8"/>
              </w:numPr>
              <w:tabs>
                <w:tab w:val="left" w:pos="851"/>
              </w:tabs>
              <w:spacing w:before="240" w:after="160" w:line="360" w:lineRule="auto"/>
              <w:contextualSpacing/>
              <w:jc w:val="both"/>
              <w:rPr>
                <w:rFonts w:ascii="Arial" w:hAnsi="Arial" w:cs="Arial"/>
                <w:sz w:val="24"/>
                <w:szCs w:val="24"/>
                <w:lang w:val="en-US"/>
              </w:rPr>
            </w:pPr>
            <w:r>
              <w:rPr>
                <w:rFonts w:ascii="Arial" w:hAnsi="Arial" w:cs="Arial"/>
                <w:sz w:val="24"/>
                <w:szCs w:val="24"/>
                <w:lang w:val="en-GB"/>
              </w:rPr>
              <w:t>T</w:t>
            </w:r>
            <w:r w:rsidRPr="00B46E64">
              <w:rPr>
                <w:rFonts w:ascii="Arial" w:hAnsi="Arial" w:cs="Arial"/>
                <w:sz w:val="24"/>
                <w:szCs w:val="24"/>
              </w:rPr>
              <w:t>he co</w:t>
            </w:r>
            <w:r w:rsidR="00BE79F6">
              <w:rPr>
                <w:rFonts w:ascii="Arial" w:hAnsi="Arial" w:cs="Arial"/>
                <w:sz w:val="24"/>
                <w:szCs w:val="24"/>
              </w:rPr>
              <w:t>nviction and sentence on count one</w:t>
            </w:r>
            <w:r w:rsidRPr="00B46E64">
              <w:rPr>
                <w:rFonts w:ascii="Arial" w:hAnsi="Arial" w:cs="Arial"/>
                <w:sz w:val="24"/>
                <w:szCs w:val="24"/>
              </w:rPr>
              <w:t xml:space="preserve"> are confirmed.</w:t>
            </w:r>
          </w:p>
          <w:p w:rsidR="00933992" w:rsidRPr="00933992" w:rsidRDefault="00933992" w:rsidP="00933992">
            <w:pPr>
              <w:numPr>
                <w:ilvl w:val="0"/>
                <w:numId w:val="8"/>
              </w:numPr>
              <w:tabs>
                <w:tab w:val="left" w:pos="851"/>
              </w:tabs>
              <w:spacing w:before="240" w:after="160" w:line="360" w:lineRule="auto"/>
              <w:contextualSpacing/>
              <w:jc w:val="both"/>
              <w:rPr>
                <w:rFonts w:ascii="Arial" w:hAnsi="Arial" w:cs="Arial"/>
                <w:sz w:val="24"/>
                <w:szCs w:val="24"/>
                <w:lang w:val="en-US"/>
              </w:rPr>
            </w:pPr>
            <w:r w:rsidRPr="00B46E64">
              <w:rPr>
                <w:rFonts w:ascii="Arial" w:hAnsi="Arial" w:cs="Arial"/>
                <w:sz w:val="24"/>
                <w:szCs w:val="24"/>
              </w:rPr>
              <w:t>The closing of the State</w:t>
            </w:r>
            <w:r w:rsidR="00656604">
              <w:rPr>
                <w:rFonts w:ascii="Arial" w:hAnsi="Arial" w:cs="Arial"/>
                <w:sz w:val="24"/>
                <w:szCs w:val="24"/>
              </w:rPr>
              <w:t>’s</w:t>
            </w:r>
            <w:r w:rsidRPr="00B46E64">
              <w:rPr>
                <w:rFonts w:ascii="Arial" w:hAnsi="Arial" w:cs="Arial"/>
                <w:sz w:val="24"/>
                <w:szCs w:val="24"/>
              </w:rPr>
              <w:t xml:space="preserve"> case</w:t>
            </w:r>
            <w:r>
              <w:rPr>
                <w:rFonts w:ascii="Arial" w:hAnsi="Arial" w:cs="Arial"/>
                <w:sz w:val="24"/>
                <w:szCs w:val="24"/>
              </w:rPr>
              <w:t xml:space="preserve"> in relation to the second count</w:t>
            </w:r>
            <w:r w:rsidRPr="00B46E64">
              <w:rPr>
                <w:rFonts w:ascii="Arial" w:hAnsi="Arial" w:cs="Arial"/>
                <w:sz w:val="24"/>
                <w:szCs w:val="24"/>
              </w:rPr>
              <w:t xml:space="preserve"> is set aside.</w:t>
            </w:r>
          </w:p>
          <w:p w:rsidR="00D10241" w:rsidRPr="00933992" w:rsidRDefault="00933992" w:rsidP="00FA5136">
            <w:pPr>
              <w:numPr>
                <w:ilvl w:val="0"/>
                <w:numId w:val="8"/>
              </w:numPr>
              <w:tabs>
                <w:tab w:val="left" w:pos="851"/>
              </w:tabs>
              <w:spacing w:before="240" w:after="160" w:line="360" w:lineRule="auto"/>
              <w:ind w:right="601"/>
              <w:contextualSpacing/>
              <w:jc w:val="both"/>
              <w:rPr>
                <w:rFonts w:ascii="Arial" w:hAnsi="Arial" w:cs="Arial"/>
                <w:sz w:val="24"/>
                <w:szCs w:val="24"/>
              </w:rPr>
            </w:pPr>
            <w:r w:rsidRPr="00933992">
              <w:rPr>
                <w:rFonts w:ascii="Arial" w:hAnsi="Arial" w:cs="Arial"/>
                <w:sz w:val="24"/>
                <w:szCs w:val="24"/>
              </w:rPr>
              <w:t>The matter is remitted to the trial court with the direction to proce</w:t>
            </w:r>
            <w:r w:rsidR="0068512F">
              <w:rPr>
                <w:rFonts w:ascii="Arial" w:hAnsi="Arial" w:cs="Arial"/>
                <w:sz w:val="24"/>
                <w:szCs w:val="24"/>
              </w:rPr>
              <w:t>ed to trial in respect of count</w:t>
            </w:r>
            <w:r w:rsidRPr="00933992">
              <w:rPr>
                <w:rFonts w:ascii="Arial" w:hAnsi="Arial" w:cs="Arial"/>
                <w:sz w:val="24"/>
                <w:szCs w:val="24"/>
              </w:rPr>
              <w:t xml:space="preserve"> </w:t>
            </w:r>
            <w:r w:rsidR="00BE79F6">
              <w:rPr>
                <w:rFonts w:ascii="Arial" w:hAnsi="Arial" w:cs="Arial"/>
                <w:sz w:val="24"/>
                <w:szCs w:val="24"/>
                <w:lang w:val="en-US"/>
              </w:rPr>
              <w:t>two</w:t>
            </w:r>
            <w:r w:rsidRPr="00933992">
              <w:rPr>
                <w:rFonts w:ascii="Arial" w:hAnsi="Arial" w:cs="Arial"/>
                <w:sz w:val="24"/>
                <w:szCs w:val="24"/>
              </w:rPr>
              <w:t>.</w:t>
            </w:r>
          </w:p>
          <w:p w:rsidR="00D10241" w:rsidRPr="00D10241" w:rsidRDefault="00D10241" w:rsidP="00933992">
            <w:pPr>
              <w:spacing w:line="360" w:lineRule="auto"/>
              <w:ind w:left="1152" w:right="601"/>
              <w:jc w:val="both"/>
              <w:rPr>
                <w:rFonts w:ascii="Arial" w:eastAsia="Times New Roman" w:hAnsi="Arial" w:cs="Arial"/>
                <w:spacing w:val="-3"/>
                <w:sz w:val="24"/>
                <w:szCs w:val="24"/>
              </w:rPr>
            </w:pP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b/>
                <w:sz w:val="24"/>
                <w:szCs w:val="24"/>
              </w:rPr>
            </w:pPr>
          </w:p>
          <w:p w:rsidR="00D10241" w:rsidRPr="00D10241" w:rsidRDefault="00D10241" w:rsidP="00D10241">
            <w:pPr>
              <w:spacing w:line="360" w:lineRule="auto"/>
              <w:jc w:val="both"/>
              <w:rPr>
                <w:rFonts w:ascii="Arial" w:hAnsi="Arial" w:cs="Arial"/>
                <w:b/>
                <w:sz w:val="24"/>
                <w:szCs w:val="24"/>
              </w:rPr>
            </w:pPr>
            <w:r w:rsidRPr="00D10241">
              <w:rPr>
                <w:rFonts w:ascii="Arial" w:hAnsi="Arial" w:cs="Arial"/>
                <w:b/>
                <w:sz w:val="24"/>
                <w:szCs w:val="24"/>
              </w:rPr>
              <w:t>Reasons for order:</w:t>
            </w:r>
          </w:p>
        </w:tc>
      </w:tr>
      <w:tr w:rsidR="00D10241" w:rsidRPr="00D10241" w:rsidTr="00214E84">
        <w:tc>
          <w:tcPr>
            <w:tcW w:w="9720" w:type="dxa"/>
            <w:gridSpan w:val="3"/>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jc w:val="both"/>
              <w:rPr>
                <w:rFonts w:ascii="Arial" w:hAnsi="Arial" w:cs="Arial"/>
                <w:sz w:val="24"/>
                <w:szCs w:val="24"/>
              </w:rPr>
            </w:pPr>
          </w:p>
          <w:p w:rsidR="00D10241" w:rsidRDefault="00D10241" w:rsidP="00D10241">
            <w:pPr>
              <w:spacing w:line="360" w:lineRule="auto"/>
              <w:jc w:val="both"/>
              <w:rPr>
                <w:rFonts w:ascii="Arial" w:hAnsi="Arial" w:cs="Arial"/>
                <w:sz w:val="24"/>
                <w:szCs w:val="24"/>
              </w:rPr>
            </w:pPr>
            <w:r w:rsidRPr="00D10241">
              <w:rPr>
                <w:rFonts w:ascii="Arial" w:hAnsi="Arial" w:cs="Arial"/>
                <w:sz w:val="24"/>
                <w:szCs w:val="24"/>
              </w:rPr>
              <w:t xml:space="preserve">January J (concurring </w:t>
            </w:r>
            <w:r w:rsidR="0086618F">
              <w:rPr>
                <w:rFonts w:ascii="Arial" w:hAnsi="Arial" w:cs="Arial"/>
                <w:sz w:val="24"/>
                <w:szCs w:val="24"/>
              </w:rPr>
              <w:t xml:space="preserve">Usiku  </w:t>
            </w:r>
            <w:r w:rsidRPr="00D10241">
              <w:rPr>
                <w:rFonts w:ascii="Arial" w:hAnsi="Arial" w:cs="Arial"/>
                <w:sz w:val="24"/>
                <w:szCs w:val="24"/>
              </w:rPr>
              <w:t>J)</w:t>
            </w:r>
            <w:r w:rsidR="00656604">
              <w:rPr>
                <w:rFonts w:ascii="Arial" w:hAnsi="Arial" w:cs="Arial"/>
                <w:sz w:val="24"/>
                <w:szCs w:val="24"/>
              </w:rPr>
              <w:t>:</w:t>
            </w:r>
          </w:p>
          <w:p w:rsidR="00CB77F2" w:rsidRPr="00D10241" w:rsidRDefault="00CB77F2" w:rsidP="00D10241">
            <w:pPr>
              <w:spacing w:line="360" w:lineRule="auto"/>
              <w:jc w:val="both"/>
              <w:rPr>
                <w:rFonts w:ascii="Arial" w:hAnsi="Arial" w:cs="Arial"/>
                <w:sz w:val="24"/>
                <w:szCs w:val="24"/>
              </w:rPr>
            </w:pPr>
          </w:p>
          <w:p w:rsidR="0068512F" w:rsidRDefault="00D10241" w:rsidP="00D10241">
            <w:pPr>
              <w:spacing w:line="360" w:lineRule="auto"/>
              <w:jc w:val="both"/>
              <w:rPr>
                <w:rFonts w:ascii="Arial" w:hAnsi="Arial" w:cs="Arial"/>
                <w:sz w:val="24"/>
                <w:szCs w:val="24"/>
              </w:rPr>
            </w:pPr>
            <w:r w:rsidRPr="00D10241">
              <w:rPr>
                <w:rFonts w:ascii="Arial" w:hAnsi="Arial" w:cs="Arial"/>
                <w:sz w:val="24"/>
                <w:szCs w:val="24"/>
              </w:rPr>
              <w:t xml:space="preserve">[1]      The case was submitted from the </w:t>
            </w:r>
            <w:r w:rsidR="00E23169">
              <w:rPr>
                <w:rFonts w:ascii="Arial" w:hAnsi="Arial" w:cs="Arial"/>
                <w:sz w:val="24"/>
                <w:szCs w:val="24"/>
              </w:rPr>
              <w:t>Omaruru</w:t>
            </w:r>
            <w:r w:rsidRPr="00D10241">
              <w:rPr>
                <w:rFonts w:ascii="Arial" w:hAnsi="Arial" w:cs="Arial"/>
                <w:sz w:val="24"/>
                <w:szCs w:val="24"/>
              </w:rPr>
              <w:t xml:space="preserve"> Magistrate’s Court for automatic review pursuant to s 302(1) of the Criminal Procedure Act 51 of 1977</w:t>
            </w:r>
            <w:r w:rsidR="00656604">
              <w:rPr>
                <w:rFonts w:ascii="Arial" w:hAnsi="Arial" w:cs="Arial"/>
                <w:sz w:val="24"/>
                <w:szCs w:val="24"/>
              </w:rPr>
              <w:t xml:space="preserve">, as amended </w:t>
            </w:r>
            <w:r w:rsidRPr="00D10241">
              <w:rPr>
                <w:rFonts w:ascii="Arial" w:hAnsi="Arial" w:cs="Arial"/>
                <w:sz w:val="24"/>
                <w:szCs w:val="24"/>
              </w:rPr>
              <w:t>(the CPA).</w:t>
            </w:r>
          </w:p>
          <w:p w:rsidR="0068512F" w:rsidRDefault="0068512F" w:rsidP="00D10241">
            <w:pPr>
              <w:spacing w:line="360" w:lineRule="auto"/>
              <w:jc w:val="both"/>
              <w:rPr>
                <w:rFonts w:ascii="Arial" w:hAnsi="Arial" w:cs="Arial"/>
                <w:sz w:val="24"/>
                <w:szCs w:val="24"/>
              </w:rPr>
            </w:pPr>
          </w:p>
          <w:p w:rsidR="00D10241" w:rsidRDefault="0068512F" w:rsidP="00D10241">
            <w:pPr>
              <w:spacing w:line="360" w:lineRule="auto"/>
              <w:jc w:val="both"/>
              <w:rPr>
                <w:rFonts w:ascii="Arial" w:hAnsi="Arial" w:cs="Arial"/>
                <w:sz w:val="24"/>
                <w:szCs w:val="24"/>
              </w:rPr>
            </w:pPr>
            <w:r>
              <w:rPr>
                <w:rFonts w:ascii="Arial" w:hAnsi="Arial" w:cs="Arial"/>
                <w:sz w:val="24"/>
                <w:szCs w:val="24"/>
              </w:rPr>
              <w:lastRenderedPageBreak/>
              <w:t>[2]</w:t>
            </w:r>
            <w:r w:rsidR="00656604">
              <w:rPr>
                <w:rFonts w:ascii="Arial" w:hAnsi="Arial" w:cs="Arial"/>
                <w:sz w:val="24"/>
                <w:szCs w:val="24"/>
              </w:rPr>
              <w:t xml:space="preserve">    The Magistrate explained the accused’s</w:t>
            </w:r>
            <w:r>
              <w:rPr>
                <w:rFonts w:ascii="Arial" w:hAnsi="Arial" w:cs="Arial"/>
                <w:sz w:val="24"/>
                <w:szCs w:val="24"/>
              </w:rPr>
              <w:t xml:space="preserve"> rights to legal represent</w:t>
            </w:r>
            <w:bookmarkStart w:id="0" w:name="_GoBack"/>
            <w:bookmarkEnd w:id="0"/>
            <w:r>
              <w:rPr>
                <w:rFonts w:ascii="Arial" w:hAnsi="Arial" w:cs="Arial"/>
                <w:sz w:val="24"/>
                <w:szCs w:val="24"/>
              </w:rPr>
              <w:t>ation at his first appearance. The accused opted to apply for legal aid. On a subsequent appearance, the public prosecutor put the charge</w:t>
            </w:r>
            <w:r w:rsidR="00AD46E3">
              <w:rPr>
                <w:rFonts w:ascii="Arial" w:hAnsi="Arial" w:cs="Arial"/>
                <w:sz w:val="24"/>
                <w:szCs w:val="24"/>
              </w:rPr>
              <w:t>s</w:t>
            </w:r>
            <w:r>
              <w:rPr>
                <w:rFonts w:ascii="Arial" w:hAnsi="Arial" w:cs="Arial"/>
                <w:sz w:val="24"/>
                <w:szCs w:val="24"/>
              </w:rPr>
              <w:t xml:space="preserve"> to the a</w:t>
            </w:r>
            <w:r w:rsidR="00AD46E3">
              <w:rPr>
                <w:rFonts w:ascii="Arial" w:hAnsi="Arial" w:cs="Arial"/>
                <w:sz w:val="24"/>
                <w:szCs w:val="24"/>
              </w:rPr>
              <w:t xml:space="preserve">ccused whereupon he was asked to plead. Nothing about the option to apply for legal aid </w:t>
            </w:r>
            <w:r w:rsidR="00E84834">
              <w:rPr>
                <w:rFonts w:ascii="Arial" w:hAnsi="Arial" w:cs="Arial"/>
                <w:sz w:val="24"/>
                <w:szCs w:val="24"/>
              </w:rPr>
              <w:t>is reflected</w:t>
            </w:r>
            <w:r w:rsidR="00AD46E3">
              <w:rPr>
                <w:rFonts w:ascii="Arial" w:hAnsi="Arial" w:cs="Arial"/>
                <w:sz w:val="24"/>
                <w:szCs w:val="24"/>
              </w:rPr>
              <w:t xml:space="preserve"> from the record.</w:t>
            </w:r>
          </w:p>
          <w:p w:rsidR="00B51AB8" w:rsidRPr="00AD6D37" w:rsidRDefault="00B51AB8" w:rsidP="00D10241">
            <w:pPr>
              <w:spacing w:line="360" w:lineRule="auto"/>
              <w:jc w:val="both"/>
              <w:rPr>
                <w:rFonts w:ascii="Arial" w:hAnsi="Arial" w:cs="Arial"/>
                <w:sz w:val="24"/>
                <w:szCs w:val="24"/>
              </w:rPr>
            </w:pPr>
          </w:p>
          <w:p w:rsidR="0027295B" w:rsidRDefault="00AD46E3" w:rsidP="00D10241">
            <w:pPr>
              <w:tabs>
                <w:tab w:val="left" w:pos="851"/>
              </w:tabs>
              <w:spacing w:before="240" w:line="360" w:lineRule="auto"/>
              <w:jc w:val="both"/>
              <w:rPr>
                <w:rFonts w:ascii="Arial" w:hAnsi="Arial" w:cs="Arial"/>
                <w:sz w:val="24"/>
                <w:szCs w:val="24"/>
              </w:rPr>
            </w:pPr>
            <w:r>
              <w:rPr>
                <w:rFonts w:ascii="Arial" w:hAnsi="Arial" w:cs="Arial"/>
                <w:sz w:val="24"/>
                <w:szCs w:val="24"/>
              </w:rPr>
              <w:t>[3</w:t>
            </w:r>
            <w:r w:rsidR="00D10241" w:rsidRPr="00D10241">
              <w:rPr>
                <w:rFonts w:ascii="Arial" w:hAnsi="Arial" w:cs="Arial"/>
                <w:sz w:val="24"/>
                <w:szCs w:val="24"/>
              </w:rPr>
              <w:t>]    The accused was charged</w:t>
            </w:r>
            <w:r w:rsidR="00C215A8">
              <w:rPr>
                <w:rFonts w:ascii="Arial" w:hAnsi="Arial" w:cs="Arial"/>
                <w:sz w:val="24"/>
                <w:szCs w:val="24"/>
              </w:rPr>
              <w:t xml:space="preserve"> with two c</w:t>
            </w:r>
            <w:r w:rsidR="00E84834">
              <w:rPr>
                <w:rFonts w:ascii="Arial" w:hAnsi="Arial" w:cs="Arial"/>
                <w:sz w:val="24"/>
                <w:szCs w:val="24"/>
              </w:rPr>
              <w:t>ounts</w:t>
            </w:r>
            <w:r w:rsidR="00C215A8">
              <w:rPr>
                <w:rFonts w:ascii="Arial" w:hAnsi="Arial" w:cs="Arial"/>
                <w:sz w:val="24"/>
                <w:szCs w:val="24"/>
              </w:rPr>
              <w:t xml:space="preserve"> of</w:t>
            </w:r>
            <w:r w:rsidR="00D10241" w:rsidRPr="00D10241">
              <w:rPr>
                <w:rFonts w:ascii="Arial" w:hAnsi="Arial" w:cs="Arial"/>
                <w:sz w:val="24"/>
                <w:szCs w:val="24"/>
              </w:rPr>
              <w:t xml:space="preserve"> </w:t>
            </w:r>
            <w:r w:rsidR="00E23169">
              <w:rPr>
                <w:rFonts w:ascii="Arial" w:hAnsi="Arial" w:cs="Arial"/>
                <w:sz w:val="24"/>
                <w:szCs w:val="24"/>
              </w:rPr>
              <w:t>housebreaking with intent to steal and theft</w:t>
            </w:r>
            <w:r w:rsidR="00D10241" w:rsidRPr="00D10241">
              <w:rPr>
                <w:rFonts w:ascii="Arial" w:hAnsi="Arial" w:cs="Arial"/>
                <w:sz w:val="24"/>
                <w:szCs w:val="24"/>
              </w:rPr>
              <w:t>.</w:t>
            </w:r>
            <w:r w:rsidR="00C215A8">
              <w:rPr>
                <w:rFonts w:ascii="Arial" w:hAnsi="Arial" w:cs="Arial"/>
                <w:sz w:val="24"/>
                <w:szCs w:val="24"/>
              </w:rPr>
              <w:t xml:space="preserve"> He pleaded guilty on the first charge and not guilty to the second charge</w:t>
            </w:r>
            <w:r w:rsidR="00656604">
              <w:rPr>
                <w:rFonts w:ascii="Arial" w:hAnsi="Arial" w:cs="Arial"/>
                <w:sz w:val="24"/>
                <w:szCs w:val="24"/>
              </w:rPr>
              <w:t>. The magistrate applied s</w:t>
            </w:r>
            <w:r w:rsidR="00C215A8">
              <w:rPr>
                <w:rFonts w:ascii="Arial" w:hAnsi="Arial" w:cs="Arial"/>
                <w:sz w:val="24"/>
                <w:szCs w:val="24"/>
              </w:rPr>
              <w:t xml:space="preserve"> 112(1</w:t>
            </w:r>
            <w:proofErr w:type="gramStart"/>
            <w:r w:rsidR="00C215A8">
              <w:rPr>
                <w:rFonts w:ascii="Arial" w:hAnsi="Arial" w:cs="Arial"/>
                <w:sz w:val="24"/>
                <w:szCs w:val="24"/>
              </w:rPr>
              <w:t>)</w:t>
            </w:r>
            <w:r w:rsidR="00C215A8" w:rsidRPr="00C215A8">
              <w:rPr>
                <w:rFonts w:ascii="Arial" w:hAnsi="Arial" w:cs="Arial"/>
                <w:i/>
                <w:sz w:val="24"/>
                <w:szCs w:val="24"/>
              </w:rPr>
              <w:t>(</w:t>
            </w:r>
            <w:proofErr w:type="gramEnd"/>
            <w:r w:rsidR="00C215A8" w:rsidRPr="00C215A8">
              <w:rPr>
                <w:rFonts w:ascii="Arial" w:hAnsi="Arial" w:cs="Arial"/>
                <w:i/>
                <w:sz w:val="24"/>
                <w:szCs w:val="24"/>
              </w:rPr>
              <w:t>b)</w:t>
            </w:r>
            <w:r w:rsidR="00C215A8">
              <w:rPr>
                <w:rFonts w:ascii="Arial" w:hAnsi="Arial" w:cs="Arial"/>
                <w:sz w:val="24"/>
                <w:szCs w:val="24"/>
              </w:rPr>
              <w:t xml:space="preserve"> of the CPA in respect of the guilty plea. The </w:t>
            </w:r>
            <w:proofErr w:type="gramStart"/>
            <w:r w:rsidR="00C215A8">
              <w:rPr>
                <w:rFonts w:ascii="Arial" w:hAnsi="Arial" w:cs="Arial"/>
                <w:sz w:val="24"/>
                <w:szCs w:val="24"/>
              </w:rPr>
              <w:t>magistrate,</w:t>
            </w:r>
            <w:proofErr w:type="gramEnd"/>
            <w:r w:rsidR="00C215A8">
              <w:rPr>
                <w:rFonts w:ascii="Arial" w:hAnsi="Arial" w:cs="Arial"/>
                <w:sz w:val="24"/>
                <w:szCs w:val="24"/>
              </w:rPr>
              <w:t xml:space="preserve"> however entered a plea of not guilty because the accused denied having broken in and in addition, denied the value of the property stolen. </w:t>
            </w:r>
          </w:p>
          <w:p w:rsidR="00B51AB8" w:rsidRDefault="00B51AB8" w:rsidP="00D10241">
            <w:pPr>
              <w:tabs>
                <w:tab w:val="left" w:pos="851"/>
              </w:tabs>
              <w:spacing w:before="240" w:line="360" w:lineRule="auto"/>
              <w:jc w:val="both"/>
              <w:rPr>
                <w:rFonts w:ascii="Arial" w:hAnsi="Arial" w:cs="Arial"/>
                <w:sz w:val="24"/>
                <w:szCs w:val="24"/>
              </w:rPr>
            </w:pPr>
          </w:p>
          <w:p w:rsidR="0027295B" w:rsidRDefault="00AD46E3" w:rsidP="00B51AB8">
            <w:pPr>
              <w:tabs>
                <w:tab w:val="left" w:pos="851"/>
              </w:tabs>
              <w:spacing w:line="360" w:lineRule="auto"/>
              <w:jc w:val="both"/>
              <w:rPr>
                <w:rFonts w:ascii="Arial" w:hAnsi="Arial" w:cs="Arial"/>
                <w:sz w:val="24"/>
                <w:szCs w:val="24"/>
              </w:rPr>
            </w:pPr>
            <w:r>
              <w:rPr>
                <w:rFonts w:ascii="Arial" w:hAnsi="Arial" w:cs="Arial"/>
                <w:sz w:val="24"/>
                <w:szCs w:val="24"/>
              </w:rPr>
              <w:t xml:space="preserve">[4]   </w:t>
            </w:r>
            <w:r w:rsidR="00656604">
              <w:rPr>
                <w:rFonts w:ascii="Arial" w:hAnsi="Arial" w:cs="Arial"/>
                <w:sz w:val="24"/>
                <w:szCs w:val="24"/>
              </w:rPr>
              <w:t>The magistrate applied s</w:t>
            </w:r>
            <w:r w:rsidR="00C215A8">
              <w:rPr>
                <w:rFonts w:ascii="Arial" w:hAnsi="Arial" w:cs="Arial"/>
                <w:sz w:val="24"/>
                <w:szCs w:val="24"/>
              </w:rPr>
              <w:t xml:space="preserve"> 115</w:t>
            </w:r>
            <w:r w:rsidR="00656604">
              <w:rPr>
                <w:rFonts w:ascii="Arial" w:hAnsi="Arial" w:cs="Arial"/>
                <w:sz w:val="24"/>
                <w:szCs w:val="24"/>
              </w:rPr>
              <w:t xml:space="preserve"> of the CPA </w:t>
            </w:r>
            <w:r w:rsidR="00C215A8">
              <w:rPr>
                <w:rFonts w:ascii="Arial" w:hAnsi="Arial" w:cs="Arial"/>
                <w:sz w:val="24"/>
                <w:szCs w:val="24"/>
              </w:rPr>
              <w:t>in relation to the second charge. The accused opted to remain silent and not</w:t>
            </w:r>
            <w:r w:rsidR="0070177E">
              <w:rPr>
                <w:rFonts w:ascii="Arial" w:hAnsi="Arial" w:cs="Arial"/>
                <w:sz w:val="24"/>
                <w:szCs w:val="24"/>
              </w:rPr>
              <w:t xml:space="preserve"> to</w:t>
            </w:r>
            <w:r w:rsidR="00C215A8">
              <w:rPr>
                <w:rFonts w:ascii="Arial" w:hAnsi="Arial" w:cs="Arial"/>
                <w:sz w:val="24"/>
                <w:szCs w:val="24"/>
              </w:rPr>
              <w:t xml:space="preserve"> disclose his defence. </w:t>
            </w:r>
            <w:r w:rsidR="006F3592">
              <w:rPr>
                <w:rFonts w:ascii="Arial" w:hAnsi="Arial" w:cs="Arial"/>
                <w:sz w:val="24"/>
                <w:szCs w:val="24"/>
              </w:rPr>
              <w:t>The public prosecutor thereafter requested the court to apply the competent verdicts for housebreaking with intent to br</w:t>
            </w:r>
            <w:r w:rsidR="00AD6D37">
              <w:rPr>
                <w:rFonts w:ascii="Arial" w:hAnsi="Arial" w:cs="Arial"/>
                <w:sz w:val="24"/>
                <w:szCs w:val="24"/>
              </w:rPr>
              <w:t>eak</w:t>
            </w:r>
            <w:r w:rsidR="006F3592">
              <w:rPr>
                <w:rFonts w:ascii="Arial" w:hAnsi="Arial" w:cs="Arial"/>
                <w:sz w:val="24"/>
                <w:szCs w:val="24"/>
              </w:rPr>
              <w:t xml:space="preserve"> and enter</w:t>
            </w:r>
            <w:r>
              <w:rPr>
                <w:rFonts w:ascii="Arial" w:hAnsi="Arial" w:cs="Arial"/>
                <w:sz w:val="24"/>
                <w:szCs w:val="24"/>
              </w:rPr>
              <w:t xml:space="preserve"> in relation to count one</w:t>
            </w:r>
            <w:r w:rsidR="006F3592">
              <w:rPr>
                <w:rFonts w:ascii="Arial" w:hAnsi="Arial" w:cs="Arial"/>
                <w:sz w:val="24"/>
                <w:szCs w:val="24"/>
              </w:rPr>
              <w:t xml:space="preserve">. </w:t>
            </w:r>
            <w:r w:rsidR="00C215A8">
              <w:rPr>
                <w:rFonts w:ascii="Arial" w:hAnsi="Arial" w:cs="Arial"/>
                <w:sz w:val="24"/>
                <w:szCs w:val="24"/>
              </w:rPr>
              <w:t>The magistrate explained to the accused that he could be convicted of a competent verdict in accordance with the provisions of s 263(1</w:t>
            </w:r>
            <w:proofErr w:type="gramStart"/>
            <w:r w:rsidR="00C215A8">
              <w:rPr>
                <w:rFonts w:ascii="Arial" w:hAnsi="Arial" w:cs="Arial"/>
                <w:sz w:val="24"/>
                <w:szCs w:val="24"/>
              </w:rPr>
              <w:t>)</w:t>
            </w:r>
            <w:r w:rsidR="00C215A8" w:rsidRPr="002A74FC">
              <w:rPr>
                <w:rFonts w:ascii="Arial" w:hAnsi="Arial" w:cs="Arial"/>
                <w:i/>
                <w:sz w:val="24"/>
                <w:szCs w:val="24"/>
              </w:rPr>
              <w:t>(</w:t>
            </w:r>
            <w:proofErr w:type="gramEnd"/>
            <w:r w:rsidR="00C215A8" w:rsidRPr="002A74FC">
              <w:rPr>
                <w:rFonts w:ascii="Arial" w:hAnsi="Arial" w:cs="Arial"/>
                <w:i/>
                <w:sz w:val="24"/>
                <w:szCs w:val="24"/>
              </w:rPr>
              <w:t>a)</w:t>
            </w:r>
            <w:r w:rsidR="00C215A8">
              <w:rPr>
                <w:rFonts w:ascii="Arial" w:hAnsi="Arial" w:cs="Arial"/>
                <w:sz w:val="24"/>
                <w:szCs w:val="24"/>
              </w:rPr>
              <w:t xml:space="preserve"> of the CPA. There was no explanation that he could be convicted of the competent verdict of theft.</w:t>
            </w:r>
            <w:r w:rsidR="000A3330">
              <w:rPr>
                <w:rFonts w:ascii="Arial" w:hAnsi="Arial" w:cs="Arial"/>
                <w:sz w:val="24"/>
                <w:szCs w:val="24"/>
              </w:rPr>
              <w:t xml:space="preserve"> The State then accepted the plea of guilty to theft on the reduced value of N$300 and closed its case in respect of both counts.</w:t>
            </w:r>
          </w:p>
          <w:p w:rsidR="00B51AB8" w:rsidRDefault="00B51AB8" w:rsidP="00B51AB8">
            <w:pPr>
              <w:tabs>
                <w:tab w:val="left" w:pos="851"/>
              </w:tabs>
              <w:spacing w:line="360" w:lineRule="auto"/>
              <w:jc w:val="both"/>
              <w:rPr>
                <w:rFonts w:ascii="Arial" w:hAnsi="Arial" w:cs="Arial"/>
                <w:sz w:val="24"/>
                <w:szCs w:val="24"/>
              </w:rPr>
            </w:pPr>
          </w:p>
          <w:p w:rsidR="00B51AB8" w:rsidRDefault="000A3330" w:rsidP="00D10241">
            <w:pPr>
              <w:tabs>
                <w:tab w:val="left" w:pos="851"/>
              </w:tabs>
              <w:spacing w:before="240" w:line="360" w:lineRule="auto"/>
              <w:jc w:val="both"/>
              <w:rPr>
                <w:rFonts w:ascii="Arial" w:hAnsi="Arial" w:cs="Arial"/>
                <w:sz w:val="24"/>
                <w:szCs w:val="24"/>
              </w:rPr>
            </w:pPr>
            <w:r>
              <w:rPr>
                <w:rFonts w:ascii="Arial" w:hAnsi="Arial" w:cs="Arial"/>
                <w:sz w:val="24"/>
                <w:szCs w:val="24"/>
              </w:rPr>
              <w:t>[5</w:t>
            </w:r>
            <w:r w:rsidR="002A74FC">
              <w:rPr>
                <w:rFonts w:ascii="Arial" w:hAnsi="Arial" w:cs="Arial"/>
                <w:sz w:val="24"/>
                <w:szCs w:val="24"/>
              </w:rPr>
              <w:t>]     Although it is not wrong to warn an accused of the competent verdict provided for in s 263(1</w:t>
            </w:r>
            <w:proofErr w:type="gramStart"/>
            <w:r w:rsidR="002A74FC">
              <w:rPr>
                <w:rFonts w:ascii="Arial" w:hAnsi="Arial" w:cs="Arial"/>
                <w:sz w:val="24"/>
                <w:szCs w:val="24"/>
              </w:rPr>
              <w:t>)</w:t>
            </w:r>
            <w:r w:rsidR="002A74FC" w:rsidRPr="002A74FC">
              <w:rPr>
                <w:rFonts w:ascii="Arial" w:hAnsi="Arial" w:cs="Arial"/>
                <w:i/>
                <w:sz w:val="24"/>
                <w:szCs w:val="24"/>
              </w:rPr>
              <w:t>(</w:t>
            </w:r>
            <w:proofErr w:type="gramEnd"/>
            <w:r w:rsidR="002A74FC" w:rsidRPr="002A74FC">
              <w:rPr>
                <w:rFonts w:ascii="Arial" w:hAnsi="Arial" w:cs="Arial"/>
                <w:i/>
                <w:sz w:val="24"/>
                <w:szCs w:val="24"/>
              </w:rPr>
              <w:t>a)</w:t>
            </w:r>
            <w:r w:rsidR="002A74FC">
              <w:rPr>
                <w:rFonts w:ascii="Arial" w:hAnsi="Arial" w:cs="Arial"/>
                <w:sz w:val="24"/>
                <w:szCs w:val="24"/>
              </w:rPr>
              <w:t xml:space="preserve"> of the CPA, in our view, the appropriate provision in the circumstances would have been the provisions of s 270 of the CPA.</w:t>
            </w:r>
          </w:p>
          <w:p w:rsidR="00B51AB8" w:rsidRDefault="00B51AB8" w:rsidP="00D10241">
            <w:pPr>
              <w:tabs>
                <w:tab w:val="left" w:pos="851"/>
              </w:tabs>
              <w:spacing w:before="240" w:line="360" w:lineRule="auto"/>
              <w:jc w:val="both"/>
              <w:rPr>
                <w:rFonts w:ascii="Arial" w:hAnsi="Arial" w:cs="Arial"/>
                <w:sz w:val="24"/>
                <w:szCs w:val="24"/>
              </w:rPr>
            </w:pPr>
          </w:p>
          <w:p w:rsidR="002A74FC" w:rsidRDefault="000A3330" w:rsidP="00B51AB8">
            <w:pPr>
              <w:tabs>
                <w:tab w:val="left" w:pos="851"/>
              </w:tabs>
              <w:spacing w:line="360" w:lineRule="auto"/>
              <w:jc w:val="both"/>
              <w:rPr>
                <w:rFonts w:ascii="Arial" w:hAnsi="Arial" w:cs="Arial"/>
                <w:sz w:val="24"/>
                <w:szCs w:val="24"/>
              </w:rPr>
            </w:pPr>
            <w:r>
              <w:rPr>
                <w:rFonts w:ascii="Arial" w:hAnsi="Arial" w:cs="Arial"/>
                <w:sz w:val="24"/>
                <w:szCs w:val="24"/>
              </w:rPr>
              <w:t>[6</w:t>
            </w:r>
            <w:r w:rsidR="002A74FC">
              <w:rPr>
                <w:rFonts w:ascii="Arial" w:hAnsi="Arial" w:cs="Arial"/>
                <w:sz w:val="24"/>
                <w:szCs w:val="24"/>
              </w:rPr>
              <w:t>]     Section 263 provides as follows:</w:t>
            </w:r>
          </w:p>
          <w:p w:rsidR="00D07FA5" w:rsidRPr="00D07FA5" w:rsidRDefault="00D07FA5" w:rsidP="00D07FA5">
            <w:pPr>
              <w:spacing w:line="360" w:lineRule="auto"/>
              <w:jc w:val="both"/>
              <w:rPr>
                <w:rFonts w:ascii="Arial" w:hAnsi="Arial" w:cs="Arial"/>
              </w:rPr>
            </w:pPr>
          </w:p>
          <w:p w:rsidR="00D07FA5" w:rsidRPr="00D07FA5" w:rsidRDefault="00D07FA5" w:rsidP="00D07FA5">
            <w:pPr>
              <w:spacing w:line="360" w:lineRule="auto"/>
              <w:ind w:firstLine="720"/>
              <w:jc w:val="both"/>
              <w:rPr>
                <w:rFonts w:ascii="Arial" w:hAnsi="Arial" w:cs="Arial"/>
              </w:rPr>
            </w:pPr>
            <w:r w:rsidRPr="00D07FA5">
              <w:rPr>
                <w:rFonts w:ascii="Arial" w:hAnsi="Arial" w:cs="Arial"/>
              </w:rPr>
              <w:t xml:space="preserve">‘(1) If the evidence on a charge for the statutory offence in any province of breaking and entering or of the entering of any premises with intent to commit an offence specified in the charge, does not prove the offence of breaking and entering or of entering the premises with </w:t>
            </w:r>
            <w:r w:rsidRPr="00D07FA5">
              <w:rPr>
                <w:rFonts w:ascii="Arial" w:hAnsi="Arial" w:cs="Arial"/>
              </w:rPr>
              <w:lastRenderedPageBreak/>
              <w:t>intent to commit the offence so specified but the offence of breaking and entering or of entering the premises with intent to commit an offence other than the offence so specified or of breaking and entering or of entering the premises with intent to commit an offence unknown, the accused may be found guilty-</w:t>
            </w:r>
          </w:p>
          <w:p w:rsidR="002A74FC" w:rsidRPr="00076DF7" w:rsidRDefault="002A74FC" w:rsidP="002A74FC">
            <w:pPr>
              <w:tabs>
                <w:tab w:val="left" w:pos="851"/>
              </w:tabs>
              <w:spacing w:before="240" w:line="360" w:lineRule="auto"/>
              <w:jc w:val="both"/>
              <w:rPr>
                <w:rFonts w:ascii="Arial" w:hAnsi="Arial" w:cs="Arial"/>
              </w:rPr>
            </w:pPr>
            <w:r w:rsidRPr="00076DF7">
              <w:rPr>
                <w:rFonts w:ascii="Arial" w:hAnsi="Arial" w:cs="Arial"/>
              </w:rPr>
              <w:tab/>
              <w:t>(a)</w:t>
            </w:r>
            <w:r w:rsidRPr="00076DF7">
              <w:rPr>
                <w:rFonts w:ascii="Arial" w:hAnsi="Arial" w:cs="Arial"/>
              </w:rPr>
              <w:tab/>
              <w:t>of the offence so proved; or</w:t>
            </w:r>
          </w:p>
          <w:p w:rsidR="002A74FC" w:rsidRPr="00076DF7" w:rsidRDefault="002A74FC" w:rsidP="002A74FC">
            <w:pPr>
              <w:tabs>
                <w:tab w:val="left" w:pos="851"/>
              </w:tabs>
              <w:spacing w:before="240" w:line="360" w:lineRule="auto"/>
              <w:jc w:val="both"/>
              <w:rPr>
                <w:rFonts w:ascii="Arial" w:hAnsi="Arial" w:cs="Arial"/>
              </w:rPr>
            </w:pPr>
            <w:r w:rsidRPr="00076DF7">
              <w:rPr>
                <w:rFonts w:ascii="Arial" w:hAnsi="Arial" w:cs="Arial"/>
              </w:rPr>
              <w:tab/>
              <w:t>(b)</w:t>
            </w:r>
            <w:r w:rsidRPr="00076DF7">
              <w:rPr>
                <w:rFonts w:ascii="Arial" w:hAnsi="Arial" w:cs="Arial"/>
              </w:rPr>
              <w:tab/>
            </w:r>
            <w:proofErr w:type="gramStart"/>
            <w:r w:rsidRPr="00076DF7">
              <w:rPr>
                <w:rFonts w:ascii="Arial" w:hAnsi="Arial" w:cs="Arial"/>
              </w:rPr>
              <w:t>where</w:t>
            </w:r>
            <w:proofErr w:type="gramEnd"/>
            <w:r w:rsidRPr="00076DF7">
              <w:rPr>
                <w:rFonts w:ascii="Arial" w:hAnsi="Arial" w:cs="Arial"/>
              </w:rPr>
              <w:t xml:space="preserve"> it is a statutory offence within the province in question to be in or upon any dwelling, premises or enclosed area between sunset and sunrise without lawful excuse, of such offence, if such be the facts proved.</w:t>
            </w:r>
          </w:p>
          <w:p w:rsidR="00B51AB8" w:rsidRDefault="002A74FC" w:rsidP="002A74FC">
            <w:pPr>
              <w:tabs>
                <w:tab w:val="left" w:pos="851"/>
              </w:tabs>
              <w:spacing w:before="240" w:line="360" w:lineRule="auto"/>
              <w:jc w:val="both"/>
              <w:rPr>
                <w:rFonts w:ascii="Arial" w:hAnsi="Arial" w:cs="Arial"/>
              </w:rPr>
            </w:pPr>
            <w:r w:rsidRPr="00076DF7">
              <w:rPr>
                <w:rFonts w:ascii="Arial" w:hAnsi="Arial" w:cs="Arial"/>
              </w:rPr>
              <w:tab/>
              <w:t>(2) If the evidence on a charge for the statutory offence in any province of breaking and entering or of the entering of any premises with intent to commit an offence to the prosecutor unknown, does not prove the offence of breaking and entering or of entering the premises with intent to commit an offence to the prosecutor unknown but the offence of breaking and entering or of entering the premises with intent to commit a specific offence, The accused may be found guilty of the offence so proved.</w:t>
            </w:r>
            <w:r w:rsidR="00076DF7">
              <w:rPr>
                <w:rFonts w:ascii="Arial" w:hAnsi="Arial" w:cs="Arial"/>
              </w:rPr>
              <w:t>’</w:t>
            </w:r>
          </w:p>
          <w:p w:rsidR="00B51AB8" w:rsidRDefault="00076DF7" w:rsidP="002A74FC">
            <w:pPr>
              <w:tabs>
                <w:tab w:val="left" w:pos="851"/>
              </w:tabs>
              <w:spacing w:before="240" w:line="360" w:lineRule="auto"/>
              <w:jc w:val="both"/>
              <w:rPr>
                <w:rFonts w:ascii="Arial" w:hAnsi="Arial" w:cs="Arial"/>
                <w:sz w:val="24"/>
                <w:szCs w:val="24"/>
              </w:rPr>
            </w:pPr>
            <w:r>
              <w:rPr>
                <w:rFonts w:ascii="Arial" w:hAnsi="Arial" w:cs="Arial"/>
                <w:sz w:val="24"/>
                <w:szCs w:val="24"/>
              </w:rPr>
              <w:t>It is clear that this</w:t>
            </w:r>
            <w:r w:rsidRPr="00076DF7">
              <w:rPr>
                <w:rFonts w:ascii="Arial" w:hAnsi="Arial" w:cs="Arial"/>
                <w:sz w:val="24"/>
                <w:szCs w:val="24"/>
              </w:rPr>
              <w:t xml:space="preserve"> section provides specifically for</w:t>
            </w:r>
            <w:r>
              <w:rPr>
                <w:rFonts w:ascii="Arial" w:hAnsi="Arial" w:cs="Arial"/>
                <w:sz w:val="24"/>
                <w:szCs w:val="24"/>
              </w:rPr>
              <w:t xml:space="preserve"> competent verdicts of housebreaking with a specific intent or </w:t>
            </w:r>
            <w:proofErr w:type="gramStart"/>
            <w:r>
              <w:rPr>
                <w:rFonts w:ascii="Arial" w:hAnsi="Arial" w:cs="Arial"/>
                <w:sz w:val="24"/>
                <w:szCs w:val="24"/>
              </w:rPr>
              <w:t>an intent</w:t>
            </w:r>
            <w:proofErr w:type="gramEnd"/>
            <w:r>
              <w:rPr>
                <w:rFonts w:ascii="Arial" w:hAnsi="Arial" w:cs="Arial"/>
                <w:sz w:val="24"/>
                <w:szCs w:val="24"/>
              </w:rPr>
              <w:t xml:space="preserve"> to the prosecutor unknown. It does not include the substantive crime of theft but crimes where breaking and entering </w:t>
            </w:r>
            <w:proofErr w:type="gramStart"/>
            <w:r>
              <w:rPr>
                <w:rFonts w:ascii="Arial" w:hAnsi="Arial" w:cs="Arial"/>
                <w:sz w:val="24"/>
                <w:szCs w:val="24"/>
              </w:rPr>
              <w:t>are</w:t>
            </w:r>
            <w:proofErr w:type="gramEnd"/>
            <w:r>
              <w:rPr>
                <w:rFonts w:ascii="Arial" w:hAnsi="Arial" w:cs="Arial"/>
                <w:sz w:val="24"/>
                <w:szCs w:val="24"/>
              </w:rPr>
              <w:t xml:space="preserve"> </w:t>
            </w:r>
            <w:r w:rsidR="00B23C83">
              <w:rPr>
                <w:rFonts w:ascii="Arial" w:hAnsi="Arial" w:cs="Arial"/>
                <w:sz w:val="24"/>
                <w:szCs w:val="24"/>
              </w:rPr>
              <w:t>committed.</w:t>
            </w:r>
          </w:p>
          <w:p w:rsidR="00B51AB8" w:rsidRDefault="00B51AB8" w:rsidP="002A74FC">
            <w:pPr>
              <w:tabs>
                <w:tab w:val="left" w:pos="851"/>
              </w:tabs>
              <w:spacing w:before="240" w:line="360" w:lineRule="auto"/>
              <w:jc w:val="both"/>
              <w:rPr>
                <w:rFonts w:ascii="Arial" w:hAnsi="Arial" w:cs="Arial"/>
                <w:sz w:val="24"/>
                <w:szCs w:val="24"/>
              </w:rPr>
            </w:pPr>
          </w:p>
          <w:p w:rsidR="00076DF7" w:rsidRPr="00CB77F2" w:rsidRDefault="000A3330" w:rsidP="002A74FC">
            <w:pPr>
              <w:tabs>
                <w:tab w:val="left" w:pos="851"/>
              </w:tabs>
              <w:spacing w:before="240" w:line="360" w:lineRule="auto"/>
              <w:jc w:val="both"/>
              <w:rPr>
                <w:rFonts w:ascii="Arial" w:hAnsi="Arial" w:cs="Arial"/>
                <w:sz w:val="24"/>
                <w:szCs w:val="24"/>
              </w:rPr>
            </w:pPr>
            <w:r>
              <w:rPr>
                <w:rFonts w:ascii="Arial" w:hAnsi="Arial" w:cs="Arial"/>
                <w:sz w:val="24"/>
                <w:szCs w:val="24"/>
              </w:rPr>
              <w:t>[7</w:t>
            </w:r>
            <w:r w:rsidR="00076DF7" w:rsidRPr="00CB77F2">
              <w:rPr>
                <w:rFonts w:ascii="Arial" w:hAnsi="Arial" w:cs="Arial"/>
                <w:sz w:val="24"/>
                <w:szCs w:val="24"/>
              </w:rPr>
              <w:t>]     Section 270 provides as follows:</w:t>
            </w:r>
          </w:p>
          <w:p w:rsidR="00B23C83" w:rsidRPr="00CB77F2" w:rsidRDefault="00B23C83" w:rsidP="00B23C83">
            <w:pPr>
              <w:tabs>
                <w:tab w:val="left" w:pos="851"/>
              </w:tabs>
              <w:spacing w:before="240" w:line="360" w:lineRule="auto"/>
              <w:jc w:val="both"/>
              <w:rPr>
                <w:rFonts w:ascii="Arial" w:hAnsi="Arial" w:cs="Arial"/>
                <w:b/>
              </w:rPr>
            </w:pPr>
            <w:r w:rsidRPr="00CB77F2">
              <w:rPr>
                <w:rFonts w:ascii="Arial" w:hAnsi="Arial" w:cs="Arial"/>
              </w:rPr>
              <w:t xml:space="preserve">          ‘</w:t>
            </w:r>
            <w:r w:rsidRPr="00CB77F2">
              <w:rPr>
                <w:rFonts w:ascii="Arial" w:hAnsi="Arial" w:cs="Arial"/>
                <w:b/>
              </w:rPr>
              <w:t>270</w:t>
            </w:r>
            <w:r w:rsidRPr="00CB77F2">
              <w:rPr>
                <w:rFonts w:ascii="Arial" w:hAnsi="Arial" w:cs="Arial"/>
                <w:b/>
              </w:rPr>
              <w:tab/>
              <w:t>Offences not specified in this Chapter</w:t>
            </w:r>
          </w:p>
          <w:p w:rsidR="0027295B" w:rsidRDefault="00B23C83" w:rsidP="00B23C83">
            <w:pPr>
              <w:tabs>
                <w:tab w:val="left" w:pos="851"/>
              </w:tabs>
              <w:spacing w:before="240" w:line="360" w:lineRule="auto"/>
              <w:jc w:val="both"/>
              <w:rPr>
                <w:rFonts w:ascii="Arial" w:hAnsi="Arial" w:cs="Arial"/>
              </w:rPr>
            </w:pPr>
            <w:r w:rsidRPr="00CB77F2">
              <w:rPr>
                <w:rFonts w:ascii="Arial" w:hAnsi="Arial" w:cs="Arial"/>
              </w:rPr>
              <w:t>If the evidence on a charge for any offence not referred to in the preceding sections of this Chapter does not prove the commission of the offence so charged but proves the commission of an offence which by reason of the essential elements of that offence is included in the offence so charged, the accused may be found guilty of the offence so proved.’</w:t>
            </w:r>
          </w:p>
          <w:p w:rsidR="00B51AB8" w:rsidRPr="00CB77F2" w:rsidRDefault="00B51AB8" w:rsidP="00B23C83">
            <w:pPr>
              <w:tabs>
                <w:tab w:val="left" w:pos="851"/>
              </w:tabs>
              <w:spacing w:before="240" w:line="360" w:lineRule="auto"/>
              <w:jc w:val="both"/>
              <w:rPr>
                <w:rFonts w:ascii="Arial" w:hAnsi="Arial" w:cs="Arial"/>
              </w:rPr>
            </w:pPr>
          </w:p>
          <w:p w:rsidR="001C6889" w:rsidRDefault="000A3330" w:rsidP="00B51AB8">
            <w:pPr>
              <w:tabs>
                <w:tab w:val="left" w:pos="851"/>
              </w:tabs>
              <w:spacing w:line="360" w:lineRule="auto"/>
              <w:jc w:val="both"/>
              <w:rPr>
                <w:rFonts w:ascii="Arial" w:hAnsi="Arial" w:cs="Arial"/>
                <w:sz w:val="24"/>
                <w:szCs w:val="24"/>
              </w:rPr>
            </w:pPr>
            <w:r>
              <w:rPr>
                <w:rFonts w:ascii="Arial" w:hAnsi="Arial" w:cs="Arial"/>
                <w:sz w:val="24"/>
                <w:szCs w:val="24"/>
              </w:rPr>
              <w:t>[8</w:t>
            </w:r>
            <w:r w:rsidR="00D10241" w:rsidRPr="00D10241">
              <w:rPr>
                <w:rFonts w:ascii="Arial" w:hAnsi="Arial" w:cs="Arial"/>
                <w:sz w:val="24"/>
                <w:szCs w:val="24"/>
              </w:rPr>
              <w:t xml:space="preserve">]      </w:t>
            </w:r>
            <w:r w:rsidR="006F3592">
              <w:rPr>
                <w:rFonts w:ascii="Arial" w:hAnsi="Arial" w:cs="Arial"/>
                <w:sz w:val="24"/>
                <w:szCs w:val="24"/>
              </w:rPr>
              <w:t xml:space="preserve">After the pleas were recorded, the State </w:t>
            </w:r>
            <w:r w:rsidR="000F6D4B">
              <w:rPr>
                <w:rFonts w:ascii="Arial" w:hAnsi="Arial" w:cs="Arial"/>
                <w:sz w:val="24"/>
                <w:szCs w:val="24"/>
              </w:rPr>
              <w:t>accepted</w:t>
            </w:r>
            <w:r w:rsidR="006F3592">
              <w:rPr>
                <w:rFonts w:ascii="Arial" w:hAnsi="Arial" w:cs="Arial"/>
                <w:sz w:val="24"/>
                <w:szCs w:val="24"/>
              </w:rPr>
              <w:t xml:space="preserve"> the plea on the reduced value of stolen property to the value of N$300 whereas the initial alleged value was N$500.</w:t>
            </w:r>
            <w:r w:rsidR="00F87390">
              <w:rPr>
                <w:rFonts w:ascii="Arial" w:hAnsi="Arial" w:cs="Arial"/>
                <w:sz w:val="24"/>
                <w:szCs w:val="24"/>
              </w:rPr>
              <w:t xml:space="preserve"> </w:t>
            </w:r>
            <w:r w:rsidR="006F3592">
              <w:rPr>
                <w:rFonts w:ascii="Arial" w:hAnsi="Arial" w:cs="Arial"/>
                <w:sz w:val="24"/>
                <w:szCs w:val="24"/>
              </w:rPr>
              <w:t xml:space="preserve">The </w:t>
            </w:r>
            <w:r w:rsidR="006F3592">
              <w:rPr>
                <w:rFonts w:ascii="Arial" w:hAnsi="Arial" w:cs="Arial"/>
                <w:sz w:val="24"/>
                <w:szCs w:val="24"/>
              </w:rPr>
              <w:lastRenderedPageBreak/>
              <w:t>magistrate convicted the accused for theft and sentenced him to a fine of N$1000 or three months</w:t>
            </w:r>
            <w:r w:rsidR="0068512F">
              <w:rPr>
                <w:rFonts w:ascii="Arial" w:hAnsi="Arial" w:cs="Arial"/>
                <w:sz w:val="24"/>
                <w:szCs w:val="24"/>
              </w:rPr>
              <w:t>’</w:t>
            </w:r>
            <w:r w:rsidR="006F3592">
              <w:rPr>
                <w:rFonts w:ascii="Arial" w:hAnsi="Arial" w:cs="Arial"/>
                <w:sz w:val="24"/>
                <w:szCs w:val="24"/>
              </w:rPr>
              <w:t xml:space="preserve"> imprisonment </w:t>
            </w:r>
            <w:r w:rsidR="001C6889">
              <w:rPr>
                <w:rFonts w:ascii="Arial" w:hAnsi="Arial" w:cs="Arial"/>
                <w:sz w:val="24"/>
                <w:szCs w:val="24"/>
              </w:rPr>
              <w:t>wholly suspended for 12 months on condition that the accused is not convicted of the offence of theft, committed during the period of suspension.</w:t>
            </w:r>
          </w:p>
          <w:p w:rsidR="0027295B" w:rsidRDefault="0027295B" w:rsidP="00D10241">
            <w:pPr>
              <w:tabs>
                <w:tab w:val="left" w:pos="851"/>
              </w:tabs>
              <w:spacing w:before="240" w:line="360" w:lineRule="auto"/>
              <w:jc w:val="both"/>
              <w:rPr>
                <w:rFonts w:ascii="Arial" w:hAnsi="Arial" w:cs="Arial"/>
                <w:sz w:val="24"/>
                <w:szCs w:val="24"/>
              </w:rPr>
            </w:pPr>
          </w:p>
          <w:p w:rsidR="00F87390" w:rsidRDefault="000A3330" w:rsidP="00D10241">
            <w:pPr>
              <w:tabs>
                <w:tab w:val="left" w:pos="851"/>
              </w:tabs>
              <w:spacing w:before="240" w:line="360" w:lineRule="auto"/>
              <w:jc w:val="both"/>
              <w:rPr>
                <w:rFonts w:ascii="Arial" w:hAnsi="Arial" w:cs="Arial"/>
                <w:sz w:val="24"/>
                <w:szCs w:val="24"/>
              </w:rPr>
            </w:pPr>
            <w:r>
              <w:rPr>
                <w:rFonts w:ascii="Arial" w:hAnsi="Arial" w:cs="Arial"/>
                <w:sz w:val="24"/>
                <w:szCs w:val="24"/>
              </w:rPr>
              <w:t>[9</w:t>
            </w:r>
            <w:r w:rsidR="001C6889">
              <w:rPr>
                <w:rFonts w:ascii="Arial" w:hAnsi="Arial" w:cs="Arial"/>
                <w:sz w:val="24"/>
                <w:szCs w:val="24"/>
              </w:rPr>
              <w:t>]     The magistrate did not deal with the second count of housebreaking on which the accused pleaded not guilty. In the circumstances</w:t>
            </w:r>
            <w:r w:rsidR="000F6D4B">
              <w:rPr>
                <w:rFonts w:ascii="Arial" w:hAnsi="Arial" w:cs="Arial"/>
                <w:sz w:val="24"/>
                <w:szCs w:val="24"/>
              </w:rPr>
              <w:t>,</w:t>
            </w:r>
            <w:r w:rsidR="001C6889">
              <w:rPr>
                <w:rFonts w:ascii="Arial" w:hAnsi="Arial" w:cs="Arial"/>
                <w:sz w:val="24"/>
                <w:szCs w:val="24"/>
              </w:rPr>
              <w:t xml:space="preserve"> the accused was entitled to a verdict thereto. I consequently directed</w:t>
            </w:r>
            <w:r w:rsidR="00F87390">
              <w:rPr>
                <w:rFonts w:ascii="Arial" w:hAnsi="Arial" w:cs="Arial"/>
                <w:sz w:val="24"/>
                <w:szCs w:val="24"/>
              </w:rPr>
              <w:t xml:space="preserve"> a query in the following terms</w:t>
            </w:r>
          </w:p>
          <w:p w:rsidR="00F87390" w:rsidRDefault="00F87390" w:rsidP="00F87390">
            <w:pPr>
              <w:tabs>
                <w:tab w:val="left" w:pos="851"/>
              </w:tabs>
              <w:spacing w:before="240" w:line="240" w:lineRule="atLeast"/>
              <w:jc w:val="both"/>
              <w:rPr>
                <w:rFonts w:ascii="Arial" w:hAnsi="Arial" w:cs="Arial"/>
                <w:sz w:val="24"/>
                <w:szCs w:val="24"/>
              </w:rPr>
            </w:pPr>
          </w:p>
          <w:p w:rsidR="00F87390" w:rsidRPr="00F87390" w:rsidRDefault="00F87390" w:rsidP="00F87390">
            <w:pPr>
              <w:spacing w:line="360" w:lineRule="auto"/>
              <w:ind w:firstLine="720"/>
              <w:jc w:val="both"/>
              <w:rPr>
                <w:rFonts w:ascii="Arial" w:hAnsi="Arial" w:cs="Arial"/>
              </w:rPr>
            </w:pPr>
            <w:r w:rsidRPr="00F87390">
              <w:rPr>
                <w:rFonts w:ascii="Arial" w:hAnsi="Arial" w:cs="Arial"/>
              </w:rPr>
              <w:t>‘1.The magistrate must explain how the proceeding were continued with in circumstances where the accused indicated that he wanted to apply for legal aid and it reflects nowhere in the record that he abandoned that intention.</w:t>
            </w:r>
          </w:p>
          <w:p w:rsidR="001C6889" w:rsidRPr="00F87390" w:rsidRDefault="001C6889" w:rsidP="00F87390">
            <w:pPr>
              <w:spacing w:line="276" w:lineRule="auto"/>
              <w:rPr>
                <w:rFonts w:cs="Arial"/>
              </w:rPr>
            </w:pPr>
          </w:p>
          <w:p w:rsidR="001C6889" w:rsidRPr="00AD6D37" w:rsidRDefault="00AD6D37" w:rsidP="00AD6D37">
            <w:pPr>
              <w:spacing w:line="360" w:lineRule="auto"/>
              <w:jc w:val="both"/>
              <w:rPr>
                <w:rFonts w:ascii="Arial" w:hAnsi="Arial" w:cs="Arial"/>
              </w:rPr>
            </w:pPr>
            <w:r w:rsidRPr="00AD6D37">
              <w:rPr>
                <w:rFonts w:ascii="Arial" w:hAnsi="Arial" w:cs="Arial"/>
              </w:rPr>
              <w:t xml:space="preserve">2. </w:t>
            </w:r>
            <w:r w:rsidR="001C6889" w:rsidRPr="00AD6D37">
              <w:rPr>
                <w:rFonts w:ascii="Arial" w:hAnsi="Arial" w:cs="Arial"/>
              </w:rPr>
              <w:t xml:space="preserve">Does it not amount to an unauthorised stopping of proceedings where the public prosecutor closed the State’s case without leading evidence on count </w:t>
            </w:r>
            <w:r w:rsidR="00B917F8" w:rsidRPr="00AD6D37">
              <w:rPr>
                <w:rFonts w:ascii="Arial" w:hAnsi="Arial" w:cs="Arial"/>
              </w:rPr>
              <w:t>2?</w:t>
            </w:r>
            <w:r w:rsidR="00F87390" w:rsidRPr="00AD6D37">
              <w:rPr>
                <w:rFonts w:ascii="Arial" w:hAnsi="Arial" w:cs="Arial"/>
              </w:rPr>
              <w:t>’</w:t>
            </w:r>
          </w:p>
          <w:p w:rsidR="0027295B" w:rsidRPr="0027295B" w:rsidRDefault="0027295B" w:rsidP="0027295B">
            <w:pPr>
              <w:spacing w:line="276" w:lineRule="auto"/>
              <w:rPr>
                <w:rFonts w:cs="Arial"/>
                <w:szCs w:val="24"/>
              </w:rPr>
            </w:pPr>
          </w:p>
          <w:p w:rsidR="00B917F8" w:rsidRPr="00AD6D37" w:rsidRDefault="00B917F8" w:rsidP="00AD6D37">
            <w:pPr>
              <w:rPr>
                <w:rFonts w:cs="Arial"/>
                <w:szCs w:val="24"/>
              </w:rPr>
            </w:pPr>
          </w:p>
          <w:p w:rsidR="00B917F8" w:rsidRDefault="000A3330" w:rsidP="00B917F8">
            <w:pPr>
              <w:spacing w:line="276" w:lineRule="auto"/>
              <w:rPr>
                <w:rFonts w:ascii="Arial" w:hAnsi="Arial" w:cs="Arial"/>
                <w:sz w:val="24"/>
                <w:szCs w:val="24"/>
              </w:rPr>
            </w:pPr>
            <w:r>
              <w:rPr>
                <w:rFonts w:ascii="Arial" w:hAnsi="Arial" w:cs="Arial"/>
                <w:sz w:val="24"/>
                <w:szCs w:val="24"/>
              </w:rPr>
              <w:t>[10</w:t>
            </w:r>
            <w:r w:rsidR="00B917F8" w:rsidRPr="00B917F8">
              <w:rPr>
                <w:rFonts w:ascii="Arial" w:hAnsi="Arial" w:cs="Arial"/>
                <w:sz w:val="24"/>
                <w:szCs w:val="24"/>
              </w:rPr>
              <w:t>]</w:t>
            </w:r>
            <w:r w:rsidR="00B917F8">
              <w:rPr>
                <w:rFonts w:ascii="Arial" w:hAnsi="Arial" w:cs="Arial"/>
                <w:sz w:val="24"/>
                <w:szCs w:val="24"/>
              </w:rPr>
              <w:t xml:space="preserve">     The response from the magistrate is as follows:</w:t>
            </w:r>
          </w:p>
          <w:p w:rsidR="00B917F8" w:rsidRDefault="00B917F8" w:rsidP="00B917F8">
            <w:pPr>
              <w:spacing w:line="276" w:lineRule="auto"/>
              <w:rPr>
                <w:rFonts w:ascii="Arial" w:hAnsi="Arial" w:cs="Arial"/>
                <w:sz w:val="24"/>
                <w:szCs w:val="24"/>
              </w:rPr>
            </w:pPr>
          </w:p>
          <w:p w:rsidR="002E693A" w:rsidRPr="002E693A" w:rsidRDefault="00B51AB8" w:rsidP="002E693A">
            <w:pPr>
              <w:spacing w:line="360" w:lineRule="auto"/>
              <w:ind w:firstLine="720"/>
              <w:jc w:val="both"/>
              <w:rPr>
                <w:rFonts w:ascii="Arial" w:hAnsi="Arial" w:cs="Arial"/>
              </w:rPr>
            </w:pPr>
            <w:r>
              <w:rPr>
                <w:rFonts w:ascii="Arial" w:hAnsi="Arial" w:cs="Arial"/>
              </w:rPr>
              <w:t>‘1.</w:t>
            </w:r>
            <w:r w:rsidR="002E693A" w:rsidRPr="002E693A">
              <w:rPr>
                <w:rFonts w:ascii="Arial" w:hAnsi="Arial" w:cs="Arial"/>
              </w:rPr>
              <w:t>The above matter refers.</w:t>
            </w:r>
          </w:p>
          <w:p w:rsidR="002E693A" w:rsidRPr="002E693A" w:rsidRDefault="00B51AB8" w:rsidP="002E693A">
            <w:pPr>
              <w:spacing w:line="360" w:lineRule="auto"/>
              <w:jc w:val="both"/>
              <w:rPr>
                <w:rFonts w:ascii="Arial" w:hAnsi="Arial" w:cs="Arial"/>
              </w:rPr>
            </w:pPr>
            <w:r>
              <w:rPr>
                <w:rFonts w:ascii="Arial" w:hAnsi="Arial" w:cs="Arial"/>
              </w:rPr>
              <w:t xml:space="preserve">2. </w:t>
            </w:r>
            <w:r w:rsidR="002E693A" w:rsidRPr="002E693A">
              <w:rPr>
                <w:rFonts w:ascii="Arial" w:hAnsi="Arial" w:cs="Arial"/>
              </w:rPr>
              <w:t>Kindly place my response to the query by the learned Honourable Justice January.</w:t>
            </w:r>
          </w:p>
          <w:p w:rsidR="002E693A" w:rsidRPr="002E693A" w:rsidRDefault="00B51AB8" w:rsidP="002E693A">
            <w:pPr>
              <w:spacing w:line="360" w:lineRule="auto"/>
              <w:jc w:val="both"/>
              <w:rPr>
                <w:rFonts w:ascii="Arial" w:hAnsi="Arial" w:cs="Arial"/>
              </w:rPr>
            </w:pPr>
            <w:r>
              <w:rPr>
                <w:rFonts w:ascii="Arial" w:hAnsi="Arial" w:cs="Arial"/>
              </w:rPr>
              <w:t>3.</w:t>
            </w:r>
            <w:r w:rsidR="002E693A" w:rsidRPr="002E693A">
              <w:rPr>
                <w:rFonts w:ascii="Arial" w:hAnsi="Arial" w:cs="Arial"/>
              </w:rPr>
              <w:t>The Honourable Magistrate hereby responds as follows:</w:t>
            </w:r>
          </w:p>
          <w:p w:rsidR="002E693A" w:rsidRPr="002E693A" w:rsidRDefault="00B51AB8" w:rsidP="002E693A">
            <w:pPr>
              <w:spacing w:line="360" w:lineRule="auto"/>
              <w:jc w:val="both"/>
              <w:rPr>
                <w:rFonts w:ascii="Arial" w:hAnsi="Arial" w:cs="Arial"/>
              </w:rPr>
            </w:pPr>
            <w:r>
              <w:rPr>
                <w:rFonts w:ascii="Arial" w:hAnsi="Arial" w:cs="Arial"/>
              </w:rPr>
              <w:t xml:space="preserve">I. </w:t>
            </w:r>
            <w:r w:rsidR="002E693A" w:rsidRPr="002E693A">
              <w:rPr>
                <w:rFonts w:ascii="Arial" w:hAnsi="Arial" w:cs="Arial"/>
              </w:rPr>
              <w:t>Magistrate concedes that the record erroneously does not reflect proper procedure concerning the issue it hand followed on that particular day.</w:t>
            </w:r>
          </w:p>
          <w:p w:rsidR="002E693A" w:rsidRPr="002E693A" w:rsidRDefault="00B51AB8" w:rsidP="002E693A">
            <w:pPr>
              <w:spacing w:line="360" w:lineRule="auto"/>
              <w:jc w:val="both"/>
              <w:rPr>
                <w:rFonts w:ascii="Arial" w:hAnsi="Arial" w:cs="Arial"/>
              </w:rPr>
            </w:pPr>
            <w:r>
              <w:rPr>
                <w:rFonts w:ascii="Arial" w:hAnsi="Arial" w:cs="Arial"/>
              </w:rPr>
              <w:t xml:space="preserve">II. </w:t>
            </w:r>
            <w:r w:rsidR="002E693A" w:rsidRPr="002E693A">
              <w:rPr>
                <w:rFonts w:ascii="Arial" w:hAnsi="Arial" w:cs="Arial"/>
              </w:rPr>
              <w:t>Directorate of legal aid confirmed that accused/applicant was successful in his legal aid application, subject to a contribution of N$350-00. That information was obtained telephonically, thus the confirmation was not in writing before court.</w:t>
            </w:r>
          </w:p>
          <w:p w:rsidR="002E693A" w:rsidRPr="002E693A" w:rsidRDefault="00B51AB8" w:rsidP="002E693A">
            <w:pPr>
              <w:spacing w:line="360" w:lineRule="auto"/>
              <w:jc w:val="both"/>
              <w:rPr>
                <w:rFonts w:ascii="Arial" w:hAnsi="Arial" w:cs="Arial"/>
              </w:rPr>
            </w:pPr>
            <w:r>
              <w:rPr>
                <w:rFonts w:ascii="Arial" w:hAnsi="Arial" w:cs="Arial"/>
              </w:rPr>
              <w:t xml:space="preserve">III. </w:t>
            </w:r>
            <w:r w:rsidR="002E693A" w:rsidRPr="002E693A">
              <w:rPr>
                <w:rFonts w:ascii="Arial" w:hAnsi="Arial" w:cs="Arial"/>
              </w:rPr>
              <w:t>On hearing the outcome of the application, accused indicated that he is unable to make the required contribution and that he will rather continue conducting his own defence, whereupon proceedings were continued.</w:t>
            </w:r>
          </w:p>
          <w:p w:rsidR="002E693A" w:rsidRPr="002E693A" w:rsidRDefault="00B51AB8" w:rsidP="002E693A">
            <w:pPr>
              <w:spacing w:line="360" w:lineRule="auto"/>
              <w:jc w:val="both"/>
              <w:rPr>
                <w:rFonts w:ascii="Arial" w:hAnsi="Arial" w:cs="Arial"/>
              </w:rPr>
            </w:pPr>
            <w:r>
              <w:rPr>
                <w:rFonts w:ascii="Arial" w:hAnsi="Arial" w:cs="Arial"/>
              </w:rPr>
              <w:t xml:space="preserve">4. </w:t>
            </w:r>
            <w:r w:rsidR="002E693A" w:rsidRPr="002E693A">
              <w:rPr>
                <w:rFonts w:ascii="Arial" w:hAnsi="Arial" w:cs="Arial"/>
              </w:rPr>
              <w:t>The legal aid contribution is attached. (Was not available by the time of sending record for review)</w:t>
            </w:r>
          </w:p>
          <w:p w:rsidR="002E693A" w:rsidRPr="002E693A" w:rsidRDefault="00B51AB8" w:rsidP="002E693A">
            <w:pPr>
              <w:spacing w:line="360" w:lineRule="auto"/>
              <w:jc w:val="both"/>
              <w:rPr>
                <w:rFonts w:ascii="Arial" w:hAnsi="Arial" w:cs="Arial"/>
              </w:rPr>
            </w:pPr>
            <w:r>
              <w:rPr>
                <w:rFonts w:ascii="Arial" w:hAnsi="Arial" w:cs="Arial"/>
              </w:rPr>
              <w:lastRenderedPageBreak/>
              <w:t xml:space="preserve">5. </w:t>
            </w:r>
            <w:r w:rsidR="002E693A" w:rsidRPr="002E693A">
              <w:rPr>
                <w:rFonts w:ascii="Arial" w:hAnsi="Arial" w:cs="Arial"/>
              </w:rPr>
              <w:t>The Honourable Magistrate apologized to the serious oversight.</w:t>
            </w:r>
          </w:p>
          <w:p w:rsidR="002E693A" w:rsidRPr="002E693A" w:rsidRDefault="002E693A" w:rsidP="002E693A">
            <w:pPr>
              <w:spacing w:line="360" w:lineRule="auto"/>
              <w:jc w:val="both"/>
              <w:rPr>
                <w:rFonts w:ascii="Arial" w:hAnsi="Arial" w:cs="Arial"/>
              </w:rPr>
            </w:pPr>
            <w:r w:rsidRPr="002E693A">
              <w:rPr>
                <w:rFonts w:ascii="Arial" w:hAnsi="Arial" w:cs="Arial"/>
              </w:rPr>
              <w:t>………..’</w:t>
            </w:r>
          </w:p>
          <w:p w:rsidR="00B917F8" w:rsidRDefault="00B917F8" w:rsidP="00F87390">
            <w:pPr>
              <w:rPr>
                <w:rFonts w:ascii="Arial" w:hAnsi="Arial" w:cs="Arial"/>
              </w:rPr>
            </w:pPr>
          </w:p>
          <w:p w:rsidR="00554EC1" w:rsidRDefault="00554EC1" w:rsidP="006352C5">
            <w:pPr>
              <w:spacing w:line="276" w:lineRule="auto"/>
              <w:rPr>
                <w:rFonts w:ascii="Arial" w:hAnsi="Arial" w:cs="Arial"/>
              </w:rPr>
            </w:pPr>
          </w:p>
          <w:p w:rsidR="00B51AB8" w:rsidRDefault="000A3330" w:rsidP="00B51AB8">
            <w:pPr>
              <w:spacing w:line="360" w:lineRule="auto"/>
              <w:jc w:val="both"/>
              <w:rPr>
                <w:rFonts w:ascii="Arial" w:hAnsi="Arial" w:cs="Arial"/>
                <w:sz w:val="24"/>
                <w:szCs w:val="24"/>
              </w:rPr>
            </w:pPr>
            <w:r>
              <w:rPr>
                <w:rFonts w:ascii="Arial" w:hAnsi="Arial" w:cs="Arial"/>
                <w:sz w:val="24"/>
                <w:szCs w:val="24"/>
              </w:rPr>
              <w:t>[11</w:t>
            </w:r>
            <w:r w:rsidR="002E693A">
              <w:rPr>
                <w:rFonts w:ascii="Arial" w:hAnsi="Arial" w:cs="Arial"/>
                <w:sz w:val="24"/>
                <w:szCs w:val="24"/>
              </w:rPr>
              <w:t>]     The response from the Directorate of L</w:t>
            </w:r>
            <w:r w:rsidR="00554EC1" w:rsidRPr="0034163F">
              <w:rPr>
                <w:rFonts w:ascii="Arial" w:hAnsi="Arial" w:cs="Arial"/>
                <w:sz w:val="24"/>
                <w:szCs w:val="24"/>
              </w:rPr>
              <w:t xml:space="preserve">egal aid is indeed attached to the response. That, however does not solve the issue. </w:t>
            </w:r>
            <w:r w:rsidR="001A05DD" w:rsidRPr="0034163F">
              <w:rPr>
                <w:rFonts w:ascii="Arial" w:hAnsi="Arial" w:cs="Arial"/>
                <w:sz w:val="24"/>
                <w:szCs w:val="24"/>
              </w:rPr>
              <w:t>Magistrates’</w:t>
            </w:r>
            <w:r w:rsidR="00554EC1" w:rsidRPr="0034163F">
              <w:rPr>
                <w:rFonts w:ascii="Arial" w:hAnsi="Arial" w:cs="Arial"/>
                <w:sz w:val="24"/>
                <w:szCs w:val="24"/>
              </w:rPr>
              <w:t xml:space="preserve"> courts are court</w:t>
            </w:r>
            <w:r w:rsidR="001A05DD" w:rsidRPr="0034163F">
              <w:rPr>
                <w:rFonts w:ascii="Arial" w:hAnsi="Arial" w:cs="Arial"/>
                <w:sz w:val="24"/>
                <w:szCs w:val="24"/>
              </w:rPr>
              <w:t>s</w:t>
            </w:r>
            <w:r w:rsidR="00554EC1" w:rsidRPr="0034163F">
              <w:rPr>
                <w:rFonts w:ascii="Arial" w:hAnsi="Arial" w:cs="Arial"/>
                <w:sz w:val="24"/>
                <w:szCs w:val="24"/>
              </w:rPr>
              <w:t xml:space="preserve"> of record. It does not reflect anywhere in the record that the accused abandoned his application for legal aid and that he could not afford the contribution as required.</w:t>
            </w:r>
            <w:r w:rsidR="001A05DD" w:rsidRPr="0034163F">
              <w:rPr>
                <w:rFonts w:ascii="Arial" w:hAnsi="Arial" w:cs="Arial"/>
                <w:sz w:val="24"/>
                <w:szCs w:val="24"/>
              </w:rPr>
              <w:t xml:space="preserve"> </w:t>
            </w:r>
            <w:r w:rsidR="00F32F72" w:rsidRPr="0034163F">
              <w:rPr>
                <w:rFonts w:ascii="Arial" w:hAnsi="Arial" w:cs="Arial"/>
                <w:sz w:val="24"/>
                <w:szCs w:val="24"/>
              </w:rPr>
              <w:t>It is incumbent on</w:t>
            </w:r>
            <w:r w:rsidR="001A05DD" w:rsidRPr="0034163F">
              <w:rPr>
                <w:rFonts w:ascii="Arial" w:hAnsi="Arial" w:cs="Arial"/>
                <w:sz w:val="24"/>
                <w:szCs w:val="24"/>
              </w:rPr>
              <w:t xml:space="preserve"> a magistrate </w:t>
            </w:r>
            <w:r w:rsidR="00F32F72" w:rsidRPr="0034163F">
              <w:rPr>
                <w:rFonts w:ascii="Arial" w:hAnsi="Arial" w:cs="Arial"/>
                <w:sz w:val="24"/>
                <w:szCs w:val="24"/>
              </w:rPr>
              <w:t>to</w:t>
            </w:r>
            <w:r w:rsidR="001A05DD" w:rsidRPr="0034163F">
              <w:rPr>
                <w:rFonts w:ascii="Arial" w:hAnsi="Arial" w:cs="Arial"/>
                <w:sz w:val="24"/>
                <w:szCs w:val="24"/>
              </w:rPr>
              <w:t xml:space="preserve"> keep proper record of what transpires in the court. In the absence of the court record reflecting that an explanation w</w:t>
            </w:r>
            <w:r w:rsidR="00F32F72" w:rsidRPr="0034163F">
              <w:rPr>
                <w:rFonts w:ascii="Arial" w:hAnsi="Arial" w:cs="Arial"/>
                <w:sz w:val="24"/>
                <w:szCs w:val="24"/>
              </w:rPr>
              <w:t>as given</w:t>
            </w:r>
            <w:r w:rsidR="00CB77F2">
              <w:rPr>
                <w:rFonts w:ascii="Arial" w:hAnsi="Arial" w:cs="Arial"/>
                <w:sz w:val="24"/>
                <w:szCs w:val="24"/>
              </w:rPr>
              <w:t xml:space="preserve"> and the attitude of the accused thereto</w:t>
            </w:r>
            <w:r w:rsidR="00F32F72" w:rsidRPr="0034163F">
              <w:rPr>
                <w:rFonts w:ascii="Arial" w:hAnsi="Arial" w:cs="Arial"/>
                <w:sz w:val="24"/>
                <w:szCs w:val="24"/>
              </w:rPr>
              <w:t>, the reviewing court is</w:t>
            </w:r>
            <w:r w:rsidR="001A05DD" w:rsidRPr="0034163F">
              <w:rPr>
                <w:rFonts w:ascii="Arial" w:hAnsi="Arial" w:cs="Arial"/>
                <w:sz w:val="24"/>
                <w:szCs w:val="24"/>
              </w:rPr>
              <w:t xml:space="preserve"> unable to conclude that it was indeed done.  The Namibian Supreme</w:t>
            </w:r>
            <w:r w:rsidR="000F6D4B">
              <w:rPr>
                <w:rFonts w:ascii="Arial" w:hAnsi="Arial" w:cs="Arial"/>
                <w:sz w:val="24"/>
                <w:szCs w:val="24"/>
              </w:rPr>
              <w:t xml:space="preserve"> Court</w:t>
            </w:r>
            <w:r w:rsidR="001A05DD" w:rsidRPr="0034163F">
              <w:rPr>
                <w:rFonts w:ascii="Arial" w:hAnsi="Arial" w:cs="Arial"/>
                <w:sz w:val="24"/>
                <w:szCs w:val="24"/>
              </w:rPr>
              <w:t xml:space="preserve"> endorsed this principle in </w:t>
            </w:r>
            <w:r w:rsidR="001A05DD" w:rsidRPr="0034163F">
              <w:rPr>
                <w:rFonts w:ascii="Arial" w:hAnsi="Arial" w:cs="Arial"/>
                <w:i/>
                <w:sz w:val="24"/>
                <w:szCs w:val="24"/>
              </w:rPr>
              <w:t>S v Kau and others</w:t>
            </w:r>
            <w:r w:rsidR="001A05DD" w:rsidRPr="0034163F">
              <w:rPr>
                <w:rStyle w:val="FootnoteReference"/>
                <w:rFonts w:ascii="Arial" w:hAnsi="Arial" w:cs="Arial"/>
                <w:sz w:val="24"/>
                <w:szCs w:val="24"/>
              </w:rPr>
              <w:footnoteReference w:id="1"/>
            </w:r>
            <w:r w:rsidR="001A05DD" w:rsidRPr="0034163F">
              <w:rPr>
                <w:rFonts w:ascii="Arial" w:hAnsi="Arial" w:cs="Arial"/>
                <w:sz w:val="24"/>
                <w:szCs w:val="24"/>
              </w:rPr>
              <w:t xml:space="preserve"> and stated that the magistrate should have recorded the nature of the explanations that were given to the accused persons</w:t>
            </w:r>
            <w:r w:rsidR="00646DEF">
              <w:rPr>
                <w:rFonts w:ascii="Arial" w:hAnsi="Arial" w:cs="Arial"/>
                <w:sz w:val="24"/>
                <w:szCs w:val="24"/>
              </w:rPr>
              <w:t xml:space="preserve"> and</w:t>
            </w:r>
            <w:r w:rsidR="000F6D4B">
              <w:rPr>
                <w:rFonts w:ascii="Arial" w:hAnsi="Arial" w:cs="Arial"/>
                <w:sz w:val="24"/>
                <w:szCs w:val="24"/>
              </w:rPr>
              <w:t>,</w:t>
            </w:r>
            <w:r w:rsidR="00646DEF">
              <w:rPr>
                <w:rFonts w:ascii="Arial" w:hAnsi="Arial" w:cs="Arial"/>
                <w:sz w:val="24"/>
                <w:szCs w:val="24"/>
              </w:rPr>
              <w:t xml:space="preserve"> if we may add</w:t>
            </w:r>
            <w:r w:rsidR="000F6D4B">
              <w:rPr>
                <w:rFonts w:ascii="Arial" w:hAnsi="Arial" w:cs="Arial"/>
                <w:sz w:val="24"/>
                <w:szCs w:val="24"/>
              </w:rPr>
              <w:t>,</w:t>
            </w:r>
            <w:r w:rsidR="00646DEF">
              <w:rPr>
                <w:rFonts w:ascii="Arial" w:hAnsi="Arial" w:cs="Arial"/>
                <w:sz w:val="24"/>
                <w:szCs w:val="24"/>
              </w:rPr>
              <w:t xml:space="preserve"> the attitude of the accused</w:t>
            </w:r>
            <w:r w:rsidR="001A05DD" w:rsidRPr="0034163F">
              <w:rPr>
                <w:rFonts w:ascii="Arial" w:hAnsi="Arial" w:cs="Arial"/>
                <w:sz w:val="24"/>
                <w:szCs w:val="24"/>
              </w:rPr>
              <w:t>.</w:t>
            </w:r>
          </w:p>
          <w:p w:rsidR="00B51AB8" w:rsidRDefault="00B51AB8" w:rsidP="00B94831">
            <w:pPr>
              <w:spacing w:after="160" w:line="360" w:lineRule="auto"/>
              <w:jc w:val="both"/>
              <w:rPr>
                <w:rFonts w:ascii="Arial" w:hAnsi="Arial" w:cs="Arial"/>
                <w:sz w:val="24"/>
                <w:szCs w:val="24"/>
              </w:rPr>
            </w:pPr>
          </w:p>
          <w:p w:rsidR="0027295B" w:rsidRDefault="000A3330" w:rsidP="00B51AB8">
            <w:pPr>
              <w:spacing w:line="360" w:lineRule="auto"/>
              <w:jc w:val="both"/>
              <w:rPr>
                <w:rFonts w:ascii="Arial" w:hAnsi="Arial" w:cs="Arial"/>
                <w:sz w:val="24"/>
                <w:szCs w:val="24"/>
              </w:rPr>
            </w:pPr>
            <w:r>
              <w:rPr>
                <w:rFonts w:ascii="Arial" w:hAnsi="Arial" w:cs="Arial"/>
                <w:sz w:val="24"/>
                <w:szCs w:val="24"/>
              </w:rPr>
              <w:t>[12</w:t>
            </w:r>
            <w:r w:rsidR="00B94831">
              <w:rPr>
                <w:rFonts w:ascii="Arial" w:hAnsi="Arial" w:cs="Arial"/>
                <w:sz w:val="24"/>
                <w:szCs w:val="24"/>
              </w:rPr>
              <w:t>]     In addition, the review cover sheet reflects that the accused was convicted for housebreaking with intent to steal and theft</w:t>
            </w:r>
            <w:r w:rsidR="002E693A">
              <w:rPr>
                <w:rFonts w:ascii="Arial" w:hAnsi="Arial" w:cs="Arial"/>
                <w:sz w:val="24"/>
                <w:szCs w:val="24"/>
              </w:rPr>
              <w:t>,</w:t>
            </w:r>
            <w:r w:rsidR="00B94831">
              <w:rPr>
                <w:rFonts w:ascii="Arial" w:hAnsi="Arial" w:cs="Arial"/>
                <w:sz w:val="24"/>
                <w:szCs w:val="24"/>
              </w:rPr>
              <w:t xml:space="preserve"> whereas the record of proceedings reflects that he was convicted for theft. The J15 charge sheet only reflects ‘guilty’ and not for which crime. We again reiterate that it is ultimately the duty of the magistrate to ensure that a correct record and accompanying documents are submitted for review. Otherwise</w:t>
            </w:r>
            <w:r w:rsidR="002E693A">
              <w:rPr>
                <w:rFonts w:ascii="Arial" w:hAnsi="Arial" w:cs="Arial"/>
                <w:sz w:val="24"/>
                <w:szCs w:val="24"/>
              </w:rPr>
              <w:t>,</w:t>
            </w:r>
            <w:r w:rsidR="00B94831">
              <w:rPr>
                <w:rFonts w:ascii="Arial" w:hAnsi="Arial" w:cs="Arial"/>
                <w:sz w:val="24"/>
                <w:szCs w:val="24"/>
              </w:rPr>
              <w:t xml:space="preserve"> defective records and documents would cause unnecessary delays.</w:t>
            </w:r>
          </w:p>
          <w:p w:rsidR="00B51AB8" w:rsidRDefault="00B51AB8" w:rsidP="00B94831">
            <w:pPr>
              <w:spacing w:after="160" w:line="360" w:lineRule="auto"/>
              <w:jc w:val="both"/>
              <w:rPr>
                <w:rFonts w:ascii="Arial" w:hAnsi="Arial" w:cs="Arial"/>
                <w:sz w:val="24"/>
                <w:szCs w:val="24"/>
              </w:rPr>
            </w:pPr>
          </w:p>
          <w:p w:rsidR="0027295B" w:rsidRDefault="000A3330" w:rsidP="00B51AB8">
            <w:pPr>
              <w:spacing w:line="360" w:lineRule="auto"/>
              <w:jc w:val="both"/>
              <w:rPr>
                <w:rFonts w:ascii="Arial" w:hAnsi="Arial" w:cs="Arial"/>
                <w:sz w:val="24"/>
                <w:szCs w:val="24"/>
              </w:rPr>
            </w:pPr>
            <w:r>
              <w:rPr>
                <w:rFonts w:ascii="Arial" w:hAnsi="Arial" w:cs="Arial"/>
                <w:sz w:val="24"/>
                <w:szCs w:val="24"/>
              </w:rPr>
              <w:t>[13</w:t>
            </w:r>
            <w:r w:rsidR="004010F8">
              <w:rPr>
                <w:rFonts w:ascii="Arial" w:hAnsi="Arial" w:cs="Arial"/>
                <w:sz w:val="24"/>
                <w:szCs w:val="24"/>
              </w:rPr>
              <w:t>]     The magistrate for some or other reason decided not to reply to the query relating to the unauthorised stopping of prosecution.</w:t>
            </w:r>
            <w:r w:rsidR="00646DEF">
              <w:rPr>
                <w:rFonts w:ascii="Arial" w:hAnsi="Arial" w:cs="Arial"/>
                <w:sz w:val="24"/>
                <w:szCs w:val="24"/>
              </w:rPr>
              <w:t xml:space="preserve"> Magistrate</w:t>
            </w:r>
            <w:r w:rsidR="000F6D4B">
              <w:rPr>
                <w:rFonts w:ascii="Arial" w:hAnsi="Arial" w:cs="Arial"/>
                <w:sz w:val="24"/>
                <w:szCs w:val="24"/>
              </w:rPr>
              <w:t>s</w:t>
            </w:r>
            <w:r w:rsidR="00646DEF">
              <w:rPr>
                <w:rFonts w:ascii="Arial" w:hAnsi="Arial" w:cs="Arial"/>
                <w:sz w:val="24"/>
                <w:szCs w:val="24"/>
              </w:rPr>
              <w:t xml:space="preserve"> should understand that </w:t>
            </w:r>
            <w:r w:rsidR="00CB77F2">
              <w:rPr>
                <w:rFonts w:ascii="Arial" w:hAnsi="Arial" w:cs="Arial"/>
                <w:sz w:val="24"/>
                <w:szCs w:val="24"/>
              </w:rPr>
              <w:t>queries</w:t>
            </w:r>
            <w:r w:rsidR="00646DEF">
              <w:rPr>
                <w:rFonts w:ascii="Arial" w:hAnsi="Arial" w:cs="Arial"/>
                <w:sz w:val="24"/>
                <w:szCs w:val="24"/>
              </w:rPr>
              <w:t xml:space="preserve"> are directed to </w:t>
            </w:r>
            <w:r w:rsidR="000F6D4B">
              <w:rPr>
                <w:rFonts w:ascii="Arial" w:hAnsi="Arial" w:cs="Arial"/>
                <w:sz w:val="24"/>
                <w:szCs w:val="24"/>
              </w:rPr>
              <w:t>them</w:t>
            </w:r>
            <w:r w:rsidR="009523B9">
              <w:rPr>
                <w:rFonts w:ascii="Arial" w:hAnsi="Arial" w:cs="Arial"/>
                <w:sz w:val="24"/>
                <w:szCs w:val="24"/>
              </w:rPr>
              <w:t>, not to criticise but as a form of constructive training. As such it is expected to be answered.</w:t>
            </w:r>
            <w:r w:rsidR="00646DEF">
              <w:rPr>
                <w:rFonts w:ascii="Arial" w:hAnsi="Arial" w:cs="Arial"/>
                <w:sz w:val="24"/>
                <w:szCs w:val="24"/>
              </w:rPr>
              <w:t xml:space="preserve"> </w:t>
            </w:r>
            <w:r w:rsidR="004010F8">
              <w:rPr>
                <w:rFonts w:ascii="Arial" w:hAnsi="Arial" w:cs="Arial"/>
                <w:sz w:val="24"/>
                <w:szCs w:val="24"/>
              </w:rPr>
              <w:t xml:space="preserve"> There is no indication on record that the public prosecutor had obtained the authorisation from the Prosecutor-General</w:t>
            </w:r>
            <w:r w:rsidR="00BE097C">
              <w:rPr>
                <w:rFonts w:ascii="Arial" w:hAnsi="Arial" w:cs="Arial"/>
                <w:sz w:val="24"/>
                <w:szCs w:val="24"/>
              </w:rPr>
              <w:t xml:space="preserve"> (the PG)</w:t>
            </w:r>
            <w:r w:rsidR="004010F8">
              <w:rPr>
                <w:rFonts w:ascii="Arial" w:hAnsi="Arial" w:cs="Arial"/>
                <w:sz w:val="24"/>
                <w:szCs w:val="24"/>
              </w:rPr>
              <w:t xml:space="preserve"> to stop prosecution on the second charge of housebreaking with intent to steal and theft.</w:t>
            </w:r>
          </w:p>
          <w:p w:rsidR="00B51AB8" w:rsidRDefault="00B51AB8" w:rsidP="00B94831">
            <w:pPr>
              <w:spacing w:after="160" w:line="360" w:lineRule="auto"/>
              <w:jc w:val="both"/>
              <w:rPr>
                <w:rFonts w:ascii="Arial" w:hAnsi="Arial" w:cs="Arial"/>
                <w:sz w:val="24"/>
                <w:szCs w:val="24"/>
              </w:rPr>
            </w:pPr>
          </w:p>
          <w:p w:rsidR="008377E7" w:rsidRDefault="000A3330" w:rsidP="008377E7">
            <w:pPr>
              <w:spacing w:line="360" w:lineRule="auto"/>
              <w:jc w:val="both"/>
              <w:rPr>
                <w:rFonts w:ascii="Arial" w:hAnsi="Arial" w:cs="Arial"/>
                <w:sz w:val="24"/>
                <w:szCs w:val="24"/>
              </w:rPr>
            </w:pPr>
            <w:r>
              <w:rPr>
                <w:rFonts w:ascii="Arial" w:hAnsi="Arial" w:cs="Arial"/>
                <w:sz w:val="24"/>
                <w:szCs w:val="24"/>
              </w:rPr>
              <w:lastRenderedPageBreak/>
              <w:t>[14</w:t>
            </w:r>
            <w:r w:rsidR="00823532">
              <w:rPr>
                <w:rFonts w:ascii="Arial" w:hAnsi="Arial" w:cs="Arial"/>
                <w:sz w:val="24"/>
                <w:szCs w:val="24"/>
              </w:rPr>
              <w:t>]     The issue whether the action of the public prosecutor intended or not to stop the prosecution in terms of s 6(</w:t>
            </w:r>
            <w:r w:rsidR="00823532" w:rsidRPr="002E693A">
              <w:rPr>
                <w:rFonts w:ascii="Arial" w:hAnsi="Arial" w:cs="Arial"/>
                <w:i/>
                <w:sz w:val="24"/>
                <w:szCs w:val="24"/>
              </w:rPr>
              <w:t>b</w:t>
            </w:r>
            <w:r w:rsidR="00823532">
              <w:rPr>
                <w:rFonts w:ascii="Arial" w:hAnsi="Arial" w:cs="Arial"/>
                <w:sz w:val="24"/>
                <w:szCs w:val="24"/>
              </w:rPr>
              <w:t xml:space="preserve">) of the CPA was </w:t>
            </w:r>
            <w:r w:rsidR="00182A49">
              <w:rPr>
                <w:rFonts w:ascii="Arial" w:hAnsi="Arial" w:cs="Arial"/>
                <w:sz w:val="24"/>
                <w:szCs w:val="24"/>
              </w:rPr>
              <w:t>elaborately</w:t>
            </w:r>
            <w:r w:rsidR="00823532">
              <w:rPr>
                <w:rFonts w:ascii="Arial" w:hAnsi="Arial" w:cs="Arial"/>
                <w:sz w:val="24"/>
                <w:szCs w:val="24"/>
              </w:rPr>
              <w:t xml:space="preserve"> dealt with in </w:t>
            </w:r>
            <w:r w:rsidR="00823532">
              <w:rPr>
                <w:rFonts w:ascii="Arial" w:hAnsi="Arial" w:cs="Arial"/>
                <w:i/>
                <w:sz w:val="24"/>
                <w:szCs w:val="24"/>
              </w:rPr>
              <w:t>The State v Fourie</w:t>
            </w:r>
            <w:r w:rsidR="008377E7">
              <w:rPr>
                <w:rStyle w:val="FootnoteReference"/>
                <w:rFonts w:ascii="Arial" w:hAnsi="Arial" w:cs="Arial"/>
                <w:i/>
                <w:sz w:val="24"/>
                <w:szCs w:val="24"/>
              </w:rPr>
              <w:footnoteReference w:id="2"/>
            </w:r>
            <w:r w:rsidR="008377E7">
              <w:rPr>
                <w:rFonts w:ascii="Arial" w:hAnsi="Arial" w:cs="Arial"/>
                <w:i/>
                <w:sz w:val="24"/>
                <w:szCs w:val="24"/>
              </w:rPr>
              <w:t>.</w:t>
            </w:r>
            <w:r w:rsidR="008377E7">
              <w:rPr>
                <w:rFonts w:ascii="Arial" w:hAnsi="Arial" w:cs="Arial"/>
                <w:sz w:val="24"/>
                <w:szCs w:val="24"/>
              </w:rPr>
              <w:t xml:space="preserve"> The court referred to </w:t>
            </w:r>
            <w:r w:rsidR="008377E7" w:rsidRPr="00CF1EE2">
              <w:rPr>
                <w:rFonts w:ascii="Arial" w:hAnsi="Arial" w:cs="Arial"/>
                <w:i/>
                <w:sz w:val="24"/>
                <w:szCs w:val="24"/>
              </w:rPr>
              <w:t xml:space="preserve">S v </w:t>
            </w:r>
            <w:proofErr w:type="spellStart"/>
            <w:r w:rsidR="008377E7" w:rsidRPr="00CF1EE2">
              <w:rPr>
                <w:rFonts w:ascii="Arial" w:hAnsi="Arial" w:cs="Arial"/>
                <w:i/>
                <w:sz w:val="24"/>
                <w:szCs w:val="24"/>
              </w:rPr>
              <w:t>Ekandjo</w:t>
            </w:r>
            <w:proofErr w:type="spellEnd"/>
            <w:r w:rsidR="00CF1EE2" w:rsidRPr="00CF1EE2">
              <w:rPr>
                <w:rFonts w:ascii="Arial" w:hAnsi="Arial" w:cs="Arial"/>
                <w:i/>
                <w:sz w:val="24"/>
                <w:szCs w:val="24"/>
              </w:rPr>
              <w:t xml:space="preserve"> </w:t>
            </w:r>
            <w:r w:rsidR="00CF1EE2" w:rsidRPr="00CF1EE2">
              <w:rPr>
                <w:rStyle w:val="FootnoteReference"/>
                <w:rFonts w:ascii="Arial" w:hAnsi="Arial" w:cs="Arial"/>
                <w:i/>
                <w:sz w:val="24"/>
                <w:szCs w:val="24"/>
              </w:rPr>
              <w:footnoteReference w:id="3"/>
            </w:r>
            <w:r w:rsidR="008377E7" w:rsidRPr="00CF1EE2">
              <w:rPr>
                <w:rFonts w:ascii="Arial" w:hAnsi="Arial" w:cs="Arial"/>
                <w:i/>
                <w:sz w:val="24"/>
                <w:szCs w:val="24"/>
              </w:rPr>
              <w:t xml:space="preserve">, </w:t>
            </w:r>
            <w:r w:rsidR="008377E7" w:rsidRPr="00CF1EE2">
              <w:rPr>
                <w:rFonts w:ascii="Arial" w:hAnsi="Arial" w:cs="Arial"/>
                <w:sz w:val="24"/>
                <w:szCs w:val="24"/>
              </w:rPr>
              <w:t>delivered in the Northern Local Division of this Court on 23 April 2010</w:t>
            </w:r>
            <w:r w:rsidR="00CF1EE2" w:rsidRPr="00CF1EE2">
              <w:rPr>
                <w:rFonts w:ascii="Arial" w:hAnsi="Arial" w:cs="Arial"/>
                <w:sz w:val="24"/>
                <w:szCs w:val="24"/>
              </w:rPr>
              <w:t xml:space="preserve"> where the court held:</w:t>
            </w:r>
          </w:p>
          <w:p w:rsidR="002E693A" w:rsidRPr="00CF1EE2" w:rsidRDefault="002E693A" w:rsidP="008377E7">
            <w:pPr>
              <w:spacing w:line="360" w:lineRule="auto"/>
              <w:jc w:val="both"/>
              <w:rPr>
                <w:rFonts w:ascii="Arial" w:hAnsi="Arial" w:cs="Arial"/>
                <w:sz w:val="24"/>
                <w:szCs w:val="24"/>
              </w:rPr>
            </w:pPr>
          </w:p>
          <w:p w:rsidR="00CF1EE2" w:rsidRDefault="008377E7" w:rsidP="00CF1EE2">
            <w:pPr>
              <w:spacing w:line="360" w:lineRule="auto"/>
              <w:jc w:val="both"/>
              <w:rPr>
                <w:rFonts w:ascii="Arial" w:hAnsi="Arial" w:cs="Arial"/>
              </w:rPr>
            </w:pPr>
            <w:r>
              <w:rPr>
                <w:rFonts w:ascii="Arial" w:hAnsi="Arial" w:cs="Arial"/>
                <w:sz w:val="24"/>
                <w:szCs w:val="24"/>
              </w:rPr>
              <w:tab/>
            </w:r>
            <w:r>
              <w:rPr>
                <w:rFonts w:ascii="Arial" w:hAnsi="Arial" w:cs="Arial"/>
              </w:rPr>
              <w:tab/>
              <w:t>‘It is clear from s. 6 (b) of the Act that when an accused had pleaded, the proceedings may only be stopped if the Prosecutor-General or any person, authorized thereto by the Prosecutor-General has consented thereto. Once an accused has pleaded, the prosecutor no longer has control over the case and the Court then takes control. The only way to take the case out of the court’s hands is for the Prosecutor-General to act in terms of s. 6 (b)</w:t>
            </w:r>
            <w:r w:rsidR="00CF1EE2">
              <w:rPr>
                <w:rFonts w:ascii="Arial" w:hAnsi="Arial" w:cs="Arial"/>
              </w:rPr>
              <w:t xml:space="preserve"> thereby terminating (“stopping”) the prosecution. The accused is then entitled to be acquitted. Where the prosecutor no longer wishes to proceed with a charge against the accused</w:t>
            </w:r>
            <w:r w:rsidR="0086618F">
              <w:rPr>
                <w:rFonts w:ascii="Arial" w:hAnsi="Arial" w:cs="Arial"/>
              </w:rPr>
              <w:t>, it</w:t>
            </w:r>
            <w:r w:rsidR="00CF1EE2">
              <w:rPr>
                <w:rFonts w:ascii="Arial" w:hAnsi="Arial" w:cs="Arial"/>
              </w:rPr>
              <w:t xml:space="preserve"> is incumbent upon the magistrate to enquire </w:t>
            </w:r>
            <w:r w:rsidR="0086618F">
              <w:rPr>
                <w:rFonts w:ascii="Arial" w:hAnsi="Arial" w:cs="Arial"/>
              </w:rPr>
              <w:t>from</w:t>
            </w:r>
            <w:r w:rsidR="00CF1EE2">
              <w:rPr>
                <w:rFonts w:ascii="Arial" w:hAnsi="Arial" w:cs="Arial"/>
              </w:rPr>
              <w:t xml:space="preserve"> the prosecutor whether the Prosecutor-General has consented thereto because without such consent the stopping is void. </w:t>
            </w:r>
          </w:p>
          <w:p w:rsidR="00CF1EE2" w:rsidRDefault="00CF1EE2" w:rsidP="00CF1EE2">
            <w:pPr>
              <w:spacing w:line="360" w:lineRule="auto"/>
              <w:jc w:val="both"/>
              <w:rPr>
                <w:rFonts w:ascii="Arial" w:hAnsi="Arial" w:cs="Arial"/>
              </w:rPr>
            </w:pPr>
            <w:r>
              <w:rPr>
                <w:rFonts w:ascii="Arial" w:hAnsi="Arial" w:cs="Arial"/>
              </w:rPr>
              <w:t>(</w:t>
            </w:r>
            <w:r>
              <w:rPr>
                <w:rFonts w:ascii="Arial" w:hAnsi="Arial" w:cs="Arial"/>
                <w:i/>
              </w:rPr>
              <w:t>S v van Niekerk</w:t>
            </w:r>
            <w:r>
              <w:rPr>
                <w:rFonts w:ascii="Arial" w:hAnsi="Arial" w:cs="Arial"/>
                <w:b/>
              </w:rPr>
              <w:t xml:space="preserve"> </w:t>
            </w:r>
            <w:r>
              <w:rPr>
                <w:rFonts w:ascii="Arial" w:hAnsi="Arial" w:cs="Arial"/>
              </w:rPr>
              <w:t xml:space="preserve">1985 (4) SA 550 (BG); </w:t>
            </w:r>
            <w:r>
              <w:rPr>
                <w:rFonts w:ascii="Arial" w:hAnsi="Arial" w:cs="Arial"/>
                <w:i/>
              </w:rPr>
              <w:t xml:space="preserve">du </w:t>
            </w:r>
            <w:proofErr w:type="spellStart"/>
            <w:r>
              <w:rPr>
                <w:rFonts w:ascii="Arial" w:hAnsi="Arial" w:cs="Arial"/>
                <w:i/>
              </w:rPr>
              <w:t>Toit</w:t>
            </w:r>
            <w:proofErr w:type="spellEnd"/>
            <w:r>
              <w:rPr>
                <w:rFonts w:ascii="Arial" w:hAnsi="Arial" w:cs="Arial"/>
              </w:rPr>
              <w:t xml:space="preserve"> et al. </w:t>
            </w:r>
          </w:p>
          <w:p w:rsidR="0027295B" w:rsidRDefault="00CF1EE2" w:rsidP="00CF1EE2">
            <w:pPr>
              <w:spacing w:line="360" w:lineRule="auto"/>
              <w:jc w:val="both"/>
              <w:rPr>
                <w:rFonts w:ascii="Arial" w:hAnsi="Arial" w:cs="Arial"/>
              </w:rPr>
            </w:pPr>
            <w:r>
              <w:rPr>
                <w:rFonts w:ascii="Arial" w:hAnsi="Arial" w:cs="Arial"/>
              </w:rPr>
              <w:t>Commentary on the Criminal Procedure Act at 1-5.’</w:t>
            </w:r>
          </w:p>
          <w:p w:rsidR="00B51AB8" w:rsidRDefault="00B51AB8" w:rsidP="00CF1EE2">
            <w:pPr>
              <w:spacing w:line="360" w:lineRule="auto"/>
              <w:jc w:val="both"/>
              <w:rPr>
                <w:rFonts w:ascii="Arial" w:hAnsi="Arial" w:cs="Arial"/>
              </w:rPr>
            </w:pPr>
          </w:p>
          <w:p w:rsidR="00AD6A69" w:rsidRDefault="000A3330" w:rsidP="00AD6A69">
            <w:pPr>
              <w:spacing w:line="360" w:lineRule="auto"/>
              <w:jc w:val="both"/>
              <w:rPr>
                <w:rFonts w:ascii="Arial" w:hAnsi="Arial" w:cs="Arial"/>
                <w:sz w:val="24"/>
                <w:szCs w:val="24"/>
              </w:rPr>
            </w:pPr>
            <w:r>
              <w:rPr>
                <w:rFonts w:ascii="Arial" w:hAnsi="Arial" w:cs="Arial"/>
                <w:sz w:val="24"/>
                <w:szCs w:val="24"/>
              </w:rPr>
              <w:t>[15</w:t>
            </w:r>
            <w:r w:rsidR="00CF1EE2" w:rsidRPr="00CF1EE2">
              <w:rPr>
                <w:rFonts w:ascii="Arial" w:hAnsi="Arial" w:cs="Arial"/>
                <w:sz w:val="24"/>
                <w:szCs w:val="24"/>
              </w:rPr>
              <w:t>]</w:t>
            </w:r>
            <w:r w:rsidR="00CF1EE2">
              <w:rPr>
                <w:rFonts w:ascii="Arial" w:hAnsi="Arial" w:cs="Arial"/>
                <w:sz w:val="24"/>
                <w:szCs w:val="24"/>
              </w:rPr>
              <w:t xml:space="preserve">     T</w:t>
            </w:r>
            <w:r w:rsidR="00CF1EE2" w:rsidRPr="00CF1EE2">
              <w:rPr>
                <w:rFonts w:ascii="Arial" w:hAnsi="Arial" w:cs="Arial"/>
                <w:sz w:val="24"/>
                <w:szCs w:val="24"/>
              </w:rPr>
              <w:t>he stopping of a prosecution is a question of fact to be decided w</w:t>
            </w:r>
            <w:r w:rsidR="00CF1EE2">
              <w:rPr>
                <w:rFonts w:ascii="Arial" w:hAnsi="Arial" w:cs="Arial"/>
                <w:sz w:val="24"/>
                <w:szCs w:val="24"/>
              </w:rPr>
              <w:t>ith reference to all the facts.</w:t>
            </w:r>
            <w:r w:rsidR="00CF1EE2">
              <w:rPr>
                <w:rStyle w:val="FootnoteReference"/>
                <w:rFonts w:ascii="Arial" w:hAnsi="Arial" w:cs="Arial"/>
                <w:sz w:val="24"/>
                <w:szCs w:val="24"/>
              </w:rPr>
              <w:footnoteReference w:id="4"/>
            </w:r>
            <w:r w:rsidR="00AD6A69">
              <w:rPr>
                <w:rFonts w:ascii="Arial" w:hAnsi="Arial" w:cs="Arial"/>
                <w:sz w:val="24"/>
                <w:szCs w:val="24"/>
              </w:rPr>
              <w:t xml:space="preserve"> </w:t>
            </w:r>
            <w:r w:rsidR="00AD6A69" w:rsidRPr="00AD6A69">
              <w:rPr>
                <w:rFonts w:ascii="Arial" w:hAnsi="Arial" w:cs="Arial"/>
                <w:sz w:val="24"/>
                <w:szCs w:val="24"/>
              </w:rPr>
              <w:t>We agree that there are three possible attitudes a prosecutor may adopt towards a prosecution. He may press for a conviction, or he may stop the prosecution, or he may adopt an intermediate neutral attitude whereby he neither asks for a conviction nor stops the prosecution but leaves it to the Court to carry out the function of deciding the is</w:t>
            </w:r>
            <w:r w:rsidR="002E693A">
              <w:rPr>
                <w:rFonts w:ascii="Arial" w:hAnsi="Arial" w:cs="Arial"/>
                <w:sz w:val="24"/>
                <w:szCs w:val="24"/>
              </w:rPr>
              <w:t>sues raised by the prosecution.</w:t>
            </w:r>
            <w:r w:rsidR="00AD6A69">
              <w:rPr>
                <w:rStyle w:val="FootnoteReference"/>
                <w:rFonts w:ascii="Arial" w:hAnsi="Arial" w:cs="Arial"/>
                <w:sz w:val="24"/>
                <w:szCs w:val="24"/>
              </w:rPr>
              <w:footnoteReference w:id="5"/>
            </w:r>
          </w:p>
          <w:p w:rsidR="00AD6A69" w:rsidRDefault="00AD6A69" w:rsidP="00AD6A69">
            <w:pPr>
              <w:spacing w:line="360" w:lineRule="auto"/>
              <w:jc w:val="both"/>
              <w:rPr>
                <w:rFonts w:ascii="Arial" w:hAnsi="Arial" w:cs="Arial"/>
                <w:sz w:val="24"/>
                <w:szCs w:val="24"/>
              </w:rPr>
            </w:pPr>
          </w:p>
          <w:p w:rsidR="00AD6A69" w:rsidRDefault="000A3330" w:rsidP="00AD6A69">
            <w:pPr>
              <w:spacing w:line="360" w:lineRule="auto"/>
              <w:jc w:val="both"/>
              <w:rPr>
                <w:rFonts w:ascii="Arial" w:hAnsi="Arial" w:cs="Arial"/>
                <w:sz w:val="24"/>
                <w:szCs w:val="24"/>
              </w:rPr>
            </w:pPr>
            <w:r>
              <w:rPr>
                <w:rFonts w:ascii="Arial" w:hAnsi="Arial" w:cs="Arial"/>
                <w:sz w:val="24"/>
                <w:szCs w:val="24"/>
              </w:rPr>
              <w:t>[16</w:t>
            </w:r>
            <w:r w:rsidR="00AD6A69">
              <w:rPr>
                <w:rFonts w:ascii="Arial" w:hAnsi="Arial" w:cs="Arial"/>
                <w:sz w:val="24"/>
                <w:szCs w:val="24"/>
              </w:rPr>
              <w:t>]     In the matter at hand</w:t>
            </w:r>
            <w:r w:rsidR="00CB77F2">
              <w:rPr>
                <w:rFonts w:ascii="Arial" w:hAnsi="Arial" w:cs="Arial"/>
                <w:sz w:val="24"/>
                <w:szCs w:val="24"/>
              </w:rPr>
              <w:t>,</w:t>
            </w:r>
            <w:r w:rsidR="00AD6A69">
              <w:rPr>
                <w:rFonts w:ascii="Arial" w:hAnsi="Arial" w:cs="Arial"/>
                <w:sz w:val="24"/>
                <w:szCs w:val="24"/>
              </w:rPr>
              <w:t xml:space="preserve"> the prosecutor stopped the prosecution in </w:t>
            </w:r>
            <w:r w:rsidR="00933992">
              <w:rPr>
                <w:rFonts w:ascii="Arial" w:hAnsi="Arial" w:cs="Arial"/>
                <w:sz w:val="24"/>
                <w:szCs w:val="24"/>
              </w:rPr>
              <w:t>relation to count</w:t>
            </w:r>
            <w:r w:rsidR="00677ED3">
              <w:rPr>
                <w:rFonts w:ascii="Arial" w:hAnsi="Arial" w:cs="Arial"/>
                <w:sz w:val="24"/>
                <w:szCs w:val="24"/>
              </w:rPr>
              <w:t xml:space="preserve"> two</w:t>
            </w:r>
            <w:r w:rsidR="00933992">
              <w:rPr>
                <w:rFonts w:ascii="Arial" w:hAnsi="Arial" w:cs="Arial"/>
                <w:sz w:val="24"/>
                <w:szCs w:val="24"/>
              </w:rPr>
              <w:t xml:space="preserve"> in </w:t>
            </w:r>
            <w:r w:rsidR="00AD6A69">
              <w:rPr>
                <w:rFonts w:ascii="Arial" w:hAnsi="Arial" w:cs="Arial"/>
                <w:sz w:val="24"/>
                <w:szCs w:val="24"/>
              </w:rPr>
              <w:t>no ambiguous terms perceivably in terms of s 6(</w:t>
            </w:r>
            <w:r w:rsidR="00AD6A69" w:rsidRPr="002E693A">
              <w:rPr>
                <w:rFonts w:ascii="Arial" w:hAnsi="Arial" w:cs="Arial"/>
                <w:i/>
                <w:sz w:val="24"/>
                <w:szCs w:val="24"/>
              </w:rPr>
              <w:t>b</w:t>
            </w:r>
            <w:r w:rsidR="00AD6A69">
              <w:rPr>
                <w:rFonts w:ascii="Arial" w:hAnsi="Arial" w:cs="Arial"/>
                <w:sz w:val="24"/>
                <w:szCs w:val="24"/>
              </w:rPr>
              <w:t>) of the CPA</w:t>
            </w:r>
            <w:r w:rsidR="009523B9">
              <w:rPr>
                <w:rFonts w:ascii="Arial" w:hAnsi="Arial" w:cs="Arial"/>
                <w:sz w:val="24"/>
                <w:szCs w:val="24"/>
              </w:rPr>
              <w:t xml:space="preserve"> and asked for </w:t>
            </w:r>
            <w:proofErr w:type="gramStart"/>
            <w:r w:rsidR="009523B9">
              <w:rPr>
                <w:rFonts w:ascii="Arial" w:hAnsi="Arial" w:cs="Arial"/>
                <w:sz w:val="24"/>
                <w:szCs w:val="24"/>
              </w:rPr>
              <w:t>a conviction on a competent verdict of theft</w:t>
            </w:r>
            <w:r w:rsidR="00933992">
              <w:rPr>
                <w:rFonts w:ascii="Arial" w:hAnsi="Arial" w:cs="Arial"/>
                <w:sz w:val="24"/>
                <w:szCs w:val="24"/>
              </w:rPr>
              <w:t xml:space="preserve"> on count</w:t>
            </w:r>
            <w:proofErr w:type="gramEnd"/>
            <w:r w:rsidR="00933992">
              <w:rPr>
                <w:rFonts w:ascii="Arial" w:hAnsi="Arial" w:cs="Arial"/>
                <w:sz w:val="24"/>
                <w:szCs w:val="24"/>
              </w:rPr>
              <w:t xml:space="preserve"> </w:t>
            </w:r>
            <w:r w:rsidR="00677ED3">
              <w:rPr>
                <w:rFonts w:ascii="Arial" w:hAnsi="Arial" w:cs="Arial"/>
                <w:sz w:val="24"/>
                <w:szCs w:val="24"/>
              </w:rPr>
              <w:t>one</w:t>
            </w:r>
            <w:r w:rsidR="009523B9">
              <w:rPr>
                <w:rFonts w:ascii="Arial" w:hAnsi="Arial" w:cs="Arial"/>
                <w:sz w:val="24"/>
                <w:szCs w:val="24"/>
              </w:rPr>
              <w:t xml:space="preserve">. </w:t>
            </w:r>
            <w:r w:rsidR="00BE097C">
              <w:rPr>
                <w:rFonts w:ascii="Arial" w:hAnsi="Arial" w:cs="Arial"/>
                <w:sz w:val="24"/>
                <w:szCs w:val="24"/>
              </w:rPr>
              <w:t xml:space="preserve"> The </w:t>
            </w:r>
            <w:r>
              <w:rPr>
                <w:rFonts w:ascii="Arial" w:hAnsi="Arial" w:cs="Arial"/>
                <w:sz w:val="24"/>
                <w:szCs w:val="24"/>
              </w:rPr>
              <w:t>magistrate did not enquire if the stopping</w:t>
            </w:r>
            <w:r w:rsidR="00BE097C">
              <w:rPr>
                <w:rFonts w:ascii="Arial" w:hAnsi="Arial" w:cs="Arial"/>
                <w:sz w:val="24"/>
                <w:szCs w:val="24"/>
              </w:rPr>
              <w:t xml:space="preserve"> was done with the consent of the PG. This case is further distinguishable </w:t>
            </w:r>
            <w:r w:rsidR="00646DEF">
              <w:rPr>
                <w:rFonts w:ascii="Arial" w:hAnsi="Arial" w:cs="Arial"/>
                <w:sz w:val="24"/>
                <w:szCs w:val="24"/>
              </w:rPr>
              <w:t>from the</w:t>
            </w:r>
            <w:r w:rsidR="00BE097C">
              <w:rPr>
                <w:rFonts w:ascii="Arial" w:hAnsi="Arial" w:cs="Arial"/>
                <w:sz w:val="24"/>
                <w:szCs w:val="24"/>
              </w:rPr>
              <w:t xml:space="preserve"> facts</w:t>
            </w:r>
            <w:r w:rsidR="00AD6A69">
              <w:rPr>
                <w:rFonts w:ascii="Arial" w:hAnsi="Arial" w:cs="Arial"/>
                <w:sz w:val="24"/>
                <w:szCs w:val="24"/>
              </w:rPr>
              <w:t xml:space="preserve"> </w:t>
            </w:r>
            <w:r w:rsidR="00BE097C">
              <w:rPr>
                <w:rFonts w:ascii="Arial" w:hAnsi="Arial" w:cs="Arial"/>
                <w:sz w:val="24"/>
                <w:szCs w:val="24"/>
              </w:rPr>
              <w:t xml:space="preserve">in </w:t>
            </w:r>
            <w:r w:rsidR="00BE097C" w:rsidRPr="00BE097C">
              <w:rPr>
                <w:rFonts w:ascii="Arial" w:hAnsi="Arial" w:cs="Arial"/>
                <w:i/>
                <w:sz w:val="24"/>
                <w:szCs w:val="24"/>
              </w:rPr>
              <w:t xml:space="preserve">S </w:t>
            </w:r>
            <w:r w:rsidR="00BE097C">
              <w:rPr>
                <w:rFonts w:ascii="Arial" w:hAnsi="Arial" w:cs="Arial"/>
                <w:i/>
                <w:sz w:val="24"/>
                <w:szCs w:val="24"/>
              </w:rPr>
              <w:t>v</w:t>
            </w:r>
            <w:r w:rsidR="00BE097C" w:rsidRPr="00BE097C">
              <w:rPr>
                <w:rFonts w:ascii="Arial" w:hAnsi="Arial" w:cs="Arial"/>
                <w:i/>
                <w:sz w:val="24"/>
                <w:szCs w:val="24"/>
              </w:rPr>
              <w:t xml:space="preserve"> Fourie</w:t>
            </w:r>
            <w:r w:rsidR="00BE097C">
              <w:rPr>
                <w:rFonts w:ascii="Arial" w:hAnsi="Arial" w:cs="Arial"/>
                <w:sz w:val="24"/>
                <w:szCs w:val="24"/>
              </w:rPr>
              <w:t xml:space="preserve"> (supra) where the court found that the prosecutor took a </w:t>
            </w:r>
            <w:r w:rsidR="00BE097C">
              <w:rPr>
                <w:rFonts w:ascii="Arial" w:hAnsi="Arial" w:cs="Arial"/>
                <w:sz w:val="24"/>
                <w:szCs w:val="24"/>
              </w:rPr>
              <w:lastRenderedPageBreak/>
              <w:t>neutral stance</w:t>
            </w:r>
            <w:r w:rsidR="00646DEF">
              <w:rPr>
                <w:rFonts w:ascii="Arial" w:hAnsi="Arial" w:cs="Arial"/>
                <w:sz w:val="24"/>
                <w:szCs w:val="24"/>
              </w:rPr>
              <w:t xml:space="preserve"> and</w:t>
            </w:r>
            <w:r w:rsidR="00BE097C">
              <w:rPr>
                <w:rFonts w:ascii="Arial" w:hAnsi="Arial" w:cs="Arial"/>
                <w:sz w:val="24"/>
                <w:szCs w:val="24"/>
              </w:rPr>
              <w:t xml:space="preserve"> </w:t>
            </w:r>
            <w:r w:rsidR="00646DEF">
              <w:rPr>
                <w:rFonts w:ascii="Arial" w:hAnsi="Arial" w:cs="Arial"/>
                <w:sz w:val="24"/>
                <w:szCs w:val="24"/>
              </w:rPr>
              <w:t>concluded that the actions of the prosecutor did not amount to a stopping of the prosecution. Consequently, in that case, there was no need to interfere with the magistrate’s decision.</w:t>
            </w:r>
          </w:p>
          <w:p w:rsidR="009523B9" w:rsidRDefault="009523B9" w:rsidP="00AD6A69">
            <w:pPr>
              <w:spacing w:line="360" w:lineRule="auto"/>
              <w:jc w:val="both"/>
              <w:rPr>
                <w:rFonts w:ascii="Arial" w:hAnsi="Arial" w:cs="Arial"/>
                <w:sz w:val="24"/>
                <w:szCs w:val="24"/>
              </w:rPr>
            </w:pPr>
          </w:p>
          <w:p w:rsidR="00B46E64" w:rsidRPr="00B51AB8" w:rsidRDefault="009523B9" w:rsidP="00B51AB8">
            <w:pPr>
              <w:spacing w:line="360" w:lineRule="auto"/>
              <w:jc w:val="both"/>
              <w:rPr>
                <w:rFonts w:ascii="Arial" w:hAnsi="Arial" w:cs="Arial"/>
                <w:sz w:val="24"/>
                <w:szCs w:val="24"/>
              </w:rPr>
            </w:pPr>
            <w:r w:rsidRPr="009523B9">
              <w:rPr>
                <w:rFonts w:ascii="Arial" w:hAnsi="Arial" w:cs="Arial"/>
                <w:szCs w:val="24"/>
              </w:rPr>
              <w:t>[</w:t>
            </w:r>
            <w:r w:rsidR="000A3330">
              <w:rPr>
                <w:rFonts w:ascii="Arial" w:hAnsi="Arial" w:cs="Arial"/>
                <w:sz w:val="24"/>
                <w:szCs w:val="24"/>
              </w:rPr>
              <w:t>17</w:t>
            </w:r>
            <w:r w:rsidRPr="009523B9">
              <w:rPr>
                <w:rFonts w:ascii="Arial" w:hAnsi="Arial" w:cs="Arial"/>
                <w:sz w:val="24"/>
                <w:szCs w:val="24"/>
              </w:rPr>
              <w:t xml:space="preserve">]    </w:t>
            </w:r>
            <w:r w:rsidR="00B46E64" w:rsidRPr="00B46E64">
              <w:rPr>
                <w:rFonts w:ascii="Arial" w:hAnsi="Arial" w:cs="Arial"/>
                <w:sz w:val="24"/>
                <w:szCs w:val="24"/>
              </w:rPr>
              <w:t xml:space="preserve">It is clear from the record of proceedings that the prosecutor in the present instance did </w:t>
            </w:r>
            <w:r w:rsidR="002E693A">
              <w:rPr>
                <w:rFonts w:ascii="Arial" w:hAnsi="Arial" w:cs="Arial"/>
                <w:sz w:val="24"/>
                <w:szCs w:val="24"/>
              </w:rPr>
              <w:t>not obtain the PG</w:t>
            </w:r>
            <w:r w:rsidR="00B46E64" w:rsidRPr="00B46E64">
              <w:rPr>
                <w:rFonts w:ascii="Arial" w:hAnsi="Arial" w:cs="Arial"/>
                <w:sz w:val="24"/>
                <w:szCs w:val="24"/>
              </w:rPr>
              <w:t xml:space="preserve">’s consent prior to the closing of the State’s case and, in view of what has been stated in the </w:t>
            </w:r>
            <w:r w:rsidR="00B46E64" w:rsidRPr="00B46E64">
              <w:rPr>
                <w:rFonts w:ascii="Arial" w:hAnsi="Arial" w:cs="Arial"/>
                <w:i/>
                <w:sz w:val="24"/>
                <w:szCs w:val="24"/>
              </w:rPr>
              <w:t xml:space="preserve">Ekandjo </w:t>
            </w:r>
            <w:r w:rsidR="00B46E64">
              <w:rPr>
                <w:rFonts w:ascii="Arial" w:hAnsi="Arial" w:cs="Arial"/>
                <w:sz w:val="24"/>
                <w:szCs w:val="24"/>
              </w:rPr>
              <w:t>case</w:t>
            </w:r>
            <w:r w:rsidR="00B46E64" w:rsidRPr="00B46E64">
              <w:rPr>
                <w:rFonts w:ascii="Arial" w:hAnsi="Arial" w:cs="Arial"/>
                <w:sz w:val="24"/>
                <w:szCs w:val="24"/>
              </w:rPr>
              <w:t xml:space="preserve"> supra, it thus follows that the </w:t>
            </w:r>
            <w:r w:rsidR="00B46E64" w:rsidRPr="00B46E64">
              <w:rPr>
                <w:rFonts w:ascii="Arial" w:hAnsi="Arial" w:cs="Arial"/>
                <w:sz w:val="24"/>
                <w:szCs w:val="24"/>
                <w:lang w:val="en-US"/>
              </w:rPr>
              <w:t>stopping was a nullity</w:t>
            </w:r>
            <w:r w:rsidR="00B46E64" w:rsidRPr="00B46E64">
              <w:rPr>
                <w:rFonts w:ascii="Arial" w:hAnsi="Arial" w:cs="Arial"/>
                <w:sz w:val="24"/>
                <w:szCs w:val="24"/>
              </w:rPr>
              <w:t xml:space="preserve">. </w:t>
            </w:r>
            <w:r w:rsidR="00B46E64" w:rsidRPr="00B46E64">
              <w:rPr>
                <w:rFonts w:ascii="Arial" w:hAnsi="Arial" w:cs="Arial"/>
                <w:sz w:val="24"/>
                <w:szCs w:val="24"/>
                <w:lang w:val="en-US"/>
              </w:rPr>
              <w:t>It being a nullity,</w:t>
            </w:r>
            <w:r w:rsidR="00B46E64" w:rsidRPr="00B46E64">
              <w:rPr>
                <w:rFonts w:ascii="Arial" w:hAnsi="Arial" w:cs="Arial"/>
                <w:sz w:val="24"/>
                <w:szCs w:val="24"/>
              </w:rPr>
              <w:t xml:space="preserve"> the matter should</w:t>
            </w:r>
            <w:r w:rsidR="00AD1784">
              <w:rPr>
                <w:rFonts w:ascii="Arial" w:hAnsi="Arial" w:cs="Arial"/>
                <w:sz w:val="24"/>
                <w:szCs w:val="24"/>
              </w:rPr>
              <w:t xml:space="preserve"> have</w:t>
            </w:r>
            <w:r w:rsidR="00B46E64" w:rsidRPr="00B46E64">
              <w:rPr>
                <w:rFonts w:ascii="Arial" w:hAnsi="Arial" w:cs="Arial"/>
                <w:sz w:val="24"/>
                <w:szCs w:val="24"/>
              </w:rPr>
              <w:t xml:space="preserve"> proceed</w:t>
            </w:r>
            <w:r w:rsidR="00AD1784">
              <w:rPr>
                <w:rFonts w:ascii="Arial" w:hAnsi="Arial" w:cs="Arial"/>
                <w:sz w:val="24"/>
                <w:szCs w:val="24"/>
              </w:rPr>
              <w:t>ed</w:t>
            </w:r>
            <w:r w:rsidR="00B46E64" w:rsidRPr="00B46E64">
              <w:rPr>
                <w:rFonts w:ascii="Arial" w:hAnsi="Arial" w:cs="Arial"/>
                <w:sz w:val="24"/>
                <w:szCs w:val="24"/>
              </w:rPr>
              <w:t xml:space="preserve"> to trial and the prosecution to </w:t>
            </w:r>
            <w:r w:rsidR="00AD1784">
              <w:rPr>
                <w:rFonts w:ascii="Arial" w:hAnsi="Arial" w:cs="Arial"/>
                <w:sz w:val="24"/>
                <w:szCs w:val="24"/>
              </w:rPr>
              <w:t>have been</w:t>
            </w:r>
            <w:r w:rsidR="00B46E64" w:rsidRPr="00B46E64">
              <w:rPr>
                <w:rFonts w:ascii="Arial" w:hAnsi="Arial" w:cs="Arial"/>
                <w:sz w:val="24"/>
                <w:szCs w:val="24"/>
              </w:rPr>
              <w:t xml:space="preserve"> directed to </w:t>
            </w:r>
            <w:r w:rsidR="00B46E64" w:rsidRPr="00B46E64">
              <w:rPr>
                <w:rFonts w:ascii="Arial" w:hAnsi="Arial" w:cs="Arial"/>
                <w:sz w:val="24"/>
                <w:szCs w:val="24"/>
                <w:lang w:val="en-US"/>
              </w:rPr>
              <w:t xml:space="preserve">lead </w:t>
            </w:r>
            <w:r w:rsidR="00B46E64" w:rsidRPr="00B46E64">
              <w:rPr>
                <w:rFonts w:ascii="Arial" w:hAnsi="Arial" w:cs="Arial"/>
                <w:sz w:val="24"/>
                <w:szCs w:val="24"/>
              </w:rPr>
              <w:t xml:space="preserve">evidence; in the absence of which, consent </w:t>
            </w:r>
            <w:r w:rsidR="000A3330" w:rsidRPr="00B46E64">
              <w:rPr>
                <w:rFonts w:ascii="Arial" w:hAnsi="Arial" w:cs="Arial"/>
                <w:sz w:val="24"/>
                <w:szCs w:val="24"/>
              </w:rPr>
              <w:t>must</w:t>
            </w:r>
            <w:r w:rsidR="000A3330">
              <w:rPr>
                <w:rFonts w:ascii="Arial" w:hAnsi="Arial" w:cs="Arial"/>
                <w:sz w:val="24"/>
                <w:szCs w:val="24"/>
              </w:rPr>
              <w:t xml:space="preserve"> </w:t>
            </w:r>
            <w:r w:rsidR="000A3330" w:rsidRPr="00B46E64">
              <w:rPr>
                <w:rFonts w:ascii="Arial" w:hAnsi="Arial" w:cs="Arial"/>
                <w:sz w:val="24"/>
                <w:szCs w:val="24"/>
              </w:rPr>
              <w:t>be</w:t>
            </w:r>
            <w:r w:rsidR="00B46E64" w:rsidRPr="00B46E64">
              <w:rPr>
                <w:rFonts w:ascii="Arial" w:hAnsi="Arial" w:cs="Arial"/>
                <w:sz w:val="24"/>
                <w:szCs w:val="24"/>
              </w:rPr>
              <w:t xml:space="preserve"> obta</w:t>
            </w:r>
            <w:r w:rsidR="002E693A">
              <w:rPr>
                <w:rFonts w:ascii="Arial" w:hAnsi="Arial" w:cs="Arial"/>
                <w:sz w:val="24"/>
                <w:szCs w:val="24"/>
              </w:rPr>
              <w:t>ined from the PG</w:t>
            </w:r>
            <w:r w:rsidR="00B46E64" w:rsidRPr="00B46E64">
              <w:rPr>
                <w:rFonts w:ascii="Arial" w:hAnsi="Arial" w:cs="Arial"/>
                <w:sz w:val="24"/>
                <w:szCs w:val="24"/>
              </w:rPr>
              <w:t xml:space="preserve"> to stop prosecution.</w:t>
            </w:r>
          </w:p>
          <w:p w:rsidR="00B46E64" w:rsidRDefault="00933992" w:rsidP="00B46E64">
            <w:pPr>
              <w:tabs>
                <w:tab w:val="left" w:pos="851"/>
              </w:tabs>
              <w:spacing w:before="240" w:after="160" w:line="360" w:lineRule="auto"/>
              <w:jc w:val="both"/>
              <w:rPr>
                <w:rFonts w:ascii="Arial" w:hAnsi="Arial" w:cs="Arial"/>
                <w:sz w:val="24"/>
                <w:szCs w:val="24"/>
                <w:lang w:val="en-US"/>
              </w:rPr>
            </w:pPr>
            <w:r>
              <w:rPr>
                <w:rFonts w:ascii="Arial" w:hAnsi="Arial" w:cs="Arial"/>
                <w:sz w:val="24"/>
                <w:szCs w:val="24"/>
                <w:lang w:val="en-US"/>
              </w:rPr>
              <w:t xml:space="preserve"> [1</w:t>
            </w:r>
            <w:r w:rsidR="00165CEC">
              <w:rPr>
                <w:rFonts w:ascii="Arial" w:hAnsi="Arial" w:cs="Arial"/>
                <w:sz w:val="24"/>
                <w:szCs w:val="24"/>
                <w:lang w:val="en-US"/>
              </w:rPr>
              <w:t>8</w:t>
            </w:r>
            <w:r>
              <w:rPr>
                <w:rFonts w:ascii="Arial" w:hAnsi="Arial" w:cs="Arial"/>
                <w:sz w:val="24"/>
                <w:szCs w:val="24"/>
                <w:lang w:val="en-US"/>
              </w:rPr>
              <w:t>]</w:t>
            </w:r>
            <w:r w:rsidR="00B46E64" w:rsidRPr="00B46E64">
              <w:rPr>
                <w:rFonts w:ascii="Arial" w:hAnsi="Arial" w:cs="Arial"/>
                <w:sz w:val="24"/>
                <w:szCs w:val="24"/>
                <w:lang w:val="en-US"/>
              </w:rPr>
              <w:t xml:space="preserve">     In the result:</w:t>
            </w:r>
          </w:p>
          <w:p w:rsidR="00B46E64" w:rsidRPr="00677ED3" w:rsidRDefault="00B46E64" w:rsidP="00677ED3">
            <w:pPr>
              <w:pStyle w:val="ListParagraph"/>
              <w:numPr>
                <w:ilvl w:val="0"/>
                <w:numId w:val="9"/>
              </w:numPr>
              <w:tabs>
                <w:tab w:val="left" w:pos="851"/>
              </w:tabs>
              <w:spacing w:before="240"/>
              <w:rPr>
                <w:rFonts w:cs="Arial"/>
                <w:szCs w:val="24"/>
              </w:rPr>
            </w:pPr>
            <w:r w:rsidRPr="00677ED3">
              <w:rPr>
                <w:rFonts w:cs="Arial"/>
                <w:szCs w:val="24"/>
                <w:lang w:val="en-ZA"/>
              </w:rPr>
              <w:t>The co</w:t>
            </w:r>
            <w:r w:rsidR="000A3330">
              <w:rPr>
                <w:rFonts w:cs="Arial"/>
                <w:szCs w:val="24"/>
                <w:lang w:val="en-ZA"/>
              </w:rPr>
              <w:t>nviction and sentence on count one</w:t>
            </w:r>
            <w:r w:rsidRPr="00677ED3">
              <w:rPr>
                <w:rFonts w:cs="Arial"/>
                <w:szCs w:val="24"/>
                <w:lang w:val="en-ZA"/>
              </w:rPr>
              <w:t xml:space="preserve"> are confirmed.</w:t>
            </w:r>
          </w:p>
          <w:p w:rsidR="00B46E64" w:rsidRPr="00677ED3" w:rsidRDefault="00B46E64" w:rsidP="00677ED3">
            <w:pPr>
              <w:pStyle w:val="ListParagraph"/>
              <w:numPr>
                <w:ilvl w:val="0"/>
                <w:numId w:val="9"/>
              </w:numPr>
              <w:tabs>
                <w:tab w:val="left" w:pos="851"/>
              </w:tabs>
              <w:spacing w:before="240"/>
              <w:rPr>
                <w:rFonts w:cs="Arial"/>
                <w:szCs w:val="24"/>
              </w:rPr>
            </w:pPr>
            <w:r w:rsidRPr="00677ED3">
              <w:rPr>
                <w:rFonts w:cs="Arial"/>
                <w:szCs w:val="24"/>
                <w:lang w:val="en-ZA"/>
              </w:rPr>
              <w:t>The closing of the State</w:t>
            </w:r>
            <w:r w:rsidR="002E693A">
              <w:rPr>
                <w:rFonts w:cs="Arial"/>
                <w:szCs w:val="24"/>
                <w:lang w:val="en-ZA"/>
              </w:rPr>
              <w:t>’s</w:t>
            </w:r>
            <w:r w:rsidRPr="00677ED3">
              <w:rPr>
                <w:rFonts w:cs="Arial"/>
                <w:szCs w:val="24"/>
                <w:lang w:val="en-ZA"/>
              </w:rPr>
              <w:t xml:space="preserve"> case</w:t>
            </w:r>
            <w:r w:rsidR="00933992" w:rsidRPr="00677ED3">
              <w:rPr>
                <w:rFonts w:cs="Arial"/>
                <w:szCs w:val="24"/>
                <w:lang w:val="en-ZA"/>
              </w:rPr>
              <w:t xml:space="preserve"> in relation to the second count</w:t>
            </w:r>
            <w:r w:rsidRPr="00677ED3">
              <w:rPr>
                <w:rFonts w:cs="Arial"/>
                <w:szCs w:val="24"/>
                <w:lang w:val="en-ZA"/>
              </w:rPr>
              <w:t xml:space="preserve"> is set aside.</w:t>
            </w:r>
          </w:p>
          <w:p w:rsidR="00933992" w:rsidRPr="00677ED3" w:rsidRDefault="00B46E64" w:rsidP="00677ED3">
            <w:pPr>
              <w:pStyle w:val="ListParagraph"/>
              <w:numPr>
                <w:ilvl w:val="0"/>
                <w:numId w:val="9"/>
              </w:numPr>
              <w:tabs>
                <w:tab w:val="left" w:pos="851"/>
              </w:tabs>
              <w:spacing w:before="240"/>
              <w:rPr>
                <w:rFonts w:cs="Arial"/>
                <w:szCs w:val="24"/>
              </w:rPr>
            </w:pPr>
            <w:r w:rsidRPr="00677ED3">
              <w:rPr>
                <w:rFonts w:cs="Arial"/>
                <w:szCs w:val="24"/>
                <w:lang w:val="en-ZA"/>
              </w:rPr>
              <w:t>The matter is remitted to the trial court with the direction to proce</w:t>
            </w:r>
            <w:r w:rsidR="00122A39">
              <w:rPr>
                <w:rFonts w:cs="Arial"/>
                <w:szCs w:val="24"/>
                <w:lang w:val="en-ZA"/>
              </w:rPr>
              <w:t>ed to trial in respect of count</w:t>
            </w:r>
            <w:r w:rsidRPr="00677ED3">
              <w:rPr>
                <w:rFonts w:cs="Arial"/>
                <w:szCs w:val="24"/>
                <w:lang w:val="en-ZA"/>
              </w:rPr>
              <w:t xml:space="preserve"> </w:t>
            </w:r>
            <w:r w:rsidR="000A3330">
              <w:rPr>
                <w:rFonts w:cs="Arial"/>
                <w:szCs w:val="24"/>
                <w:lang w:val="en-US"/>
              </w:rPr>
              <w:t>two</w:t>
            </w:r>
            <w:r w:rsidRPr="00677ED3">
              <w:rPr>
                <w:rFonts w:cs="Arial"/>
                <w:szCs w:val="24"/>
                <w:lang w:val="en-ZA"/>
              </w:rPr>
              <w:t>.</w:t>
            </w:r>
          </w:p>
          <w:p w:rsidR="00D10241" w:rsidRPr="00D10241" w:rsidRDefault="00D10241" w:rsidP="00933992">
            <w:pPr>
              <w:spacing w:line="360" w:lineRule="auto"/>
              <w:ind w:left="1152" w:right="601"/>
              <w:jc w:val="both"/>
              <w:rPr>
                <w:rFonts w:ascii="Arial" w:eastAsia="Times New Roman" w:hAnsi="Arial" w:cs="Arial"/>
                <w:spacing w:val="-3"/>
                <w:sz w:val="24"/>
                <w:szCs w:val="24"/>
              </w:rPr>
            </w:pPr>
          </w:p>
        </w:tc>
      </w:tr>
      <w:tr w:rsidR="00D10241" w:rsidRPr="00D10241" w:rsidTr="00214E84">
        <w:tc>
          <w:tcPr>
            <w:tcW w:w="4770" w:type="dxa"/>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ind w:left="-18" w:firstLine="18"/>
              <w:rPr>
                <w:rFonts w:ascii="Arial Narrow" w:hAnsi="Arial Narrow" w:cs="Arial"/>
                <w:b/>
                <w:sz w:val="24"/>
                <w:szCs w:val="24"/>
              </w:rPr>
            </w:pPr>
            <w:r w:rsidRPr="00D10241">
              <w:rPr>
                <w:rFonts w:ascii="Arial Narrow" w:hAnsi="Arial Narrow" w:cs="Arial"/>
                <w:b/>
                <w:sz w:val="24"/>
                <w:szCs w:val="24"/>
              </w:rPr>
              <w:lastRenderedPageBreak/>
              <w:t xml:space="preserve">    </w:t>
            </w:r>
          </w:p>
          <w:p w:rsidR="00D10241" w:rsidRPr="00D10241" w:rsidRDefault="00D10241" w:rsidP="00D10241">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10241" w:rsidRPr="00D10241" w:rsidRDefault="00D10241" w:rsidP="00D10241">
            <w:pPr>
              <w:spacing w:line="360" w:lineRule="auto"/>
              <w:rPr>
                <w:rFonts w:ascii="Arial Narrow" w:hAnsi="Arial Narrow" w:cs="Arial"/>
                <w:b/>
                <w:sz w:val="24"/>
                <w:szCs w:val="24"/>
              </w:rPr>
            </w:pPr>
          </w:p>
          <w:p w:rsidR="00D10241" w:rsidRPr="00D10241" w:rsidRDefault="00D10241" w:rsidP="00D10241">
            <w:pPr>
              <w:spacing w:line="360" w:lineRule="auto"/>
              <w:rPr>
                <w:rFonts w:ascii="Arial Narrow" w:hAnsi="Arial Narrow" w:cs="Arial"/>
                <w:b/>
                <w:sz w:val="24"/>
                <w:szCs w:val="24"/>
              </w:rPr>
            </w:pPr>
          </w:p>
        </w:tc>
      </w:tr>
      <w:tr w:rsidR="00D10241" w:rsidRPr="00D10241" w:rsidTr="00214E84">
        <w:trPr>
          <w:trHeight w:val="827"/>
        </w:trPr>
        <w:tc>
          <w:tcPr>
            <w:tcW w:w="4770" w:type="dxa"/>
            <w:tcBorders>
              <w:top w:val="single" w:sz="4" w:space="0" w:color="auto"/>
              <w:left w:val="single" w:sz="4" w:space="0" w:color="auto"/>
              <w:bottom w:val="single" w:sz="4" w:space="0" w:color="auto"/>
              <w:right w:val="single" w:sz="4" w:space="0" w:color="auto"/>
            </w:tcBorders>
            <w:hideMark/>
          </w:tcPr>
          <w:p w:rsidR="00D10241" w:rsidRPr="00D10241" w:rsidRDefault="00D10241" w:rsidP="00D10241">
            <w:pPr>
              <w:spacing w:line="360" w:lineRule="auto"/>
              <w:jc w:val="center"/>
              <w:rPr>
                <w:rFonts w:ascii="Arial Narrow" w:hAnsi="Arial Narrow" w:cs="Arial"/>
                <w:b/>
                <w:sz w:val="24"/>
                <w:szCs w:val="24"/>
              </w:rPr>
            </w:pPr>
            <w:r w:rsidRPr="00D10241">
              <w:rPr>
                <w:rFonts w:ascii="Arial Narrow" w:hAnsi="Arial Narrow" w:cs="Arial"/>
                <w:b/>
                <w:sz w:val="24"/>
                <w:szCs w:val="24"/>
              </w:rPr>
              <w:t>H C JANUARY</w:t>
            </w:r>
          </w:p>
          <w:p w:rsidR="00D10241" w:rsidRPr="00D10241" w:rsidRDefault="00D10241" w:rsidP="00D10241">
            <w:pPr>
              <w:spacing w:line="360" w:lineRule="auto"/>
              <w:jc w:val="center"/>
              <w:rPr>
                <w:rFonts w:ascii="Arial Narrow" w:hAnsi="Arial Narrow" w:cs="Arial"/>
                <w:b/>
                <w:sz w:val="24"/>
                <w:szCs w:val="24"/>
              </w:rPr>
            </w:pPr>
            <w:r w:rsidRPr="00D10241">
              <w:rPr>
                <w:rFonts w:ascii="Arial Narrow" w:hAnsi="Arial Narrow"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D10241" w:rsidRPr="00D10241" w:rsidRDefault="00933992" w:rsidP="00D10241">
            <w:pPr>
              <w:spacing w:line="360" w:lineRule="auto"/>
              <w:jc w:val="center"/>
              <w:rPr>
                <w:rFonts w:ascii="Arial Narrow" w:hAnsi="Arial Narrow" w:cs="Arial"/>
                <w:b/>
                <w:sz w:val="24"/>
                <w:szCs w:val="24"/>
              </w:rPr>
            </w:pPr>
            <w:r>
              <w:rPr>
                <w:rFonts w:ascii="Arial Narrow" w:hAnsi="Arial Narrow" w:cs="Arial"/>
                <w:b/>
                <w:sz w:val="24"/>
                <w:szCs w:val="24"/>
              </w:rPr>
              <w:t>D USIKU</w:t>
            </w:r>
          </w:p>
          <w:p w:rsidR="00D10241" w:rsidRPr="00D10241" w:rsidRDefault="00D10241" w:rsidP="00D10241">
            <w:pPr>
              <w:spacing w:line="360" w:lineRule="auto"/>
              <w:jc w:val="center"/>
              <w:rPr>
                <w:rFonts w:ascii="Arial Narrow" w:hAnsi="Arial Narrow" w:cs="Arial"/>
                <w:sz w:val="24"/>
                <w:szCs w:val="24"/>
              </w:rPr>
            </w:pPr>
            <w:r w:rsidRPr="00D10241">
              <w:rPr>
                <w:rFonts w:ascii="Arial Narrow" w:hAnsi="Arial Narrow" w:cs="Arial"/>
                <w:b/>
                <w:sz w:val="24"/>
                <w:szCs w:val="24"/>
              </w:rPr>
              <w:t>JUDGE</w:t>
            </w:r>
          </w:p>
        </w:tc>
      </w:tr>
    </w:tbl>
    <w:p w:rsidR="00D07FA5" w:rsidRDefault="00D07FA5" w:rsidP="00D07FA5">
      <w:pPr>
        <w:rPr>
          <w:rFonts w:ascii="Arial" w:hAnsi="Arial" w:cs="Arial"/>
          <w:sz w:val="24"/>
          <w:szCs w:val="24"/>
        </w:rPr>
      </w:pPr>
    </w:p>
    <w:p w:rsidR="00F87390" w:rsidRPr="00F87390" w:rsidRDefault="00F87390" w:rsidP="00F87390">
      <w:pPr>
        <w:rPr>
          <w:rFonts w:ascii="Arial" w:hAnsi="Arial" w:cs="Arial"/>
          <w:sz w:val="24"/>
          <w:szCs w:val="24"/>
        </w:rPr>
      </w:pPr>
      <w:r w:rsidRPr="00F87390">
        <w:rPr>
          <w:rFonts w:ascii="Arial" w:hAnsi="Arial" w:cs="Arial"/>
          <w:sz w:val="24"/>
          <w:szCs w:val="24"/>
        </w:rPr>
        <w:t>.</w:t>
      </w:r>
      <w:r w:rsidRPr="00F87390">
        <w:rPr>
          <w:rFonts w:ascii="Arial" w:hAnsi="Arial" w:cs="Arial"/>
          <w:sz w:val="24"/>
          <w:szCs w:val="24"/>
        </w:rPr>
        <w:tab/>
      </w:r>
    </w:p>
    <w:sectPr w:rsidR="00F87390" w:rsidRPr="00F87390" w:rsidSect="00506E7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B6" w:rsidRDefault="003D16B6" w:rsidP="00D10241">
      <w:pPr>
        <w:spacing w:after="0" w:line="240" w:lineRule="auto"/>
      </w:pPr>
      <w:r>
        <w:separator/>
      </w:r>
    </w:p>
  </w:endnote>
  <w:endnote w:type="continuationSeparator" w:id="0">
    <w:p w:rsidR="003D16B6" w:rsidRDefault="003D16B6" w:rsidP="00D1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B6" w:rsidRDefault="003D16B6" w:rsidP="00D10241">
      <w:pPr>
        <w:spacing w:after="0" w:line="240" w:lineRule="auto"/>
      </w:pPr>
      <w:r>
        <w:separator/>
      </w:r>
    </w:p>
  </w:footnote>
  <w:footnote w:type="continuationSeparator" w:id="0">
    <w:p w:rsidR="003D16B6" w:rsidRDefault="003D16B6" w:rsidP="00D10241">
      <w:pPr>
        <w:spacing w:after="0" w:line="240" w:lineRule="auto"/>
      </w:pPr>
      <w:r>
        <w:continuationSeparator/>
      </w:r>
    </w:p>
  </w:footnote>
  <w:footnote w:id="1">
    <w:p w:rsidR="001A05DD" w:rsidRPr="0034163F" w:rsidRDefault="001A05DD" w:rsidP="001A05DD">
      <w:pPr>
        <w:pStyle w:val="FootnoteText"/>
        <w:rPr>
          <w:rFonts w:ascii="Arial" w:hAnsi="Arial" w:cs="Arial"/>
        </w:rPr>
      </w:pPr>
      <w:r w:rsidRPr="0034163F">
        <w:rPr>
          <w:rStyle w:val="FootnoteReference"/>
          <w:rFonts w:ascii="Arial" w:hAnsi="Arial" w:cs="Arial"/>
        </w:rPr>
        <w:footnoteRef/>
      </w:r>
      <w:r w:rsidRPr="0034163F">
        <w:rPr>
          <w:rFonts w:ascii="Arial" w:hAnsi="Arial" w:cs="Arial"/>
        </w:rPr>
        <w:t xml:space="preserve">  </w:t>
      </w:r>
      <w:r w:rsidR="0034163F" w:rsidRPr="0034163F">
        <w:rPr>
          <w:rFonts w:ascii="Arial" w:hAnsi="Arial" w:cs="Arial"/>
          <w:i/>
        </w:rPr>
        <w:t>S v Kau and others</w:t>
      </w:r>
      <w:r w:rsidR="0034163F" w:rsidRPr="0034163F">
        <w:rPr>
          <w:rFonts w:ascii="Arial" w:hAnsi="Arial" w:cs="Arial"/>
        </w:rPr>
        <w:t xml:space="preserve"> </w:t>
      </w:r>
      <w:r w:rsidRPr="0034163F">
        <w:rPr>
          <w:rFonts w:ascii="Arial" w:hAnsi="Arial" w:cs="Arial"/>
        </w:rPr>
        <w:t>1995 NR 1 (SC)</w:t>
      </w:r>
    </w:p>
  </w:footnote>
  <w:footnote w:id="2">
    <w:p w:rsidR="008377E7" w:rsidRPr="008377E7" w:rsidRDefault="008377E7" w:rsidP="00122A39">
      <w:pPr>
        <w:spacing w:after="0" w:line="240" w:lineRule="auto"/>
        <w:ind w:left="2160" w:hanging="2160"/>
        <w:jc w:val="both"/>
      </w:pPr>
      <w:r w:rsidRPr="008377E7">
        <w:rPr>
          <w:rStyle w:val="FootnoteReference"/>
          <w:rFonts w:ascii="Arial" w:hAnsi="Arial" w:cs="Arial"/>
          <w:sz w:val="20"/>
          <w:szCs w:val="20"/>
        </w:rPr>
        <w:footnoteRef/>
      </w:r>
      <w:r w:rsidRPr="008377E7">
        <w:rPr>
          <w:rFonts w:ascii="Arial" w:hAnsi="Arial" w:cs="Arial"/>
          <w:sz w:val="20"/>
          <w:szCs w:val="20"/>
        </w:rPr>
        <w:t xml:space="preserve"> </w:t>
      </w:r>
      <w:proofErr w:type="gramStart"/>
      <w:r w:rsidRPr="008377E7">
        <w:rPr>
          <w:rFonts w:ascii="Arial" w:hAnsi="Arial" w:cs="Arial"/>
          <w:i/>
          <w:sz w:val="20"/>
          <w:szCs w:val="20"/>
        </w:rPr>
        <w:t>The State v Fourie</w:t>
      </w:r>
      <w:r w:rsidRPr="008377E7">
        <w:rPr>
          <w:rFonts w:ascii="Arial" w:hAnsi="Arial" w:cs="Arial"/>
          <w:sz w:val="20"/>
          <w:szCs w:val="20"/>
        </w:rPr>
        <w:t xml:space="preserve"> (CR 37/2012) [2013] NAHCMD 338 (15 November 2013)</w:t>
      </w:r>
      <w:r>
        <w:rPr>
          <w:rFonts w:ascii="Arial" w:hAnsi="Arial" w:cs="Arial"/>
          <w:sz w:val="20"/>
          <w:szCs w:val="20"/>
        </w:rPr>
        <w:t>.</w:t>
      </w:r>
      <w:proofErr w:type="gramEnd"/>
    </w:p>
  </w:footnote>
  <w:footnote w:id="3">
    <w:p w:rsidR="00CF1EE2" w:rsidRPr="00CF1EE2" w:rsidRDefault="00CF1EE2">
      <w:pPr>
        <w:pStyle w:val="FootnoteText"/>
        <w:rPr>
          <w:lang w:val="en-US"/>
        </w:rPr>
      </w:pPr>
      <w:r w:rsidRPr="00122A39">
        <w:rPr>
          <w:rStyle w:val="FootnoteReference"/>
          <w:rFonts w:ascii="Arial" w:hAnsi="Arial" w:cs="Arial"/>
        </w:rPr>
        <w:footnoteRef/>
      </w:r>
      <w:r>
        <w:t xml:space="preserve"> </w:t>
      </w:r>
      <w:r>
        <w:rPr>
          <w:rFonts w:ascii="Arial" w:hAnsi="Arial" w:cs="Arial"/>
          <w:i/>
        </w:rPr>
        <w:t xml:space="preserve">S v Ekandjo </w:t>
      </w:r>
      <w:r>
        <w:rPr>
          <w:rFonts w:ascii="Arial" w:hAnsi="Arial" w:cs="Arial"/>
        </w:rPr>
        <w:t>CR 04/2010, not reported.</w:t>
      </w:r>
    </w:p>
  </w:footnote>
  <w:footnote w:id="4">
    <w:p w:rsidR="00CF1EE2" w:rsidRPr="00CF1EE2" w:rsidRDefault="00CF1EE2">
      <w:pPr>
        <w:pStyle w:val="FootnoteText"/>
        <w:rPr>
          <w:rFonts w:ascii="Arial" w:hAnsi="Arial" w:cs="Arial"/>
          <w:lang w:val="en-US"/>
        </w:rPr>
      </w:pPr>
      <w:r w:rsidRPr="00CF1EE2">
        <w:rPr>
          <w:rStyle w:val="FootnoteReference"/>
          <w:rFonts w:ascii="Arial" w:hAnsi="Arial" w:cs="Arial"/>
        </w:rPr>
        <w:footnoteRef/>
      </w:r>
      <w:r w:rsidRPr="00CF1EE2">
        <w:rPr>
          <w:rFonts w:ascii="Arial" w:hAnsi="Arial" w:cs="Arial"/>
        </w:rPr>
        <w:t xml:space="preserve"> </w:t>
      </w:r>
      <w:r w:rsidRPr="00CF1EE2">
        <w:rPr>
          <w:rFonts w:ascii="Arial" w:hAnsi="Arial" w:cs="Arial"/>
          <w:i/>
        </w:rPr>
        <w:t>S v E</w:t>
      </w:r>
      <w:r w:rsidRPr="00CF1EE2">
        <w:rPr>
          <w:rFonts w:ascii="Arial" w:hAnsi="Arial" w:cs="Arial"/>
          <w:b/>
          <w:i/>
        </w:rPr>
        <w:t xml:space="preserve"> </w:t>
      </w:r>
      <w:r w:rsidRPr="00CF1EE2">
        <w:rPr>
          <w:rFonts w:ascii="Arial" w:hAnsi="Arial" w:cs="Arial"/>
        </w:rPr>
        <w:t>1995 (2) SACR 547 (A)</w:t>
      </w:r>
      <w:r>
        <w:rPr>
          <w:rFonts w:ascii="Arial" w:hAnsi="Arial" w:cs="Arial"/>
        </w:rPr>
        <w:t>.</w:t>
      </w:r>
    </w:p>
  </w:footnote>
  <w:footnote w:id="5">
    <w:p w:rsidR="00AD6A69" w:rsidRPr="00AD6A69" w:rsidRDefault="00AD6A69">
      <w:pPr>
        <w:pStyle w:val="FootnoteText"/>
        <w:rPr>
          <w:rFonts w:ascii="Arial" w:hAnsi="Arial" w:cs="Arial"/>
          <w:lang w:val="en-US"/>
        </w:rPr>
      </w:pPr>
      <w:r w:rsidRPr="00AD6A69">
        <w:rPr>
          <w:rStyle w:val="FootnoteReference"/>
          <w:rFonts w:ascii="Arial" w:hAnsi="Arial" w:cs="Arial"/>
        </w:rPr>
        <w:footnoteRef/>
      </w:r>
      <w:r w:rsidRPr="00AD6A69">
        <w:rPr>
          <w:rFonts w:ascii="Arial" w:hAnsi="Arial" w:cs="Arial"/>
        </w:rPr>
        <w:t xml:space="preserve"> </w:t>
      </w:r>
      <w:proofErr w:type="gramStart"/>
      <w:r w:rsidRPr="00AD6A69">
        <w:rPr>
          <w:rFonts w:ascii="Arial" w:hAnsi="Arial" w:cs="Arial"/>
          <w:i/>
        </w:rPr>
        <w:t xml:space="preserve">S v </w:t>
      </w:r>
      <w:proofErr w:type="spellStart"/>
      <w:r w:rsidRPr="00AD6A69">
        <w:rPr>
          <w:rFonts w:ascii="Arial" w:hAnsi="Arial" w:cs="Arial"/>
          <w:i/>
        </w:rPr>
        <w:t>Bopape</w:t>
      </w:r>
      <w:proofErr w:type="spellEnd"/>
      <w:r w:rsidRPr="00AD6A69">
        <w:rPr>
          <w:rFonts w:ascii="Arial" w:hAnsi="Arial" w:cs="Arial"/>
        </w:rPr>
        <w:t xml:space="preserve"> 1966 (1) SA 145 (C)</w:t>
      </w:r>
      <w:r w:rsidR="002E693A">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52183"/>
      <w:docPartObj>
        <w:docPartGallery w:val="Page Numbers (Top of Page)"/>
        <w:docPartUnique/>
      </w:docPartObj>
    </w:sdtPr>
    <w:sdtEndPr>
      <w:rPr>
        <w:noProof/>
      </w:rPr>
    </w:sdtEndPr>
    <w:sdtContent>
      <w:p w:rsidR="00506E71" w:rsidRDefault="00506E71">
        <w:pPr>
          <w:pStyle w:val="Header"/>
          <w:jc w:val="right"/>
        </w:pPr>
        <w:r>
          <w:fldChar w:fldCharType="begin"/>
        </w:r>
        <w:r>
          <w:instrText xml:space="preserve"> PAGE   \* MERGEFORMAT </w:instrText>
        </w:r>
        <w:r>
          <w:fldChar w:fldCharType="separate"/>
        </w:r>
        <w:r w:rsidR="00ED2DC8">
          <w:rPr>
            <w:noProof/>
          </w:rPr>
          <w:t>7</w:t>
        </w:r>
        <w:r>
          <w:rPr>
            <w:noProof/>
          </w:rPr>
          <w:fldChar w:fldCharType="end"/>
        </w:r>
      </w:p>
    </w:sdtContent>
  </w:sdt>
  <w:p w:rsidR="00506E71" w:rsidRDefault="0050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9D3"/>
    <w:multiLevelType w:val="hybridMultilevel"/>
    <w:tmpl w:val="76F0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799D"/>
    <w:multiLevelType w:val="hybridMultilevel"/>
    <w:tmpl w:val="93084228"/>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BC70813"/>
    <w:multiLevelType w:val="hybridMultilevel"/>
    <w:tmpl w:val="E9DC2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77840"/>
    <w:multiLevelType w:val="hybridMultilevel"/>
    <w:tmpl w:val="1980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33896"/>
    <w:multiLevelType w:val="hybridMultilevel"/>
    <w:tmpl w:val="7B469A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628EE"/>
    <w:multiLevelType w:val="hybridMultilevel"/>
    <w:tmpl w:val="87B0F6A6"/>
    <w:lvl w:ilvl="0" w:tplc="0E06793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AB943E2"/>
    <w:multiLevelType w:val="hybridMultilevel"/>
    <w:tmpl w:val="04D4B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FB0659"/>
    <w:multiLevelType w:val="hybridMultilevel"/>
    <w:tmpl w:val="7988F6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F5600"/>
    <w:multiLevelType w:val="hybridMultilevel"/>
    <w:tmpl w:val="76EC9B76"/>
    <w:lvl w:ilvl="0" w:tplc="C512E130">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9">
    <w:nsid w:val="412A1BC2"/>
    <w:multiLevelType w:val="hybridMultilevel"/>
    <w:tmpl w:val="594C3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1"/>
    <w:rsid w:val="00076DF7"/>
    <w:rsid w:val="000A3330"/>
    <w:rsid w:val="000F6D4B"/>
    <w:rsid w:val="00122A39"/>
    <w:rsid w:val="00165CEC"/>
    <w:rsid w:val="00182A49"/>
    <w:rsid w:val="001A05DD"/>
    <w:rsid w:val="001C6889"/>
    <w:rsid w:val="0027295B"/>
    <w:rsid w:val="002A74FC"/>
    <w:rsid w:val="002D021B"/>
    <w:rsid w:val="002D2AE2"/>
    <w:rsid w:val="002E1B11"/>
    <w:rsid w:val="002E693A"/>
    <w:rsid w:val="00315FB1"/>
    <w:rsid w:val="0034163F"/>
    <w:rsid w:val="003843B5"/>
    <w:rsid w:val="00393E31"/>
    <w:rsid w:val="003D16B6"/>
    <w:rsid w:val="003D2ACB"/>
    <w:rsid w:val="003E4564"/>
    <w:rsid w:val="004010F8"/>
    <w:rsid w:val="004361DC"/>
    <w:rsid w:val="00506E71"/>
    <w:rsid w:val="0053119D"/>
    <w:rsid w:val="00545833"/>
    <w:rsid w:val="00554EC1"/>
    <w:rsid w:val="00564360"/>
    <w:rsid w:val="005B5A8E"/>
    <w:rsid w:val="006352C5"/>
    <w:rsid w:val="00646DEF"/>
    <w:rsid w:val="00656604"/>
    <w:rsid w:val="00677ED3"/>
    <w:rsid w:val="0068512F"/>
    <w:rsid w:val="006B74F8"/>
    <w:rsid w:val="006D53DE"/>
    <w:rsid w:val="006F3592"/>
    <w:rsid w:val="0070177E"/>
    <w:rsid w:val="00823532"/>
    <w:rsid w:val="008377E7"/>
    <w:rsid w:val="0086618F"/>
    <w:rsid w:val="00901560"/>
    <w:rsid w:val="009046D9"/>
    <w:rsid w:val="00933992"/>
    <w:rsid w:val="00946804"/>
    <w:rsid w:val="009523B9"/>
    <w:rsid w:val="00A94EAB"/>
    <w:rsid w:val="00AD1784"/>
    <w:rsid w:val="00AD46E3"/>
    <w:rsid w:val="00AD6A69"/>
    <w:rsid w:val="00AD6D37"/>
    <w:rsid w:val="00B23C83"/>
    <w:rsid w:val="00B46E64"/>
    <w:rsid w:val="00B51AB8"/>
    <w:rsid w:val="00B7319D"/>
    <w:rsid w:val="00B917F8"/>
    <w:rsid w:val="00B94831"/>
    <w:rsid w:val="00BE097C"/>
    <w:rsid w:val="00BE79F6"/>
    <w:rsid w:val="00C00521"/>
    <w:rsid w:val="00C215A8"/>
    <w:rsid w:val="00CA42E6"/>
    <w:rsid w:val="00CB77F2"/>
    <w:rsid w:val="00CF1EE2"/>
    <w:rsid w:val="00CF2A2A"/>
    <w:rsid w:val="00D07FA5"/>
    <w:rsid w:val="00D10241"/>
    <w:rsid w:val="00D70C05"/>
    <w:rsid w:val="00DE58EF"/>
    <w:rsid w:val="00E23169"/>
    <w:rsid w:val="00E6530A"/>
    <w:rsid w:val="00E84834"/>
    <w:rsid w:val="00EC6F0C"/>
    <w:rsid w:val="00ED2DC8"/>
    <w:rsid w:val="00F07917"/>
    <w:rsid w:val="00F32F72"/>
    <w:rsid w:val="00F8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24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024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D1024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10241"/>
    <w:rPr>
      <w:vertAlign w:val="superscript"/>
    </w:rPr>
  </w:style>
  <w:style w:type="paragraph" w:styleId="ListParagraph">
    <w:name w:val="List Paragraph"/>
    <w:basedOn w:val="Normal"/>
    <w:uiPriority w:val="34"/>
    <w:qFormat/>
    <w:rsid w:val="001C6889"/>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2E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1"/>
    <w:rPr>
      <w:rFonts w:ascii="Segoe UI" w:hAnsi="Segoe UI" w:cs="Segoe UI"/>
      <w:sz w:val="18"/>
      <w:szCs w:val="18"/>
    </w:rPr>
  </w:style>
  <w:style w:type="paragraph" w:styleId="Header">
    <w:name w:val="header"/>
    <w:basedOn w:val="Normal"/>
    <w:link w:val="HeaderChar"/>
    <w:uiPriority w:val="99"/>
    <w:unhideWhenUsed/>
    <w:rsid w:val="0050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71"/>
  </w:style>
  <w:style w:type="paragraph" w:styleId="Footer">
    <w:name w:val="footer"/>
    <w:basedOn w:val="Normal"/>
    <w:link w:val="FooterChar"/>
    <w:uiPriority w:val="99"/>
    <w:unhideWhenUsed/>
    <w:rsid w:val="0050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24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024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D1024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D10241"/>
    <w:rPr>
      <w:vertAlign w:val="superscript"/>
    </w:rPr>
  </w:style>
  <w:style w:type="paragraph" w:styleId="ListParagraph">
    <w:name w:val="List Paragraph"/>
    <w:basedOn w:val="Normal"/>
    <w:uiPriority w:val="34"/>
    <w:qFormat/>
    <w:rsid w:val="001C6889"/>
    <w:pPr>
      <w:widowControl w:val="0"/>
      <w:spacing w:after="0" w:line="360" w:lineRule="auto"/>
      <w:ind w:left="720"/>
      <w:contextualSpacing/>
      <w:jc w:val="both"/>
    </w:pPr>
    <w:rPr>
      <w:rFonts w:ascii="Arial" w:eastAsia="Times New Roman" w:hAnsi="Arial" w:cs="Times New Roman"/>
      <w:spacing w:val="-3"/>
      <w:sz w:val="24"/>
      <w:szCs w:val="20"/>
      <w:lang w:val="en-GB"/>
    </w:rPr>
  </w:style>
  <w:style w:type="paragraph" w:styleId="BalloonText">
    <w:name w:val="Balloon Text"/>
    <w:basedOn w:val="Normal"/>
    <w:link w:val="BalloonTextChar"/>
    <w:uiPriority w:val="99"/>
    <w:semiHidden/>
    <w:unhideWhenUsed/>
    <w:rsid w:val="002E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B11"/>
    <w:rPr>
      <w:rFonts w:ascii="Segoe UI" w:hAnsi="Segoe UI" w:cs="Segoe UI"/>
      <w:sz w:val="18"/>
      <w:szCs w:val="18"/>
    </w:rPr>
  </w:style>
  <w:style w:type="paragraph" w:styleId="Header">
    <w:name w:val="header"/>
    <w:basedOn w:val="Normal"/>
    <w:link w:val="HeaderChar"/>
    <w:uiPriority w:val="99"/>
    <w:unhideWhenUsed/>
    <w:rsid w:val="0050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E71"/>
  </w:style>
  <w:style w:type="paragraph" w:styleId="Footer">
    <w:name w:val="footer"/>
    <w:basedOn w:val="Normal"/>
    <w:link w:val="FooterChar"/>
    <w:uiPriority w:val="99"/>
    <w:unhideWhenUsed/>
    <w:rsid w:val="0050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1861">
      <w:bodyDiv w:val="1"/>
      <w:marLeft w:val="0"/>
      <w:marRight w:val="0"/>
      <w:marTop w:val="0"/>
      <w:marBottom w:val="0"/>
      <w:divBdr>
        <w:top w:val="none" w:sz="0" w:space="0" w:color="auto"/>
        <w:left w:val="none" w:sz="0" w:space="0" w:color="auto"/>
        <w:bottom w:val="none" w:sz="0" w:space="0" w:color="auto"/>
        <w:right w:val="none" w:sz="0" w:space="0" w:color="auto"/>
      </w:divBdr>
    </w:div>
    <w:div w:id="177890388">
      <w:bodyDiv w:val="1"/>
      <w:marLeft w:val="0"/>
      <w:marRight w:val="0"/>
      <w:marTop w:val="0"/>
      <w:marBottom w:val="0"/>
      <w:divBdr>
        <w:top w:val="none" w:sz="0" w:space="0" w:color="auto"/>
        <w:left w:val="none" w:sz="0" w:space="0" w:color="auto"/>
        <w:bottom w:val="none" w:sz="0" w:space="0" w:color="auto"/>
        <w:right w:val="none" w:sz="0" w:space="0" w:color="auto"/>
      </w:divBdr>
    </w:div>
    <w:div w:id="212473252">
      <w:bodyDiv w:val="1"/>
      <w:marLeft w:val="0"/>
      <w:marRight w:val="0"/>
      <w:marTop w:val="0"/>
      <w:marBottom w:val="0"/>
      <w:divBdr>
        <w:top w:val="none" w:sz="0" w:space="0" w:color="auto"/>
        <w:left w:val="none" w:sz="0" w:space="0" w:color="auto"/>
        <w:bottom w:val="none" w:sz="0" w:space="0" w:color="auto"/>
        <w:right w:val="none" w:sz="0" w:space="0" w:color="auto"/>
      </w:divBdr>
    </w:div>
    <w:div w:id="426538284">
      <w:bodyDiv w:val="1"/>
      <w:marLeft w:val="0"/>
      <w:marRight w:val="0"/>
      <w:marTop w:val="0"/>
      <w:marBottom w:val="0"/>
      <w:divBdr>
        <w:top w:val="none" w:sz="0" w:space="0" w:color="auto"/>
        <w:left w:val="none" w:sz="0" w:space="0" w:color="auto"/>
        <w:bottom w:val="none" w:sz="0" w:space="0" w:color="auto"/>
        <w:right w:val="none" w:sz="0" w:space="0" w:color="auto"/>
      </w:divBdr>
    </w:div>
    <w:div w:id="899900756">
      <w:bodyDiv w:val="1"/>
      <w:marLeft w:val="0"/>
      <w:marRight w:val="0"/>
      <w:marTop w:val="0"/>
      <w:marBottom w:val="0"/>
      <w:divBdr>
        <w:top w:val="none" w:sz="0" w:space="0" w:color="auto"/>
        <w:left w:val="none" w:sz="0" w:space="0" w:color="auto"/>
        <w:bottom w:val="none" w:sz="0" w:space="0" w:color="auto"/>
        <w:right w:val="none" w:sz="0" w:space="0" w:color="auto"/>
      </w:divBdr>
    </w:div>
    <w:div w:id="990603243">
      <w:bodyDiv w:val="1"/>
      <w:marLeft w:val="0"/>
      <w:marRight w:val="0"/>
      <w:marTop w:val="0"/>
      <w:marBottom w:val="0"/>
      <w:divBdr>
        <w:top w:val="none" w:sz="0" w:space="0" w:color="auto"/>
        <w:left w:val="none" w:sz="0" w:space="0" w:color="auto"/>
        <w:bottom w:val="none" w:sz="0" w:space="0" w:color="auto"/>
        <w:right w:val="none" w:sz="0" w:space="0" w:color="auto"/>
      </w:divBdr>
    </w:div>
    <w:div w:id="1187251558">
      <w:bodyDiv w:val="1"/>
      <w:marLeft w:val="0"/>
      <w:marRight w:val="0"/>
      <w:marTop w:val="0"/>
      <w:marBottom w:val="0"/>
      <w:divBdr>
        <w:top w:val="none" w:sz="0" w:space="0" w:color="auto"/>
        <w:left w:val="none" w:sz="0" w:space="0" w:color="auto"/>
        <w:bottom w:val="none" w:sz="0" w:space="0" w:color="auto"/>
        <w:right w:val="none" w:sz="0" w:space="0" w:color="auto"/>
      </w:divBdr>
    </w:div>
    <w:div w:id="1293827553">
      <w:bodyDiv w:val="1"/>
      <w:marLeft w:val="0"/>
      <w:marRight w:val="0"/>
      <w:marTop w:val="0"/>
      <w:marBottom w:val="0"/>
      <w:divBdr>
        <w:top w:val="none" w:sz="0" w:space="0" w:color="auto"/>
        <w:left w:val="none" w:sz="0" w:space="0" w:color="auto"/>
        <w:bottom w:val="none" w:sz="0" w:space="0" w:color="auto"/>
        <w:right w:val="none" w:sz="0" w:space="0" w:color="auto"/>
      </w:divBdr>
    </w:div>
    <w:div w:id="1540702596">
      <w:bodyDiv w:val="1"/>
      <w:marLeft w:val="0"/>
      <w:marRight w:val="0"/>
      <w:marTop w:val="0"/>
      <w:marBottom w:val="0"/>
      <w:divBdr>
        <w:top w:val="none" w:sz="0" w:space="0" w:color="auto"/>
        <w:left w:val="none" w:sz="0" w:space="0" w:color="auto"/>
        <w:bottom w:val="none" w:sz="0" w:space="0" w:color="auto"/>
        <w:right w:val="none" w:sz="0" w:space="0" w:color="auto"/>
      </w:divBdr>
    </w:div>
    <w:div w:id="20842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2023-04-12T18:30:00+00:00</Judgment_x0020_Date>
  </documentManagement>
</p:properties>
</file>

<file path=customXml/itemProps1.xml><?xml version="1.0" encoding="utf-8"?>
<ds:datastoreItem xmlns:ds="http://schemas.openxmlformats.org/officeDocument/2006/customXml" ds:itemID="{25437F23-4A53-4E8A-8457-1EB7E59AB9E8}"/>
</file>

<file path=customXml/itemProps2.xml><?xml version="1.0" encoding="utf-8"?>
<ds:datastoreItem xmlns:ds="http://schemas.openxmlformats.org/officeDocument/2006/customXml" ds:itemID="{67F35850-D980-4972-B1BC-59A6BFB5972A}"/>
</file>

<file path=customXml/itemProps3.xml><?xml version="1.0" encoding="utf-8"?>
<ds:datastoreItem xmlns:ds="http://schemas.openxmlformats.org/officeDocument/2006/customXml" ds:itemID="{CF86FB5E-BABA-4EAE-8C05-C85D365117E0}"/>
</file>

<file path=customXml/itemProps4.xml><?xml version="1.0" encoding="utf-8"?>
<ds:datastoreItem xmlns:ds="http://schemas.openxmlformats.org/officeDocument/2006/customXml" ds:itemID="{C699E950-85E3-49D5-B856-541EFE52683A}"/>
</file>

<file path=docProps/app.xml><?xml version="1.0" encoding="utf-8"?>
<Properties xmlns="http://schemas.openxmlformats.org/officeDocument/2006/extended-properties" xmlns:vt="http://schemas.openxmlformats.org/officeDocument/2006/docPropsVTypes">
  <Template>Normal</Template>
  <TotalTime>36</TotalTime>
  <Pages>7</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Swartbooi (CR 122-2022) [2023] NAHCMD 187 (13 April 2023)</dc:title>
  <dc:creator>Herman C. January</dc:creator>
  <cp:lastModifiedBy>Michelle N. Ullrich</cp:lastModifiedBy>
  <cp:revision>6</cp:revision>
  <cp:lastPrinted>2023-04-13T07:03:00Z</cp:lastPrinted>
  <dcterms:created xsi:type="dcterms:W3CDTF">2023-04-04T13:30:00Z</dcterms:created>
  <dcterms:modified xsi:type="dcterms:W3CDTF">2023-04-13T07:06:00Z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