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BC" w:rsidRPr="00FF6DBC" w:rsidRDefault="00FF6DBC" w:rsidP="00FF6DBC">
      <w:pPr>
        <w:spacing w:after="0" w:line="240" w:lineRule="auto"/>
        <w:jc w:val="center"/>
        <w:rPr>
          <w:rFonts w:ascii="Arial" w:eastAsia="Calibri" w:hAnsi="Arial" w:cs="Arial"/>
          <w:b/>
          <w:sz w:val="24"/>
          <w:szCs w:val="24"/>
        </w:rPr>
      </w:pPr>
      <w:r w:rsidRPr="00FF6DBC">
        <w:rPr>
          <w:rFonts w:ascii="Arial" w:eastAsia="Calibri" w:hAnsi="Arial" w:cs="Arial"/>
          <w:b/>
          <w:sz w:val="24"/>
          <w:szCs w:val="24"/>
        </w:rPr>
        <w:t xml:space="preserve">REPUBLIC OF NAMIBIA </w:t>
      </w:r>
    </w:p>
    <w:p w:rsidR="00FF6DBC" w:rsidRPr="00FF6DBC" w:rsidRDefault="00FF6DBC" w:rsidP="00FF6DBC">
      <w:pPr>
        <w:spacing w:after="0" w:line="360" w:lineRule="auto"/>
        <w:jc w:val="center"/>
        <w:rPr>
          <w:rFonts w:ascii="Arial" w:eastAsia="Calibri" w:hAnsi="Arial" w:cs="Arial"/>
          <w:sz w:val="24"/>
          <w:szCs w:val="24"/>
        </w:rPr>
      </w:pPr>
      <w:r w:rsidRPr="00FF6DBC">
        <w:rPr>
          <w:rFonts w:ascii="Calibri" w:eastAsia="Calibri" w:hAnsi="Calibri" w:cs="Times New Roman"/>
          <w:b/>
          <w:noProof/>
          <w:sz w:val="32"/>
          <w:szCs w:val="32"/>
          <w:lang w:val="en-GB" w:eastAsia="en-GB"/>
        </w:rPr>
        <w:drawing>
          <wp:inline distT="0" distB="0" distL="0" distR="0">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FF6DBC" w:rsidRPr="00FF6DBC" w:rsidRDefault="00FF6DBC" w:rsidP="00FF6DBC">
      <w:pPr>
        <w:spacing w:after="0" w:line="360" w:lineRule="auto"/>
        <w:jc w:val="center"/>
        <w:rPr>
          <w:rFonts w:ascii="Arial" w:eastAsia="Calibri" w:hAnsi="Arial" w:cs="Arial"/>
          <w:b/>
          <w:sz w:val="24"/>
          <w:szCs w:val="24"/>
        </w:rPr>
      </w:pPr>
      <w:r w:rsidRPr="00FF6DBC">
        <w:rPr>
          <w:rFonts w:ascii="Arial" w:eastAsia="Calibri" w:hAnsi="Arial" w:cs="Arial"/>
          <w:b/>
          <w:sz w:val="24"/>
          <w:szCs w:val="24"/>
        </w:rPr>
        <w:t xml:space="preserve">IN THE HIGH COURT OF NAMIBIA, </w:t>
      </w:r>
      <w:r>
        <w:rPr>
          <w:rFonts w:ascii="Arial" w:eastAsia="Calibri" w:hAnsi="Arial" w:cs="Arial"/>
          <w:b/>
          <w:sz w:val="24"/>
          <w:szCs w:val="24"/>
        </w:rPr>
        <w:t>MAIN DIVISION</w:t>
      </w:r>
    </w:p>
    <w:p w:rsidR="00FF6DBC" w:rsidRPr="00FF6DBC" w:rsidRDefault="00FF6DBC" w:rsidP="00FF6DBC">
      <w:pPr>
        <w:spacing w:after="0" w:line="360" w:lineRule="auto"/>
        <w:jc w:val="center"/>
        <w:rPr>
          <w:rFonts w:ascii="Arial" w:eastAsia="Calibri" w:hAnsi="Arial" w:cs="Arial"/>
          <w:b/>
          <w:sz w:val="24"/>
          <w:szCs w:val="24"/>
        </w:rPr>
      </w:pPr>
      <w:r w:rsidRPr="00FF6DBC">
        <w:rPr>
          <w:rFonts w:ascii="Arial" w:eastAsia="Calibri" w:hAnsi="Arial" w:cs="Arial"/>
          <w:b/>
          <w:sz w:val="24"/>
          <w:szCs w:val="24"/>
        </w:rPr>
        <w:t>JUDGMENT</w:t>
      </w:r>
    </w:p>
    <w:p w:rsidR="00FF6DBC" w:rsidRPr="00FF6DBC" w:rsidRDefault="00FF6DBC" w:rsidP="00FF6DBC">
      <w:pPr>
        <w:spacing w:after="0" w:line="360" w:lineRule="auto"/>
        <w:jc w:val="both"/>
        <w:rPr>
          <w:rFonts w:ascii="Arial" w:eastAsia="Calibri" w:hAnsi="Arial" w:cs="Arial"/>
          <w:sz w:val="24"/>
          <w:szCs w:val="24"/>
          <w:lang w:val="en-US"/>
        </w:rPr>
      </w:pPr>
    </w:p>
    <w:tbl>
      <w:tblPr>
        <w:tblStyle w:val="TableGrid1"/>
        <w:tblW w:w="9720" w:type="dxa"/>
        <w:tblInd w:w="-275" w:type="dxa"/>
        <w:tblLook w:val="04A0" w:firstRow="1" w:lastRow="0" w:firstColumn="1" w:lastColumn="0" w:noHBand="0" w:noVBand="1"/>
      </w:tblPr>
      <w:tblGrid>
        <w:gridCol w:w="4770"/>
        <w:gridCol w:w="2163"/>
        <w:gridCol w:w="2787"/>
      </w:tblGrid>
      <w:tr w:rsidR="00FF6DBC" w:rsidRPr="00FF6DBC" w:rsidTr="00934C3D">
        <w:trPr>
          <w:trHeight w:val="744"/>
        </w:trPr>
        <w:tc>
          <w:tcPr>
            <w:tcW w:w="6933" w:type="dxa"/>
            <w:gridSpan w:val="2"/>
            <w:vMerge w:val="restart"/>
          </w:tcPr>
          <w:p w:rsidR="00FF6DBC" w:rsidRPr="00FF6DBC" w:rsidRDefault="00FF6DBC" w:rsidP="00FF6DBC">
            <w:pPr>
              <w:spacing w:line="360" w:lineRule="auto"/>
              <w:jc w:val="both"/>
              <w:rPr>
                <w:rFonts w:ascii="Arial" w:eastAsia="Calibri" w:hAnsi="Arial" w:cs="Arial"/>
                <w:sz w:val="24"/>
                <w:szCs w:val="24"/>
              </w:rPr>
            </w:pPr>
            <w:r w:rsidRPr="00FF6DBC">
              <w:rPr>
                <w:rFonts w:ascii="Arial" w:eastAsia="Calibri" w:hAnsi="Arial" w:cs="Arial"/>
                <w:b/>
                <w:sz w:val="24"/>
                <w:szCs w:val="24"/>
              </w:rPr>
              <w:t>Case Title:</w:t>
            </w:r>
          </w:p>
          <w:p w:rsidR="00FF6DBC" w:rsidRDefault="00FF6DBC" w:rsidP="007C1F6F">
            <w:pPr>
              <w:tabs>
                <w:tab w:val="left" w:pos="6750"/>
              </w:tabs>
              <w:spacing w:line="360" w:lineRule="auto"/>
              <w:rPr>
                <w:rFonts w:ascii="Arial" w:eastAsia="Times New Roman" w:hAnsi="Arial" w:cs="Arial"/>
                <w:sz w:val="24"/>
                <w:szCs w:val="24"/>
              </w:rPr>
            </w:pPr>
            <w:r w:rsidRPr="00FF6DBC">
              <w:rPr>
                <w:rFonts w:ascii="Arial" w:eastAsia="Times New Roman" w:hAnsi="Arial" w:cs="Arial"/>
                <w:sz w:val="24"/>
                <w:szCs w:val="24"/>
              </w:rPr>
              <w:t xml:space="preserve">ROBERT SHILIPIPO </w:t>
            </w:r>
            <w:r w:rsidR="00934C3D">
              <w:rPr>
                <w:rFonts w:ascii="Arial" w:eastAsia="Times New Roman" w:hAnsi="Arial" w:cs="Arial"/>
                <w:sz w:val="24"/>
                <w:szCs w:val="24"/>
              </w:rPr>
              <w:t xml:space="preserve">                          </w:t>
            </w:r>
            <w:r w:rsidR="007C1F6F">
              <w:rPr>
                <w:rFonts w:ascii="Arial" w:eastAsia="Times New Roman" w:hAnsi="Arial" w:cs="Arial"/>
                <w:sz w:val="24"/>
                <w:szCs w:val="24"/>
              </w:rPr>
              <w:t xml:space="preserve"> </w:t>
            </w:r>
            <w:r w:rsidR="00934C3D">
              <w:rPr>
                <w:rFonts w:ascii="Arial" w:eastAsia="Times New Roman" w:hAnsi="Arial" w:cs="Arial"/>
                <w:sz w:val="24"/>
                <w:szCs w:val="24"/>
              </w:rPr>
              <w:t>PLAINTIFF</w:t>
            </w:r>
            <w:r w:rsidR="007C1F6F">
              <w:rPr>
                <w:rFonts w:ascii="Arial" w:eastAsia="Times New Roman" w:hAnsi="Arial" w:cs="Arial"/>
                <w:sz w:val="24"/>
                <w:szCs w:val="24"/>
              </w:rPr>
              <w:t>/APPLICANT</w:t>
            </w:r>
          </w:p>
          <w:p w:rsidR="00FF6DBC" w:rsidRDefault="00FF6DBC" w:rsidP="00FF6DBC">
            <w:pPr>
              <w:tabs>
                <w:tab w:val="left" w:pos="6750"/>
              </w:tabs>
              <w:spacing w:line="360" w:lineRule="auto"/>
              <w:jc w:val="both"/>
              <w:rPr>
                <w:rFonts w:ascii="Arial" w:eastAsia="Times New Roman" w:hAnsi="Arial" w:cs="Arial"/>
                <w:sz w:val="24"/>
                <w:szCs w:val="24"/>
              </w:rPr>
            </w:pPr>
            <w:r w:rsidRPr="00FF6DBC">
              <w:rPr>
                <w:rFonts w:ascii="Arial" w:eastAsia="Times New Roman" w:hAnsi="Arial" w:cs="Arial"/>
                <w:sz w:val="24"/>
                <w:szCs w:val="24"/>
              </w:rPr>
              <w:t xml:space="preserve">vs </w:t>
            </w:r>
          </w:p>
          <w:p w:rsidR="00FF6DBC" w:rsidRDefault="00FF6DBC" w:rsidP="00FF6DBC">
            <w:pPr>
              <w:tabs>
                <w:tab w:val="left" w:pos="6750"/>
              </w:tabs>
              <w:spacing w:line="360" w:lineRule="auto"/>
              <w:jc w:val="both"/>
              <w:rPr>
                <w:rFonts w:ascii="Arial" w:eastAsia="Times New Roman" w:hAnsi="Arial" w:cs="Arial"/>
                <w:sz w:val="24"/>
                <w:szCs w:val="24"/>
              </w:rPr>
            </w:pPr>
            <w:r w:rsidRPr="00FF6DBC">
              <w:rPr>
                <w:rFonts w:ascii="Arial" w:eastAsia="Times New Roman" w:hAnsi="Arial" w:cs="Arial"/>
                <w:sz w:val="24"/>
                <w:szCs w:val="24"/>
              </w:rPr>
              <w:t>WELWITSCHIA WINGS INVESTMENTS CC</w:t>
            </w:r>
            <w:r w:rsidR="00934C3D">
              <w:rPr>
                <w:rFonts w:ascii="Arial" w:eastAsia="Times New Roman" w:hAnsi="Arial" w:cs="Arial"/>
                <w:sz w:val="24"/>
                <w:szCs w:val="24"/>
              </w:rPr>
              <w:t xml:space="preserve"> 1</w:t>
            </w:r>
            <w:r w:rsidR="00934C3D" w:rsidRPr="00934C3D">
              <w:rPr>
                <w:rFonts w:ascii="Arial" w:eastAsia="Times New Roman" w:hAnsi="Arial" w:cs="Arial"/>
                <w:sz w:val="24"/>
                <w:szCs w:val="24"/>
                <w:vertAlign w:val="superscript"/>
              </w:rPr>
              <w:t>ST</w:t>
            </w:r>
            <w:r w:rsidR="00934C3D">
              <w:rPr>
                <w:rFonts w:ascii="Arial" w:eastAsia="Times New Roman" w:hAnsi="Arial" w:cs="Arial"/>
                <w:sz w:val="24"/>
                <w:szCs w:val="24"/>
              </w:rPr>
              <w:t xml:space="preserve"> DEFENDANT</w:t>
            </w:r>
          </w:p>
          <w:p w:rsidR="00934C3D" w:rsidRPr="00934C3D" w:rsidRDefault="00934C3D" w:rsidP="00934C3D">
            <w:pPr>
              <w:tabs>
                <w:tab w:val="left" w:pos="6750"/>
              </w:tabs>
              <w:spacing w:line="360" w:lineRule="auto"/>
              <w:jc w:val="both"/>
              <w:rPr>
                <w:rFonts w:ascii="Arial" w:eastAsia="Times New Roman" w:hAnsi="Arial" w:cs="Arial"/>
                <w:sz w:val="24"/>
                <w:szCs w:val="24"/>
                <w:lang w:val="en-GB"/>
              </w:rPr>
            </w:pPr>
            <w:r>
              <w:rPr>
                <w:rFonts w:ascii="Arial" w:eastAsia="Times New Roman" w:hAnsi="Arial" w:cs="Arial"/>
                <w:sz w:val="24"/>
                <w:szCs w:val="24"/>
                <w:lang w:val="en-GB"/>
              </w:rPr>
              <w:t>EPAFRAS HAIFIDI                                         2</w:t>
            </w:r>
            <w:r w:rsidRPr="00934C3D">
              <w:rPr>
                <w:rFonts w:ascii="Arial" w:eastAsia="Times New Roman" w:hAnsi="Arial" w:cs="Arial"/>
                <w:sz w:val="24"/>
                <w:szCs w:val="24"/>
                <w:vertAlign w:val="superscript"/>
                <w:lang w:val="en-GB"/>
              </w:rPr>
              <w:t>ND</w:t>
            </w:r>
            <w:r>
              <w:rPr>
                <w:rFonts w:ascii="Arial" w:eastAsia="Times New Roman" w:hAnsi="Arial" w:cs="Arial"/>
                <w:sz w:val="24"/>
                <w:szCs w:val="24"/>
                <w:lang w:val="en-GB"/>
              </w:rPr>
              <w:t xml:space="preserve"> </w:t>
            </w:r>
            <w:r w:rsidRPr="00934C3D">
              <w:rPr>
                <w:rFonts w:ascii="Arial" w:eastAsia="Times New Roman" w:hAnsi="Arial" w:cs="Arial"/>
                <w:sz w:val="24"/>
                <w:szCs w:val="24"/>
                <w:lang w:val="en-GB"/>
              </w:rPr>
              <w:t xml:space="preserve"> DEFENDANT</w:t>
            </w:r>
          </w:p>
          <w:p w:rsidR="00934C3D" w:rsidRPr="00934C3D" w:rsidRDefault="00934C3D" w:rsidP="00934C3D">
            <w:pPr>
              <w:tabs>
                <w:tab w:val="left" w:pos="6750"/>
              </w:tabs>
              <w:spacing w:line="360" w:lineRule="auto"/>
              <w:jc w:val="both"/>
              <w:rPr>
                <w:rFonts w:ascii="Arial" w:eastAsia="Times New Roman" w:hAnsi="Arial" w:cs="Arial"/>
                <w:sz w:val="24"/>
                <w:szCs w:val="24"/>
                <w:lang w:val="en-GB"/>
              </w:rPr>
            </w:pPr>
            <w:r>
              <w:rPr>
                <w:rFonts w:ascii="Arial" w:eastAsia="Times New Roman" w:hAnsi="Arial" w:cs="Arial"/>
                <w:sz w:val="24"/>
                <w:szCs w:val="24"/>
                <w:lang w:val="en-GB"/>
              </w:rPr>
              <w:t>ANNA HAIMBODI                                          3</w:t>
            </w:r>
            <w:r w:rsidRPr="00934C3D">
              <w:rPr>
                <w:rFonts w:ascii="Arial" w:eastAsia="Times New Roman" w:hAnsi="Arial" w:cs="Arial"/>
                <w:sz w:val="24"/>
                <w:szCs w:val="24"/>
                <w:vertAlign w:val="superscript"/>
                <w:lang w:val="en-GB"/>
              </w:rPr>
              <w:t>RD</w:t>
            </w:r>
            <w:r>
              <w:rPr>
                <w:rFonts w:ascii="Arial" w:eastAsia="Times New Roman" w:hAnsi="Arial" w:cs="Arial"/>
                <w:sz w:val="24"/>
                <w:szCs w:val="24"/>
                <w:lang w:val="en-GB"/>
              </w:rPr>
              <w:t xml:space="preserve"> </w:t>
            </w:r>
            <w:r w:rsidRPr="00934C3D">
              <w:rPr>
                <w:rFonts w:ascii="Arial" w:eastAsia="Times New Roman" w:hAnsi="Arial" w:cs="Arial"/>
                <w:sz w:val="24"/>
                <w:szCs w:val="24"/>
                <w:lang w:val="en-GB"/>
              </w:rPr>
              <w:t xml:space="preserve"> DEFENDANT</w:t>
            </w:r>
          </w:p>
          <w:p w:rsidR="00934C3D" w:rsidRPr="00934C3D" w:rsidRDefault="00934C3D" w:rsidP="00934C3D">
            <w:pPr>
              <w:tabs>
                <w:tab w:val="left" w:pos="6750"/>
              </w:tabs>
              <w:spacing w:line="360" w:lineRule="auto"/>
              <w:jc w:val="both"/>
              <w:rPr>
                <w:rFonts w:ascii="Arial" w:eastAsia="Times New Roman" w:hAnsi="Arial" w:cs="Arial"/>
                <w:sz w:val="24"/>
                <w:szCs w:val="24"/>
                <w:lang w:val="en-GB"/>
              </w:rPr>
            </w:pPr>
            <w:r w:rsidRPr="00934C3D">
              <w:rPr>
                <w:rFonts w:ascii="Arial" w:eastAsia="Times New Roman" w:hAnsi="Arial" w:cs="Arial"/>
                <w:sz w:val="24"/>
                <w:szCs w:val="24"/>
                <w:lang w:val="en-GB"/>
              </w:rPr>
              <w:t>OWATO INVESTME</w:t>
            </w:r>
            <w:r>
              <w:rPr>
                <w:rFonts w:ascii="Arial" w:eastAsia="Times New Roman" w:hAnsi="Arial" w:cs="Arial"/>
                <w:sz w:val="24"/>
                <w:szCs w:val="24"/>
                <w:lang w:val="en-GB"/>
              </w:rPr>
              <w:t>NTS CC                          4</w:t>
            </w:r>
            <w:r w:rsidRPr="00934C3D">
              <w:rPr>
                <w:rFonts w:ascii="Arial" w:eastAsia="Times New Roman" w:hAnsi="Arial" w:cs="Arial"/>
                <w:sz w:val="24"/>
                <w:szCs w:val="24"/>
                <w:vertAlign w:val="superscript"/>
                <w:lang w:val="en-GB"/>
              </w:rPr>
              <w:t>TH</w:t>
            </w:r>
            <w:r>
              <w:rPr>
                <w:rFonts w:ascii="Arial" w:eastAsia="Times New Roman" w:hAnsi="Arial" w:cs="Arial"/>
                <w:sz w:val="24"/>
                <w:szCs w:val="24"/>
                <w:lang w:val="en-GB"/>
              </w:rPr>
              <w:t xml:space="preserve"> </w:t>
            </w:r>
            <w:r w:rsidRPr="00934C3D">
              <w:rPr>
                <w:rFonts w:ascii="Arial" w:eastAsia="Times New Roman" w:hAnsi="Arial" w:cs="Arial"/>
                <w:sz w:val="24"/>
                <w:szCs w:val="24"/>
                <w:lang w:val="en-GB"/>
              </w:rPr>
              <w:t xml:space="preserve"> DEFENDANT</w:t>
            </w:r>
          </w:p>
          <w:p w:rsidR="00934C3D" w:rsidRPr="00934C3D" w:rsidRDefault="00934C3D" w:rsidP="00934C3D">
            <w:pPr>
              <w:tabs>
                <w:tab w:val="left" w:pos="6750"/>
              </w:tabs>
              <w:spacing w:line="360" w:lineRule="auto"/>
              <w:jc w:val="both"/>
              <w:rPr>
                <w:rFonts w:ascii="Arial" w:eastAsia="Times New Roman" w:hAnsi="Arial" w:cs="Arial"/>
                <w:sz w:val="24"/>
                <w:szCs w:val="24"/>
                <w:lang w:val="en-GB"/>
              </w:rPr>
            </w:pPr>
            <w:r>
              <w:rPr>
                <w:rFonts w:ascii="Arial" w:eastAsia="Times New Roman" w:hAnsi="Arial" w:cs="Arial"/>
                <w:sz w:val="24"/>
                <w:szCs w:val="24"/>
                <w:lang w:val="en-GB"/>
              </w:rPr>
              <w:t>STANDARD BANK LIMITED NAMIBIA           5</w:t>
            </w:r>
            <w:r w:rsidRPr="00934C3D">
              <w:rPr>
                <w:rFonts w:ascii="Arial" w:eastAsia="Times New Roman" w:hAnsi="Arial" w:cs="Arial"/>
                <w:sz w:val="24"/>
                <w:szCs w:val="24"/>
                <w:vertAlign w:val="superscript"/>
                <w:lang w:val="en-GB"/>
              </w:rPr>
              <w:t>TH</w:t>
            </w:r>
            <w:r>
              <w:rPr>
                <w:rFonts w:ascii="Arial" w:eastAsia="Times New Roman" w:hAnsi="Arial" w:cs="Arial"/>
                <w:sz w:val="24"/>
                <w:szCs w:val="24"/>
                <w:lang w:val="en-GB"/>
              </w:rPr>
              <w:t xml:space="preserve"> </w:t>
            </w:r>
            <w:r w:rsidRPr="00934C3D">
              <w:rPr>
                <w:rFonts w:ascii="Arial" w:eastAsia="Times New Roman" w:hAnsi="Arial" w:cs="Arial"/>
                <w:sz w:val="24"/>
                <w:szCs w:val="24"/>
                <w:lang w:val="en-GB"/>
              </w:rPr>
              <w:t xml:space="preserve"> DEFENDANT</w:t>
            </w:r>
          </w:p>
          <w:p w:rsidR="00934C3D" w:rsidRPr="00FF6DBC" w:rsidRDefault="00934C3D" w:rsidP="00934C3D">
            <w:pPr>
              <w:tabs>
                <w:tab w:val="left" w:pos="6750"/>
              </w:tabs>
              <w:spacing w:line="360" w:lineRule="auto"/>
              <w:jc w:val="both"/>
              <w:rPr>
                <w:rFonts w:ascii="Arial" w:eastAsia="Times New Roman" w:hAnsi="Arial" w:cs="Arial"/>
                <w:sz w:val="24"/>
                <w:szCs w:val="24"/>
                <w:lang w:val="en-GB"/>
              </w:rPr>
            </w:pPr>
            <w:r>
              <w:rPr>
                <w:rFonts w:ascii="Arial" w:eastAsia="Times New Roman" w:hAnsi="Arial" w:cs="Arial"/>
                <w:sz w:val="24"/>
                <w:szCs w:val="24"/>
                <w:lang w:val="en-GB"/>
              </w:rPr>
              <w:t>BRAVE ALUMINIUM &amp; GLASS CC                   6</w:t>
            </w:r>
            <w:r w:rsidRPr="00934C3D">
              <w:rPr>
                <w:rFonts w:ascii="Arial" w:eastAsia="Times New Roman" w:hAnsi="Arial" w:cs="Arial"/>
                <w:sz w:val="24"/>
                <w:szCs w:val="24"/>
                <w:vertAlign w:val="superscript"/>
                <w:lang w:val="en-GB"/>
              </w:rPr>
              <w:t>TH</w:t>
            </w:r>
            <w:r>
              <w:rPr>
                <w:rFonts w:ascii="Arial" w:eastAsia="Times New Roman" w:hAnsi="Arial" w:cs="Arial"/>
                <w:sz w:val="24"/>
                <w:szCs w:val="24"/>
                <w:lang w:val="en-GB"/>
              </w:rPr>
              <w:t xml:space="preserve"> </w:t>
            </w:r>
            <w:r w:rsidRPr="00934C3D">
              <w:rPr>
                <w:rFonts w:ascii="Arial" w:eastAsia="Times New Roman" w:hAnsi="Arial" w:cs="Arial"/>
                <w:sz w:val="24"/>
                <w:szCs w:val="24"/>
                <w:lang w:val="en-GB"/>
              </w:rPr>
              <w:t>DEFENDANT</w:t>
            </w:r>
          </w:p>
        </w:tc>
        <w:tc>
          <w:tcPr>
            <w:tcW w:w="2787" w:type="dxa"/>
          </w:tcPr>
          <w:p w:rsidR="00FF6DBC" w:rsidRPr="00FF6DBC" w:rsidRDefault="00FF6DBC" w:rsidP="00FF6DBC">
            <w:pPr>
              <w:spacing w:line="360" w:lineRule="auto"/>
              <w:jc w:val="both"/>
              <w:rPr>
                <w:rFonts w:ascii="Arial" w:eastAsia="Calibri" w:hAnsi="Arial" w:cs="Arial"/>
                <w:sz w:val="24"/>
                <w:szCs w:val="24"/>
              </w:rPr>
            </w:pPr>
            <w:r w:rsidRPr="00FF6DBC">
              <w:rPr>
                <w:rFonts w:ascii="Arial" w:eastAsia="Calibri" w:hAnsi="Arial" w:cs="Arial"/>
                <w:b/>
                <w:sz w:val="24"/>
                <w:szCs w:val="24"/>
              </w:rPr>
              <w:t>Case No:</w:t>
            </w:r>
          </w:p>
          <w:p w:rsidR="00FF6DBC" w:rsidRPr="00FF6DBC" w:rsidRDefault="00FF6DBC" w:rsidP="00FF6DBC">
            <w:pPr>
              <w:spacing w:line="360" w:lineRule="auto"/>
              <w:jc w:val="both"/>
              <w:rPr>
                <w:rFonts w:ascii="Arial" w:eastAsia="Calibri" w:hAnsi="Arial" w:cs="Arial"/>
                <w:color w:val="333333"/>
                <w:sz w:val="24"/>
                <w:szCs w:val="24"/>
                <w:shd w:val="clear" w:color="auto" w:fill="FFFFFF"/>
              </w:rPr>
            </w:pPr>
            <w:r w:rsidRPr="00FF6DBC">
              <w:rPr>
                <w:rFonts w:ascii="Arial" w:eastAsia="Calibri" w:hAnsi="Arial" w:cs="Arial"/>
                <w:sz w:val="24"/>
                <w:szCs w:val="24"/>
                <w:shd w:val="clear" w:color="auto" w:fill="FFFFFF"/>
              </w:rPr>
              <w:t>HC-MD-CIV-ACT-</w:t>
            </w:r>
            <w:r>
              <w:rPr>
                <w:rFonts w:ascii="Arial" w:eastAsia="Calibri" w:hAnsi="Arial" w:cs="Arial"/>
                <w:sz w:val="24"/>
                <w:szCs w:val="24"/>
                <w:shd w:val="clear" w:color="auto" w:fill="FFFFFF"/>
              </w:rPr>
              <w:t>CON- 2021/01409</w:t>
            </w:r>
          </w:p>
        </w:tc>
      </w:tr>
      <w:tr w:rsidR="00FF6DBC" w:rsidRPr="00FF6DBC" w:rsidTr="00934C3D">
        <w:trPr>
          <w:trHeight w:val="872"/>
        </w:trPr>
        <w:tc>
          <w:tcPr>
            <w:tcW w:w="6933" w:type="dxa"/>
            <w:gridSpan w:val="2"/>
            <w:vMerge/>
          </w:tcPr>
          <w:p w:rsidR="00FF6DBC" w:rsidRPr="00FF6DBC" w:rsidRDefault="00FF6DBC" w:rsidP="00FF6DBC">
            <w:pPr>
              <w:spacing w:line="360" w:lineRule="auto"/>
              <w:jc w:val="both"/>
              <w:rPr>
                <w:rFonts w:ascii="Arial" w:eastAsia="Calibri" w:hAnsi="Arial" w:cs="Arial"/>
                <w:sz w:val="24"/>
                <w:szCs w:val="24"/>
              </w:rPr>
            </w:pPr>
          </w:p>
        </w:tc>
        <w:tc>
          <w:tcPr>
            <w:tcW w:w="2787" w:type="dxa"/>
          </w:tcPr>
          <w:p w:rsidR="00FF6DBC" w:rsidRPr="00FF6DBC" w:rsidRDefault="00FF6DBC" w:rsidP="00FF6DBC">
            <w:pPr>
              <w:spacing w:line="360" w:lineRule="auto"/>
              <w:jc w:val="both"/>
              <w:rPr>
                <w:rFonts w:ascii="Arial" w:eastAsia="Calibri" w:hAnsi="Arial" w:cs="Arial"/>
                <w:sz w:val="24"/>
                <w:szCs w:val="24"/>
              </w:rPr>
            </w:pPr>
            <w:r w:rsidRPr="00FF6DBC">
              <w:rPr>
                <w:rFonts w:ascii="Arial" w:eastAsia="Calibri" w:hAnsi="Arial" w:cs="Arial"/>
                <w:b/>
                <w:sz w:val="24"/>
                <w:szCs w:val="24"/>
              </w:rPr>
              <w:t>Division of Court:</w:t>
            </w:r>
          </w:p>
          <w:p w:rsidR="00FF6DBC" w:rsidRPr="00FF6DBC" w:rsidRDefault="00934C3D" w:rsidP="00934C3D">
            <w:pPr>
              <w:spacing w:line="360" w:lineRule="auto"/>
              <w:rPr>
                <w:rFonts w:ascii="Arial" w:eastAsia="Calibri" w:hAnsi="Arial" w:cs="Arial"/>
                <w:sz w:val="24"/>
                <w:szCs w:val="24"/>
              </w:rPr>
            </w:pPr>
            <w:r w:rsidRPr="00FF6DBC">
              <w:rPr>
                <w:rFonts w:ascii="Arial" w:eastAsia="Calibri" w:hAnsi="Arial" w:cs="Arial"/>
                <w:sz w:val="24"/>
                <w:szCs w:val="24"/>
              </w:rPr>
              <w:t>Hig</w:t>
            </w:r>
            <w:r>
              <w:rPr>
                <w:rFonts w:ascii="Arial" w:eastAsia="Calibri" w:hAnsi="Arial" w:cs="Arial"/>
                <w:sz w:val="24"/>
                <w:szCs w:val="24"/>
              </w:rPr>
              <w:t xml:space="preserve">h </w:t>
            </w:r>
            <w:r w:rsidRPr="00FF6DBC">
              <w:rPr>
                <w:rFonts w:ascii="Arial" w:eastAsia="Calibri" w:hAnsi="Arial" w:cs="Arial"/>
                <w:sz w:val="24"/>
                <w:szCs w:val="24"/>
              </w:rPr>
              <w:t>Court</w:t>
            </w:r>
            <w:r>
              <w:rPr>
                <w:rFonts w:ascii="Arial" w:eastAsia="Calibri" w:hAnsi="Arial" w:cs="Arial"/>
                <w:sz w:val="24"/>
                <w:szCs w:val="24"/>
              </w:rPr>
              <w:t xml:space="preserve"> </w:t>
            </w:r>
            <w:r w:rsidRPr="00FF6DBC">
              <w:rPr>
                <w:rFonts w:ascii="Arial" w:eastAsia="Calibri" w:hAnsi="Arial" w:cs="Arial"/>
                <w:sz w:val="24"/>
                <w:szCs w:val="24"/>
              </w:rPr>
              <w:t>(Main Division</w:t>
            </w:r>
            <w:r w:rsidR="00FF6DBC" w:rsidRPr="00FF6DBC">
              <w:rPr>
                <w:rFonts w:ascii="Arial" w:eastAsia="Calibri" w:hAnsi="Arial" w:cs="Arial"/>
                <w:sz w:val="24"/>
                <w:szCs w:val="24"/>
              </w:rPr>
              <w:t>)</w:t>
            </w:r>
          </w:p>
        </w:tc>
      </w:tr>
      <w:tr w:rsidR="00FF6DBC" w:rsidRPr="00FF6DBC" w:rsidTr="00934C3D">
        <w:trPr>
          <w:trHeight w:val="645"/>
        </w:trPr>
        <w:tc>
          <w:tcPr>
            <w:tcW w:w="6933" w:type="dxa"/>
            <w:gridSpan w:val="2"/>
            <w:vMerge w:val="restart"/>
          </w:tcPr>
          <w:p w:rsidR="00FF6DBC" w:rsidRPr="00FF6DBC" w:rsidRDefault="00FF6DBC" w:rsidP="00FF6DBC">
            <w:pPr>
              <w:spacing w:line="360" w:lineRule="auto"/>
              <w:jc w:val="both"/>
              <w:rPr>
                <w:rFonts w:ascii="Arial" w:eastAsia="Calibri" w:hAnsi="Arial" w:cs="Arial"/>
                <w:b/>
                <w:sz w:val="24"/>
                <w:szCs w:val="24"/>
              </w:rPr>
            </w:pPr>
            <w:r w:rsidRPr="00FF6DBC">
              <w:rPr>
                <w:rFonts w:ascii="Arial" w:eastAsia="Calibri" w:hAnsi="Arial" w:cs="Arial"/>
                <w:b/>
                <w:sz w:val="24"/>
                <w:szCs w:val="24"/>
              </w:rPr>
              <w:t>Heard before:</w:t>
            </w:r>
          </w:p>
          <w:p w:rsidR="00FF6DBC" w:rsidRPr="00FF6DBC" w:rsidRDefault="00FF6DBC" w:rsidP="00FF6DBC">
            <w:pPr>
              <w:spacing w:line="360" w:lineRule="auto"/>
              <w:jc w:val="both"/>
              <w:rPr>
                <w:rFonts w:ascii="Arial" w:eastAsia="Calibri" w:hAnsi="Arial" w:cs="Arial"/>
                <w:sz w:val="24"/>
                <w:szCs w:val="24"/>
              </w:rPr>
            </w:pPr>
            <w:r w:rsidRPr="00FF6DBC">
              <w:rPr>
                <w:rFonts w:ascii="Arial" w:eastAsia="Calibri" w:hAnsi="Arial" w:cs="Arial"/>
                <w:sz w:val="24"/>
                <w:szCs w:val="24"/>
              </w:rPr>
              <w:t xml:space="preserve">HONOURABLE LADY JUSTICE </w:t>
            </w:r>
            <w:r>
              <w:rPr>
                <w:rFonts w:ascii="Arial" w:eastAsia="Calibri" w:hAnsi="Arial" w:cs="Arial"/>
                <w:sz w:val="24"/>
                <w:szCs w:val="24"/>
              </w:rPr>
              <w:t>CLAASEN</w:t>
            </w:r>
          </w:p>
        </w:tc>
        <w:tc>
          <w:tcPr>
            <w:tcW w:w="2787" w:type="dxa"/>
          </w:tcPr>
          <w:p w:rsidR="00FF6DBC" w:rsidRPr="00FF6DBC" w:rsidRDefault="00FF6DBC" w:rsidP="00FF6DBC">
            <w:pPr>
              <w:spacing w:line="360" w:lineRule="auto"/>
              <w:jc w:val="both"/>
              <w:rPr>
                <w:rFonts w:ascii="Arial" w:eastAsia="Calibri" w:hAnsi="Arial" w:cs="Arial"/>
                <w:b/>
                <w:sz w:val="24"/>
                <w:szCs w:val="24"/>
              </w:rPr>
            </w:pPr>
            <w:r w:rsidRPr="00FF6DBC">
              <w:rPr>
                <w:rFonts w:ascii="Arial" w:eastAsia="Calibri" w:hAnsi="Arial" w:cs="Arial"/>
                <w:b/>
                <w:sz w:val="24"/>
                <w:szCs w:val="24"/>
              </w:rPr>
              <w:t>Date of hearing:</w:t>
            </w:r>
          </w:p>
          <w:p w:rsidR="00FF6DBC" w:rsidRPr="00FF6DBC" w:rsidRDefault="00FF6DBC" w:rsidP="00FF6DBC">
            <w:pPr>
              <w:spacing w:line="360" w:lineRule="auto"/>
              <w:rPr>
                <w:rFonts w:ascii="Arial" w:eastAsia="Calibri" w:hAnsi="Arial" w:cs="Arial"/>
                <w:sz w:val="24"/>
                <w:szCs w:val="24"/>
              </w:rPr>
            </w:pPr>
            <w:r>
              <w:rPr>
                <w:rFonts w:ascii="Arial" w:eastAsia="Calibri" w:hAnsi="Arial" w:cs="Arial"/>
                <w:sz w:val="24"/>
                <w:szCs w:val="24"/>
              </w:rPr>
              <w:t>29</w:t>
            </w:r>
            <w:r w:rsidRPr="00FF6DBC">
              <w:rPr>
                <w:rFonts w:ascii="Arial" w:eastAsia="Calibri" w:hAnsi="Arial" w:cs="Arial"/>
                <w:sz w:val="24"/>
                <w:szCs w:val="24"/>
              </w:rPr>
              <w:t xml:space="preserve"> </w:t>
            </w:r>
            <w:r>
              <w:rPr>
                <w:rFonts w:ascii="Arial" w:eastAsia="Calibri" w:hAnsi="Arial" w:cs="Arial"/>
                <w:sz w:val="24"/>
                <w:szCs w:val="24"/>
              </w:rPr>
              <w:t>March</w:t>
            </w:r>
            <w:r w:rsidRPr="00FF6DBC">
              <w:rPr>
                <w:rFonts w:ascii="Arial" w:eastAsia="Calibri" w:hAnsi="Arial" w:cs="Arial"/>
                <w:sz w:val="24"/>
                <w:szCs w:val="24"/>
              </w:rPr>
              <w:t xml:space="preserve"> 20</w:t>
            </w:r>
            <w:r>
              <w:rPr>
                <w:rFonts w:ascii="Arial" w:eastAsia="Calibri" w:hAnsi="Arial" w:cs="Arial"/>
                <w:sz w:val="24"/>
                <w:szCs w:val="24"/>
              </w:rPr>
              <w:t>23</w:t>
            </w:r>
          </w:p>
        </w:tc>
      </w:tr>
      <w:tr w:rsidR="00FF6DBC" w:rsidRPr="00FF6DBC" w:rsidTr="00934C3D">
        <w:trPr>
          <w:trHeight w:val="588"/>
        </w:trPr>
        <w:tc>
          <w:tcPr>
            <w:tcW w:w="6933" w:type="dxa"/>
            <w:gridSpan w:val="2"/>
            <w:vMerge/>
          </w:tcPr>
          <w:p w:rsidR="00FF6DBC" w:rsidRPr="00FF6DBC" w:rsidRDefault="00FF6DBC" w:rsidP="00FF6DBC">
            <w:pPr>
              <w:spacing w:line="360" w:lineRule="auto"/>
              <w:jc w:val="both"/>
              <w:rPr>
                <w:rFonts w:ascii="Arial" w:eastAsia="Calibri" w:hAnsi="Arial" w:cs="Arial"/>
                <w:b/>
                <w:sz w:val="24"/>
                <w:szCs w:val="24"/>
              </w:rPr>
            </w:pPr>
          </w:p>
        </w:tc>
        <w:tc>
          <w:tcPr>
            <w:tcW w:w="2787" w:type="dxa"/>
          </w:tcPr>
          <w:p w:rsidR="00FF6DBC" w:rsidRPr="00FF6DBC" w:rsidRDefault="00FF6DBC" w:rsidP="00FF6DBC">
            <w:pPr>
              <w:spacing w:line="360" w:lineRule="auto"/>
              <w:jc w:val="both"/>
              <w:rPr>
                <w:rFonts w:ascii="Arial" w:eastAsia="Calibri" w:hAnsi="Arial" w:cs="Arial"/>
                <w:b/>
                <w:sz w:val="24"/>
                <w:szCs w:val="24"/>
              </w:rPr>
            </w:pPr>
            <w:r>
              <w:rPr>
                <w:rFonts w:ascii="Arial" w:eastAsia="Calibri" w:hAnsi="Arial" w:cs="Arial"/>
                <w:b/>
                <w:sz w:val="24"/>
                <w:szCs w:val="24"/>
              </w:rPr>
              <w:t>D</w:t>
            </w:r>
            <w:r w:rsidRPr="00FF6DBC">
              <w:rPr>
                <w:rFonts w:ascii="Arial" w:eastAsia="Calibri" w:hAnsi="Arial" w:cs="Arial"/>
                <w:b/>
                <w:sz w:val="24"/>
                <w:szCs w:val="24"/>
              </w:rPr>
              <w:t xml:space="preserve">elivered on: </w:t>
            </w:r>
          </w:p>
          <w:p w:rsidR="00FF6DBC" w:rsidRPr="00FF6DBC" w:rsidRDefault="00FF6DBC" w:rsidP="00FF6DBC">
            <w:pPr>
              <w:spacing w:line="360" w:lineRule="auto"/>
              <w:jc w:val="both"/>
              <w:rPr>
                <w:rFonts w:ascii="Arial" w:eastAsia="Calibri" w:hAnsi="Arial" w:cs="Arial"/>
                <w:b/>
                <w:sz w:val="24"/>
                <w:szCs w:val="24"/>
              </w:rPr>
            </w:pPr>
            <w:r w:rsidRPr="00FF6DBC">
              <w:rPr>
                <w:rFonts w:ascii="Arial" w:eastAsia="Calibri" w:hAnsi="Arial" w:cs="Arial"/>
                <w:sz w:val="24"/>
                <w:szCs w:val="24"/>
              </w:rPr>
              <w:t xml:space="preserve">20 </w:t>
            </w:r>
            <w:r>
              <w:rPr>
                <w:rFonts w:ascii="Arial" w:eastAsia="Calibri" w:hAnsi="Arial" w:cs="Arial"/>
                <w:sz w:val="24"/>
                <w:szCs w:val="24"/>
              </w:rPr>
              <w:t>April</w:t>
            </w:r>
            <w:r w:rsidRPr="00FF6DBC">
              <w:rPr>
                <w:rFonts w:ascii="Arial" w:eastAsia="Calibri" w:hAnsi="Arial" w:cs="Arial"/>
                <w:sz w:val="24"/>
                <w:szCs w:val="24"/>
              </w:rPr>
              <w:t xml:space="preserve"> 20</w:t>
            </w:r>
            <w:r>
              <w:rPr>
                <w:rFonts w:ascii="Arial" w:eastAsia="Calibri" w:hAnsi="Arial" w:cs="Arial"/>
                <w:sz w:val="24"/>
                <w:szCs w:val="24"/>
              </w:rPr>
              <w:t>23</w:t>
            </w:r>
          </w:p>
        </w:tc>
      </w:tr>
      <w:tr w:rsidR="00FF6DBC" w:rsidRPr="00FF6DBC" w:rsidTr="00B1387A">
        <w:trPr>
          <w:trHeight w:val="710"/>
        </w:trPr>
        <w:tc>
          <w:tcPr>
            <w:tcW w:w="9720" w:type="dxa"/>
            <w:gridSpan w:val="3"/>
          </w:tcPr>
          <w:p w:rsidR="00FF6DBC" w:rsidRPr="00FF6DBC" w:rsidRDefault="00FF6DBC" w:rsidP="006D19CE">
            <w:pPr>
              <w:shd w:val="clear" w:color="auto" w:fill="FFFFFF"/>
              <w:spacing w:line="360" w:lineRule="auto"/>
              <w:jc w:val="both"/>
              <w:rPr>
                <w:rFonts w:ascii="Arial" w:eastAsia="Times New Roman" w:hAnsi="Arial" w:cs="Arial"/>
                <w:color w:val="333333"/>
                <w:sz w:val="24"/>
                <w:szCs w:val="24"/>
              </w:rPr>
            </w:pPr>
            <w:r w:rsidRPr="00FF6DBC">
              <w:rPr>
                <w:rFonts w:ascii="Arial" w:eastAsia="Times New Roman" w:hAnsi="Arial" w:cs="Arial"/>
                <w:b/>
                <w:sz w:val="24"/>
                <w:szCs w:val="24"/>
              </w:rPr>
              <w:t>Neutral citation:</w:t>
            </w:r>
            <w:r w:rsidRPr="00FF6DBC">
              <w:rPr>
                <w:rFonts w:ascii="Arial" w:eastAsia="Times New Roman" w:hAnsi="Arial" w:cs="Arial"/>
                <w:sz w:val="24"/>
                <w:szCs w:val="24"/>
              </w:rPr>
              <w:t xml:space="preserve"> </w:t>
            </w:r>
            <w:bookmarkStart w:id="0" w:name="_GoBack"/>
            <w:proofErr w:type="spellStart"/>
            <w:r w:rsidRPr="005D0D5C">
              <w:rPr>
                <w:rFonts w:ascii="Arial" w:eastAsia="Times New Roman" w:hAnsi="Arial" w:cs="Arial"/>
                <w:i/>
                <w:sz w:val="24"/>
                <w:szCs w:val="24"/>
              </w:rPr>
              <w:t>Shilipipo</w:t>
            </w:r>
            <w:proofErr w:type="spellEnd"/>
            <w:r w:rsidRPr="005D0D5C">
              <w:rPr>
                <w:rFonts w:ascii="Arial" w:eastAsia="Times New Roman" w:hAnsi="Arial" w:cs="Arial"/>
                <w:i/>
                <w:sz w:val="24"/>
                <w:szCs w:val="24"/>
              </w:rPr>
              <w:t xml:space="preserve"> </w:t>
            </w:r>
            <w:r w:rsidR="004F60F0" w:rsidRPr="005D0D5C">
              <w:rPr>
                <w:rFonts w:ascii="Arial" w:eastAsia="Times New Roman" w:hAnsi="Arial" w:cs="Arial"/>
                <w:i/>
                <w:sz w:val="24"/>
                <w:szCs w:val="24"/>
              </w:rPr>
              <w:t xml:space="preserve">vs </w:t>
            </w:r>
            <w:proofErr w:type="spellStart"/>
            <w:r w:rsidR="004F60F0" w:rsidRPr="005D0D5C">
              <w:rPr>
                <w:rFonts w:ascii="Arial" w:eastAsia="Times New Roman" w:hAnsi="Arial" w:cs="Arial"/>
                <w:i/>
                <w:sz w:val="24"/>
                <w:szCs w:val="24"/>
              </w:rPr>
              <w:t>Welwitschia</w:t>
            </w:r>
            <w:proofErr w:type="spellEnd"/>
            <w:r w:rsidR="004F60F0" w:rsidRPr="005D0D5C">
              <w:rPr>
                <w:rFonts w:ascii="Arial" w:eastAsia="Times New Roman" w:hAnsi="Arial" w:cs="Arial"/>
                <w:i/>
                <w:sz w:val="24"/>
                <w:szCs w:val="24"/>
              </w:rPr>
              <w:t xml:space="preserve"> Wings Investments CC</w:t>
            </w:r>
            <w:r w:rsidRPr="00FF6DBC">
              <w:rPr>
                <w:rFonts w:ascii="Arial" w:eastAsia="Times New Roman" w:hAnsi="Arial" w:cs="Arial"/>
                <w:sz w:val="24"/>
                <w:szCs w:val="24"/>
              </w:rPr>
              <w:t xml:space="preserve"> (HC-MD-CIV-ACT-</w:t>
            </w:r>
            <w:r w:rsidR="004F60F0">
              <w:rPr>
                <w:rFonts w:ascii="Arial" w:eastAsia="Times New Roman" w:hAnsi="Arial" w:cs="Arial"/>
                <w:sz w:val="24"/>
                <w:szCs w:val="24"/>
              </w:rPr>
              <w:t>CON</w:t>
            </w:r>
            <w:r w:rsidRPr="00FF6DBC">
              <w:rPr>
                <w:rFonts w:ascii="Arial" w:eastAsia="Times New Roman" w:hAnsi="Arial" w:cs="Arial"/>
                <w:sz w:val="24"/>
                <w:szCs w:val="24"/>
              </w:rPr>
              <w:t>-</w:t>
            </w:r>
            <w:r w:rsidR="00934C3D">
              <w:rPr>
                <w:rFonts w:ascii="Arial" w:eastAsia="Times New Roman" w:hAnsi="Arial" w:cs="Arial"/>
                <w:sz w:val="24"/>
                <w:szCs w:val="24"/>
              </w:rPr>
              <w:tab/>
            </w:r>
            <w:r w:rsidR="00934C3D">
              <w:rPr>
                <w:rFonts w:ascii="Arial" w:eastAsia="Times New Roman" w:hAnsi="Arial" w:cs="Arial"/>
                <w:sz w:val="24"/>
                <w:szCs w:val="24"/>
              </w:rPr>
              <w:tab/>
              <w:t xml:space="preserve">      </w:t>
            </w:r>
            <w:r w:rsidR="004F60F0">
              <w:rPr>
                <w:rFonts w:ascii="Arial" w:eastAsia="Times New Roman" w:hAnsi="Arial" w:cs="Arial"/>
                <w:sz w:val="24"/>
                <w:szCs w:val="24"/>
              </w:rPr>
              <w:t>2021</w:t>
            </w:r>
            <w:r w:rsidRPr="00FF6DBC">
              <w:rPr>
                <w:rFonts w:ascii="Arial" w:eastAsia="Times New Roman" w:hAnsi="Arial" w:cs="Arial"/>
                <w:sz w:val="24"/>
                <w:szCs w:val="24"/>
              </w:rPr>
              <w:t>/</w:t>
            </w:r>
            <w:r w:rsidR="004F60F0">
              <w:rPr>
                <w:rFonts w:ascii="Arial" w:eastAsia="Times New Roman" w:hAnsi="Arial" w:cs="Arial"/>
                <w:sz w:val="24"/>
                <w:szCs w:val="24"/>
              </w:rPr>
              <w:t>01409</w:t>
            </w:r>
            <w:r w:rsidRPr="00FF6DBC">
              <w:rPr>
                <w:rFonts w:ascii="Arial" w:eastAsia="Times New Roman" w:hAnsi="Arial" w:cs="Arial"/>
                <w:sz w:val="24"/>
                <w:szCs w:val="24"/>
              </w:rPr>
              <w:t>) [</w:t>
            </w:r>
            <w:r w:rsidR="004F60F0">
              <w:rPr>
                <w:rFonts w:ascii="Arial" w:eastAsia="Times New Roman" w:hAnsi="Arial" w:cs="Arial"/>
                <w:sz w:val="24"/>
                <w:szCs w:val="24"/>
              </w:rPr>
              <w:t>2023</w:t>
            </w:r>
            <w:r w:rsidRPr="00FF6DBC">
              <w:rPr>
                <w:rFonts w:ascii="Arial" w:eastAsia="Times New Roman" w:hAnsi="Arial" w:cs="Arial"/>
                <w:sz w:val="24"/>
                <w:szCs w:val="24"/>
              </w:rPr>
              <w:t xml:space="preserve">] NAHCMD </w:t>
            </w:r>
            <w:r w:rsidR="006D19CE">
              <w:rPr>
                <w:rFonts w:ascii="Arial" w:eastAsia="Times New Roman" w:hAnsi="Arial" w:cs="Arial"/>
                <w:sz w:val="24"/>
                <w:szCs w:val="24"/>
              </w:rPr>
              <w:t>207</w:t>
            </w:r>
            <w:r w:rsidRPr="00FF6DBC">
              <w:rPr>
                <w:rFonts w:ascii="Arial" w:eastAsia="Times New Roman" w:hAnsi="Arial" w:cs="Arial"/>
                <w:color w:val="FF0000"/>
                <w:sz w:val="24"/>
                <w:szCs w:val="24"/>
              </w:rPr>
              <w:t xml:space="preserve"> </w:t>
            </w:r>
            <w:r w:rsidRPr="00FF6DBC">
              <w:rPr>
                <w:rFonts w:ascii="Arial" w:eastAsia="Times New Roman" w:hAnsi="Arial" w:cs="Arial"/>
                <w:sz w:val="24"/>
                <w:szCs w:val="24"/>
              </w:rPr>
              <w:t>(</w:t>
            </w:r>
            <w:r w:rsidR="004F60F0">
              <w:rPr>
                <w:rFonts w:ascii="Arial" w:eastAsia="Times New Roman" w:hAnsi="Arial" w:cs="Arial"/>
                <w:sz w:val="24"/>
                <w:szCs w:val="24"/>
              </w:rPr>
              <w:t>20 April 2023</w:t>
            </w:r>
            <w:r w:rsidRPr="00FF6DBC">
              <w:rPr>
                <w:rFonts w:ascii="Arial" w:eastAsia="Times New Roman" w:hAnsi="Arial" w:cs="Arial"/>
                <w:sz w:val="24"/>
                <w:szCs w:val="24"/>
              </w:rPr>
              <w:t>)</w:t>
            </w:r>
            <w:bookmarkEnd w:id="0"/>
          </w:p>
        </w:tc>
      </w:tr>
      <w:tr w:rsidR="00FF6DBC" w:rsidRPr="00FF6DBC" w:rsidTr="00B1387A">
        <w:tc>
          <w:tcPr>
            <w:tcW w:w="9720" w:type="dxa"/>
            <w:gridSpan w:val="3"/>
          </w:tcPr>
          <w:p w:rsidR="00934C3D" w:rsidRPr="00FF6DBC" w:rsidRDefault="00934C3D" w:rsidP="004F60F0">
            <w:pPr>
              <w:spacing w:before="240" w:line="360" w:lineRule="auto"/>
              <w:jc w:val="both"/>
              <w:rPr>
                <w:rFonts w:ascii="Arial" w:eastAsia="Calibri" w:hAnsi="Arial" w:cs="Arial"/>
                <w:b/>
                <w:sz w:val="24"/>
                <w:szCs w:val="24"/>
              </w:rPr>
            </w:pPr>
            <w:r>
              <w:rPr>
                <w:rFonts w:ascii="Arial" w:eastAsia="Calibri" w:hAnsi="Arial" w:cs="Arial"/>
                <w:b/>
                <w:sz w:val="24"/>
                <w:szCs w:val="24"/>
              </w:rPr>
              <w:t>O</w:t>
            </w:r>
            <w:r w:rsidR="00FF6DBC" w:rsidRPr="00FF6DBC">
              <w:rPr>
                <w:rFonts w:ascii="Arial" w:eastAsia="Calibri" w:hAnsi="Arial" w:cs="Arial"/>
                <w:b/>
                <w:sz w:val="24"/>
                <w:szCs w:val="24"/>
              </w:rPr>
              <w:t>rder:</w:t>
            </w:r>
          </w:p>
          <w:p w:rsidR="00FF6DBC" w:rsidRPr="00FF6DBC" w:rsidRDefault="00FF6DBC" w:rsidP="00FF6DBC">
            <w:pPr>
              <w:spacing w:line="360" w:lineRule="auto"/>
              <w:jc w:val="both"/>
              <w:rPr>
                <w:rFonts w:ascii="Arial" w:eastAsia="Calibri" w:hAnsi="Arial" w:cs="Arial"/>
                <w:sz w:val="24"/>
                <w:szCs w:val="24"/>
              </w:rPr>
            </w:pPr>
          </w:p>
          <w:p w:rsidR="004F60F0" w:rsidRDefault="004F60F0" w:rsidP="00FF6DBC">
            <w:pPr>
              <w:numPr>
                <w:ilvl w:val="0"/>
                <w:numId w:val="1"/>
              </w:numPr>
              <w:spacing w:line="360" w:lineRule="auto"/>
              <w:contextualSpacing/>
              <w:jc w:val="both"/>
              <w:rPr>
                <w:rFonts w:ascii="Arial" w:eastAsia="Calibri" w:hAnsi="Arial" w:cs="Arial"/>
                <w:sz w:val="24"/>
                <w:szCs w:val="24"/>
              </w:rPr>
            </w:pPr>
            <w:r>
              <w:rPr>
                <w:rFonts w:ascii="Arial" w:eastAsia="Calibri" w:hAnsi="Arial" w:cs="Arial"/>
                <w:sz w:val="24"/>
                <w:szCs w:val="24"/>
              </w:rPr>
              <w:t>The application for summary judgment is dismissed.</w:t>
            </w:r>
          </w:p>
          <w:p w:rsidR="00FF6DBC" w:rsidRDefault="004F60F0" w:rsidP="00FF6DBC">
            <w:pPr>
              <w:numPr>
                <w:ilvl w:val="0"/>
                <w:numId w:val="1"/>
              </w:numPr>
              <w:spacing w:line="360" w:lineRule="auto"/>
              <w:contextualSpacing/>
              <w:jc w:val="both"/>
              <w:rPr>
                <w:rFonts w:ascii="Arial" w:eastAsia="Calibri" w:hAnsi="Arial" w:cs="Arial"/>
                <w:sz w:val="24"/>
                <w:szCs w:val="24"/>
              </w:rPr>
            </w:pPr>
            <w:r>
              <w:rPr>
                <w:rFonts w:ascii="Arial" w:eastAsia="Calibri" w:hAnsi="Arial" w:cs="Arial"/>
                <w:sz w:val="24"/>
                <w:szCs w:val="24"/>
              </w:rPr>
              <w:t>The resultant costs are to be costs in the cause.</w:t>
            </w:r>
            <w:r w:rsidR="00FF6DBC" w:rsidRPr="00FF6DBC">
              <w:rPr>
                <w:rFonts w:ascii="Arial" w:eastAsia="Calibri" w:hAnsi="Arial" w:cs="Arial"/>
                <w:sz w:val="24"/>
                <w:szCs w:val="24"/>
              </w:rPr>
              <w:t xml:space="preserve"> </w:t>
            </w:r>
          </w:p>
          <w:p w:rsidR="004F60F0" w:rsidRDefault="004F60F0" w:rsidP="00FF6DBC">
            <w:pPr>
              <w:numPr>
                <w:ilvl w:val="0"/>
                <w:numId w:val="1"/>
              </w:numPr>
              <w:spacing w:line="360" w:lineRule="auto"/>
              <w:contextualSpacing/>
              <w:jc w:val="both"/>
              <w:rPr>
                <w:rFonts w:ascii="Arial" w:eastAsia="Calibri" w:hAnsi="Arial" w:cs="Arial"/>
                <w:sz w:val="24"/>
                <w:szCs w:val="24"/>
              </w:rPr>
            </w:pPr>
            <w:r>
              <w:rPr>
                <w:rFonts w:ascii="Arial" w:eastAsia="Calibri" w:hAnsi="Arial" w:cs="Arial"/>
                <w:sz w:val="24"/>
                <w:szCs w:val="24"/>
              </w:rPr>
              <w:t>The defendant is granted leave to defend the action</w:t>
            </w:r>
          </w:p>
          <w:p w:rsidR="004F60F0" w:rsidRDefault="00934C3D" w:rsidP="00FF6DBC">
            <w:pPr>
              <w:numPr>
                <w:ilvl w:val="0"/>
                <w:numId w:val="1"/>
              </w:numPr>
              <w:spacing w:line="360" w:lineRule="auto"/>
              <w:contextualSpacing/>
              <w:jc w:val="both"/>
              <w:rPr>
                <w:rFonts w:ascii="Arial" w:eastAsia="Calibri" w:hAnsi="Arial" w:cs="Arial"/>
                <w:sz w:val="24"/>
                <w:szCs w:val="24"/>
              </w:rPr>
            </w:pPr>
            <w:r>
              <w:rPr>
                <w:rFonts w:ascii="Arial" w:eastAsia="Calibri" w:hAnsi="Arial" w:cs="Arial"/>
                <w:sz w:val="24"/>
                <w:szCs w:val="24"/>
              </w:rPr>
              <w:lastRenderedPageBreak/>
              <w:t xml:space="preserve">The case is postponed to </w:t>
            </w:r>
            <w:r w:rsidR="004F60F0">
              <w:rPr>
                <w:rFonts w:ascii="Arial" w:eastAsia="Calibri" w:hAnsi="Arial" w:cs="Arial"/>
                <w:sz w:val="24"/>
                <w:szCs w:val="24"/>
              </w:rPr>
              <w:t>3 May 2023 at 08:30 for a Case Planning</w:t>
            </w:r>
            <w:r>
              <w:rPr>
                <w:rFonts w:ascii="Arial" w:eastAsia="Calibri" w:hAnsi="Arial" w:cs="Arial"/>
                <w:sz w:val="24"/>
                <w:szCs w:val="24"/>
              </w:rPr>
              <w:t xml:space="preserve"> Conference</w:t>
            </w:r>
            <w:r w:rsidR="004F60F0">
              <w:rPr>
                <w:rFonts w:ascii="Arial" w:eastAsia="Calibri" w:hAnsi="Arial" w:cs="Arial"/>
                <w:sz w:val="24"/>
                <w:szCs w:val="24"/>
              </w:rPr>
              <w:t xml:space="preserve"> hearing</w:t>
            </w:r>
          </w:p>
          <w:p w:rsidR="004F60F0" w:rsidRPr="00FF6DBC" w:rsidRDefault="004F60F0" w:rsidP="00FF6DBC">
            <w:pPr>
              <w:numPr>
                <w:ilvl w:val="0"/>
                <w:numId w:val="1"/>
              </w:numPr>
              <w:spacing w:line="360" w:lineRule="auto"/>
              <w:contextualSpacing/>
              <w:jc w:val="both"/>
              <w:rPr>
                <w:rFonts w:ascii="Arial" w:eastAsia="Calibri" w:hAnsi="Arial" w:cs="Arial"/>
                <w:sz w:val="24"/>
                <w:szCs w:val="24"/>
              </w:rPr>
            </w:pPr>
            <w:r>
              <w:rPr>
                <w:rFonts w:ascii="Arial" w:eastAsia="Calibri" w:hAnsi="Arial" w:cs="Arial"/>
                <w:sz w:val="24"/>
                <w:szCs w:val="24"/>
              </w:rPr>
              <w:t xml:space="preserve">The parties shall file </w:t>
            </w:r>
            <w:r w:rsidR="00DE3B89">
              <w:rPr>
                <w:rFonts w:ascii="Arial" w:eastAsia="Calibri" w:hAnsi="Arial" w:cs="Arial"/>
                <w:sz w:val="24"/>
                <w:szCs w:val="24"/>
              </w:rPr>
              <w:t>a joint case planning</w:t>
            </w:r>
            <w:r>
              <w:rPr>
                <w:rFonts w:ascii="Arial" w:eastAsia="Calibri" w:hAnsi="Arial" w:cs="Arial"/>
                <w:sz w:val="24"/>
                <w:szCs w:val="24"/>
              </w:rPr>
              <w:t xml:space="preserve"> report by no later than 27 April 2023.</w:t>
            </w:r>
          </w:p>
          <w:p w:rsidR="00FF6DBC" w:rsidRPr="00FF6DBC" w:rsidRDefault="00FF6DBC" w:rsidP="004F60F0">
            <w:pPr>
              <w:spacing w:line="360" w:lineRule="auto"/>
              <w:ind w:left="360"/>
              <w:contextualSpacing/>
              <w:jc w:val="both"/>
              <w:rPr>
                <w:rFonts w:ascii="Arial" w:eastAsia="Calibri" w:hAnsi="Arial" w:cs="Arial"/>
                <w:color w:val="333333"/>
                <w:sz w:val="24"/>
                <w:szCs w:val="24"/>
              </w:rPr>
            </w:pPr>
            <w:r w:rsidRPr="00FF6DBC">
              <w:rPr>
                <w:rFonts w:ascii="Arial" w:eastAsia="Calibri" w:hAnsi="Arial" w:cs="Arial"/>
                <w:sz w:val="24"/>
                <w:szCs w:val="24"/>
              </w:rPr>
              <w:t xml:space="preserve"> </w:t>
            </w:r>
          </w:p>
        </w:tc>
      </w:tr>
      <w:tr w:rsidR="00FF6DBC" w:rsidRPr="00FF6DBC" w:rsidTr="00B1387A">
        <w:tc>
          <w:tcPr>
            <w:tcW w:w="9720" w:type="dxa"/>
            <w:gridSpan w:val="3"/>
          </w:tcPr>
          <w:p w:rsidR="00FF6DBC" w:rsidRPr="00FF6DBC" w:rsidRDefault="00FF6DBC" w:rsidP="004F60F0">
            <w:pPr>
              <w:spacing w:before="240" w:line="360" w:lineRule="auto"/>
              <w:jc w:val="both"/>
              <w:rPr>
                <w:rFonts w:ascii="Arial" w:eastAsia="Calibri" w:hAnsi="Arial" w:cs="Arial"/>
                <w:b/>
                <w:sz w:val="24"/>
                <w:szCs w:val="24"/>
              </w:rPr>
            </w:pPr>
            <w:r w:rsidRPr="00FF6DBC">
              <w:rPr>
                <w:rFonts w:ascii="Arial" w:eastAsia="Calibri" w:hAnsi="Arial" w:cs="Arial"/>
                <w:b/>
                <w:sz w:val="24"/>
                <w:szCs w:val="24"/>
              </w:rPr>
              <w:lastRenderedPageBreak/>
              <w:t>Reasons for orders:</w:t>
            </w:r>
          </w:p>
        </w:tc>
      </w:tr>
      <w:tr w:rsidR="00FF6DBC" w:rsidRPr="00FF6DBC" w:rsidTr="00B1387A">
        <w:tc>
          <w:tcPr>
            <w:tcW w:w="9720" w:type="dxa"/>
            <w:gridSpan w:val="3"/>
          </w:tcPr>
          <w:p w:rsidR="00736CAA" w:rsidRDefault="00934C3D" w:rsidP="00C6012B">
            <w:pPr>
              <w:spacing w:before="240"/>
              <w:jc w:val="both"/>
              <w:rPr>
                <w:rFonts w:ascii="Arial" w:eastAsia="Calibri" w:hAnsi="Arial" w:cs="Arial"/>
                <w:sz w:val="24"/>
                <w:szCs w:val="24"/>
              </w:rPr>
            </w:pPr>
            <w:r>
              <w:rPr>
                <w:rFonts w:ascii="Arial" w:eastAsia="Calibri" w:hAnsi="Arial" w:cs="Arial"/>
                <w:sz w:val="24"/>
                <w:szCs w:val="24"/>
              </w:rPr>
              <w:t>CLAASEN J:</w:t>
            </w:r>
          </w:p>
          <w:p w:rsidR="00736CAA" w:rsidRPr="00736CAA" w:rsidRDefault="00FF6DBC" w:rsidP="00736CAA">
            <w:pPr>
              <w:spacing w:before="240"/>
              <w:jc w:val="both"/>
              <w:rPr>
                <w:rFonts w:ascii="Arial" w:eastAsia="Calibri" w:hAnsi="Arial" w:cs="Arial"/>
                <w:sz w:val="24"/>
                <w:szCs w:val="24"/>
                <w:u w:val="single"/>
              </w:rPr>
            </w:pPr>
            <w:r w:rsidRPr="00FF6DBC">
              <w:rPr>
                <w:rFonts w:ascii="Arial" w:eastAsia="Calibri" w:hAnsi="Arial" w:cs="Arial"/>
                <w:sz w:val="24"/>
                <w:szCs w:val="24"/>
                <w:u w:val="single"/>
              </w:rPr>
              <w:t>Background</w:t>
            </w:r>
          </w:p>
          <w:p w:rsidR="00B271C2" w:rsidRPr="00B271C2" w:rsidRDefault="00240FCD" w:rsidP="00736CAA">
            <w:pPr>
              <w:pStyle w:val="ListParagraph"/>
              <w:spacing w:before="240" w:line="360" w:lineRule="auto"/>
              <w:ind w:left="-12"/>
              <w:contextualSpacing w:val="0"/>
              <w:jc w:val="both"/>
              <w:rPr>
                <w:rFonts w:ascii="Arial" w:eastAsia="Calibri" w:hAnsi="Arial" w:cs="Arial"/>
                <w:sz w:val="24"/>
                <w:szCs w:val="24"/>
                <w:u w:val="single"/>
              </w:rPr>
            </w:pPr>
            <w:r>
              <w:rPr>
                <w:rFonts w:ascii="Arial" w:eastAsia="Calibri" w:hAnsi="Arial" w:cs="Arial"/>
                <w:sz w:val="24"/>
                <w:szCs w:val="24"/>
              </w:rPr>
              <w:t>[1]</w:t>
            </w:r>
            <w:r>
              <w:rPr>
                <w:rFonts w:ascii="Arial" w:eastAsia="Calibri" w:hAnsi="Arial" w:cs="Arial"/>
                <w:sz w:val="24"/>
                <w:szCs w:val="24"/>
              </w:rPr>
              <w:tab/>
              <w:t xml:space="preserve"> </w:t>
            </w:r>
            <w:r w:rsidR="00757F1B" w:rsidRPr="00B271C2">
              <w:rPr>
                <w:rFonts w:ascii="Arial" w:eastAsia="Calibri" w:hAnsi="Arial" w:cs="Arial"/>
                <w:sz w:val="24"/>
                <w:szCs w:val="24"/>
              </w:rPr>
              <w:t>T</w:t>
            </w:r>
            <w:r w:rsidR="00934C3D">
              <w:rPr>
                <w:rFonts w:ascii="Arial" w:eastAsia="Calibri" w:hAnsi="Arial" w:cs="Arial"/>
                <w:sz w:val="24"/>
                <w:szCs w:val="24"/>
              </w:rPr>
              <w:t>he plaintiff avers that he</w:t>
            </w:r>
            <w:r w:rsidR="00B271C2" w:rsidRPr="00B271C2">
              <w:rPr>
                <w:rFonts w:ascii="Arial" w:eastAsia="Calibri" w:hAnsi="Arial" w:cs="Arial"/>
                <w:sz w:val="24"/>
                <w:szCs w:val="24"/>
              </w:rPr>
              <w:t xml:space="preserve"> concluded a written </w:t>
            </w:r>
            <w:r w:rsidR="00757F1B" w:rsidRPr="00B271C2">
              <w:rPr>
                <w:rFonts w:ascii="Arial" w:eastAsia="Calibri" w:hAnsi="Arial" w:cs="Arial"/>
                <w:sz w:val="24"/>
                <w:szCs w:val="24"/>
              </w:rPr>
              <w:t xml:space="preserve">agreement </w:t>
            </w:r>
            <w:r w:rsidR="00572763">
              <w:rPr>
                <w:rFonts w:ascii="Arial" w:eastAsia="Calibri" w:hAnsi="Arial" w:cs="Arial"/>
                <w:sz w:val="24"/>
                <w:szCs w:val="24"/>
              </w:rPr>
              <w:t xml:space="preserve">during February to June 2018 </w:t>
            </w:r>
            <w:r w:rsidR="00757F1B" w:rsidRPr="00B271C2">
              <w:rPr>
                <w:rFonts w:ascii="Arial" w:eastAsia="Calibri" w:hAnsi="Arial" w:cs="Arial"/>
                <w:sz w:val="24"/>
                <w:szCs w:val="24"/>
              </w:rPr>
              <w:t xml:space="preserve">in terms of which the first defendant had </w:t>
            </w:r>
            <w:r w:rsidR="00934C3D">
              <w:rPr>
                <w:rFonts w:ascii="Arial" w:eastAsia="Calibri" w:hAnsi="Arial" w:cs="Arial"/>
                <w:sz w:val="24"/>
                <w:szCs w:val="24"/>
              </w:rPr>
              <w:t>to</w:t>
            </w:r>
            <w:r w:rsidR="00757F1B" w:rsidRPr="00B271C2">
              <w:rPr>
                <w:rFonts w:ascii="Arial" w:eastAsia="Calibri" w:hAnsi="Arial" w:cs="Arial"/>
                <w:sz w:val="24"/>
                <w:szCs w:val="24"/>
              </w:rPr>
              <w:t xml:space="preserve"> build a house </w:t>
            </w:r>
            <w:r w:rsidR="003419C7">
              <w:rPr>
                <w:rFonts w:ascii="Arial" w:eastAsia="Calibri" w:hAnsi="Arial" w:cs="Arial"/>
                <w:sz w:val="24"/>
                <w:szCs w:val="24"/>
              </w:rPr>
              <w:t xml:space="preserve">and supply the building material </w:t>
            </w:r>
            <w:r w:rsidR="00934C3D">
              <w:rPr>
                <w:rFonts w:ascii="Arial" w:eastAsia="Calibri" w:hAnsi="Arial" w:cs="Arial"/>
                <w:sz w:val="24"/>
                <w:szCs w:val="24"/>
              </w:rPr>
              <w:t xml:space="preserve">against the payment of N$ </w:t>
            </w:r>
            <w:r w:rsidR="00757F1B" w:rsidRPr="00B271C2">
              <w:rPr>
                <w:rFonts w:ascii="Arial" w:eastAsia="Calibri" w:hAnsi="Arial" w:cs="Arial"/>
                <w:sz w:val="24"/>
                <w:szCs w:val="24"/>
              </w:rPr>
              <w:t xml:space="preserve">638 020. </w:t>
            </w:r>
            <w:r w:rsidR="00B271C2">
              <w:rPr>
                <w:rFonts w:ascii="Arial" w:eastAsia="Calibri" w:hAnsi="Arial" w:cs="Arial"/>
                <w:sz w:val="24"/>
                <w:szCs w:val="24"/>
              </w:rPr>
              <w:t xml:space="preserve">The second defendant is described as the managing member of the first defendant and the </w:t>
            </w:r>
            <w:r w:rsidR="00934C3D">
              <w:rPr>
                <w:rFonts w:ascii="Arial" w:eastAsia="Calibri" w:hAnsi="Arial" w:cs="Arial"/>
                <w:sz w:val="24"/>
                <w:szCs w:val="24"/>
              </w:rPr>
              <w:t>third</w:t>
            </w:r>
            <w:r w:rsidR="00B271C2">
              <w:rPr>
                <w:rFonts w:ascii="Arial" w:eastAsia="Calibri" w:hAnsi="Arial" w:cs="Arial"/>
                <w:sz w:val="24"/>
                <w:szCs w:val="24"/>
              </w:rPr>
              <w:t xml:space="preserve"> defendant is the spouse of the </w:t>
            </w:r>
            <w:r w:rsidR="00934C3D">
              <w:rPr>
                <w:rFonts w:ascii="Arial" w:eastAsia="Calibri" w:hAnsi="Arial" w:cs="Arial"/>
                <w:sz w:val="24"/>
                <w:szCs w:val="24"/>
              </w:rPr>
              <w:t>second</w:t>
            </w:r>
            <w:r w:rsidR="00B271C2">
              <w:rPr>
                <w:rFonts w:ascii="Arial" w:eastAsia="Calibri" w:hAnsi="Arial" w:cs="Arial"/>
                <w:sz w:val="24"/>
                <w:szCs w:val="24"/>
              </w:rPr>
              <w:t xml:space="preserve"> defendant.</w:t>
            </w:r>
          </w:p>
          <w:p w:rsidR="00BE283C" w:rsidRDefault="00BE283C" w:rsidP="00BE283C">
            <w:pPr>
              <w:spacing w:before="24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757F1B" w:rsidRPr="00B271C2">
              <w:rPr>
                <w:rFonts w:ascii="Arial" w:eastAsia="Calibri" w:hAnsi="Arial" w:cs="Arial"/>
                <w:sz w:val="24"/>
                <w:szCs w:val="24"/>
              </w:rPr>
              <w:t>It is</w:t>
            </w:r>
            <w:r w:rsidR="00934C3D">
              <w:rPr>
                <w:rFonts w:ascii="Arial" w:eastAsia="Calibri" w:hAnsi="Arial" w:cs="Arial"/>
                <w:sz w:val="24"/>
                <w:szCs w:val="24"/>
              </w:rPr>
              <w:t xml:space="preserve"> the</w:t>
            </w:r>
            <w:r w:rsidR="00757F1B" w:rsidRPr="00B271C2">
              <w:rPr>
                <w:rFonts w:ascii="Arial" w:eastAsia="Calibri" w:hAnsi="Arial" w:cs="Arial"/>
                <w:sz w:val="24"/>
                <w:szCs w:val="24"/>
              </w:rPr>
              <w:t xml:space="preserve"> plaintiff’s case that shortly after the agreement</w:t>
            </w:r>
            <w:r w:rsidR="00934C3D">
              <w:rPr>
                <w:rFonts w:ascii="Arial" w:eastAsia="Calibri" w:hAnsi="Arial" w:cs="Arial"/>
                <w:sz w:val="24"/>
                <w:szCs w:val="24"/>
              </w:rPr>
              <w:t>,</w:t>
            </w:r>
            <w:r w:rsidR="00757F1B" w:rsidRPr="00B271C2">
              <w:rPr>
                <w:rFonts w:ascii="Arial" w:eastAsia="Calibri" w:hAnsi="Arial" w:cs="Arial"/>
                <w:sz w:val="24"/>
                <w:szCs w:val="24"/>
              </w:rPr>
              <w:t xml:space="preserve"> the parties orally amended the specifications of th</w:t>
            </w:r>
            <w:r w:rsidR="00B271C2" w:rsidRPr="00B271C2">
              <w:rPr>
                <w:rFonts w:ascii="Arial" w:eastAsia="Calibri" w:hAnsi="Arial" w:cs="Arial"/>
                <w:sz w:val="24"/>
                <w:szCs w:val="24"/>
              </w:rPr>
              <w:t>e</w:t>
            </w:r>
            <w:r w:rsidR="00757F1B" w:rsidRPr="00B271C2">
              <w:rPr>
                <w:rFonts w:ascii="Arial" w:eastAsia="Calibri" w:hAnsi="Arial" w:cs="Arial"/>
                <w:sz w:val="24"/>
                <w:szCs w:val="24"/>
              </w:rPr>
              <w:t xml:space="preserve"> structure</w:t>
            </w:r>
            <w:r w:rsidR="00B271C2" w:rsidRPr="00B271C2">
              <w:rPr>
                <w:rFonts w:ascii="Arial" w:eastAsia="Calibri" w:hAnsi="Arial" w:cs="Arial"/>
                <w:sz w:val="24"/>
                <w:szCs w:val="24"/>
              </w:rPr>
              <w:t xml:space="preserve"> and that the first defendant breached the agreement, causing the plaintiff to suffer financial damages</w:t>
            </w:r>
            <w:r w:rsidR="00757F1B" w:rsidRPr="00B271C2">
              <w:rPr>
                <w:rFonts w:ascii="Arial" w:eastAsia="Calibri" w:hAnsi="Arial" w:cs="Arial"/>
                <w:sz w:val="24"/>
                <w:szCs w:val="24"/>
              </w:rPr>
              <w:t xml:space="preserve">. The particulars of claim </w:t>
            </w:r>
            <w:r w:rsidR="00B271C2" w:rsidRPr="00B271C2">
              <w:rPr>
                <w:rFonts w:ascii="Arial" w:eastAsia="Calibri" w:hAnsi="Arial" w:cs="Arial"/>
                <w:sz w:val="24"/>
                <w:szCs w:val="24"/>
              </w:rPr>
              <w:t xml:space="preserve">set out four claims </w:t>
            </w:r>
            <w:r w:rsidR="007C1F6F">
              <w:rPr>
                <w:rFonts w:ascii="Arial" w:eastAsia="Calibri" w:hAnsi="Arial" w:cs="Arial"/>
                <w:sz w:val="24"/>
                <w:szCs w:val="24"/>
              </w:rPr>
              <w:t>sounding in money. However,</w:t>
            </w:r>
            <w:r w:rsidR="00B271C2" w:rsidRPr="00B271C2">
              <w:rPr>
                <w:rFonts w:ascii="Arial" w:eastAsia="Calibri" w:hAnsi="Arial" w:cs="Arial"/>
                <w:sz w:val="24"/>
                <w:szCs w:val="24"/>
              </w:rPr>
              <w:t xml:space="preserve"> in this application</w:t>
            </w:r>
            <w:r w:rsidR="00934C3D">
              <w:rPr>
                <w:rFonts w:ascii="Arial" w:eastAsia="Calibri" w:hAnsi="Arial" w:cs="Arial"/>
                <w:sz w:val="24"/>
                <w:szCs w:val="24"/>
              </w:rPr>
              <w:t>,</w:t>
            </w:r>
            <w:r w:rsidR="00B271C2" w:rsidRPr="00B271C2">
              <w:rPr>
                <w:rFonts w:ascii="Arial" w:eastAsia="Calibri" w:hAnsi="Arial" w:cs="Arial"/>
                <w:sz w:val="24"/>
                <w:szCs w:val="24"/>
              </w:rPr>
              <w:t xml:space="preserve"> the plaintiff only seek</w:t>
            </w:r>
            <w:r w:rsidR="00934C3D">
              <w:rPr>
                <w:rFonts w:ascii="Arial" w:eastAsia="Calibri" w:hAnsi="Arial" w:cs="Arial"/>
                <w:sz w:val="24"/>
                <w:szCs w:val="24"/>
              </w:rPr>
              <w:t>s summary judg</w:t>
            </w:r>
            <w:r w:rsidR="00B271C2" w:rsidRPr="00B271C2">
              <w:rPr>
                <w:rFonts w:ascii="Arial" w:eastAsia="Calibri" w:hAnsi="Arial" w:cs="Arial"/>
                <w:sz w:val="24"/>
                <w:szCs w:val="24"/>
              </w:rPr>
              <w:t xml:space="preserve">ment for a portion of the amount in claim one, namely </w:t>
            </w:r>
            <w:r w:rsidR="00934C3D">
              <w:rPr>
                <w:rFonts w:ascii="Arial" w:eastAsia="Calibri" w:hAnsi="Arial" w:cs="Arial"/>
                <w:sz w:val="24"/>
                <w:szCs w:val="24"/>
              </w:rPr>
              <w:t xml:space="preserve">N$ </w:t>
            </w:r>
            <w:r w:rsidR="00731FDC">
              <w:rPr>
                <w:rFonts w:ascii="Arial" w:eastAsia="Calibri" w:hAnsi="Arial" w:cs="Arial"/>
                <w:sz w:val="24"/>
                <w:szCs w:val="24"/>
              </w:rPr>
              <w:t>112 068.</w:t>
            </w:r>
            <w:r w:rsidR="00757F1B" w:rsidRPr="00B271C2">
              <w:rPr>
                <w:rFonts w:ascii="Arial" w:eastAsia="Calibri" w:hAnsi="Arial" w:cs="Arial"/>
                <w:sz w:val="24"/>
                <w:szCs w:val="24"/>
              </w:rPr>
              <w:t xml:space="preserve">29 </w:t>
            </w:r>
            <w:r>
              <w:rPr>
                <w:rFonts w:ascii="Arial" w:eastAsia="Calibri" w:hAnsi="Arial" w:cs="Arial"/>
                <w:sz w:val="24"/>
                <w:szCs w:val="24"/>
              </w:rPr>
              <w:t xml:space="preserve">which claim is described as  damages suffered because the plaintiff was forced to engage the services of other contractors to complete the building work. </w:t>
            </w:r>
          </w:p>
          <w:p w:rsidR="003F6655" w:rsidRDefault="00BE283C" w:rsidP="00BE283C">
            <w:pPr>
              <w:spacing w:before="240" w:line="360" w:lineRule="auto"/>
              <w:jc w:val="both"/>
              <w:rPr>
                <w:rFonts w:ascii="Arial" w:eastAsia="Calibri" w:hAnsi="Arial" w:cs="Arial"/>
              </w:rPr>
            </w:pPr>
            <w:r>
              <w:rPr>
                <w:rFonts w:ascii="Arial" w:eastAsia="Calibri" w:hAnsi="Arial" w:cs="Arial"/>
                <w:sz w:val="24"/>
                <w:szCs w:val="24"/>
              </w:rPr>
              <w:t>[3]</w:t>
            </w:r>
            <w:r>
              <w:rPr>
                <w:rFonts w:ascii="Arial" w:eastAsia="Calibri" w:hAnsi="Arial" w:cs="Arial"/>
                <w:sz w:val="24"/>
                <w:szCs w:val="24"/>
              </w:rPr>
              <w:tab/>
              <w:t>The other claim for which summary judgment is sought</w:t>
            </w:r>
            <w:r w:rsidR="00731FDC">
              <w:rPr>
                <w:rFonts w:ascii="Arial" w:eastAsia="Calibri" w:hAnsi="Arial" w:cs="Arial"/>
                <w:sz w:val="24"/>
                <w:szCs w:val="24"/>
              </w:rPr>
              <w:t>,</w:t>
            </w:r>
            <w:r>
              <w:rPr>
                <w:rFonts w:ascii="Arial" w:eastAsia="Calibri" w:hAnsi="Arial" w:cs="Arial"/>
                <w:sz w:val="24"/>
                <w:szCs w:val="24"/>
              </w:rPr>
              <w:t xml:space="preserve"> is a </w:t>
            </w:r>
            <w:r w:rsidR="00B271C2" w:rsidRPr="00B271C2">
              <w:rPr>
                <w:rFonts w:ascii="Arial" w:eastAsia="Calibri" w:hAnsi="Arial" w:cs="Arial"/>
                <w:sz w:val="24"/>
                <w:szCs w:val="24"/>
              </w:rPr>
              <w:t>portion of the amount in claim four, namely N$ 34</w:t>
            </w:r>
            <w:r w:rsidR="00FB310B">
              <w:rPr>
                <w:rFonts w:ascii="Arial" w:eastAsia="Calibri" w:hAnsi="Arial" w:cs="Arial"/>
                <w:sz w:val="24"/>
                <w:szCs w:val="24"/>
              </w:rPr>
              <w:t xml:space="preserve"> 467.</w:t>
            </w:r>
            <w:r w:rsidR="00731FDC">
              <w:rPr>
                <w:rFonts w:ascii="Arial" w:eastAsia="Calibri" w:hAnsi="Arial" w:cs="Arial"/>
                <w:sz w:val="24"/>
                <w:szCs w:val="24"/>
              </w:rPr>
              <w:t>17</w:t>
            </w:r>
            <w:r>
              <w:rPr>
                <w:rFonts w:ascii="Arial" w:eastAsia="Calibri" w:hAnsi="Arial" w:cs="Arial"/>
                <w:sz w:val="24"/>
                <w:szCs w:val="24"/>
              </w:rPr>
              <w:t xml:space="preserve"> This claim is described as unjustified enrichment, alternatively damages suffered because of a false misrepresentation </w:t>
            </w:r>
            <w:r w:rsidR="00D67622">
              <w:rPr>
                <w:rFonts w:ascii="Arial" w:eastAsia="Calibri" w:hAnsi="Arial" w:cs="Arial"/>
                <w:sz w:val="24"/>
                <w:szCs w:val="24"/>
              </w:rPr>
              <w:t>on a</w:t>
            </w:r>
            <w:r>
              <w:rPr>
                <w:rFonts w:ascii="Arial" w:eastAsia="Calibri" w:hAnsi="Arial" w:cs="Arial"/>
                <w:sz w:val="24"/>
                <w:szCs w:val="24"/>
              </w:rPr>
              <w:t xml:space="preserve"> quote which quoted 28 windows, but only 9 windows were required. </w:t>
            </w:r>
            <w:r w:rsidR="00D67622">
              <w:rPr>
                <w:rFonts w:ascii="Arial" w:eastAsia="Calibri" w:hAnsi="Arial" w:cs="Arial"/>
                <w:sz w:val="24"/>
                <w:szCs w:val="24"/>
              </w:rPr>
              <w:t xml:space="preserve">It is </w:t>
            </w:r>
            <w:r w:rsidR="00731FDC">
              <w:rPr>
                <w:rFonts w:ascii="Arial" w:eastAsia="Calibri" w:hAnsi="Arial" w:cs="Arial"/>
                <w:sz w:val="24"/>
                <w:szCs w:val="24"/>
              </w:rPr>
              <w:t xml:space="preserve">the </w:t>
            </w:r>
            <w:r w:rsidR="00D67622">
              <w:rPr>
                <w:rFonts w:ascii="Arial" w:eastAsia="Calibri" w:hAnsi="Arial" w:cs="Arial"/>
                <w:sz w:val="24"/>
                <w:szCs w:val="24"/>
              </w:rPr>
              <w:t xml:space="preserve">plaintiff’s case that the financier, paid the full amount to the first defendant. </w:t>
            </w:r>
            <w:r w:rsidR="00B271C2" w:rsidRPr="00B271C2">
              <w:rPr>
                <w:rFonts w:ascii="Arial" w:eastAsia="Calibri" w:hAnsi="Arial" w:cs="Arial"/>
                <w:sz w:val="24"/>
                <w:szCs w:val="24"/>
              </w:rPr>
              <w:t>In addition</w:t>
            </w:r>
            <w:r>
              <w:rPr>
                <w:rFonts w:ascii="Arial" w:eastAsia="Calibri" w:hAnsi="Arial" w:cs="Arial"/>
                <w:sz w:val="24"/>
                <w:szCs w:val="24"/>
              </w:rPr>
              <w:t>,</w:t>
            </w:r>
            <w:r w:rsidR="00B271C2" w:rsidRPr="00B271C2">
              <w:rPr>
                <w:rFonts w:ascii="Arial" w:eastAsia="Calibri" w:hAnsi="Arial" w:cs="Arial"/>
                <w:sz w:val="24"/>
                <w:szCs w:val="24"/>
              </w:rPr>
              <w:t xml:space="preserve"> the plaintiff seeks a </w:t>
            </w:r>
            <w:r w:rsidR="003F6655" w:rsidRPr="00B271C2">
              <w:rPr>
                <w:rFonts w:ascii="Arial" w:eastAsia="Calibri" w:hAnsi="Arial" w:cs="Arial"/>
                <w:sz w:val="24"/>
                <w:szCs w:val="24"/>
              </w:rPr>
              <w:t>declaratory order deeming the first defendant to not be a juristic person</w:t>
            </w:r>
            <w:r w:rsidR="00731FDC">
              <w:rPr>
                <w:rFonts w:ascii="Arial" w:eastAsia="Calibri" w:hAnsi="Arial" w:cs="Arial"/>
                <w:sz w:val="24"/>
                <w:szCs w:val="24"/>
              </w:rPr>
              <w:t>, and that the second and/or third defendants</w:t>
            </w:r>
            <w:r w:rsidR="003F6655" w:rsidRPr="00B271C2">
              <w:rPr>
                <w:rFonts w:ascii="Arial" w:eastAsia="Calibri" w:hAnsi="Arial" w:cs="Arial"/>
                <w:sz w:val="24"/>
                <w:szCs w:val="24"/>
              </w:rPr>
              <w:t xml:space="preserve"> be held personally liable, alternatively jointly and severally liable with the first defendant</w:t>
            </w:r>
            <w:r w:rsidR="00731FDC">
              <w:rPr>
                <w:rFonts w:ascii="Arial" w:eastAsia="Calibri" w:hAnsi="Arial" w:cs="Arial"/>
                <w:sz w:val="24"/>
                <w:szCs w:val="24"/>
              </w:rPr>
              <w:t>,</w:t>
            </w:r>
            <w:r w:rsidR="003F6655" w:rsidRPr="00B271C2">
              <w:rPr>
                <w:rFonts w:ascii="Arial" w:eastAsia="Calibri" w:hAnsi="Arial" w:cs="Arial"/>
                <w:sz w:val="24"/>
                <w:szCs w:val="24"/>
              </w:rPr>
              <w:t xml:space="preserve"> for payme</w:t>
            </w:r>
            <w:r w:rsidR="002942A1">
              <w:rPr>
                <w:rFonts w:ascii="Arial" w:eastAsia="Calibri" w:hAnsi="Arial" w:cs="Arial"/>
                <w:sz w:val="24"/>
                <w:szCs w:val="24"/>
              </w:rPr>
              <w:t>nt of the debts claimed herein,</w:t>
            </w:r>
            <w:r w:rsidR="00FB310B">
              <w:rPr>
                <w:rFonts w:ascii="Arial" w:eastAsia="Calibri" w:hAnsi="Arial" w:cs="Arial"/>
                <w:sz w:val="24"/>
                <w:szCs w:val="24"/>
              </w:rPr>
              <w:t xml:space="preserve"> </w:t>
            </w:r>
            <w:r w:rsidR="003F6655" w:rsidRPr="00B271C2">
              <w:rPr>
                <w:rFonts w:ascii="Arial" w:eastAsia="Calibri" w:hAnsi="Arial" w:cs="Arial"/>
                <w:sz w:val="24"/>
                <w:szCs w:val="24"/>
              </w:rPr>
              <w:t>including inter</w:t>
            </w:r>
            <w:r w:rsidR="00B271C2" w:rsidRPr="00B271C2">
              <w:rPr>
                <w:rFonts w:ascii="Arial" w:eastAsia="Calibri" w:hAnsi="Arial" w:cs="Arial"/>
                <w:sz w:val="24"/>
                <w:szCs w:val="24"/>
              </w:rPr>
              <w:t>est and the costs of the suit.</w:t>
            </w:r>
            <w:r w:rsidR="00FB310B">
              <w:rPr>
                <w:rFonts w:ascii="Arial" w:eastAsia="Calibri" w:hAnsi="Arial" w:cs="Arial"/>
              </w:rPr>
              <w:t xml:space="preserve"> </w:t>
            </w:r>
            <w:r w:rsidR="00240FCD">
              <w:rPr>
                <w:rFonts w:ascii="Arial" w:eastAsia="Calibri" w:hAnsi="Arial" w:cs="Arial"/>
                <w:sz w:val="24"/>
                <w:szCs w:val="24"/>
              </w:rPr>
              <w:t>The application is opposed</w:t>
            </w:r>
            <w:r w:rsidR="00FB310B" w:rsidRPr="00FB310B">
              <w:rPr>
                <w:rFonts w:ascii="Arial" w:eastAsia="Calibri" w:hAnsi="Arial" w:cs="Arial"/>
                <w:sz w:val="24"/>
                <w:szCs w:val="24"/>
              </w:rPr>
              <w:t>.</w:t>
            </w:r>
            <w:r w:rsidR="00FB310B">
              <w:rPr>
                <w:rFonts w:ascii="Arial" w:eastAsia="Calibri" w:hAnsi="Arial" w:cs="Arial"/>
              </w:rPr>
              <w:t xml:space="preserve"> </w:t>
            </w:r>
          </w:p>
          <w:p w:rsidR="00BA5AC5" w:rsidRPr="00572763" w:rsidRDefault="00572763" w:rsidP="00BA5AC5">
            <w:pPr>
              <w:spacing w:before="240" w:line="360" w:lineRule="auto"/>
              <w:jc w:val="both"/>
              <w:rPr>
                <w:rFonts w:ascii="Arial" w:eastAsia="Calibri" w:hAnsi="Arial" w:cs="Arial"/>
                <w:sz w:val="24"/>
                <w:szCs w:val="24"/>
                <w:u w:val="single"/>
              </w:rPr>
            </w:pPr>
            <w:r w:rsidRPr="00572763">
              <w:rPr>
                <w:rFonts w:ascii="Arial" w:eastAsia="Calibri" w:hAnsi="Arial" w:cs="Arial"/>
                <w:sz w:val="24"/>
                <w:szCs w:val="24"/>
                <w:u w:val="single"/>
              </w:rPr>
              <w:lastRenderedPageBreak/>
              <w:t>Summary of submissions</w:t>
            </w:r>
          </w:p>
          <w:p w:rsidR="00572763" w:rsidRDefault="00572763" w:rsidP="00BA5AC5">
            <w:pPr>
              <w:spacing w:before="240" w:line="360" w:lineRule="auto"/>
              <w:jc w:val="both"/>
              <w:rPr>
                <w:rFonts w:ascii="Arial" w:eastAsia="Calibri" w:hAnsi="Arial" w:cs="Arial"/>
                <w:sz w:val="24"/>
                <w:szCs w:val="24"/>
              </w:rPr>
            </w:pPr>
            <w:r>
              <w:rPr>
                <w:rFonts w:ascii="Arial" w:eastAsia="Calibri" w:hAnsi="Arial" w:cs="Arial"/>
                <w:sz w:val="24"/>
                <w:szCs w:val="24"/>
              </w:rPr>
              <w:t>[</w:t>
            </w:r>
            <w:r w:rsidR="00BE283C">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 xml:space="preserve">Counsel for the plaintiff, Ms </w:t>
            </w:r>
            <w:proofErr w:type="spellStart"/>
            <w:r>
              <w:rPr>
                <w:rFonts w:ascii="Arial" w:eastAsia="Calibri" w:hAnsi="Arial" w:cs="Arial"/>
                <w:sz w:val="24"/>
                <w:szCs w:val="24"/>
              </w:rPr>
              <w:t>Haufiku</w:t>
            </w:r>
            <w:proofErr w:type="spellEnd"/>
            <w:r>
              <w:rPr>
                <w:rFonts w:ascii="Arial" w:eastAsia="Calibri" w:hAnsi="Arial" w:cs="Arial"/>
                <w:sz w:val="24"/>
                <w:szCs w:val="24"/>
              </w:rPr>
              <w:t xml:space="preserve"> explained</w:t>
            </w:r>
            <w:r w:rsidR="00F20678">
              <w:rPr>
                <w:rFonts w:ascii="Arial" w:eastAsia="Calibri" w:hAnsi="Arial" w:cs="Arial"/>
                <w:sz w:val="24"/>
                <w:szCs w:val="24"/>
              </w:rPr>
              <w:t xml:space="preserve"> how the plaintiff arrived at the amounts as claimed in the summary judgment. In respect of claim 1, the plaintiff on</w:t>
            </w:r>
            <w:r w:rsidR="00FB310B">
              <w:rPr>
                <w:rFonts w:ascii="Arial" w:eastAsia="Calibri" w:hAnsi="Arial" w:cs="Arial"/>
                <w:sz w:val="24"/>
                <w:szCs w:val="24"/>
              </w:rPr>
              <w:t>l</w:t>
            </w:r>
            <w:r w:rsidR="00F20678">
              <w:rPr>
                <w:rFonts w:ascii="Arial" w:eastAsia="Calibri" w:hAnsi="Arial" w:cs="Arial"/>
                <w:sz w:val="24"/>
                <w:szCs w:val="24"/>
              </w:rPr>
              <w:t>y has receipts for</w:t>
            </w:r>
            <w:r w:rsidR="00F20678" w:rsidRPr="00B271C2">
              <w:rPr>
                <w:rFonts w:ascii="Arial" w:eastAsia="Calibri" w:hAnsi="Arial" w:cs="Arial"/>
                <w:sz w:val="24"/>
                <w:szCs w:val="24"/>
              </w:rPr>
              <w:t xml:space="preserve"> N$ 112 068.29 </w:t>
            </w:r>
            <w:r w:rsidR="00F20678">
              <w:rPr>
                <w:rFonts w:ascii="Arial" w:eastAsia="Calibri" w:hAnsi="Arial" w:cs="Arial"/>
                <w:sz w:val="24"/>
                <w:szCs w:val="24"/>
              </w:rPr>
              <w:t xml:space="preserve">though the initial amount was N$ 233 208.42. As for claim </w:t>
            </w:r>
            <w:r w:rsidR="00731FDC">
              <w:rPr>
                <w:rFonts w:ascii="Arial" w:eastAsia="Calibri" w:hAnsi="Arial" w:cs="Arial"/>
                <w:sz w:val="24"/>
                <w:szCs w:val="24"/>
              </w:rPr>
              <w:t>4</w:t>
            </w:r>
            <w:r w:rsidR="00F20678">
              <w:rPr>
                <w:rFonts w:ascii="Arial" w:eastAsia="Calibri" w:hAnsi="Arial" w:cs="Arial"/>
                <w:sz w:val="24"/>
                <w:szCs w:val="24"/>
              </w:rPr>
              <w:t xml:space="preserve">, the amount claimed is calculated by deducting the cost as quoted for 28 windows minus the cost of 9 windows as quoted. </w:t>
            </w:r>
          </w:p>
          <w:p w:rsidR="00F20678" w:rsidRDefault="00F20678" w:rsidP="00BA5AC5">
            <w:pPr>
              <w:spacing w:before="24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2942A1">
              <w:rPr>
                <w:rFonts w:ascii="Arial" w:eastAsia="Calibri" w:hAnsi="Arial" w:cs="Arial"/>
                <w:sz w:val="24"/>
                <w:szCs w:val="24"/>
              </w:rPr>
              <w:t>As for the defence that was postulated, namely</w:t>
            </w:r>
            <w:r w:rsidR="00731FDC">
              <w:rPr>
                <w:rFonts w:ascii="Arial" w:eastAsia="Calibri" w:hAnsi="Arial" w:cs="Arial"/>
                <w:sz w:val="24"/>
                <w:szCs w:val="24"/>
              </w:rPr>
              <w:t>,</w:t>
            </w:r>
            <w:r w:rsidR="002942A1">
              <w:rPr>
                <w:rFonts w:ascii="Arial" w:eastAsia="Calibri" w:hAnsi="Arial" w:cs="Arial"/>
                <w:sz w:val="24"/>
                <w:szCs w:val="24"/>
              </w:rPr>
              <w:t xml:space="preserve"> that it was the plaintiff who committed </w:t>
            </w:r>
            <w:r w:rsidR="00731FDC">
              <w:rPr>
                <w:rFonts w:ascii="Arial" w:eastAsia="Calibri" w:hAnsi="Arial" w:cs="Arial"/>
                <w:sz w:val="24"/>
                <w:szCs w:val="24"/>
              </w:rPr>
              <w:t xml:space="preserve">the </w:t>
            </w:r>
            <w:r w:rsidR="002942A1">
              <w:rPr>
                <w:rFonts w:ascii="Arial" w:eastAsia="Calibri" w:hAnsi="Arial" w:cs="Arial"/>
                <w:sz w:val="24"/>
                <w:szCs w:val="24"/>
              </w:rPr>
              <w:t xml:space="preserve">breach of contract and colluded with fourth defendant, </w:t>
            </w:r>
            <w:r w:rsidR="00731FDC">
              <w:rPr>
                <w:rFonts w:ascii="Arial" w:eastAsia="Calibri" w:hAnsi="Arial" w:cs="Arial"/>
                <w:sz w:val="24"/>
                <w:szCs w:val="24"/>
              </w:rPr>
              <w:t>counsel for the plaintiff</w:t>
            </w:r>
            <w:r w:rsidR="002942A1">
              <w:rPr>
                <w:rFonts w:ascii="Arial" w:eastAsia="Calibri" w:hAnsi="Arial" w:cs="Arial"/>
                <w:sz w:val="24"/>
                <w:szCs w:val="24"/>
              </w:rPr>
              <w:t xml:space="preserve"> argued that the defence does not amount to a bona fide </w:t>
            </w:r>
            <w:proofErr w:type="spellStart"/>
            <w:r w:rsidR="002942A1">
              <w:rPr>
                <w:rFonts w:ascii="Arial" w:eastAsia="Calibri" w:hAnsi="Arial" w:cs="Arial"/>
                <w:sz w:val="24"/>
                <w:szCs w:val="24"/>
              </w:rPr>
              <w:t>defense</w:t>
            </w:r>
            <w:proofErr w:type="spellEnd"/>
            <w:r w:rsidR="002942A1">
              <w:rPr>
                <w:rFonts w:ascii="Arial" w:eastAsia="Calibri" w:hAnsi="Arial" w:cs="Arial"/>
                <w:sz w:val="24"/>
                <w:szCs w:val="24"/>
              </w:rPr>
              <w:t xml:space="preserve">. In particular </w:t>
            </w:r>
            <w:r w:rsidR="00731FDC">
              <w:rPr>
                <w:rFonts w:ascii="Arial" w:eastAsia="Calibri" w:hAnsi="Arial" w:cs="Arial"/>
                <w:sz w:val="24"/>
                <w:szCs w:val="24"/>
              </w:rPr>
              <w:t>counsel for the plaintiff</w:t>
            </w:r>
            <w:r w:rsidR="002942A1">
              <w:rPr>
                <w:rFonts w:ascii="Arial" w:eastAsia="Calibri" w:hAnsi="Arial" w:cs="Arial"/>
                <w:sz w:val="24"/>
                <w:szCs w:val="24"/>
              </w:rPr>
              <w:t xml:space="preserve"> submitted that it is not based on facts and that</w:t>
            </w:r>
            <w:r w:rsidR="00FB310B">
              <w:rPr>
                <w:rFonts w:ascii="Arial" w:eastAsia="Calibri" w:hAnsi="Arial" w:cs="Arial"/>
                <w:sz w:val="24"/>
                <w:szCs w:val="24"/>
              </w:rPr>
              <w:t xml:space="preserve"> the first, second and third defendants have not provided solid evidence thereof. </w:t>
            </w:r>
          </w:p>
          <w:p w:rsidR="004407F6" w:rsidRDefault="00FB310B" w:rsidP="00BA5AC5">
            <w:pPr>
              <w:spacing w:before="240" w:line="360" w:lineRule="auto"/>
              <w:jc w:val="both"/>
              <w:rPr>
                <w:rFonts w:ascii="Arial" w:eastAsia="Calibri" w:hAnsi="Arial" w:cs="Arial"/>
                <w:sz w:val="24"/>
                <w:szCs w:val="24"/>
              </w:rPr>
            </w:pPr>
            <w:r>
              <w:rPr>
                <w:rFonts w:ascii="Arial" w:eastAsia="Calibri" w:hAnsi="Arial" w:cs="Arial"/>
                <w:sz w:val="24"/>
                <w:szCs w:val="24"/>
              </w:rPr>
              <w:t>[</w:t>
            </w:r>
            <w:r w:rsidR="00240FCD">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4407F6">
              <w:rPr>
                <w:rFonts w:ascii="Arial" w:eastAsia="Calibri" w:hAnsi="Arial" w:cs="Arial"/>
                <w:sz w:val="24"/>
                <w:szCs w:val="24"/>
              </w:rPr>
              <w:t xml:space="preserve">Furthermore, </w:t>
            </w:r>
            <w:r w:rsidR="00ED4515">
              <w:rPr>
                <w:rFonts w:ascii="Arial" w:eastAsia="Calibri" w:hAnsi="Arial" w:cs="Arial"/>
                <w:sz w:val="24"/>
                <w:szCs w:val="24"/>
              </w:rPr>
              <w:t>the heads of argument</w:t>
            </w:r>
            <w:r w:rsidR="00731FDC">
              <w:rPr>
                <w:rFonts w:ascii="Arial" w:eastAsia="Calibri" w:hAnsi="Arial" w:cs="Arial"/>
                <w:sz w:val="24"/>
                <w:szCs w:val="24"/>
              </w:rPr>
              <w:t xml:space="preserve"> of the plaintiff</w:t>
            </w:r>
            <w:r w:rsidR="00ED4515">
              <w:rPr>
                <w:rFonts w:ascii="Arial" w:eastAsia="Calibri" w:hAnsi="Arial" w:cs="Arial"/>
                <w:sz w:val="24"/>
                <w:szCs w:val="24"/>
              </w:rPr>
              <w:t>, contain an argument that the second and third defendant grossly misused the juristic personality of the first defendant</w:t>
            </w:r>
            <w:r w:rsidR="00731FDC">
              <w:rPr>
                <w:rFonts w:ascii="Arial" w:eastAsia="Calibri" w:hAnsi="Arial" w:cs="Arial"/>
                <w:sz w:val="24"/>
                <w:szCs w:val="24"/>
              </w:rPr>
              <w:t>,</w:t>
            </w:r>
            <w:r w:rsidR="00ED4515">
              <w:rPr>
                <w:rFonts w:ascii="Arial" w:eastAsia="Calibri" w:hAnsi="Arial" w:cs="Arial"/>
                <w:sz w:val="24"/>
                <w:szCs w:val="24"/>
              </w:rPr>
              <w:t xml:space="preserve"> as a separate entity and thereby</w:t>
            </w:r>
            <w:r w:rsidR="00731FDC">
              <w:rPr>
                <w:rFonts w:ascii="Arial" w:eastAsia="Calibri" w:hAnsi="Arial" w:cs="Arial"/>
                <w:sz w:val="24"/>
                <w:szCs w:val="24"/>
              </w:rPr>
              <w:t>,</w:t>
            </w:r>
            <w:r w:rsidR="00ED4515">
              <w:rPr>
                <w:rFonts w:ascii="Arial" w:eastAsia="Calibri" w:hAnsi="Arial" w:cs="Arial"/>
                <w:sz w:val="24"/>
                <w:szCs w:val="24"/>
              </w:rPr>
              <w:t xml:space="preserve"> fraudulently induced the plaintiff into concluding a contract with the first defendant. </w:t>
            </w:r>
          </w:p>
          <w:p w:rsidR="00B442A6" w:rsidRDefault="00240FCD" w:rsidP="00BA5AC5">
            <w:pPr>
              <w:spacing w:before="240" w:line="360" w:lineRule="auto"/>
              <w:jc w:val="both"/>
              <w:rPr>
                <w:rFonts w:ascii="Arial" w:eastAsia="Calibri" w:hAnsi="Arial" w:cs="Arial"/>
                <w:sz w:val="24"/>
                <w:szCs w:val="24"/>
              </w:rPr>
            </w:pPr>
            <w:r>
              <w:rPr>
                <w:rFonts w:ascii="Arial" w:eastAsia="Calibri" w:hAnsi="Arial" w:cs="Arial"/>
                <w:sz w:val="24"/>
                <w:szCs w:val="24"/>
              </w:rPr>
              <w:t>[7</w:t>
            </w:r>
            <w:r w:rsidR="00ED4515">
              <w:rPr>
                <w:rFonts w:ascii="Arial" w:eastAsia="Calibri" w:hAnsi="Arial" w:cs="Arial"/>
                <w:sz w:val="24"/>
                <w:szCs w:val="24"/>
              </w:rPr>
              <w:t>]</w:t>
            </w:r>
            <w:r w:rsidR="00ED4515">
              <w:rPr>
                <w:rFonts w:ascii="Arial" w:eastAsia="Calibri" w:hAnsi="Arial" w:cs="Arial"/>
                <w:sz w:val="24"/>
                <w:szCs w:val="24"/>
              </w:rPr>
              <w:tab/>
            </w:r>
            <w:r w:rsidR="00FB310B">
              <w:rPr>
                <w:rFonts w:ascii="Arial" w:eastAsia="Calibri" w:hAnsi="Arial" w:cs="Arial"/>
                <w:sz w:val="24"/>
                <w:szCs w:val="24"/>
              </w:rPr>
              <w:t>Counsel for the first, second and third defendant</w:t>
            </w:r>
            <w:r w:rsidR="00731FDC">
              <w:rPr>
                <w:rFonts w:ascii="Arial" w:eastAsia="Calibri" w:hAnsi="Arial" w:cs="Arial"/>
                <w:sz w:val="24"/>
                <w:szCs w:val="24"/>
              </w:rPr>
              <w:t>s</w:t>
            </w:r>
            <w:r w:rsidR="00FB310B">
              <w:rPr>
                <w:rFonts w:ascii="Arial" w:eastAsia="Calibri" w:hAnsi="Arial" w:cs="Arial"/>
                <w:sz w:val="24"/>
                <w:szCs w:val="24"/>
              </w:rPr>
              <w:t xml:space="preserve"> </w:t>
            </w:r>
            <w:r w:rsidR="00B442A6">
              <w:rPr>
                <w:rFonts w:ascii="Arial" w:eastAsia="Calibri" w:hAnsi="Arial" w:cs="Arial"/>
                <w:sz w:val="24"/>
                <w:szCs w:val="24"/>
              </w:rPr>
              <w:t>started his arguments with the issue of a close corporation having a separate legal identity. He argued that piercing of the corporate veil cannot take place in a summary and arbitrary manner in which the plaintiff now seeks</w:t>
            </w:r>
            <w:r w:rsidR="00731FDC">
              <w:rPr>
                <w:rFonts w:ascii="Arial" w:eastAsia="Calibri" w:hAnsi="Arial" w:cs="Arial"/>
                <w:sz w:val="24"/>
                <w:szCs w:val="24"/>
              </w:rPr>
              <w:t xml:space="preserve">, </w:t>
            </w:r>
            <w:r w:rsidR="00B442A6">
              <w:rPr>
                <w:rFonts w:ascii="Arial" w:eastAsia="Calibri" w:hAnsi="Arial" w:cs="Arial"/>
                <w:sz w:val="24"/>
                <w:szCs w:val="24"/>
              </w:rPr>
              <w:t>as part of a summary judgment.</w:t>
            </w:r>
          </w:p>
          <w:p w:rsidR="00FB310B" w:rsidRDefault="00240FCD" w:rsidP="00BA5AC5">
            <w:pPr>
              <w:spacing w:before="240" w:line="360" w:lineRule="auto"/>
              <w:jc w:val="both"/>
              <w:rPr>
                <w:rFonts w:ascii="Arial" w:eastAsia="Calibri" w:hAnsi="Arial" w:cs="Arial"/>
                <w:sz w:val="24"/>
                <w:szCs w:val="24"/>
              </w:rPr>
            </w:pPr>
            <w:r>
              <w:rPr>
                <w:rFonts w:ascii="Arial" w:eastAsia="Calibri" w:hAnsi="Arial" w:cs="Arial"/>
                <w:sz w:val="24"/>
                <w:szCs w:val="24"/>
              </w:rPr>
              <w:t>[8</w:t>
            </w:r>
            <w:r w:rsidR="00B442A6">
              <w:rPr>
                <w:rFonts w:ascii="Arial" w:eastAsia="Calibri" w:hAnsi="Arial" w:cs="Arial"/>
                <w:sz w:val="24"/>
                <w:szCs w:val="24"/>
              </w:rPr>
              <w:t>]</w:t>
            </w:r>
            <w:r w:rsidR="00B442A6">
              <w:rPr>
                <w:rFonts w:ascii="Arial" w:eastAsia="Calibri" w:hAnsi="Arial" w:cs="Arial"/>
                <w:sz w:val="24"/>
                <w:szCs w:val="24"/>
              </w:rPr>
              <w:tab/>
              <w:t>He reiterated the defence postulated</w:t>
            </w:r>
            <w:r w:rsidR="00731FDC">
              <w:rPr>
                <w:rFonts w:ascii="Arial" w:eastAsia="Calibri" w:hAnsi="Arial" w:cs="Arial"/>
                <w:sz w:val="24"/>
                <w:szCs w:val="24"/>
              </w:rPr>
              <w:t xml:space="preserve"> by the latter defendants,</w:t>
            </w:r>
            <w:r w:rsidR="00B442A6">
              <w:rPr>
                <w:rFonts w:ascii="Arial" w:eastAsia="Calibri" w:hAnsi="Arial" w:cs="Arial"/>
                <w:sz w:val="24"/>
                <w:szCs w:val="24"/>
              </w:rPr>
              <w:t xml:space="preserve"> namely</w:t>
            </w:r>
            <w:r w:rsidR="00731FDC">
              <w:rPr>
                <w:rFonts w:ascii="Arial" w:eastAsia="Calibri" w:hAnsi="Arial" w:cs="Arial"/>
                <w:sz w:val="24"/>
                <w:szCs w:val="24"/>
              </w:rPr>
              <w:t>,</w:t>
            </w:r>
            <w:r w:rsidR="00B442A6">
              <w:rPr>
                <w:rFonts w:ascii="Arial" w:eastAsia="Calibri" w:hAnsi="Arial" w:cs="Arial"/>
                <w:sz w:val="24"/>
                <w:szCs w:val="24"/>
              </w:rPr>
              <w:t xml:space="preserve"> </w:t>
            </w:r>
            <w:r w:rsidR="00FB310B">
              <w:rPr>
                <w:rFonts w:ascii="Arial" w:eastAsia="Calibri" w:hAnsi="Arial" w:cs="Arial"/>
                <w:sz w:val="24"/>
                <w:szCs w:val="24"/>
              </w:rPr>
              <w:t>that it was the plaintiff who committed breach, th</w:t>
            </w:r>
            <w:r w:rsidR="00731FDC">
              <w:rPr>
                <w:rFonts w:ascii="Arial" w:eastAsia="Calibri" w:hAnsi="Arial" w:cs="Arial"/>
                <w:sz w:val="24"/>
                <w:szCs w:val="24"/>
              </w:rPr>
              <w:t>r</w:t>
            </w:r>
            <w:r w:rsidR="00FB310B">
              <w:rPr>
                <w:rFonts w:ascii="Arial" w:eastAsia="Calibri" w:hAnsi="Arial" w:cs="Arial"/>
                <w:sz w:val="24"/>
                <w:szCs w:val="24"/>
              </w:rPr>
              <w:t xml:space="preserve">ough its refusal to pay the defendants and rendered it impossible to complete the structure. </w:t>
            </w:r>
            <w:r w:rsidR="00EF17EC">
              <w:rPr>
                <w:rFonts w:ascii="Arial" w:eastAsia="Calibri" w:hAnsi="Arial" w:cs="Arial"/>
                <w:sz w:val="24"/>
                <w:szCs w:val="24"/>
              </w:rPr>
              <w:t xml:space="preserve">He referred the court to paragraphs in the answering affidavit that raise </w:t>
            </w:r>
            <w:proofErr w:type="spellStart"/>
            <w:r w:rsidR="00EF17EC">
              <w:rPr>
                <w:rFonts w:ascii="Arial" w:eastAsia="Calibri" w:hAnsi="Arial" w:cs="Arial"/>
                <w:sz w:val="24"/>
                <w:szCs w:val="24"/>
              </w:rPr>
              <w:t>triable</w:t>
            </w:r>
            <w:proofErr w:type="spellEnd"/>
            <w:r w:rsidR="00EF17EC">
              <w:rPr>
                <w:rFonts w:ascii="Arial" w:eastAsia="Calibri" w:hAnsi="Arial" w:cs="Arial"/>
                <w:sz w:val="24"/>
                <w:szCs w:val="24"/>
              </w:rPr>
              <w:t xml:space="preserve"> issues. He argued that payments </w:t>
            </w:r>
            <w:r w:rsidR="00731FDC">
              <w:rPr>
                <w:rFonts w:ascii="Arial" w:eastAsia="Calibri" w:hAnsi="Arial" w:cs="Arial"/>
                <w:sz w:val="24"/>
                <w:szCs w:val="24"/>
              </w:rPr>
              <w:t>were</w:t>
            </w:r>
            <w:r w:rsidR="00EF17EC">
              <w:rPr>
                <w:rFonts w:ascii="Arial" w:eastAsia="Calibri" w:hAnsi="Arial" w:cs="Arial"/>
                <w:sz w:val="24"/>
                <w:szCs w:val="24"/>
              </w:rPr>
              <w:t xml:space="preserve"> made by the plaintiff until August 2018 but thereafter</w:t>
            </w:r>
            <w:r w:rsidR="00731FDC">
              <w:rPr>
                <w:rFonts w:ascii="Arial" w:eastAsia="Calibri" w:hAnsi="Arial" w:cs="Arial"/>
                <w:sz w:val="24"/>
                <w:szCs w:val="24"/>
              </w:rPr>
              <w:t>,</w:t>
            </w:r>
            <w:r w:rsidR="00EF17EC">
              <w:rPr>
                <w:rFonts w:ascii="Arial" w:eastAsia="Calibri" w:hAnsi="Arial" w:cs="Arial"/>
                <w:sz w:val="24"/>
                <w:szCs w:val="24"/>
              </w:rPr>
              <w:t xml:space="preserve"> the plaintiff diverted p</w:t>
            </w:r>
            <w:r w:rsidR="00731FDC">
              <w:rPr>
                <w:rFonts w:ascii="Arial" w:eastAsia="Calibri" w:hAnsi="Arial" w:cs="Arial"/>
                <w:sz w:val="24"/>
                <w:szCs w:val="24"/>
              </w:rPr>
              <w:t xml:space="preserve">ayments to the fourth defendant, </w:t>
            </w:r>
            <w:r w:rsidR="00EF17EC">
              <w:rPr>
                <w:rFonts w:ascii="Arial" w:eastAsia="Calibri" w:hAnsi="Arial" w:cs="Arial"/>
                <w:sz w:val="24"/>
                <w:szCs w:val="24"/>
              </w:rPr>
              <w:t xml:space="preserve">builders and suppliers. </w:t>
            </w:r>
            <w:r w:rsidR="00FB310B">
              <w:rPr>
                <w:rFonts w:ascii="Arial" w:eastAsia="Calibri" w:hAnsi="Arial" w:cs="Arial"/>
                <w:sz w:val="24"/>
                <w:szCs w:val="24"/>
              </w:rPr>
              <w:t xml:space="preserve">As regards to claim </w:t>
            </w:r>
            <w:r w:rsidR="00731FDC">
              <w:rPr>
                <w:rFonts w:ascii="Arial" w:eastAsia="Calibri" w:hAnsi="Arial" w:cs="Arial"/>
                <w:sz w:val="24"/>
                <w:szCs w:val="24"/>
              </w:rPr>
              <w:t>4</w:t>
            </w:r>
            <w:r w:rsidR="00FB310B">
              <w:rPr>
                <w:rFonts w:ascii="Arial" w:eastAsia="Calibri" w:hAnsi="Arial" w:cs="Arial"/>
                <w:sz w:val="24"/>
                <w:szCs w:val="24"/>
              </w:rPr>
              <w:t>, the argument was that it was the plaintiff who colluded with the sixth respondent to give a quotation for 28 windows.</w:t>
            </w:r>
            <w:r w:rsidR="00EF17EC">
              <w:rPr>
                <w:rFonts w:ascii="Arial" w:eastAsia="Calibri" w:hAnsi="Arial" w:cs="Arial"/>
                <w:sz w:val="24"/>
                <w:szCs w:val="24"/>
              </w:rPr>
              <w:t xml:space="preserve"> He also drew attention that the period of completion is also in dispute. All these</w:t>
            </w:r>
            <w:r w:rsidR="00731FDC">
              <w:rPr>
                <w:rFonts w:ascii="Arial" w:eastAsia="Calibri" w:hAnsi="Arial" w:cs="Arial"/>
                <w:sz w:val="24"/>
                <w:szCs w:val="24"/>
              </w:rPr>
              <w:t>,</w:t>
            </w:r>
            <w:r w:rsidR="00EF17EC">
              <w:rPr>
                <w:rFonts w:ascii="Arial" w:eastAsia="Calibri" w:hAnsi="Arial" w:cs="Arial"/>
                <w:sz w:val="24"/>
                <w:szCs w:val="24"/>
              </w:rPr>
              <w:t xml:space="preserve"> he contends</w:t>
            </w:r>
            <w:r w:rsidR="00731FDC">
              <w:rPr>
                <w:rFonts w:ascii="Arial" w:eastAsia="Calibri" w:hAnsi="Arial" w:cs="Arial"/>
                <w:sz w:val="24"/>
                <w:szCs w:val="24"/>
              </w:rPr>
              <w:t>,</w:t>
            </w:r>
            <w:r w:rsidR="00EF17EC">
              <w:rPr>
                <w:rFonts w:ascii="Arial" w:eastAsia="Calibri" w:hAnsi="Arial" w:cs="Arial"/>
                <w:sz w:val="24"/>
                <w:szCs w:val="24"/>
              </w:rPr>
              <w:t xml:space="preserve"> </w:t>
            </w:r>
            <w:r w:rsidR="00EF17EC">
              <w:rPr>
                <w:rFonts w:ascii="Arial" w:eastAsia="Calibri" w:hAnsi="Arial" w:cs="Arial"/>
                <w:sz w:val="24"/>
                <w:szCs w:val="24"/>
              </w:rPr>
              <w:lastRenderedPageBreak/>
              <w:t>requires oral evidence.  He argued that this application was brought prematurely and frivolously and asks costs on a punitive scale.</w:t>
            </w:r>
          </w:p>
          <w:p w:rsidR="00240FCD" w:rsidRPr="006378E6" w:rsidRDefault="00240FCD" w:rsidP="00BA5AC5">
            <w:pPr>
              <w:spacing w:before="240" w:line="360" w:lineRule="auto"/>
              <w:jc w:val="both"/>
              <w:rPr>
                <w:rFonts w:ascii="Arial" w:eastAsia="Calibri" w:hAnsi="Arial" w:cs="Arial"/>
                <w:sz w:val="24"/>
                <w:szCs w:val="24"/>
                <w:u w:val="single"/>
              </w:rPr>
            </w:pPr>
            <w:r w:rsidRPr="006378E6">
              <w:rPr>
                <w:rFonts w:ascii="Arial" w:eastAsia="Calibri" w:hAnsi="Arial" w:cs="Arial"/>
                <w:sz w:val="24"/>
                <w:szCs w:val="24"/>
                <w:u w:val="single"/>
              </w:rPr>
              <w:t>Legal Considerations</w:t>
            </w:r>
          </w:p>
          <w:p w:rsidR="006C1280" w:rsidRPr="006C1280" w:rsidRDefault="006C1280" w:rsidP="00240FCD">
            <w:pPr>
              <w:spacing w:before="24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r>
            <w:r w:rsidR="00240FCD">
              <w:rPr>
                <w:rFonts w:ascii="Arial" w:eastAsia="Calibri" w:hAnsi="Arial" w:cs="Arial"/>
                <w:sz w:val="24"/>
                <w:szCs w:val="24"/>
              </w:rPr>
              <w:t xml:space="preserve">The granting of summary judgment is </w:t>
            </w:r>
            <w:r>
              <w:rPr>
                <w:rFonts w:ascii="Arial" w:eastAsia="Calibri" w:hAnsi="Arial" w:cs="Arial"/>
                <w:sz w:val="24"/>
                <w:szCs w:val="24"/>
              </w:rPr>
              <w:t>restricted to specified instances, such as claims:</w:t>
            </w:r>
          </w:p>
          <w:p w:rsidR="006C1280" w:rsidRPr="006C1280" w:rsidRDefault="00240FCD" w:rsidP="006C1280">
            <w:pPr>
              <w:pStyle w:val="ListParagraph"/>
              <w:numPr>
                <w:ilvl w:val="0"/>
                <w:numId w:val="2"/>
              </w:numPr>
              <w:spacing w:before="240" w:line="360" w:lineRule="auto"/>
              <w:jc w:val="both"/>
              <w:rPr>
                <w:rFonts w:ascii="Arial" w:eastAsia="Calibri" w:hAnsi="Arial" w:cs="Arial"/>
                <w:sz w:val="24"/>
                <w:szCs w:val="24"/>
              </w:rPr>
            </w:pPr>
            <w:r w:rsidRPr="006C1280">
              <w:rPr>
                <w:rFonts w:ascii="Arial" w:eastAsia="Calibri" w:hAnsi="Arial" w:cs="Arial"/>
                <w:sz w:val="24"/>
                <w:szCs w:val="24"/>
              </w:rPr>
              <w:t xml:space="preserve">based on a </w:t>
            </w:r>
            <w:r w:rsidR="00732BFA" w:rsidRPr="006C1280">
              <w:rPr>
                <w:rFonts w:ascii="Arial" w:eastAsia="Calibri" w:hAnsi="Arial" w:cs="Arial"/>
                <w:sz w:val="24"/>
                <w:szCs w:val="24"/>
              </w:rPr>
              <w:t>liquid document;</w:t>
            </w:r>
            <w:r w:rsidRPr="006C1280">
              <w:rPr>
                <w:rFonts w:ascii="Arial" w:eastAsia="Calibri" w:hAnsi="Arial" w:cs="Arial"/>
                <w:sz w:val="24"/>
                <w:szCs w:val="24"/>
              </w:rPr>
              <w:t xml:space="preserve"> </w:t>
            </w:r>
          </w:p>
          <w:p w:rsidR="006C1280" w:rsidRPr="006C1280" w:rsidRDefault="00240FCD" w:rsidP="006C1280">
            <w:pPr>
              <w:pStyle w:val="ListParagraph"/>
              <w:numPr>
                <w:ilvl w:val="0"/>
                <w:numId w:val="2"/>
              </w:numPr>
              <w:spacing w:before="240" w:line="360" w:lineRule="auto"/>
              <w:jc w:val="both"/>
              <w:rPr>
                <w:rFonts w:ascii="Arial" w:eastAsia="Calibri" w:hAnsi="Arial" w:cs="Arial"/>
                <w:sz w:val="24"/>
                <w:szCs w:val="24"/>
              </w:rPr>
            </w:pPr>
            <w:r w:rsidRPr="006C1280">
              <w:rPr>
                <w:rFonts w:ascii="Arial" w:eastAsia="Calibri" w:hAnsi="Arial" w:cs="Arial"/>
                <w:sz w:val="24"/>
                <w:szCs w:val="24"/>
              </w:rPr>
              <w:t xml:space="preserve">for </w:t>
            </w:r>
            <w:r w:rsidR="00732BFA" w:rsidRPr="006C1280">
              <w:rPr>
                <w:rFonts w:ascii="Arial" w:eastAsia="Calibri" w:hAnsi="Arial" w:cs="Arial"/>
                <w:sz w:val="24"/>
                <w:szCs w:val="24"/>
              </w:rPr>
              <w:t>a liquidated amount in money;</w:t>
            </w:r>
            <w:r w:rsidRPr="006C1280">
              <w:rPr>
                <w:rFonts w:ascii="Arial" w:eastAsia="Calibri" w:hAnsi="Arial" w:cs="Arial"/>
                <w:sz w:val="24"/>
                <w:szCs w:val="24"/>
              </w:rPr>
              <w:t xml:space="preserve"> </w:t>
            </w:r>
          </w:p>
          <w:p w:rsidR="006C1280" w:rsidRPr="006C1280" w:rsidRDefault="00240FCD" w:rsidP="006C1280">
            <w:pPr>
              <w:pStyle w:val="ListParagraph"/>
              <w:numPr>
                <w:ilvl w:val="0"/>
                <w:numId w:val="2"/>
              </w:numPr>
              <w:spacing w:before="240" w:line="360" w:lineRule="auto"/>
              <w:jc w:val="both"/>
              <w:rPr>
                <w:rFonts w:ascii="Arial" w:eastAsia="Calibri" w:hAnsi="Arial" w:cs="Arial"/>
                <w:sz w:val="24"/>
                <w:szCs w:val="24"/>
              </w:rPr>
            </w:pPr>
            <w:r w:rsidRPr="006C1280">
              <w:rPr>
                <w:rFonts w:ascii="Arial" w:eastAsia="Calibri" w:hAnsi="Arial" w:cs="Arial"/>
                <w:sz w:val="24"/>
                <w:szCs w:val="24"/>
              </w:rPr>
              <w:t>for delivery of</w:t>
            </w:r>
            <w:r w:rsidR="00732BFA" w:rsidRPr="006C1280">
              <w:rPr>
                <w:rFonts w:ascii="Arial" w:eastAsia="Calibri" w:hAnsi="Arial" w:cs="Arial"/>
                <w:sz w:val="24"/>
                <w:szCs w:val="24"/>
              </w:rPr>
              <w:t xml:space="preserve"> specified movable property;</w:t>
            </w:r>
            <w:r w:rsidR="006C1280" w:rsidRPr="006C1280">
              <w:rPr>
                <w:rFonts w:ascii="Arial" w:eastAsia="Calibri" w:hAnsi="Arial" w:cs="Arial"/>
                <w:sz w:val="24"/>
                <w:szCs w:val="24"/>
              </w:rPr>
              <w:t xml:space="preserve"> or</w:t>
            </w:r>
          </w:p>
          <w:p w:rsidR="00732BFA" w:rsidRDefault="00240FCD" w:rsidP="006C1280">
            <w:pPr>
              <w:pStyle w:val="ListParagraph"/>
              <w:numPr>
                <w:ilvl w:val="0"/>
                <w:numId w:val="3"/>
              </w:numPr>
              <w:spacing w:before="240" w:line="360" w:lineRule="auto"/>
              <w:jc w:val="both"/>
              <w:rPr>
                <w:rFonts w:ascii="Arial" w:eastAsia="Calibri" w:hAnsi="Arial" w:cs="Arial"/>
                <w:sz w:val="24"/>
                <w:szCs w:val="24"/>
              </w:rPr>
            </w:pPr>
            <w:r w:rsidRPr="006C1280">
              <w:rPr>
                <w:rFonts w:ascii="Arial" w:eastAsia="Calibri" w:hAnsi="Arial" w:cs="Arial"/>
                <w:sz w:val="24"/>
                <w:szCs w:val="24"/>
              </w:rPr>
              <w:t xml:space="preserve"> </w:t>
            </w:r>
            <w:proofErr w:type="gramStart"/>
            <w:r w:rsidRPr="006C1280">
              <w:rPr>
                <w:rFonts w:ascii="Arial" w:eastAsia="Calibri" w:hAnsi="Arial" w:cs="Arial"/>
                <w:sz w:val="24"/>
                <w:szCs w:val="24"/>
              </w:rPr>
              <w:t>for</w:t>
            </w:r>
            <w:proofErr w:type="gramEnd"/>
            <w:r w:rsidRPr="006C1280">
              <w:rPr>
                <w:rFonts w:ascii="Arial" w:eastAsia="Calibri" w:hAnsi="Arial" w:cs="Arial"/>
                <w:sz w:val="24"/>
                <w:szCs w:val="24"/>
              </w:rPr>
              <w:t xml:space="preserve"> </w:t>
            </w:r>
            <w:r w:rsidR="00736CAA">
              <w:rPr>
                <w:rFonts w:ascii="Arial" w:eastAsia="Calibri" w:hAnsi="Arial" w:cs="Arial"/>
                <w:sz w:val="24"/>
                <w:szCs w:val="24"/>
              </w:rPr>
              <w:t>ejectment.</w:t>
            </w:r>
          </w:p>
          <w:p w:rsidR="00736CAA" w:rsidRPr="006C1280" w:rsidRDefault="00736CAA" w:rsidP="00736CAA">
            <w:pPr>
              <w:pStyle w:val="ListParagraph"/>
              <w:spacing w:before="240" w:line="360" w:lineRule="auto"/>
              <w:jc w:val="both"/>
              <w:rPr>
                <w:rFonts w:ascii="Arial" w:eastAsia="Calibri" w:hAnsi="Arial" w:cs="Arial"/>
                <w:sz w:val="24"/>
                <w:szCs w:val="24"/>
              </w:rPr>
            </w:pPr>
          </w:p>
          <w:p w:rsidR="00736CAA" w:rsidRPr="003F6B59" w:rsidRDefault="006C1280" w:rsidP="006C1280">
            <w:pPr>
              <w:pStyle w:val="ListParagraph"/>
              <w:spacing w:before="240" w:line="360" w:lineRule="auto"/>
              <w:ind w:left="0"/>
              <w:contextualSpacing w:val="0"/>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r>
            <w:r w:rsidR="005B5A1D">
              <w:rPr>
                <w:rFonts w:ascii="Arial" w:eastAsia="Calibri" w:hAnsi="Arial" w:cs="Arial"/>
                <w:sz w:val="24"/>
                <w:szCs w:val="24"/>
              </w:rPr>
              <w:t xml:space="preserve">It is trite that ‘summary judgment is based on a trite argument </w:t>
            </w:r>
            <w:r w:rsidR="005B5A1D" w:rsidRPr="005B5A1D">
              <w:rPr>
                <w:rFonts w:ascii="Arial" w:eastAsia="Calibri" w:hAnsi="Arial" w:cs="Arial"/>
                <w:sz w:val="24"/>
                <w:szCs w:val="24"/>
              </w:rPr>
              <w:t xml:space="preserve">that there are no </w:t>
            </w:r>
            <w:proofErr w:type="spellStart"/>
            <w:r w:rsidR="005B5A1D" w:rsidRPr="005B5A1D">
              <w:rPr>
                <w:rFonts w:ascii="Arial" w:eastAsia="Calibri" w:hAnsi="Arial" w:cs="Arial"/>
                <w:sz w:val="24"/>
                <w:szCs w:val="24"/>
              </w:rPr>
              <w:t>triable</w:t>
            </w:r>
            <w:proofErr w:type="spellEnd"/>
            <w:r w:rsidR="005B5A1D" w:rsidRPr="005B5A1D">
              <w:rPr>
                <w:rFonts w:ascii="Arial" w:eastAsia="Calibri" w:hAnsi="Arial" w:cs="Arial"/>
                <w:sz w:val="24"/>
                <w:szCs w:val="24"/>
              </w:rPr>
              <w:t xml:space="preserve"> issues of fact and the motion is initiated by a plaintiff that contends that all the necessary factual issues are settled and, therefore, need not be tried.  If there are </w:t>
            </w:r>
            <w:proofErr w:type="spellStart"/>
            <w:r w:rsidR="005B5A1D" w:rsidRPr="005B5A1D">
              <w:rPr>
                <w:rFonts w:ascii="Arial" w:eastAsia="Calibri" w:hAnsi="Arial" w:cs="Arial"/>
                <w:sz w:val="24"/>
                <w:szCs w:val="24"/>
              </w:rPr>
              <w:t>triable</w:t>
            </w:r>
            <w:proofErr w:type="spellEnd"/>
            <w:r w:rsidR="005B5A1D" w:rsidRPr="005B5A1D">
              <w:rPr>
                <w:rFonts w:ascii="Arial" w:eastAsia="Calibri" w:hAnsi="Arial" w:cs="Arial"/>
                <w:sz w:val="24"/>
                <w:szCs w:val="24"/>
              </w:rPr>
              <w:t xml:space="preserve"> issues of fact in any cause of action or if it is unclear whether there are such </w:t>
            </w:r>
            <w:proofErr w:type="spellStart"/>
            <w:r w:rsidR="005B5A1D" w:rsidRPr="005B5A1D">
              <w:rPr>
                <w:rFonts w:ascii="Arial" w:eastAsia="Calibri" w:hAnsi="Arial" w:cs="Arial"/>
                <w:sz w:val="24"/>
                <w:szCs w:val="24"/>
              </w:rPr>
              <w:t>triable</w:t>
            </w:r>
            <w:proofErr w:type="spellEnd"/>
            <w:r w:rsidR="005B5A1D" w:rsidRPr="005B5A1D">
              <w:rPr>
                <w:rFonts w:ascii="Arial" w:eastAsia="Calibri" w:hAnsi="Arial" w:cs="Arial"/>
                <w:sz w:val="24"/>
                <w:szCs w:val="24"/>
              </w:rPr>
              <w:t xml:space="preserve"> issues, summary judgment must be refused as to that cause of action.</w:t>
            </w:r>
            <w:r w:rsidR="005B5A1D" w:rsidRPr="003F6B59">
              <w:rPr>
                <w:rFonts w:ascii="Arial" w:eastAsia="Calibri" w:hAnsi="Arial" w:cs="Arial"/>
                <w:sz w:val="24"/>
                <w:szCs w:val="24"/>
              </w:rPr>
              <w:t>’</w:t>
            </w:r>
            <w:r w:rsidR="005B5A1D">
              <w:rPr>
                <w:rStyle w:val="FootnoteReference"/>
                <w:rFonts w:ascii="Arial" w:eastAsia="Calibri" w:hAnsi="Arial" w:cs="Arial"/>
                <w:sz w:val="24"/>
                <w:szCs w:val="24"/>
              </w:rPr>
              <w:footnoteReference w:id="1"/>
            </w:r>
          </w:p>
          <w:p w:rsidR="005B5A1D" w:rsidRPr="003F6B59" w:rsidRDefault="006C1280" w:rsidP="006C1280">
            <w:pPr>
              <w:pStyle w:val="ListParagraph"/>
              <w:spacing w:before="240" w:line="360" w:lineRule="auto"/>
              <w:ind w:left="0"/>
              <w:contextualSpacing w:val="0"/>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r>
            <w:r w:rsidR="005B5A1D">
              <w:rPr>
                <w:rFonts w:ascii="Arial" w:eastAsia="Calibri" w:hAnsi="Arial" w:cs="Arial"/>
                <w:sz w:val="24"/>
                <w:szCs w:val="24"/>
              </w:rPr>
              <w:t xml:space="preserve">Furthermore, </w:t>
            </w:r>
            <w:r>
              <w:rPr>
                <w:rFonts w:ascii="Arial" w:eastAsia="Calibri" w:hAnsi="Arial" w:cs="Arial"/>
                <w:sz w:val="24"/>
                <w:szCs w:val="24"/>
              </w:rPr>
              <w:t xml:space="preserve">there are different ways in which a defendant can avert </w:t>
            </w:r>
            <w:r w:rsidR="005B5A1D">
              <w:rPr>
                <w:rFonts w:ascii="Arial" w:eastAsia="Calibri" w:hAnsi="Arial" w:cs="Arial"/>
                <w:sz w:val="24"/>
                <w:szCs w:val="24"/>
              </w:rPr>
              <w:t xml:space="preserve">the </w:t>
            </w:r>
            <w:r>
              <w:rPr>
                <w:rFonts w:ascii="Arial" w:eastAsia="Calibri" w:hAnsi="Arial" w:cs="Arial"/>
                <w:sz w:val="24"/>
                <w:szCs w:val="24"/>
              </w:rPr>
              <w:t>granting of summary judgment. One of them is by deposing</w:t>
            </w:r>
            <w:r w:rsidR="00731FDC">
              <w:rPr>
                <w:rFonts w:ascii="Arial" w:eastAsia="Calibri" w:hAnsi="Arial" w:cs="Arial"/>
                <w:sz w:val="24"/>
                <w:szCs w:val="24"/>
              </w:rPr>
              <w:t xml:space="preserve"> to</w:t>
            </w:r>
            <w:r>
              <w:rPr>
                <w:rFonts w:ascii="Arial" w:eastAsia="Calibri" w:hAnsi="Arial" w:cs="Arial"/>
                <w:sz w:val="24"/>
                <w:szCs w:val="24"/>
              </w:rPr>
              <w:t xml:space="preserve"> an affidavit, which, if true would amount to a defence. </w:t>
            </w:r>
            <w:r w:rsidR="00065A94">
              <w:rPr>
                <w:rFonts w:ascii="Arial" w:eastAsia="Calibri" w:hAnsi="Arial" w:cs="Arial"/>
                <w:sz w:val="24"/>
                <w:szCs w:val="24"/>
              </w:rPr>
              <w:t xml:space="preserve">In order to persuade the court, the affidavit needs to meet certain requirements. In that respect it was stated in </w:t>
            </w:r>
            <w:r w:rsidR="005B5A1D" w:rsidRPr="00F42267">
              <w:rPr>
                <w:rFonts w:ascii="Arial" w:eastAsia="Times New Roman" w:hAnsi="Arial" w:cs="Arial"/>
                <w:i/>
                <w:sz w:val="24"/>
                <w:szCs w:val="24"/>
              </w:rPr>
              <w:t>D</w:t>
            </w:r>
            <w:r w:rsidR="00065A94">
              <w:rPr>
                <w:rFonts w:ascii="Arial" w:eastAsia="Times New Roman" w:hAnsi="Arial" w:cs="Arial"/>
                <w:i/>
                <w:sz w:val="24"/>
                <w:szCs w:val="24"/>
              </w:rPr>
              <w:t>e</w:t>
            </w:r>
            <w:r w:rsidR="005B5A1D" w:rsidRPr="00F42267">
              <w:rPr>
                <w:rFonts w:ascii="Arial" w:eastAsia="Times New Roman" w:hAnsi="Arial" w:cs="Arial"/>
                <w:i/>
                <w:sz w:val="24"/>
                <w:szCs w:val="24"/>
              </w:rPr>
              <w:t xml:space="preserve"> </w:t>
            </w:r>
            <w:proofErr w:type="spellStart"/>
            <w:r w:rsidR="005B5A1D" w:rsidRPr="00F42267">
              <w:rPr>
                <w:rFonts w:ascii="Arial" w:eastAsia="Times New Roman" w:hAnsi="Arial" w:cs="Arial"/>
                <w:i/>
                <w:sz w:val="24"/>
                <w:szCs w:val="24"/>
              </w:rPr>
              <w:t>Savino</w:t>
            </w:r>
            <w:proofErr w:type="spellEnd"/>
            <w:r w:rsidR="005B5A1D" w:rsidRPr="00F42267">
              <w:rPr>
                <w:rFonts w:ascii="Arial" w:eastAsia="Times New Roman" w:hAnsi="Arial" w:cs="Arial"/>
                <w:i/>
                <w:sz w:val="24"/>
                <w:szCs w:val="24"/>
              </w:rPr>
              <w:t xml:space="preserve"> v Nedbank Namibia Ltd</w:t>
            </w:r>
            <w:r w:rsidR="005B5A1D" w:rsidRPr="00F42267">
              <w:rPr>
                <w:rStyle w:val="FootnoteReference"/>
                <w:rFonts w:ascii="Arial" w:eastAsia="Times New Roman" w:hAnsi="Arial" w:cs="Arial"/>
                <w:i/>
                <w:sz w:val="24"/>
                <w:szCs w:val="24"/>
              </w:rPr>
              <w:footnoteReference w:id="2"/>
            </w:r>
            <w:r w:rsidR="00065A94">
              <w:rPr>
                <w:rFonts w:ascii="Arial" w:eastAsia="Times New Roman" w:hAnsi="Arial" w:cs="Arial"/>
                <w:iCs/>
                <w:sz w:val="24"/>
                <w:szCs w:val="24"/>
              </w:rPr>
              <w:t xml:space="preserve"> that:</w:t>
            </w:r>
          </w:p>
          <w:p w:rsidR="003F6B59" w:rsidRPr="003F6B59" w:rsidRDefault="00731FDC" w:rsidP="00C6012B">
            <w:pPr>
              <w:spacing w:line="380" w:lineRule="atLeast"/>
              <w:ind w:firstLine="720"/>
              <w:jc w:val="both"/>
              <w:rPr>
                <w:rFonts w:ascii="Arial" w:eastAsia="Times New Roman" w:hAnsi="Arial" w:cs="Arial"/>
                <w:lang w:val="en-US"/>
              </w:rPr>
            </w:pPr>
            <w:r>
              <w:rPr>
                <w:rFonts w:ascii="Arial" w:eastAsia="Times New Roman" w:hAnsi="Arial" w:cs="Arial"/>
                <w:lang w:val="en-US"/>
              </w:rPr>
              <w:t>‘…</w:t>
            </w:r>
            <w:r w:rsidR="003F6B59" w:rsidRPr="003F6B59">
              <w:rPr>
                <w:rFonts w:ascii="Arial" w:eastAsia="Times New Roman" w:hAnsi="Arial" w:cs="Arial"/>
                <w:lang w:val="en-US"/>
              </w:rPr>
              <w:t xml:space="preserve">the affidavit must 'disclose fully the nature and grounds of the </w:t>
            </w:r>
            <w:proofErr w:type="spellStart"/>
            <w:r w:rsidR="003F6B59" w:rsidRPr="003F6B59">
              <w:rPr>
                <w:rFonts w:ascii="Arial" w:eastAsia="Times New Roman" w:hAnsi="Arial" w:cs="Arial"/>
                <w:lang w:val="en-US"/>
              </w:rPr>
              <w:t>defence</w:t>
            </w:r>
            <w:proofErr w:type="spellEnd"/>
            <w:r w:rsidR="003F6B59" w:rsidRPr="003F6B59">
              <w:rPr>
                <w:rFonts w:ascii="Arial" w:eastAsia="Times New Roman" w:hAnsi="Arial" w:cs="Arial"/>
                <w:lang w:val="en-US"/>
              </w:rPr>
              <w:t xml:space="preserve"> and the material facts relied upon therefor'. Where the </w:t>
            </w:r>
            <w:proofErr w:type="spellStart"/>
            <w:r w:rsidR="003F6B59" w:rsidRPr="003F6B59">
              <w:rPr>
                <w:rFonts w:ascii="Arial" w:eastAsia="Times New Roman" w:hAnsi="Arial" w:cs="Arial"/>
                <w:lang w:val="en-US"/>
              </w:rPr>
              <w:t>defence</w:t>
            </w:r>
            <w:proofErr w:type="spellEnd"/>
            <w:r w:rsidR="003F6B59" w:rsidRPr="003F6B59">
              <w:rPr>
                <w:rFonts w:ascii="Arial" w:eastAsia="Times New Roman" w:hAnsi="Arial" w:cs="Arial"/>
                <w:lang w:val="en-US"/>
              </w:rPr>
              <w:t xml:space="preserve"> is based upon facts and the material facts alleged by the plaintiff are disputed or where the defendant alleges new facts, the duty of the court is not to attempt to resolve these issues or to determin</w:t>
            </w:r>
            <w:r>
              <w:rPr>
                <w:rFonts w:ascii="Arial" w:eastAsia="Times New Roman" w:hAnsi="Arial" w:cs="Arial"/>
                <w:lang w:val="en-US"/>
              </w:rPr>
              <w:t>e where the probabilities lie.</w:t>
            </w:r>
          </w:p>
          <w:p w:rsidR="003F6B59" w:rsidRPr="003F6B59" w:rsidRDefault="003F6B59" w:rsidP="00C6012B">
            <w:pPr>
              <w:spacing w:line="380" w:lineRule="atLeast"/>
              <w:ind w:firstLine="720"/>
              <w:jc w:val="both"/>
              <w:rPr>
                <w:rFonts w:ascii="Arial" w:eastAsia="Times New Roman" w:hAnsi="Arial" w:cs="Arial"/>
                <w:lang w:val="en-US"/>
              </w:rPr>
            </w:pPr>
          </w:p>
          <w:p w:rsidR="003F6B59" w:rsidRPr="003F6B59" w:rsidRDefault="003F6B59" w:rsidP="00C6012B">
            <w:pPr>
              <w:spacing w:line="380" w:lineRule="atLeast"/>
              <w:jc w:val="both"/>
              <w:rPr>
                <w:rFonts w:ascii="Arial" w:eastAsia="Times New Roman" w:hAnsi="Arial" w:cs="Arial"/>
                <w:lang w:val="en-US"/>
              </w:rPr>
            </w:pPr>
            <w:r w:rsidRPr="003F6B59">
              <w:rPr>
                <w:rFonts w:ascii="Arial" w:eastAsia="Times New Roman" w:hAnsi="Arial" w:cs="Arial"/>
                <w:lang w:val="en-US"/>
              </w:rPr>
              <w:t>[24] The enquiry that the court must conduct is foreshadowed in rule 32(3) (</w:t>
            </w:r>
            <w:r w:rsidRPr="00731FDC">
              <w:rPr>
                <w:rFonts w:ascii="Arial" w:eastAsia="Times New Roman" w:hAnsi="Arial" w:cs="Arial"/>
                <w:i/>
                <w:lang w:val="en-US"/>
              </w:rPr>
              <w:t>b</w:t>
            </w:r>
            <w:r w:rsidRPr="003F6B59">
              <w:rPr>
                <w:rFonts w:ascii="Arial" w:eastAsia="Times New Roman" w:hAnsi="Arial" w:cs="Arial"/>
                <w:lang w:val="en-US"/>
              </w:rPr>
              <w:t xml:space="preserve">) and it is this: first, has the defendant 'fully' disclosed the nature and grounds of the </w:t>
            </w:r>
            <w:proofErr w:type="spellStart"/>
            <w:r w:rsidRPr="003F6B59">
              <w:rPr>
                <w:rFonts w:ascii="Arial" w:eastAsia="Times New Roman" w:hAnsi="Arial" w:cs="Arial"/>
                <w:lang w:val="en-US"/>
              </w:rPr>
              <w:t>defence</w:t>
            </w:r>
            <w:proofErr w:type="spellEnd"/>
            <w:r w:rsidRPr="003F6B59">
              <w:rPr>
                <w:rFonts w:ascii="Arial" w:eastAsia="Times New Roman" w:hAnsi="Arial" w:cs="Arial"/>
                <w:lang w:val="en-US"/>
              </w:rPr>
              <w:t xml:space="preserve"> to be raised in the action </w:t>
            </w:r>
            <w:r w:rsidRPr="003F6B59">
              <w:rPr>
                <w:rFonts w:ascii="Arial" w:eastAsia="Times New Roman" w:hAnsi="Arial" w:cs="Arial"/>
                <w:lang w:val="en-US"/>
              </w:rPr>
              <w:lastRenderedPageBreak/>
              <w:t xml:space="preserve">and the material facts upon which it is founded; and, second, on the facts disclosed in the affidavit, does the defendant appear to have, as to either the whole or part of the claim, a </w:t>
            </w:r>
            <w:proofErr w:type="spellStart"/>
            <w:r w:rsidRPr="003F6B59">
              <w:rPr>
                <w:rFonts w:ascii="Arial" w:eastAsia="Times New Roman" w:hAnsi="Arial" w:cs="Arial"/>
                <w:lang w:val="en-US"/>
              </w:rPr>
              <w:t>defence</w:t>
            </w:r>
            <w:proofErr w:type="spellEnd"/>
            <w:r w:rsidRPr="003F6B59">
              <w:rPr>
                <w:rFonts w:ascii="Arial" w:eastAsia="Times New Roman" w:hAnsi="Arial" w:cs="Arial"/>
                <w:lang w:val="en-US"/>
              </w:rPr>
              <w:t xml:space="preserve"> which is bona fide and good in law</w:t>
            </w:r>
            <w:r w:rsidRPr="003F6B59">
              <w:rPr>
                <w:rFonts w:ascii="Arial" w:eastAsia="Times New Roman" w:hAnsi="Arial" w:cs="Arial"/>
                <w:vertAlign w:val="superscript"/>
                <w:lang w:val="en-US"/>
              </w:rPr>
              <w:footnoteReference w:id="3"/>
            </w:r>
            <w:r w:rsidRPr="003F6B59">
              <w:rPr>
                <w:rFonts w:ascii="Arial" w:eastAsia="Times New Roman" w:hAnsi="Arial" w:cs="Arial"/>
                <w:lang w:val="en-US"/>
              </w:rPr>
              <w:t>.   If the court is satisfied with these two grounds, it must refuse summary judgment, either in relation to the whole or part of the claim, as the case may be.</w:t>
            </w:r>
          </w:p>
          <w:p w:rsidR="003F6B59" w:rsidRPr="003F6B59" w:rsidRDefault="003F6B59" w:rsidP="00C6012B">
            <w:pPr>
              <w:spacing w:line="380" w:lineRule="atLeast"/>
              <w:jc w:val="both"/>
              <w:rPr>
                <w:rFonts w:ascii="Arial" w:eastAsia="Times New Roman" w:hAnsi="Arial" w:cs="Arial"/>
                <w:lang w:val="en-US"/>
              </w:rPr>
            </w:pPr>
          </w:p>
          <w:p w:rsidR="003F6B59" w:rsidRPr="003F6B59" w:rsidRDefault="003F6B59" w:rsidP="00C6012B">
            <w:pPr>
              <w:pStyle w:val="ListParagraph"/>
              <w:spacing w:before="240" w:line="360" w:lineRule="auto"/>
              <w:ind w:left="0"/>
              <w:contextualSpacing w:val="0"/>
              <w:jc w:val="both"/>
              <w:rPr>
                <w:rFonts w:ascii="Arial" w:eastAsia="Calibri" w:hAnsi="Arial" w:cs="Arial"/>
              </w:rPr>
            </w:pPr>
            <w:r w:rsidRPr="003F6B59">
              <w:rPr>
                <w:rFonts w:ascii="Arial" w:eastAsia="Times New Roman" w:hAnsi="Arial" w:cs="Arial"/>
                <w:lang w:val="en-US"/>
              </w:rPr>
              <w:t xml:space="preserve">[25] While the defendant is not required to deal 'exhaustively with the facts and the evidence relied upon to substantiate them', the defendant must at least disclose the </w:t>
            </w:r>
            <w:proofErr w:type="spellStart"/>
            <w:r w:rsidRPr="003F6B59">
              <w:rPr>
                <w:rFonts w:ascii="Arial" w:eastAsia="Times New Roman" w:hAnsi="Arial" w:cs="Arial"/>
                <w:lang w:val="en-US"/>
              </w:rPr>
              <w:t>defence</w:t>
            </w:r>
            <w:proofErr w:type="spellEnd"/>
            <w:r w:rsidRPr="003F6B59">
              <w:rPr>
                <w:rFonts w:ascii="Arial" w:eastAsia="Times New Roman" w:hAnsi="Arial" w:cs="Arial"/>
                <w:lang w:val="en-US"/>
              </w:rPr>
              <w:t xml:space="preserve"> to be raised and the material facts upon which it is based 'with sufficient particularity and completeness to enable the Court to decide whether the affidavit discloses a bona fide </w:t>
            </w:r>
            <w:proofErr w:type="spellStart"/>
            <w:r w:rsidRPr="003F6B59">
              <w:rPr>
                <w:rFonts w:ascii="Arial" w:eastAsia="Times New Roman" w:hAnsi="Arial" w:cs="Arial"/>
                <w:lang w:val="en-US"/>
              </w:rPr>
              <w:t>defence</w:t>
            </w:r>
            <w:proofErr w:type="spellEnd"/>
            <w:r w:rsidRPr="003F6B59">
              <w:rPr>
                <w:rFonts w:ascii="Arial" w:eastAsia="Times New Roman" w:hAnsi="Arial" w:cs="Arial"/>
                <w:lang w:val="en-US"/>
              </w:rPr>
              <w:t>'</w:t>
            </w:r>
            <w:r w:rsidRPr="003F6B59">
              <w:rPr>
                <w:rFonts w:ascii="Arial" w:eastAsia="Times New Roman" w:hAnsi="Arial" w:cs="Arial"/>
                <w:vertAlign w:val="superscript"/>
                <w:lang w:val="en-US"/>
              </w:rPr>
              <w:footnoteReference w:id="4"/>
            </w:r>
            <w:r w:rsidRPr="003F6B59">
              <w:rPr>
                <w:rFonts w:ascii="Arial" w:eastAsia="Times New Roman" w:hAnsi="Arial" w:cs="Arial"/>
                <w:lang w:val="en-US"/>
              </w:rPr>
              <w:t xml:space="preserve">.  Where the statements of fact are ambiguous or fail to canvass matters essential to the </w:t>
            </w:r>
            <w:proofErr w:type="spellStart"/>
            <w:r w:rsidRPr="003F6B59">
              <w:rPr>
                <w:rFonts w:ascii="Arial" w:eastAsia="Times New Roman" w:hAnsi="Arial" w:cs="Arial"/>
                <w:lang w:val="en-US"/>
              </w:rPr>
              <w:t>defence</w:t>
            </w:r>
            <w:proofErr w:type="spellEnd"/>
            <w:r w:rsidRPr="003F6B59">
              <w:rPr>
                <w:rFonts w:ascii="Arial" w:eastAsia="Times New Roman" w:hAnsi="Arial" w:cs="Arial"/>
                <w:lang w:val="en-US"/>
              </w:rPr>
              <w:t xml:space="preserve"> raised, then the affidavit does not comply with the rule.’</w:t>
            </w:r>
          </w:p>
          <w:p w:rsidR="00FF6DBC" w:rsidRPr="00FF6DBC" w:rsidRDefault="00FF6DBC" w:rsidP="00FF6DBC">
            <w:pPr>
              <w:spacing w:line="360" w:lineRule="auto"/>
              <w:jc w:val="both"/>
              <w:rPr>
                <w:rFonts w:ascii="Arial" w:eastAsia="Calibri" w:hAnsi="Arial" w:cs="Arial"/>
                <w:sz w:val="24"/>
                <w:szCs w:val="24"/>
                <w:lang w:val="en-US"/>
              </w:rPr>
            </w:pPr>
          </w:p>
          <w:p w:rsidR="00FF6DBC" w:rsidRDefault="006378E6" w:rsidP="00FF6DBC">
            <w:pPr>
              <w:spacing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r>
            <w:r w:rsidR="006D122E">
              <w:rPr>
                <w:rFonts w:ascii="Arial" w:eastAsia="Calibri" w:hAnsi="Arial" w:cs="Arial"/>
                <w:sz w:val="24"/>
                <w:szCs w:val="24"/>
              </w:rPr>
              <w:t>Having considered the claims and the defence,</w:t>
            </w:r>
            <w:r w:rsidR="00D9270F">
              <w:rPr>
                <w:rFonts w:ascii="Arial" w:eastAsia="Calibri" w:hAnsi="Arial" w:cs="Arial"/>
                <w:sz w:val="24"/>
                <w:szCs w:val="24"/>
              </w:rPr>
              <w:t xml:space="preserve"> clearly there are </w:t>
            </w:r>
            <w:proofErr w:type="spellStart"/>
            <w:r w:rsidR="00D9270F">
              <w:rPr>
                <w:rFonts w:ascii="Arial" w:eastAsia="Calibri" w:hAnsi="Arial" w:cs="Arial"/>
                <w:sz w:val="24"/>
                <w:szCs w:val="24"/>
              </w:rPr>
              <w:t>triable</w:t>
            </w:r>
            <w:proofErr w:type="spellEnd"/>
            <w:r w:rsidR="00D9270F">
              <w:rPr>
                <w:rFonts w:ascii="Arial" w:eastAsia="Calibri" w:hAnsi="Arial" w:cs="Arial"/>
                <w:sz w:val="24"/>
                <w:szCs w:val="24"/>
              </w:rPr>
              <w:t xml:space="preserve"> issues </w:t>
            </w:r>
            <w:r w:rsidR="009671C8">
              <w:rPr>
                <w:rFonts w:ascii="Arial" w:eastAsia="Calibri" w:hAnsi="Arial" w:cs="Arial"/>
                <w:sz w:val="24"/>
                <w:szCs w:val="24"/>
              </w:rPr>
              <w:t>for adjudication. T</w:t>
            </w:r>
            <w:r w:rsidR="006D122E">
              <w:rPr>
                <w:rFonts w:ascii="Arial" w:eastAsia="Calibri" w:hAnsi="Arial" w:cs="Arial"/>
                <w:sz w:val="24"/>
                <w:szCs w:val="24"/>
              </w:rPr>
              <w:t>his court is satisfied that the answering affidavit</w:t>
            </w:r>
            <w:r w:rsidR="00D9270F">
              <w:rPr>
                <w:rFonts w:ascii="Arial" w:eastAsia="Calibri" w:hAnsi="Arial" w:cs="Arial"/>
                <w:sz w:val="24"/>
                <w:szCs w:val="24"/>
              </w:rPr>
              <w:t xml:space="preserve"> and its annexures</w:t>
            </w:r>
            <w:r w:rsidR="006D122E">
              <w:rPr>
                <w:rFonts w:ascii="Arial" w:eastAsia="Calibri" w:hAnsi="Arial" w:cs="Arial"/>
                <w:sz w:val="24"/>
                <w:szCs w:val="24"/>
              </w:rPr>
              <w:t xml:space="preserve"> ha</w:t>
            </w:r>
            <w:r w:rsidR="00D9270F">
              <w:rPr>
                <w:rFonts w:ascii="Arial" w:eastAsia="Calibri" w:hAnsi="Arial" w:cs="Arial"/>
                <w:sz w:val="24"/>
                <w:szCs w:val="24"/>
              </w:rPr>
              <w:t>ve</w:t>
            </w:r>
            <w:r w:rsidR="006D122E">
              <w:rPr>
                <w:rFonts w:ascii="Arial" w:eastAsia="Calibri" w:hAnsi="Arial" w:cs="Arial"/>
                <w:sz w:val="24"/>
                <w:szCs w:val="24"/>
              </w:rPr>
              <w:t xml:space="preserve"> disclosed a factual basis sufficient ‘which will enable </w:t>
            </w:r>
            <w:r w:rsidR="00731FDC">
              <w:rPr>
                <w:rFonts w:ascii="Arial" w:eastAsia="Calibri" w:hAnsi="Arial" w:cs="Arial"/>
                <w:sz w:val="24"/>
                <w:szCs w:val="24"/>
              </w:rPr>
              <w:t>the</w:t>
            </w:r>
            <w:r w:rsidR="006D122E">
              <w:rPr>
                <w:rFonts w:ascii="Arial" w:eastAsia="Calibri" w:hAnsi="Arial" w:cs="Arial"/>
                <w:sz w:val="24"/>
                <w:szCs w:val="24"/>
              </w:rPr>
              <w:t xml:space="preserve"> court to say that there was some reasonable possibility, that something will emerge at the trial, and that the defendant would be able to establish its defences’</w:t>
            </w:r>
            <w:r w:rsidR="00731FDC">
              <w:rPr>
                <w:rFonts w:ascii="Arial" w:eastAsia="Calibri" w:hAnsi="Arial" w:cs="Arial"/>
                <w:sz w:val="24"/>
                <w:szCs w:val="24"/>
              </w:rPr>
              <w:t>.</w:t>
            </w:r>
            <w:r w:rsidR="006D122E">
              <w:rPr>
                <w:rStyle w:val="FootnoteReference"/>
                <w:rFonts w:ascii="Arial" w:eastAsia="Calibri" w:hAnsi="Arial" w:cs="Arial"/>
                <w:sz w:val="24"/>
                <w:szCs w:val="24"/>
              </w:rPr>
              <w:footnoteReference w:id="5"/>
            </w:r>
            <w:r w:rsidR="006D122E">
              <w:rPr>
                <w:rFonts w:ascii="Arial" w:eastAsia="Calibri" w:hAnsi="Arial" w:cs="Arial"/>
                <w:sz w:val="24"/>
                <w:szCs w:val="24"/>
              </w:rPr>
              <w:t xml:space="preserve"> </w:t>
            </w:r>
          </w:p>
          <w:p w:rsidR="00FC09B3" w:rsidRDefault="00FC09B3" w:rsidP="00FF6DBC">
            <w:pPr>
              <w:spacing w:line="360" w:lineRule="auto"/>
              <w:jc w:val="both"/>
              <w:rPr>
                <w:rFonts w:ascii="Arial" w:eastAsia="Calibri" w:hAnsi="Arial" w:cs="Arial"/>
                <w:sz w:val="24"/>
                <w:szCs w:val="24"/>
              </w:rPr>
            </w:pPr>
          </w:p>
          <w:p w:rsidR="00FF6DBC" w:rsidRDefault="00FC09B3" w:rsidP="00FC09B3">
            <w:pPr>
              <w:spacing w:line="360" w:lineRule="auto"/>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t>In addition, I concur with counsel for the defendant that counsel for the plaintiff is mistaken insofar as she believe</w:t>
            </w:r>
            <w:r w:rsidR="009671C8">
              <w:rPr>
                <w:rFonts w:ascii="Arial" w:eastAsia="Calibri" w:hAnsi="Arial" w:cs="Arial"/>
                <w:sz w:val="24"/>
                <w:szCs w:val="24"/>
              </w:rPr>
              <w:t>d</w:t>
            </w:r>
            <w:r>
              <w:rPr>
                <w:rFonts w:ascii="Arial" w:eastAsia="Calibri" w:hAnsi="Arial" w:cs="Arial"/>
                <w:sz w:val="24"/>
                <w:szCs w:val="24"/>
              </w:rPr>
              <w:t xml:space="preserve"> that it was appropriate to include a prayer for piercing of the corporate veil in a summary judgment application. </w:t>
            </w:r>
          </w:p>
          <w:p w:rsidR="00FC09B3" w:rsidRDefault="00FC09B3" w:rsidP="00FC09B3">
            <w:pPr>
              <w:spacing w:line="360" w:lineRule="auto"/>
              <w:jc w:val="both"/>
              <w:rPr>
                <w:rFonts w:ascii="Arial" w:eastAsia="Calibri" w:hAnsi="Arial" w:cs="Arial"/>
                <w:sz w:val="24"/>
                <w:szCs w:val="24"/>
              </w:rPr>
            </w:pPr>
          </w:p>
          <w:p w:rsidR="00FC09B3" w:rsidRDefault="00FC09B3" w:rsidP="00FC09B3">
            <w:pPr>
              <w:spacing w:line="360" w:lineRule="auto"/>
              <w:jc w:val="both"/>
              <w:rPr>
                <w:rFonts w:ascii="Arial" w:eastAsia="Calibri" w:hAnsi="Arial" w:cs="Arial"/>
                <w:sz w:val="24"/>
                <w:szCs w:val="24"/>
              </w:rPr>
            </w:pPr>
            <w:r>
              <w:rPr>
                <w:rFonts w:ascii="Arial" w:eastAsia="Calibri" w:hAnsi="Arial" w:cs="Arial"/>
                <w:sz w:val="24"/>
                <w:szCs w:val="24"/>
              </w:rPr>
              <w:t>[14]</w:t>
            </w:r>
            <w:r>
              <w:rPr>
                <w:rFonts w:ascii="Arial" w:eastAsia="Calibri" w:hAnsi="Arial" w:cs="Arial"/>
                <w:sz w:val="24"/>
                <w:szCs w:val="24"/>
              </w:rPr>
              <w:tab/>
              <w:t xml:space="preserve">In the premises, the following order is made: </w:t>
            </w:r>
          </w:p>
          <w:p w:rsidR="00FC09B3" w:rsidRPr="003F29B4" w:rsidRDefault="00FC09B3" w:rsidP="003F29B4">
            <w:pPr>
              <w:pStyle w:val="ListParagraph"/>
              <w:numPr>
                <w:ilvl w:val="0"/>
                <w:numId w:val="5"/>
              </w:numPr>
              <w:spacing w:line="360" w:lineRule="auto"/>
              <w:jc w:val="both"/>
              <w:rPr>
                <w:rFonts w:ascii="Arial" w:eastAsia="Calibri" w:hAnsi="Arial" w:cs="Arial"/>
                <w:sz w:val="24"/>
                <w:szCs w:val="24"/>
              </w:rPr>
            </w:pPr>
            <w:r w:rsidRPr="003F29B4">
              <w:rPr>
                <w:rFonts w:ascii="Arial" w:eastAsia="Calibri" w:hAnsi="Arial" w:cs="Arial"/>
                <w:sz w:val="24"/>
                <w:szCs w:val="24"/>
              </w:rPr>
              <w:t>The application for summary judgment is dismissed.</w:t>
            </w:r>
          </w:p>
          <w:p w:rsidR="00FC09B3" w:rsidRPr="003F29B4" w:rsidRDefault="00FC09B3" w:rsidP="003F29B4">
            <w:pPr>
              <w:pStyle w:val="ListParagraph"/>
              <w:numPr>
                <w:ilvl w:val="0"/>
                <w:numId w:val="5"/>
              </w:numPr>
              <w:spacing w:line="360" w:lineRule="auto"/>
              <w:jc w:val="both"/>
              <w:rPr>
                <w:rFonts w:ascii="Arial" w:eastAsia="Calibri" w:hAnsi="Arial" w:cs="Arial"/>
                <w:sz w:val="24"/>
                <w:szCs w:val="24"/>
              </w:rPr>
            </w:pPr>
            <w:r w:rsidRPr="003F29B4">
              <w:rPr>
                <w:rFonts w:ascii="Arial" w:eastAsia="Calibri" w:hAnsi="Arial" w:cs="Arial"/>
                <w:sz w:val="24"/>
                <w:szCs w:val="24"/>
              </w:rPr>
              <w:t xml:space="preserve">The resultant costs are to be costs in the cause. </w:t>
            </w:r>
          </w:p>
          <w:p w:rsidR="00FC09B3" w:rsidRDefault="00FC09B3" w:rsidP="003F29B4">
            <w:pPr>
              <w:numPr>
                <w:ilvl w:val="0"/>
                <w:numId w:val="5"/>
              </w:numPr>
              <w:spacing w:line="360" w:lineRule="auto"/>
              <w:contextualSpacing/>
              <w:jc w:val="both"/>
              <w:rPr>
                <w:rFonts w:ascii="Arial" w:eastAsia="Calibri" w:hAnsi="Arial" w:cs="Arial"/>
                <w:sz w:val="24"/>
                <w:szCs w:val="24"/>
              </w:rPr>
            </w:pPr>
            <w:r>
              <w:rPr>
                <w:rFonts w:ascii="Arial" w:eastAsia="Calibri" w:hAnsi="Arial" w:cs="Arial"/>
                <w:sz w:val="24"/>
                <w:szCs w:val="24"/>
              </w:rPr>
              <w:t>The defendant is granted leave to defend the action</w:t>
            </w:r>
          </w:p>
          <w:p w:rsidR="00FC09B3" w:rsidRDefault="00FC09B3" w:rsidP="003F29B4">
            <w:pPr>
              <w:numPr>
                <w:ilvl w:val="0"/>
                <w:numId w:val="5"/>
              </w:numPr>
              <w:spacing w:line="360" w:lineRule="auto"/>
              <w:contextualSpacing/>
              <w:jc w:val="both"/>
              <w:rPr>
                <w:rFonts w:ascii="Arial" w:eastAsia="Calibri" w:hAnsi="Arial" w:cs="Arial"/>
                <w:sz w:val="24"/>
                <w:szCs w:val="24"/>
              </w:rPr>
            </w:pPr>
            <w:r>
              <w:rPr>
                <w:rFonts w:ascii="Arial" w:eastAsia="Calibri" w:hAnsi="Arial" w:cs="Arial"/>
                <w:sz w:val="24"/>
                <w:szCs w:val="24"/>
              </w:rPr>
              <w:t xml:space="preserve">The case is postponed to </w:t>
            </w:r>
            <w:r w:rsidRPr="00FC09B3">
              <w:rPr>
                <w:rFonts w:ascii="Arial" w:eastAsia="Calibri" w:hAnsi="Arial" w:cs="Arial"/>
                <w:sz w:val="24"/>
                <w:szCs w:val="24"/>
              </w:rPr>
              <w:t>3 May 2023 at 08:30</w:t>
            </w:r>
            <w:r>
              <w:rPr>
                <w:rFonts w:ascii="Arial" w:eastAsia="Calibri" w:hAnsi="Arial" w:cs="Arial"/>
                <w:sz w:val="24"/>
                <w:szCs w:val="24"/>
              </w:rPr>
              <w:t xml:space="preserve"> for a Case Planning Conference hearing</w:t>
            </w:r>
          </w:p>
          <w:p w:rsidR="00FC09B3" w:rsidRPr="00FF6DBC" w:rsidRDefault="00FC09B3" w:rsidP="003F29B4">
            <w:pPr>
              <w:numPr>
                <w:ilvl w:val="0"/>
                <w:numId w:val="5"/>
              </w:numPr>
              <w:spacing w:line="360" w:lineRule="auto"/>
              <w:contextualSpacing/>
              <w:jc w:val="both"/>
              <w:rPr>
                <w:rFonts w:ascii="Arial" w:eastAsia="Calibri" w:hAnsi="Arial" w:cs="Arial"/>
                <w:sz w:val="24"/>
                <w:szCs w:val="24"/>
              </w:rPr>
            </w:pPr>
            <w:r>
              <w:rPr>
                <w:rFonts w:ascii="Arial" w:eastAsia="Calibri" w:hAnsi="Arial" w:cs="Arial"/>
                <w:sz w:val="24"/>
                <w:szCs w:val="24"/>
              </w:rPr>
              <w:lastRenderedPageBreak/>
              <w:t>The parties shall file a joint case planning report by no later than 27 April 2023.</w:t>
            </w:r>
          </w:p>
          <w:p w:rsidR="00FC09B3" w:rsidRPr="00FF6DBC" w:rsidRDefault="00FC09B3" w:rsidP="00FC09B3">
            <w:pPr>
              <w:spacing w:line="360" w:lineRule="auto"/>
              <w:jc w:val="both"/>
              <w:rPr>
                <w:rFonts w:ascii="Arial" w:eastAsia="Times New Roman" w:hAnsi="Arial" w:cs="Arial"/>
                <w:sz w:val="24"/>
                <w:szCs w:val="24"/>
              </w:rPr>
            </w:pPr>
          </w:p>
        </w:tc>
      </w:tr>
      <w:tr w:rsidR="00FF6DBC" w:rsidRPr="00FF6DBC" w:rsidTr="00B1387A">
        <w:tc>
          <w:tcPr>
            <w:tcW w:w="4770" w:type="dxa"/>
          </w:tcPr>
          <w:p w:rsidR="00FF6DBC" w:rsidRPr="00FF6DBC" w:rsidRDefault="007C1F6F" w:rsidP="00FF6DBC">
            <w:pPr>
              <w:spacing w:line="360" w:lineRule="auto"/>
              <w:jc w:val="center"/>
              <w:rPr>
                <w:rFonts w:ascii="Arial" w:eastAsia="Calibri" w:hAnsi="Arial" w:cs="Arial"/>
                <w:b/>
                <w:sz w:val="24"/>
                <w:szCs w:val="24"/>
              </w:rPr>
            </w:pPr>
            <w:r w:rsidRPr="007C1F6F">
              <w:rPr>
                <w:rFonts w:ascii="Arial" w:eastAsia="Calibri" w:hAnsi="Arial" w:cs="Arial"/>
                <w:b/>
                <w:sz w:val="24"/>
                <w:szCs w:val="24"/>
                <w:lang w:val="en-US"/>
              </w:rPr>
              <w:lastRenderedPageBreak/>
              <w:t>Judge’s signature</w:t>
            </w:r>
          </w:p>
        </w:tc>
        <w:tc>
          <w:tcPr>
            <w:tcW w:w="4950" w:type="dxa"/>
            <w:gridSpan w:val="2"/>
          </w:tcPr>
          <w:p w:rsidR="00FF6DBC" w:rsidRPr="00FF6DBC" w:rsidRDefault="00FF6DBC" w:rsidP="00FF6DBC">
            <w:pPr>
              <w:spacing w:line="360" w:lineRule="auto"/>
              <w:jc w:val="center"/>
              <w:rPr>
                <w:rFonts w:ascii="Arial" w:eastAsia="Calibri" w:hAnsi="Arial" w:cs="Arial"/>
                <w:b/>
                <w:sz w:val="24"/>
                <w:szCs w:val="24"/>
              </w:rPr>
            </w:pPr>
            <w:r w:rsidRPr="00FF6DBC">
              <w:rPr>
                <w:rFonts w:ascii="Arial" w:eastAsia="Calibri" w:hAnsi="Arial" w:cs="Arial"/>
                <w:b/>
                <w:sz w:val="24"/>
                <w:szCs w:val="24"/>
              </w:rPr>
              <w:t>Note to the parties:</w:t>
            </w:r>
          </w:p>
        </w:tc>
      </w:tr>
      <w:tr w:rsidR="00FF6DBC" w:rsidRPr="00FF6DBC" w:rsidTr="00B1387A">
        <w:trPr>
          <w:trHeight w:val="1114"/>
        </w:trPr>
        <w:tc>
          <w:tcPr>
            <w:tcW w:w="4770" w:type="dxa"/>
          </w:tcPr>
          <w:p w:rsidR="00FF6DBC" w:rsidRPr="00FF6DBC" w:rsidRDefault="00FF6DBC" w:rsidP="00FF6DBC">
            <w:pPr>
              <w:spacing w:line="360" w:lineRule="auto"/>
              <w:jc w:val="both"/>
              <w:rPr>
                <w:rFonts w:ascii="Arial" w:eastAsia="Calibri" w:hAnsi="Arial" w:cs="Arial"/>
                <w:sz w:val="24"/>
                <w:szCs w:val="24"/>
              </w:rPr>
            </w:pPr>
          </w:p>
          <w:p w:rsidR="00FF6DBC" w:rsidRPr="00FF6DBC" w:rsidRDefault="00FF6DBC" w:rsidP="00FF6DBC">
            <w:pPr>
              <w:spacing w:line="360" w:lineRule="auto"/>
              <w:jc w:val="both"/>
              <w:rPr>
                <w:rFonts w:ascii="Arial" w:eastAsia="Calibri" w:hAnsi="Arial" w:cs="Arial"/>
                <w:sz w:val="24"/>
                <w:szCs w:val="24"/>
              </w:rPr>
            </w:pPr>
          </w:p>
          <w:p w:rsidR="00FF6DBC" w:rsidRPr="00FF6DBC" w:rsidRDefault="00FF6DBC" w:rsidP="00FF6DBC">
            <w:pPr>
              <w:spacing w:line="360" w:lineRule="auto"/>
              <w:jc w:val="both"/>
              <w:rPr>
                <w:rFonts w:ascii="Arial" w:eastAsia="Calibri" w:hAnsi="Arial" w:cs="Arial"/>
                <w:sz w:val="24"/>
                <w:szCs w:val="24"/>
              </w:rPr>
            </w:pPr>
          </w:p>
          <w:p w:rsidR="00FF6DBC" w:rsidRPr="00FF6DBC" w:rsidRDefault="00FF6DBC" w:rsidP="00FF6DBC">
            <w:pPr>
              <w:spacing w:line="360" w:lineRule="auto"/>
              <w:jc w:val="both"/>
              <w:rPr>
                <w:rFonts w:ascii="Arial" w:eastAsia="Calibri" w:hAnsi="Arial" w:cs="Arial"/>
                <w:sz w:val="24"/>
                <w:szCs w:val="24"/>
              </w:rPr>
            </w:pPr>
          </w:p>
          <w:p w:rsidR="00FF6DBC" w:rsidRPr="00FF6DBC" w:rsidRDefault="00FF6DBC" w:rsidP="00FF6DBC">
            <w:pPr>
              <w:spacing w:line="360" w:lineRule="auto"/>
              <w:jc w:val="both"/>
              <w:rPr>
                <w:rFonts w:ascii="Arial" w:eastAsia="Calibri" w:hAnsi="Arial" w:cs="Arial"/>
                <w:sz w:val="24"/>
                <w:szCs w:val="24"/>
              </w:rPr>
            </w:pPr>
          </w:p>
        </w:tc>
        <w:tc>
          <w:tcPr>
            <w:tcW w:w="4950" w:type="dxa"/>
            <w:gridSpan w:val="2"/>
          </w:tcPr>
          <w:p w:rsidR="00FF6DBC" w:rsidRPr="00FF6DBC" w:rsidRDefault="00FF6DBC" w:rsidP="00FF6DBC">
            <w:pPr>
              <w:spacing w:line="360" w:lineRule="auto"/>
              <w:jc w:val="both"/>
              <w:rPr>
                <w:rFonts w:ascii="Arial" w:eastAsia="Calibri" w:hAnsi="Arial" w:cs="Arial"/>
                <w:sz w:val="24"/>
                <w:szCs w:val="24"/>
              </w:rPr>
            </w:pPr>
            <w:r w:rsidRPr="00FF6DBC">
              <w:rPr>
                <w:rFonts w:ascii="Arial" w:eastAsia="Calibri" w:hAnsi="Arial" w:cs="Arial"/>
                <w:sz w:val="24"/>
                <w:szCs w:val="24"/>
              </w:rPr>
              <w:t>Not applicable.</w:t>
            </w:r>
          </w:p>
        </w:tc>
      </w:tr>
      <w:tr w:rsidR="00FF6DBC" w:rsidRPr="00FF6DBC" w:rsidTr="00B1387A">
        <w:tc>
          <w:tcPr>
            <w:tcW w:w="9720" w:type="dxa"/>
            <w:gridSpan w:val="3"/>
          </w:tcPr>
          <w:p w:rsidR="00FF6DBC" w:rsidRPr="00FF6DBC" w:rsidRDefault="00FF6DBC" w:rsidP="00FF6DBC">
            <w:pPr>
              <w:spacing w:line="360" w:lineRule="auto"/>
              <w:jc w:val="center"/>
              <w:rPr>
                <w:rFonts w:ascii="Arial" w:eastAsia="Calibri" w:hAnsi="Arial" w:cs="Arial"/>
                <w:b/>
                <w:sz w:val="24"/>
                <w:szCs w:val="24"/>
              </w:rPr>
            </w:pPr>
            <w:r w:rsidRPr="00FF6DBC">
              <w:rPr>
                <w:rFonts w:ascii="Arial" w:eastAsia="Calibri" w:hAnsi="Arial" w:cs="Arial"/>
                <w:b/>
                <w:sz w:val="24"/>
                <w:szCs w:val="24"/>
              </w:rPr>
              <w:t>Counsel:</w:t>
            </w:r>
          </w:p>
        </w:tc>
      </w:tr>
      <w:tr w:rsidR="00FF6DBC" w:rsidRPr="00FF6DBC" w:rsidTr="00B1387A">
        <w:tc>
          <w:tcPr>
            <w:tcW w:w="4770" w:type="dxa"/>
          </w:tcPr>
          <w:p w:rsidR="00FF6DBC" w:rsidRPr="00FF6DBC" w:rsidRDefault="007C1F6F" w:rsidP="00FF6DBC">
            <w:pPr>
              <w:spacing w:line="360" w:lineRule="auto"/>
              <w:jc w:val="center"/>
              <w:rPr>
                <w:rFonts w:ascii="Arial" w:eastAsia="Calibri" w:hAnsi="Arial" w:cs="Arial"/>
                <w:b/>
                <w:sz w:val="24"/>
                <w:szCs w:val="24"/>
              </w:rPr>
            </w:pPr>
            <w:r>
              <w:rPr>
                <w:rFonts w:ascii="Arial" w:eastAsia="Calibri" w:hAnsi="Arial" w:cs="Arial"/>
                <w:b/>
                <w:sz w:val="24"/>
                <w:szCs w:val="24"/>
              </w:rPr>
              <w:t>Plaintiff/</w:t>
            </w:r>
            <w:r w:rsidR="00FF6DBC" w:rsidRPr="00FF6DBC">
              <w:rPr>
                <w:rFonts w:ascii="Arial" w:eastAsia="Calibri" w:hAnsi="Arial" w:cs="Arial"/>
                <w:b/>
                <w:sz w:val="24"/>
                <w:szCs w:val="24"/>
              </w:rPr>
              <w:t>Applicant</w:t>
            </w:r>
          </w:p>
        </w:tc>
        <w:tc>
          <w:tcPr>
            <w:tcW w:w="4950" w:type="dxa"/>
            <w:gridSpan w:val="2"/>
          </w:tcPr>
          <w:p w:rsidR="00FF6DBC" w:rsidRPr="00FF6DBC" w:rsidRDefault="00FF6DBC" w:rsidP="00FF6DBC">
            <w:pPr>
              <w:spacing w:line="360" w:lineRule="auto"/>
              <w:jc w:val="center"/>
              <w:rPr>
                <w:rFonts w:ascii="Arial" w:eastAsia="Calibri" w:hAnsi="Arial" w:cs="Arial"/>
                <w:b/>
                <w:sz w:val="24"/>
                <w:szCs w:val="24"/>
              </w:rPr>
            </w:pPr>
            <w:r w:rsidRPr="00FF6DBC">
              <w:rPr>
                <w:rFonts w:ascii="Arial" w:eastAsia="Calibri" w:hAnsi="Arial" w:cs="Arial"/>
                <w:b/>
                <w:sz w:val="24"/>
                <w:szCs w:val="24"/>
              </w:rPr>
              <w:t xml:space="preserve"> </w:t>
            </w:r>
            <w:r w:rsidR="007C1F6F">
              <w:rPr>
                <w:rFonts w:ascii="Arial" w:eastAsia="Calibri" w:hAnsi="Arial" w:cs="Arial"/>
                <w:b/>
                <w:sz w:val="24"/>
                <w:szCs w:val="24"/>
              </w:rPr>
              <w:t>Defendant/</w:t>
            </w:r>
            <w:r w:rsidRPr="00FF6DBC">
              <w:rPr>
                <w:rFonts w:ascii="Arial" w:eastAsia="Calibri" w:hAnsi="Arial" w:cs="Arial"/>
                <w:b/>
                <w:sz w:val="24"/>
                <w:szCs w:val="24"/>
              </w:rPr>
              <w:t>Respondent</w:t>
            </w:r>
          </w:p>
        </w:tc>
      </w:tr>
      <w:tr w:rsidR="00FF6DBC" w:rsidRPr="00FF6DBC" w:rsidTr="00B1387A">
        <w:tc>
          <w:tcPr>
            <w:tcW w:w="4770" w:type="dxa"/>
          </w:tcPr>
          <w:p w:rsidR="007C1F6F" w:rsidRDefault="007C1F6F" w:rsidP="007C1F6F">
            <w:pPr>
              <w:spacing w:line="360" w:lineRule="auto"/>
              <w:jc w:val="center"/>
              <w:rPr>
                <w:rFonts w:ascii="Arial" w:eastAsia="Calibri" w:hAnsi="Arial" w:cs="Arial"/>
                <w:sz w:val="24"/>
                <w:szCs w:val="24"/>
              </w:rPr>
            </w:pPr>
            <w:r>
              <w:rPr>
                <w:rFonts w:ascii="Arial" w:eastAsia="Calibri" w:hAnsi="Arial" w:cs="Arial"/>
                <w:sz w:val="24"/>
                <w:szCs w:val="24"/>
              </w:rPr>
              <w:t xml:space="preserve">Ms </w:t>
            </w:r>
            <w:proofErr w:type="spellStart"/>
            <w:r>
              <w:rPr>
                <w:rFonts w:ascii="Arial" w:eastAsia="Calibri" w:hAnsi="Arial" w:cs="Arial"/>
                <w:sz w:val="24"/>
                <w:szCs w:val="24"/>
              </w:rPr>
              <w:t>Haufiku</w:t>
            </w:r>
            <w:proofErr w:type="spellEnd"/>
          </w:p>
          <w:p w:rsidR="007C1F6F" w:rsidRDefault="007C1F6F" w:rsidP="007C1F6F">
            <w:pPr>
              <w:spacing w:line="360" w:lineRule="auto"/>
              <w:jc w:val="center"/>
              <w:rPr>
                <w:rFonts w:ascii="Arial" w:eastAsia="Calibri" w:hAnsi="Arial" w:cs="Arial"/>
                <w:sz w:val="24"/>
                <w:szCs w:val="24"/>
              </w:rPr>
            </w:pPr>
            <w:proofErr w:type="spellStart"/>
            <w:r>
              <w:rPr>
                <w:rFonts w:ascii="Arial" w:eastAsia="Calibri" w:hAnsi="Arial" w:cs="Arial"/>
                <w:sz w:val="24"/>
                <w:szCs w:val="24"/>
              </w:rPr>
              <w:t>Haufiku</w:t>
            </w:r>
            <w:proofErr w:type="spellEnd"/>
            <w:r>
              <w:rPr>
                <w:rFonts w:ascii="Arial" w:eastAsia="Calibri" w:hAnsi="Arial" w:cs="Arial"/>
                <w:sz w:val="24"/>
                <w:szCs w:val="24"/>
              </w:rPr>
              <w:t xml:space="preserve"> &amp; Associates</w:t>
            </w:r>
          </w:p>
          <w:p w:rsidR="007C1F6F" w:rsidRPr="00FF6DBC" w:rsidRDefault="007C1F6F" w:rsidP="007C1F6F">
            <w:pPr>
              <w:spacing w:line="360" w:lineRule="auto"/>
              <w:jc w:val="center"/>
              <w:rPr>
                <w:rFonts w:ascii="Arial" w:eastAsia="Calibri" w:hAnsi="Arial" w:cs="Arial"/>
                <w:sz w:val="24"/>
                <w:szCs w:val="24"/>
              </w:rPr>
            </w:pPr>
            <w:proofErr w:type="spellStart"/>
            <w:r>
              <w:rPr>
                <w:rFonts w:ascii="Arial" w:eastAsia="Calibri" w:hAnsi="Arial" w:cs="Arial"/>
                <w:sz w:val="24"/>
                <w:szCs w:val="24"/>
              </w:rPr>
              <w:t>Swakopmund</w:t>
            </w:r>
            <w:proofErr w:type="spellEnd"/>
          </w:p>
        </w:tc>
        <w:tc>
          <w:tcPr>
            <w:tcW w:w="4950" w:type="dxa"/>
            <w:gridSpan w:val="2"/>
          </w:tcPr>
          <w:p w:rsidR="00FF6DBC" w:rsidRDefault="007C1F6F" w:rsidP="00FF6DBC">
            <w:pPr>
              <w:spacing w:line="360" w:lineRule="auto"/>
              <w:jc w:val="center"/>
              <w:rPr>
                <w:rFonts w:ascii="Arial" w:eastAsia="Calibri" w:hAnsi="Arial" w:cs="Arial"/>
                <w:sz w:val="24"/>
                <w:szCs w:val="24"/>
              </w:rPr>
            </w:pPr>
            <w:r>
              <w:rPr>
                <w:rFonts w:ascii="Arial" w:eastAsia="Calibri" w:hAnsi="Arial" w:cs="Arial"/>
                <w:sz w:val="24"/>
                <w:szCs w:val="24"/>
              </w:rPr>
              <w:t xml:space="preserve">Mr </w:t>
            </w:r>
            <w:proofErr w:type="spellStart"/>
            <w:r>
              <w:rPr>
                <w:rFonts w:ascii="Arial" w:eastAsia="Calibri" w:hAnsi="Arial" w:cs="Arial"/>
                <w:sz w:val="24"/>
                <w:szCs w:val="24"/>
              </w:rPr>
              <w:t>Halweendo</w:t>
            </w:r>
            <w:proofErr w:type="spellEnd"/>
          </w:p>
          <w:p w:rsidR="007C1F6F" w:rsidRDefault="007C1F6F" w:rsidP="00FF6DBC">
            <w:pPr>
              <w:spacing w:line="360" w:lineRule="auto"/>
              <w:jc w:val="center"/>
              <w:rPr>
                <w:rFonts w:ascii="Arial" w:eastAsia="Calibri" w:hAnsi="Arial" w:cs="Arial"/>
                <w:sz w:val="24"/>
                <w:szCs w:val="24"/>
              </w:rPr>
            </w:pPr>
            <w:proofErr w:type="spellStart"/>
            <w:r>
              <w:rPr>
                <w:rFonts w:ascii="Arial" w:eastAsia="Calibri" w:hAnsi="Arial" w:cs="Arial"/>
                <w:sz w:val="24"/>
                <w:szCs w:val="24"/>
              </w:rPr>
              <w:t>Nafimane</w:t>
            </w:r>
            <w:proofErr w:type="spellEnd"/>
            <w:r>
              <w:rPr>
                <w:rFonts w:ascii="Arial" w:eastAsia="Calibri" w:hAnsi="Arial" w:cs="Arial"/>
                <w:sz w:val="24"/>
                <w:szCs w:val="24"/>
              </w:rPr>
              <w:t xml:space="preserve"> </w:t>
            </w:r>
            <w:proofErr w:type="spellStart"/>
            <w:r>
              <w:rPr>
                <w:rFonts w:ascii="Arial" w:eastAsia="Calibri" w:hAnsi="Arial" w:cs="Arial"/>
                <w:sz w:val="24"/>
                <w:szCs w:val="24"/>
              </w:rPr>
              <w:t>Halweendo</w:t>
            </w:r>
            <w:proofErr w:type="spellEnd"/>
            <w:r>
              <w:rPr>
                <w:rFonts w:ascii="Arial" w:eastAsia="Calibri" w:hAnsi="Arial" w:cs="Arial"/>
                <w:sz w:val="24"/>
                <w:szCs w:val="24"/>
              </w:rPr>
              <w:t xml:space="preserve"> Legal Practitioners</w:t>
            </w:r>
          </w:p>
          <w:p w:rsidR="005221EF" w:rsidRDefault="007C1F6F" w:rsidP="00FF6DBC">
            <w:pPr>
              <w:spacing w:line="360" w:lineRule="auto"/>
              <w:jc w:val="center"/>
              <w:rPr>
                <w:rFonts w:ascii="Arial" w:eastAsia="Calibri" w:hAnsi="Arial" w:cs="Arial"/>
                <w:sz w:val="24"/>
                <w:szCs w:val="24"/>
              </w:rPr>
            </w:pPr>
            <w:r>
              <w:rPr>
                <w:rFonts w:ascii="Arial" w:eastAsia="Calibri" w:hAnsi="Arial" w:cs="Arial"/>
                <w:sz w:val="24"/>
                <w:szCs w:val="24"/>
              </w:rPr>
              <w:t>Windhoek</w:t>
            </w:r>
          </w:p>
          <w:p w:rsidR="005221EF" w:rsidRDefault="005221EF" w:rsidP="00FF6DBC">
            <w:pPr>
              <w:spacing w:line="360" w:lineRule="auto"/>
              <w:jc w:val="center"/>
              <w:rPr>
                <w:rFonts w:ascii="Arial" w:eastAsia="Calibri" w:hAnsi="Arial" w:cs="Arial"/>
                <w:sz w:val="24"/>
                <w:szCs w:val="24"/>
              </w:rPr>
            </w:pPr>
          </w:p>
          <w:p w:rsidR="005221EF" w:rsidRPr="00FF6DBC" w:rsidRDefault="005221EF" w:rsidP="00FF6DBC">
            <w:pPr>
              <w:spacing w:line="360" w:lineRule="auto"/>
              <w:jc w:val="center"/>
              <w:rPr>
                <w:rFonts w:ascii="Arial" w:eastAsia="Calibri" w:hAnsi="Arial" w:cs="Arial"/>
                <w:sz w:val="24"/>
                <w:szCs w:val="24"/>
              </w:rPr>
            </w:pPr>
          </w:p>
        </w:tc>
      </w:tr>
    </w:tbl>
    <w:p w:rsidR="00FF6DBC" w:rsidRPr="00FF6DBC" w:rsidRDefault="00FF6DBC" w:rsidP="00FF6DBC">
      <w:pPr>
        <w:spacing w:after="0" w:line="360" w:lineRule="auto"/>
        <w:jc w:val="both"/>
        <w:rPr>
          <w:rFonts w:ascii="Arial" w:eastAsia="Calibri" w:hAnsi="Arial" w:cs="Arial"/>
          <w:sz w:val="24"/>
          <w:szCs w:val="24"/>
          <w:lang w:val="en-US"/>
        </w:rPr>
      </w:pPr>
    </w:p>
    <w:p w:rsidR="00FF6DBC" w:rsidRPr="00FF6DBC" w:rsidRDefault="00FF6DBC" w:rsidP="00FF6DBC">
      <w:pPr>
        <w:rPr>
          <w:rFonts w:ascii="Arial" w:eastAsia="Calibri" w:hAnsi="Arial" w:cs="Arial"/>
          <w:sz w:val="24"/>
          <w:szCs w:val="24"/>
          <w:lang w:val="en-US"/>
        </w:rPr>
      </w:pPr>
    </w:p>
    <w:p w:rsidR="00FF6DBC" w:rsidRPr="00FF6DBC" w:rsidRDefault="00FF6DBC" w:rsidP="00FF6DBC">
      <w:pPr>
        <w:rPr>
          <w:rFonts w:ascii="Arial" w:eastAsia="Calibri" w:hAnsi="Arial" w:cs="Arial"/>
          <w:sz w:val="24"/>
          <w:szCs w:val="24"/>
          <w:lang w:val="en-US"/>
        </w:rPr>
      </w:pPr>
    </w:p>
    <w:p w:rsidR="00FF6DBC" w:rsidRPr="00FF6DBC" w:rsidRDefault="00FF6DBC" w:rsidP="00FF6DBC">
      <w:pPr>
        <w:rPr>
          <w:rFonts w:ascii="Arial" w:eastAsia="Calibri" w:hAnsi="Arial" w:cs="Arial"/>
          <w:sz w:val="24"/>
          <w:szCs w:val="24"/>
          <w:lang w:val="en-US"/>
        </w:rPr>
      </w:pPr>
    </w:p>
    <w:p w:rsidR="0094406E" w:rsidRPr="00FF6DBC" w:rsidRDefault="0094406E">
      <w:pPr>
        <w:rPr>
          <w:rFonts w:ascii="Arial" w:hAnsi="Arial" w:cs="Arial"/>
        </w:rPr>
      </w:pPr>
    </w:p>
    <w:sectPr w:rsidR="0094406E" w:rsidRPr="00FF6DBC" w:rsidSect="0092145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39" w:rsidRDefault="00AD4B39" w:rsidP="00FF6DBC">
      <w:pPr>
        <w:spacing w:after="0" w:line="240" w:lineRule="auto"/>
      </w:pPr>
      <w:r>
        <w:separator/>
      </w:r>
    </w:p>
  </w:endnote>
  <w:endnote w:type="continuationSeparator" w:id="0">
    <w:p w:rsidR="00AD4B39" w:rsidRDefault="00AD4B39" w:rsidP="00FF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39" w:rsidRDefault="00AD4B39" w:rsidP="00FF6DBC">
      <w:pPr>
        <w:spacing w:after="0" w:line="240" w:lineRule="auto"/>
      </w:pPr>
      <w:r>
        <w:separator/>
      </w:r>
    </w:p>
  </w:footnote>
  <w:footnote w:type="continuationSeparator" w:id="0">
    <w:p w:rsidR="00AD4B39" w:rsidRDefault="00AD4B39" w:rsidP="00FF6DBC">
      <w:pPr>
        <w:spacing w:after="0" w:line="240" w:lineRule="auto"/>
      </w:pPr>
      <w:r>
        <w:continuationSeparator/>
      </w:r>
    </w:p>
  </w:footnote>
  <w:footnote w:id="1">
    <w:p w:rsidR="005B5A1D" w:rsidRPr="005221EF" w:rsidRDefault="005B5A1D">
      <w:pPr>
        <w:pStyle w:val="FootnoteText"/>
        <w:rPr>
          <w:rFonts w:ascii="Arial" w:hAnsi="Arial" w:cs="Arial"/>
          <w:lang w:val="en-US"/>
        </w:rPr>
      </w:pPr>
      <w:r w:rsidRPr="005221EF">
        <w:rPr>
          <w:rStyle w:val="FootnoteReference"/>
          <w:rFonts w:ascii="Arial" w:hAnsi="Arial" w:cs="Arial"/>
        </w:rPr>
        <w:footnoteRef/>
      </w:r>
      <w:r w:rsidRPr="005221EF">
        <w:rPr>
          <w:rFonts w:ascii="Arial" w:hAnsi="Arial" w:cs="Arial"/>
        </w:rPr>
        <w:t xml:space="preserve"> </w:t>
      </w:r>
      <w:r w:rsidRPr="005221EF">
        <w:rPr>
          <w:rFonts w:ascii="Arial" w:eastAsia="Calibri" w:hAnsi="Arial" w:cs="Arial"/>
          <w:i/>
          <w:lang w:val="en-US"/>
        </w:rPr>
        <w:t xml:space="preserve">Government of </w:t>
      </w:r>
      <w:r w:rsidRPr="005221EF">
        <w:rPr>
          <w:rFonts w:ascii="Arial" w:eastAsia="Calibri" w:hAnsi="Arial" w:cs="Arial"/>
          <w:i/>
          <w:lang w:val="en-GB"/>
        </w:rPr>
        <w:t xml:space="preserve">the Republic of </w:t>
      </w:r>
      <w:r w:rsidRPr="005221EF">
        <w:rPr>
          <w:rFonts w:ascii="Arial" w:eastAsia="Calibri" w:hAnsi="Arial" w:cs="Arial"/>
          <w:i/>
          <w:lang w:val="en-US"/>
        </w:rPr>
        <w:t xml:space="preserve">Namibia v </w:t>
      </w:r>
      <w:proofErr w:type="spellStart"/>
      <w:proofErr w:type="gramStart"/>
      <w:r w:rsidRPr="005221EF">
        <w:rPr>
          <w:rFonts w:ascii="Arial" w:eastAsia="Calibri" w:hAnsi="Arial" w:cs="Arial"/>
          <w:i/>
          <w:lang w:val="en-US"/>
        </w:rPr>
        <w:t>Gertze</w:t>
      </w:r>
      <w:proofErr w:type="spellEnd"/>
      <w:r w:rsidRPr="005221EF">
        <w:rPr>
          <w:rFonts w:ascii="Arial" w:eastAsia="Calibri" w:hAnsi="Arial" w:cs="Arial"/>
          <w:i/>
          <w:lang w:val="en-US"/>
        </w:rPr>
        <w:t xml:space="preserve"> </w:t>
      </w:r>
      <w:r w:rsidRPr="005221EF">
        <w:rPr>
          <w:rFonts w:ascii="Arial" w:eastAsia="Calibri" w:hAnsi="Arial" w:cs="Arial"/>
          <w:lang w:val="en-US"/>
        </w:rPr>
        <w:t xml:space="preserve"> (</w:t>
      </w:r>
      <w:proofErr w:type="gramEnd"/>
      <w:r w:rsidRPr="005221EF">
        <w:rPr>
          <w:rFonts w:ascii="Arial" w:eastAsia="Calibri" w:hAnsi="Arial" w:cs="Arial"/>
          <w:lang w:val="en-US"/>
        </w:rPr>
        <w:t>HC-MD-CIV-ACT-OTH-2019/00978) [2019] NAHCMD 497</w:t>
      </w:r>
      <w:r w:rsidRPr="005221EF">
        <w:rPr>
          <w:rFonts w:ascii="Arial" w:eastAsia="Calibri" w:hAnsi="Arial" w:cs="Arial"/>
          <w:color w:val="FF0000"/>
          <w:lang w:val="en-US"/>
        </w:rPr>
        <w:t xml:space="preserve"> </w:t>
      </w:r>
      <w:r w:rsidRPr="005221EF">
        <w:rPr>
          <w:rFonts w:ascii="Arial" w:eastAsia="Calibri" w:hAnsi="Arial" w:cs="Arial"/>
          <w:lang w:val="en-US"/>
        </w:rPr>
        <w:t>(30 October 2019).</w:t>
      </w:r>
    </w:p>
  </w:footnote>
  <w:footnote w:id="2">
    <w:p w:rsidR="005B5A1D" w:rsidRPr="005221EF" w:rsidRDefault="005B5A1D" w:rsidP="005B5A1D">
      <w:pPr>
        <w:pStyle w:val="FootnoteText"/>
        <w:rPr>
          <w:rFonts w:ascii="Arial" w:hAnsi="Arial" w:cs="Arial"/>
          <w:lang w:val="en-US"/>
        </w:rPr>
      </w:pPr>
      <w:r w:rsidRPr="005221EF">
        <w:rPr>
          <w:rStyle w:val="FootnoteReference"/>
          <w:rFonts w:ascii="Arial" w:hAnsi="Arial" w:cs="Arial"/>
        </w:rPr>
        <w:footnoteRef/>
      </w:r>
      <w:r w:rsidRPr="005221EF">
        <w:rPr>
          <w:rFonts w:ascii="Arial" w:hAnsi="Arial" w:cs="Arial"/>
        </w:rPr>
        <w:t xml:space="preserve"> </w:t>
      </w:r>
      <w:r w:rsidRPr="005221EF">
        <w:rPr>
          <w:rFonts w:ascii="Arial" w:eastAsia="Times New Roman" w:hAnsi="Arial" w:cs="Arial"/>
          <w:i/>
          <w:lang w:val="en-US"/>
        </w:rPr>
        <w:t xml:space="preserve">Di </w:t>
      </w:r>
      <w:proofErr w:type="spellStart"/>
      <w:r w:rsidRPr="005221EF">
        <w:rPr>
          <w:rFonts w:ascii="Arial" w:eastAsia="Times New Roman" w:hAnsi="Arial" w:cs="Arial"/>
          <w:i/>
          <w:lang w:val="en-US"/>
        </w:rPr>
        <w:t>Savino</w:t>
      </w:r>
      <w:proofErr w:type="spellEnd"/>
      <w:r w:rsidRPr="005221EF">
        <w:rPr>
          <w:rFonts w:ascii="Arial" w:eastAsia="Times New Roman" w:hAnsi="Arial" w:cs="Arial"/>
          <w:i/>
          <w:lang w:val="en-US"/>
        </w:rPr>
        <w:t xml:space="preserve"> v Nedbank Namibia Ltd </w:t>
      </w:r>
      <w:r w:rsidRPr="005221EF">
        <w:rPr>
          <w:rFonts w:ascii="Arial" w:hAnsi="Arial" w:cs="Arial"/>
          <w:lang w:val="en-US"/>
        </w:rPr>
        <w:t>2012 (2) NR 507 (SC).</w:t>
      </w:r>
    </w:p>
  </w:footnote>
  <w:footnote w:id="3">
    <w:p w:rsidR="003F6B59" w:rsidRPr="005221EF" w:rsidRDefault="003F6B59" w:rsidP="003F6B59">
      <w:pPr>
        <w:pStyle w:val="FootnoteText"/>
        <w:rPr>
          <w:rFonts w:ascii="Arial" w:hAnsi="Arial" w:cs="Arial"/>
          <w:lang w:val="af-ZA"/>
        </w:rPr>
      </w:pPr>
      <w:r w:rsidRPr="005221EF">
        <w:rPr>
          <w:rStyle w:val="FootnoteReference"/>
          <w:rFonts w:ascii="Arial" w:hAnsi="Arial" w:cs="Arial"/>
        </w:rPr>
        <w:footnoteRef/>
      </w:r>
      <w:r w:rsidRPr="005221EF">
        <w:rPr>
          <w:rFonts w:ascii="Arial" w:hAnsi="Arial" w:cs="Arial"/>
        </w:rPr>
        <w:t xml:space="preserve"> </w:t>
      </w:r>
      <w:proofErr w:type="spellStart"/>
      <w:r w:rsidRPr="005221EF">
        <w:rPr>
          <w:rFonts w:ascii="Arial" w:hAnsi="Arial" w:cs="Arial"/>
          <w:i/>
        </w:rPr>
        <w:t>Maharaj</w:t>
      </w:r>
      <w:proofErr w:type="spellEnd"/>
      <w:r w:rsidRPr="005221EF">
        <w:rPr>
          <w:rFonts w:ascii="Arial" w:hAnsi="Arial" w:cs="Arial"/>
          <w:i/>
        </w:rPr>
        <w:t xml:space="preserve"> v Barclays National Bank Ltd</w:t>
      </w:r>
      <w:r w:rsidRPr="005221EF">
        <w:rPr>
          <w:rFonts w:ascii="Arial" w:hAnsi="Arial" w:cs="Arial"/>
        </w:rPr>
        <w:t xml:space="preserve"> 1976 (1) SA 418 (A) at 426A – C.</w:t>
      </w:r>
    </w:p>
  </w:footnote>
  <w:footnote w:id="4">
    <w:p w:rsidR="003F6B59" w:rsidRPr="005221EF" w:rsidRDefault="003F6B59" w:rsidP="003F6B59">
      <w:pPr>
        <w:pStyle w:val="FootnoteText"/>
        <w:rPr>
          <w:rFonts w:ascii="Arial" w:hAnsi="Arial" w:cs="Arial"/>
          <w:lang w:val="af-ZA"/>
        </w:rPr>
      </w:pPr>
      <w:r w:rsidRPr="005221EF">
        <w:rPr>
          <w:rStyle w:val="FootnoteReference"/>
          <w:rFonts w:ascii="Arial" w:hAnsi="Arial" w:cs="Arial"/>
        </w:rPr>
        <w:footnoteRef/>
      </w:r>
      <w:r w:rsidRPr="005221EF">
        <w:rPr>
          <w:rFonts w:ascii="Arial" w:hAnsi="Arial" w:cs="Arial"/>
        </w:rPr>
        <w:t xml:space="preserve"> Supra at 426C – D.</w:t>
      </w:r>
    </w:p>
  </w:footnote>
  <w:footnote w:id="5">
    <w:p w:rsidR="006D122E" w:rsidRPr="006D122E" w:rsidRDefault="006D122E">
      <w:pPr>
        <w:pStyle w:val="FootnoteText"/>
        <w:rPr>
          <w:lang w:val="en-US"/>
        </w:rPr>
      </w:pPr>
      <w:r>
        <w:rPr>
          <w:rStyle w:val="FootnoteReference"/>
        </w:rPr>
        <w:footnoteRef/>
      </w:r>
      <w:r>
        <w:t xml:space="preserve"> </w:t>
      </w:r>
      <w:proofErr w:type="spellStart"/>
      <w:r w:rsidRPr="006D122E">
        <w:rPr>
          <w:rFonts w:ascii="Arial" w:hAnsi="Arial" w:cs="Arial"/>
          <w:i/>
          <w:lang w:val="en-US"/>
        </w:rPr>
        <w:t>Tungeni</w:t>
      </w:r>
      <w:proofErr w:type="spellEnd"/>
      <w:r w:rsidRPr="006D122E">
        <w:rPr>
          <w:rFonts w:ascii="Arial" w:hAnsi="Arial" w:cs="Arial"/>
          <w:i/>
          <w:lang w:val="en-US"/>
        </w:rPr>
        <w:t xml:space="preserve"> Africa Investments (Pty) Ltd v Namibia Water Ski Club and others</w:t>
      </w:r>
      <w:r w:rsidRPr="006D122E">
        <w:rPr>
          <w:rFonts w:ascii="Arial" w:hAnsi="Arial" w:cs="Arial"/>
          <w:lang w:val="en-US"/>
        </w:rPr>
        <w:t xml:space="preserve"> </w:t>
      </w:r>
      <w:r w:rsidR="00D9270F">
        <w:rPr>
          <w:rFonts w:ascii="Arial" w:hAnsi="Arial" w:cs="Arial"/>
          <w:lang w:val="en-US"/>
        </w:rPr>
        <w:t>(</w:t>
      </w:r>
      <w:r w:rsidRPr="006D122E">
        <w:rPr>
          <w:rFonts w:ascii="Arial" w:hAnsi="Arial" w:cs="Arial"/>
          <w:lang w:val="en-US"/>
        </w:rPr>
        <w:t>I 2735) [2016] NAHCMD 232 (12 August 2016).</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4228"/>
      <w:docPartObj>
        <w:docPartGallery w:val="Page Numbers (Top of Page)"/>
        <w:docPartUnique/>
      </w:docPartObj>
    </w:sdtPr>
    <w:sdtEndPr>
      <w:rPr>
        <w:rFonts w:ascii="Arial Narrow" w:hAnsi="Arial Narrow"/>
        <w:noProof/>
      </w:rPr>
    </w:sdtEndPr>
    <w:sdtContent>
      <w:p w:rsidR="00921456" w:rsidRPr="00921456" w:rsidRDefault="00EF32BA">
        <w:pPr>
          <w:pStyle w:val="Header"/>
          <w:jc w:val="right"/>
          <w:rPr>
            <w:rFonts w:ascii="Arial Narrow" w:hAnsi="Arial Narrow"/>
          </w:rPr>
        </w:pPr>
        <w:r w:rsidRPr="00921456">
          <w:rPr>
            <w:rFonts w:ascii="Arial Narrow" w:hAnsi="Arial Narrow"/>
          </w:rPr>
          <w:fldChar w:fldCharType="begin"/>
        </w:r>
        <w:r w:rsidRPr="00921456">
          <w:rPr>
            <w:rFonts w:ascii="Arial Narrow" w:hAnsi="Arial Narrow"/>
          </w:rPr>
          <w:instrText xml:space="preserve"> PAGE   \* MERGEFORMAT </w:instrText>
        </w:r>
        <w:r w:rsidRPr="00921456">
          <w:rPr>
            <w:rFonts w:ascii="Arial Narrow" w:hAnsi="Arial Narrow"/>
          </w:rPr>
          <w:fldChar w:fldCharType="separate"/>
        </w:r>
        <w:r w:rsidR="00BE0999">
          <w:rPr>
            <w:rFonts w:ascii="Arial Narrow" w:hAnsi="Arial Narrow"/>
            <w:noProof/>
          </w:rPr>
          <w:t>6</w:t>
        </w:r>
        <w:r w:rsidRPr="00921456">
          <w:rPr>
            <w:rFonts w:ascii="Arial Narrow" w:hAnsi="Arial Narrow"/>
            <w:noProof/>
          </w:rPr>
          <w:fldChar w:fldCharType="end"/>
        </w:r>
      </w:p>
    </w:sdtContent>
  </w:sdt>
  <w:p w:rsidR="00921456" w:rsidRDefault="00AD4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F2302"/>
    <w:multiLevelType w:val="hybridMultilevel"/>
    <w:tmpl w:val="9B4A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85EC2"/>
    <w:multiLevelType w:val="hybridMultilevel"/>
    <w:tmpl w:val="D85238F4"/>
    <w:lvl w:ilvl="0" w:tplc="F4120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E841A0"/>
    <w:multiLevelType w:val="hybridMultilevel"/>
    <w:tmpl w:val="14CAF1B8"/>
    <w:lvl w:ilvl="0" w:tplc="0BE245A4">
      <w:start w:val="4"/>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D57F5"/>
    <w:multiLevelType w:val="hybridMultilevel"/>
    <w:tmpl w:val="F114255A"/>
    <w:lvl w:ilvl="0" w:tplc="5876FEE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6671E1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BC"/>
    <w:rsid w:val="00023B28"/>
    <w:rsid w:val="00065A94"/>
    <w:rsid w:val="001A43E5"/>
    <w:rsid w:val="00240FCD"/>
    <w:rsid w:val="002942A1"/>
    <w:rsid w:val="00314799"/>
    <w:rsid w:val="00314A82"/>
    <w:rsid w:val="0032039A"/>
    <w:rsid w:val="003419C7"/>
    <w:rsid w:val="003D5CE2"/>
    <w:rsid w:val="003F29B4"/>
    <w:rsid w:val="003F6655"/>
    <w:rsid w:val="003F6B59"/>
    <w:rsid w:val="004407F6"/>
    <w:rsid w:val="004F60F0"/>
    <w:rsid w:val="005221EF"/>
    <w:rsid w:val="00572763"/>
    <w:rsid w:val="005B5A1D"/>
    <w:rsid w:val="005D0D5C"/>
    <w:rsid w:val="006378E6"/>
    <w:rsid w:val="006C1280"/>
    <w:rsid w:val="006D122E"/>
    <w:rsid w:val="006D19CE"/>
    <w:rsid w:val="007055C1"/>
    <w:rsid w:val="00716576"/>
    <w:rsid w:val="00731FDC"/>
    <w:rsid w:val="00732BFA"/>
    <w:rsid w:val="00736CAA"/>
    <w:rsid w:val="00736FDF"/>
    <w:rsid w:val="0073711E"/>
    <w:rsid w:val="00751C4F"/>
    <w:rsid w:val="00757F1B"/>
    <w:rsid w:val="007601C6"/>
    <w:rsid w:val="00760F6C"/>
    <w:rsid w:val="00786840"/>
    <w:rsid w:val="0079156B"/>
    <w:rsid w:val="007C1F6F"/>
    <w:rsid w:val="007C6F21"/>
    <w:rsid w:val="007D3F53"/>
    <w:rsid w:val="00934C3D"/>
    <w:rsid w:val="0094406E"/>
    <w:rsid w:val="009671C8"/>
    <w:rsid w:val="00A74945"/>
    <w:rsid w:val="00AD4B39"/>
    <w:rsid w:val="00B271C2"/>
    <w:rsid w:val="00B34876"/>
    <w:rsid w:val="00B442A6"/>
    <w:rsid w:val="00BA5AC5"/>
    <w:rsid w:val="00BE0999"/>
    <w:rsid w:val="00BE283C"/>
    <w:rsid w:val="00C6012B"/>
    <w:rsid w:val="00C7580E"/>
    <w:rsid w:val="00C82309"/>
    <w:rsid w:val="00C9467D"/>
    <w:rsid w:val="00CC7AF5"/>
    <w:rsid w:val="00D02C39"/>
    <w:rsid w:val="00D4666D"/>
    <w:rsid w:val="00D67622"/>
    <w:rsid w:val="00D9270F"/>
    <w:rsid w:val="00DE3B89"/>
    <w:rsid w:val="00EA7CF4"/>
    <w:rsid w:val="00ED4515"/>
    <w:rsid w:val="00EF17EC"/>
    <w:rsid w:val="00EF32BA"/>
    <w:rsid w:val="00F20678"/>
    <w:rsid w:val="00F31C1C"/>
    <w:rsid w:val="00F42267"/>
    <w:rsid w:val="00FB310B"/>
    <w:rsid w:val="00FC09B3"/>
    <w:rsid w:val="00FF6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4BE9B-994D-456C-9831-4029E29F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6D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6DBC"/>
  </w:style>
  <w:style w:type="paragraph" w:customStyle="1" w:styleId="FootnoteText1">
    <w:name w:val="Footnote Text1"/>
    <w:basedOn w:val="Normal"/>
    <w:next w:val="FootnoteText"/>
    <w:link w:val="FootnoteTextChar"/>
    <w:uiPriority w:val="99"/>
    <w:unhideWhenUsed/>
    <w:rsid w:val="00FF6DBC"/>
    <w:pPr>
      <w:spacing w:after="0" w:line="240" w:lineRule="auto"/>
    </w:pPr>
    <w:rPr>
      <w:rFonts w:ascii="Calibri" w:hAnsi="Calibri" w:cs="Times New Roman"/>
      <w:sz w:val="20"/>
      <w:szCs w:val="20"/>
      <w:lang w:val="en-GB"/>
    </w:rPr>
  </w:style>
  <w:style w:type="character" w:customStyle="1" w:styleId="FootnoteTextChar">
    <w:name w:val="Footnote Text Char"/>
    <w:basedOn w:val="DefaultParagraphFont"/>
    <w:link w:val="FootnoteText1"/>
    <w:uiPriority w:val="99"/>
    <w:rsid w:val="00FF6DBC"/>
    <w:rPr>
      <w:rFonts w:ascii="Calibri" w:hAnsi="Calibri" w:cs="Times New Roman"/>
      <w:sz w:val="20"/>
      <w:szCs w:val="20"/>
      <w:lang w:val="en-GB"/>
    </w:rPr>
  </w:style>
  <w:style w:type="character" w:styleId="FootnoteReference">
    <w:name w:val="footnote reference"/>
    <w:basedOn w:val="DefaultParagraphFont"/>
    <w:uiPriority w:val="99"/>
    <w:unhideWhenUsed/>
    <w:rsid w:val="00FF6DBC"/>
    <w:rPr>
      <w:vertAlign w:val="superscript"/>
    </w:rPr>
  </w:style>
  <w:style w:type="table" w:customStyle="1" w:styleId="TableGrid1">
    <w:name w:val="Table Grid1"/>
    <w:basedOn w:val="TableNormal"/>
    <w:next w:val="TableGrid"/>
    <w:uiPriority w:val="39"/>
    <w:rsid w:val="00FF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6DBC"/>
    <w:rPr>
      <w:color w:val="0000FF"/>
      <w:u w:val="single"/>
    </w:rPr>
  </w:style>
  <w:style w:type="paragraph" w:styleId="FootnoteText">
    <w:name w:val="footnote text"/>
    <w:basedOn w:val="Normal"/>
    <w:link w:val="FootnoteTextChar1"/>
    <w:uiPriority w:val="99"/>
    <w:unhideWhenUsed/>
    <w:rsid w:val="00FF6DB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F6DBC"/>
    <w:rPr>
      <w:sz w:val="20"/>
      <w:szCs w:val="20"/>
    </w:rPr>
  </w:style>
  <w:style w:type="table" w:styleId="TableGrid">
    <w:name w:val="Table Grid"/>
    <w:basedOn w:val="TableNormal"/>
    <w:uiPriority w:val="39"/>
    <w:rsid w:val="00FF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C39"/>
    <w:pPr>
      <w:ind w:left="720"/>
      <w:contextualSpacing/>
    </w:pPr>
  </w:style>
  <w:style w:type="paragraph" w:styleId="BalloonText">
    <w:name w:val="Balloon Text"/>
    <w:basedOn w:val="Normal"/>
    <w:link w:val="BalloonTextChar"/>
    <w:uiPriority w:val="99"/>
    <w:semiHidden/>
    <w:unhideWhenUsed/>
    <w:rsid w:val="006D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2023-04-19T18:30:00+00:00</Judgment_x0020_Date>
    <Year xmlns="c1afb1bd-f2fb-40fd-9abb-aea55b4d7662">2023</Year>
  </documentManagement>
</p:properties>
</file>

<file path=customXml/itemProps1.xml><?xml version="1.0" encoding="utf-8"?>
<ds:datastoreItem xmlns:ds="http://schemas.openxmlformats.org/officeDocument/2006/customXml" ds:itemID="{68DC1C10-46EF-45CC-9009-02EDF2F5AF95}"/>
</file>

<file path=customXml/itemProps2.xml><?xml version="1.0" encoding="utf-8"?>
<ds:datastoreItem xmlns:ds="http://schemas.openxmlformats.org/officeDocument/2006/customXml" ds:itemID="{F2791439-9F48-49DC-9873-B3ACA6F5F283}"/>
</file>

<file path=customXml/itemProps3.xml><?xml version="1.0" encoding="utf-8"?>
<ds:datastoreItem xmlns:ds="http://schemas.openxmlformats.org/officeDocument/2006/customXml" ds:itemID="{2493CB5F-0C02-496F-8240-9D61CCA7E563}"/>
</file>

<file path=customXml/itemProps4.xml><?xml version="1.0" encoding="utf-8"?>
<ds:datastoreItem xmlns:ds="http://schemas.openxmlformats.org/officeDocument/2006/customXml" ds:itemID="{EAD14491-40F8-41B8-BF76-DF6F30CAF3FA}"/>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Shilipipo v Welwitschia Wings Investments CC (HC-MD-CIV-ACT-CON-2021-01409) [2023] NAHCMD 207 (20 April 2023)</dc:title>
  <dc:subject/>
  <dc:creator>Sti Jan</dc:creator>
  <cp:keywords/>
  <dc:description/>
  <cp:lastModifiedBy>Ernestine N. Jansen</cp:lastModifiedBy>
  <cp:revision>2</cp:revision>
  <cp:lastPrinted>2023-04-20T09:13:00Z</cp:lastPrinted>
  <dcterms:created xsi:type="dcterms:W3CDTF">2023-04-20T09:25:00Z</dcterms:created>
  <dcterms:modified xsi:type="dcterms:W3CDTF">2023-04-20T09:25:00Z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