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485" w:rsidRDefault="00980485" w:rsidP="006E49A3">
      <w:pPr>
        <w:spacing w:after="0" w:line="240" w:lineRule="auto"/>
        <w:jc w:val="center"/>
        <w:rPr>
          <w:rFonts w:ascii="Arial" w:hAnsi="Arial" w:cs="Arial"/>
          <w:b/>
          <w:sz w:val="24"/>
          <w:szCs w:val="24"/>
        </w:rPr>
      </w:pPr>
      <w:r w:rsidRPr="006E026B">
        <w:rPr>
          <w:rFonts w:ascii="Arial" w:hAnsi="Arial" w:cs="Arial"/>
          <w:b/>
          <w:sz w:val="24"/>
          <w:szCs w:val="24"/>
        </w:rPr>
        <w:t>REPUBLIC OF NAMIBIA</w:t>
      </w:r>
      <w:r>
        <w:rPr>
          <w:rFonts w:ascii="Arial" w:hAnsi="Arial" w:cs="Arial"/>
          <w:b/>
          <w:sz w:val="24"/>
          <w:szCs w:val="24"/>
        </w:rPr>
        <w:t xml:space="preserve"> </w:t>
      </w:r>
    </w:p>
    <w:p w:rsidR="006E49A3" w:rsidRDefault="006E49A3" w:rsidP="006E49A3">
      <w:pPr>
        <w:spacing w:after="0" w:line="360" w:lineRule="auto"/>
        <w:jc w:val="both"/>
        <w:rPr>
          <w:rFonts w:ascii="Arial" w:hAnsi="Arial" w:cs="Arial"/>
          <w:sz w:val="24"/>
          <w:szCs w:val="24"/>
        </w:rPr>
      </w:pPr>
    </w:p>
    <w:p w:rsidR="00980485" w:rsidRPr="006E49A3" w:rsidRDefault="00980485" w:rsidP="00980485">
      <w:pPr>
        <w:spacing w:after="0" w:line="360" w:lineRule="auto"/>
        <w:jc w:val="center"/>
        <w:rPr>
          <w:rFonts w:ascii="Arial" w:hAnsi="Arial" w:cs="Arial"/>
          <w:sz w:val="24"/>
          <w:szCs w:val="24"/>
        </w:rPr>
      </w:pPr>
      <w:r>
        <w:rPr>
          <w:b/>
          <w:noProof/>
          <w:sz w:val="32"/>
          <w:szCs w:val="32"/>
          <w:lang w:eastAsia="en-ZA"/>
        </w:rPr>
        <w:drawing>
          <wp:inline distT="0" distB="0" distL="0" distR="0" wp14:anchorId="2425A816" wp14:editId="53AE16E7">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6E49A3" w:rsidRDefault="006E49A3" w:rsidP="006E49A3">
      <w:pPr>
        <w:spacing w:after="0" w:line="360" w:lineRule="auto"/>
        <w:jc w:val="center"/>
        <w:rPr>
          <w:rFonts w:ascii="Arial" w:hAnsi="Arial" w:cs="Arial"/>
          <w:b/>
          <w:sz w:val="24"/>
          <w:szCs w:val="24"/>
        </w:rPr>
      </w:pPr>
      <w:r w:rsidRPr="006E49A3">
        <w:rPr>
          <w:rFonts w:ascii="Arial" w:hAnsi="Arial" w:cs="Arial"/>
          <w:b/>
          <w:sz w:val="24"/>
          <w:szCs w:val="24"/>
        </w:rPr>
        <w:t>IN THE HIGH COURT OF NAMIBIA</w:t>
      </w:r>
      <w:r w:rsidR="00980485">
        <w:rPr>
          <w:rFonts w:ascii="Arial" w:hAnsi="Arial" w:cs="Arial"/>
          <w:b/>
          <w:sz w:val="24"/>
          <w:szCs w:val="24"/>
        </w:rPr>
        <w:t>, MAIN DIVISION, WINDHOEK</w:t>
      </w:r>
    </w:p>
    <w:p w:rsidR="00980485" w:rsidRDefault="00085761" w:rsidP="006E49A3">
      <w:pPr>
        <w:spacing w:after="0" w:line="360" w:lineRule="auto"/>
        <w:jc w:val="center"/>
        <w:rPr>
          <w:rFonts w:ascii="Arial" w:hAnsi="Arial" w:cs="Arial"/>
          <w:b/>
          <w:sz w:val="24"/>
          <w:szCs w:val="24"/>
        </w:rPr>
      </w:pPr>
      <w:r>
        <w:rPr>
          <w:rFonts w:ascii="Arial" w:hAnsi="Arial" w:cs="Arial"/>
          <w:b/>
          <w:sz w:val="24"/>
          <w:szCs w:val="24"/>
        </w:rPr>
        <w:t>RULING</w:t>
      </w:r>
    </w:p>
    <w:p w:rsidR="00875129" w:rsidRPr="006E49A3" w:rsidRDefault="00875129" w:rsidP="006E49A3">
      <w:pPr>
        <w:spacing w:after="0" w:line="360" w:lineRule="auto"/>
        <w:jc w:val="center"/>
        <w:rPr>
          <w:rFonts w:ascii="Arial" w:hAnsi="Arial" w:cs="Arial"/>
          <w:b/>
          <w:sz w:val="24"/>
          <w:szCs w:val="24"/>
        </w:rPr>
      </w:pPr>
      <w:r>
        <w:rPr>
          <w:rFonts w:ascii="Arial" w:hAnsi="Arial" w:cs="Arial"/>
          <w:b/>
          <w:sz w:val="24"/>
          <w:szCs w:val="24"/>
        </w:rPr>
        <w:t>PRACTICE DIRECTIVE 61</w:t>
      </w:r>
    </w:p>
    <w:p w:rsidR="00281FAB" w:rsidRPr="006E49A3" w:rsidRDefault="00281FAB" w:rsidP="00EB27A0">
      <w:pPr>
        <w:spacing w:after="0" w:line="360" w:lineRule="auto"/>
        <w:jc w:val="both"/>
        <w:rPr>
          <w:rFonts w:ascii="Arial" w:hAnsi="Arial" w:cs="Arial"/>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6E49A3" w:rsidTr="005403D8">
        <w:trPr>
          <w:trHeight w:val="744"/>
        </w:trPr>
        <w:tc>
          <w:tcPr>
            <w:tcW w:w="5397" w:type="dxa"/>
            <w:gridSpan w:val="2"/>
            <w:vMerge w:val="restart"/>
          </w:tcPr>
          <w:p w:rsidR="00C73154" w:rsidRPr="006E49A3" w:rsidRDefault="00C73154" w:rsidP="00EB27A0">
            <w:pPr>
              <w:spacing w:line="360" w:lineRule="auto"/>
              <w:jc w:val="both"/>
              <w:rPr>
                <w:rFonts w:ascii="Arial" w:hAnsi="Arial" w:cs="Arial"/>
              </w:rPr>
            </w:pPr>
            <w:r w:rsidRPr="006E49A3">
              <w:rPr>
                <w:rFonts w:ascii="Arial" w:hAnsi="Arial" w:cs="Arial"/>
                <w:b/>
              </w:rPr>
              <w:t>Case Title:</w:t>
            </w:r>
          </w:p>
          <w:p w:rsidR="00C73154" w:rsidRPr="008B3222" w:rsidRDefault="00372623" w:rsidP="006D2D84">
            <w:pPr>
              <w:spacing w:line="360" w:lineRule="auto"/>
              <w:jc w:val="both"/>
              <w:rPr>
                <w:rFonts w:ascii="Arial" w:hAnsi="Arial" w:cs="Arial"/>
              </w:rPr>
            </w:pPr>
            <w:r w:rsidRPr="00831333">
              <w:rPr>
                <w:rFonts w:ascii="Arial" w:hAnsi="Arial" w:cs="Arial"/>
              </w:rPr>
              <w:t>HELALIA LUKEIKO JOHANNES</w:t>
            </w:r>
            <w:r w:rsidR="00026D86" w:rsidRPr="008B3222">
              <w:rPr>
                <w:rFonts w:ascii="Arial" w:hAnsi="Arial" w:cs="Arial"/>
                <w:shd w:val="clear" w:color="auto" w:fill="FFFFFF"/>
              </w:rPr>
              <w:t xml:space="preserve"> vs </w:t>
            </w:r>
            <w:r w:rsidRPr="00831333">
              <w:rPr>
                <w:rFonts w:ascii="Arial" w:hAnsi="Arial" w:cs="Arial"/>
              </w:rPr>
              <w:t>JAFET UUTONI</w:t>
            </w:r>
          </w:p>
          <w:p w:rsidR="00C73154" w:rsidRPr="006E49A3" w:rsidRDefault="00C73154" w:rsidP="006D2D84">
            <w:pPr>
              <w:spacing w:line="360" w:lineRule="auto"/>
              <w:jc w:val="both"/>
              <w:rPr>
                <w:rFonts w:ascii="Arial" w:hAnsi="Arial" w:cs="Arial"/>
              </w:rPr>
            </w:pPr>
          </w:p>
        </w:tc>
        <w:tc>
          <w:tcPr>
            <w:tcW w:w="4323" w:type="dxa"/>
          </w:tcPr>
          <w:p w:rsidR="00C73154" w:rsidRPr="006E49A3" w:rsidRDefault="00C73154" w:rsidP="00905A48">
            <w:pPr>
              <w:spacing w:line="360" w:lineRule="auto"/>
              <w:jc w:val="both"/>
              <w:rPr>
                <w:rFonts w:ascii="Arial" w:hAnsi="Arial" w:cs="Arial"/>
                <w:b/>
              </w:rPr>
            </w:pPr>
            <w:r w:rsidRPr="006E49A3">
              <w:rPr>
                <w:rFonts w:ascii="Arial" w:hAnsi="Arial" w:cs="Arial"/>
                <w:b/>
              </w:rPr>
              <w:t>Case No:</w:t>
            </w:r>
          </w:p>
          <w:p w:rsidR="00C73154" w:rsidRPr="00372623" w:rsidRDefault="00372623" w:rsidP="00B71AB3">
            <w:pPr>
              <w:spacing w:line="360" w:lineRule="auto"/>
              <w:jc w:val="both"/>
              <w:rPr>
                <w:rFonts w:ascii="Arial" w:hAnsi="Arial" w:cs="Arial"/>
              </w:rPr>
            </w:pPr>
            <w:r w:rsidRPr="00372623">
              <w:rPr>
                <w:rFonts w:ascii="Arial" w:hAnsi="Arial" w:cs="Arial"/>
              </w:rPr>
              <w:t>HC-MD-CIV-ACT-MAT-2021/04410</w:t>
            </w:r>
          </w:p>
        </w:tc>
      </w:tr>
      <w:tr w:rsidR="00C73154" w:rsidRPr="006E49A3" w:rsidTr="005403D8">
        <w:trPr>
          <w:trHeight w:val="844"/>
        </w:trPr>
        <w:tc>
          <w:tcPr>
            <w:tcW w:w="5397" w:type="dxa"/>
            <w:gridSpan w:val="2"/>
            <w:vMerge/>
          </w:tcPr>
          <w:p w:rsidR="00C73154" w:rsidRPr="006E49A3" w:rsidRDefault="00C73154" w:rsidP="00EB27A0">
            <w:pPr>
              <w:spacing w:line="360" w:lineRule="auto"/>
              <w:jc w:val="both"/>
              <w:rPr>
                <w:rFonts w:ascii="Arial" w:hAnsi="Arial" w:cs="Arial"/>
              </w:rPr>
            </w:pPr>
          </w:p>
        </w:tc>
        <w:tc>
          <w:tcPr>
            <w:tcW w:w="4323" w:type="dxa"/>
          </w:tcPr>
          <w:p w:rsidR="00C73154" w:rsidRPr="006E49A3" w:rsidRDefault="00C73154" w:rsidP="00EB27A0">
            <w:pPr>
              <w:spacing w:line="360" w:lineRule="auto"/>
              <w:jc w:val="both"/>
              <w:rPr>
                <w:rFonts w:ascii="Arial" w:hAnsi="Arial" w:cs="Arial"/>
              </w:rPr>
            </w:pPr>
            <w:r w:rsidRPr="006E49A3">
              <w:rPr>
                <w:rFonts w:ascii="Arial" w:hAnsi="Arial" w:cs="Arial"/>
                <w:b/>
              </w:rPr>
              <w:t>Division of Court:</w:t>
            </w:r>
          </w:p>
          <w:p w:rsidR="00C73154" w:rsidRPr="006E49A3" w:rsidRDefault="00C73154" w:rsidP="00092FD2">
            <w:pPr>
              <w:spacing w:line="360" w:lineRule="auto"/>
              <w:jc w:val="both"/>
              <w:rPr>
                <w:rFonts w:ascii="Arial" w:hAnsi="Arial" w:cs="Arial"/>
              </w:rPr>
            </w:pPr>
            <w:r w:rsidRPr="006E49A3">
              <w:rPr>
                <w:rFonts w:ascii="Arial" w:hAnsi="Arial" w:cs="Arial"/>
              </w:rPr>
              <w:t>H</w:t>
            </w:r>
            <w:r w:rsidR="00092FD2" w:rsidRPr="006E49A3">
              <w:rPr>
                <w:rFonts w:ascii="Arial" w:hAnsi="Arial" w:cs="Arial"/>
              </w:rPr>
              <w:t>IGH COURT (MAIN DIVISION</w:t>
            </w:r>
            <w:r w:rsidR="00890143" w:rsidRPr="006E49A3">
              <w:rPr>
                <w:rFonts w:ascii="Arial" w:hAnsi="Arial" w:cs="Arial"/>
              </w:rPr>
              <w:t>)</w:t>
            </w:r>
          </w:p>
        </w:tc>
      </w:tr>
      <w:tr w:rsidR="005403D8" w:rsidRPr="006E49A3" w:rsidTr="005403D8">
        <w:trPr>
          <w:trHeight w:val="645"/>
        </w:trPr>
        <w:tc>
          <w:tcPr>
            <w:tcW w:w="5397" w:type="dxa"/>
            <w:gridSpan w:val="2"/>
            <w:vMerge w:val="restart"/>
          </w:tcPr>
          <w:p w:rsidR="005403D8" w:rsidRPr="006E49A3" w:rsidRDefault="005403D8" w:rsidP="00EB27A0">
            <w:pPr>
              <w:spacing w:line="360" w:lineRule="auto"/>
              <w:jc w:val="both"/>
              <w:rPr>
                <w:rFonts w:ascii="Arial" w:hAnsi="Arial" w:cs="Arial"/>
                <w:b/>
              </w:rPr>
            </w:pPr>
            <w:r w:rsidRPr="006E49A3">
              <w:rPr>
                <w:rFonts w:ascii="Arial" w:hAnsi="Arial" w:cs="Arial"/>
                <w:b/>
              </w:rPr>
              <w:t>Heard before:</w:t>
            </w:r>
          </w:p>
          <w:p w:rsidR="005403D8" w:rsidRPr="006E49A3" w:rsidRDefault="000A2E51" w:rsidP="00C57202">
            <w:pPr>
              <w:spacing w:line="360" w:lineRule="auto"/>
              <w:jc w:val="both"/>
              <w:rPr>
                <w:rFonts w:ascii="Arial" w:hAnsi="Arial" w:cs="Arial"/>
              </w:rPr>
            </w:pPr>
            <w:r>
              <w:rPr>
                <w:rFonts w:ascii="Arial" w:hAnsi="Arial" w:cs="Arial"/>
              </w:rPr>
              <w:t>PARKER AJ</w:t>
            </w:r>
          </w:p>
        </w:tc>
        <w:tc>
          <w:tcPr>
            <w:tcW w:w="4323" w:type="dxa"/>
          </w:tcPr>
          <w:p w:rsidR="005403D8" w:rsidRPr="006E49A3" w:rsidRDefault="005403D8" w:rsidP="00EB27A0">
            <w:pPr>
              <w:spacing w:line="360" w:lineRule="auto"/>
              <w:jc w:val="both"/>
              <w:rPr>
                <w:rFonts w:ascii="Arial" w:hAnsi="Arial" w:cs="Arial"/>
                <w:b/>
              </w:rPr>
            </w:pPr>
            <w:r w:rsidRPr="006E49A3">
              <w:rPr>
                <w:rFonts w:ascii="Arial" w:hAnsi="Arial" w:cs="Arial"/>
                <w:b/>
              </w:rPr>
              <w:t>Date of hearing:</w:t>
            </w:r>
          </w:p>
          <w:p w:rsidR="005403D8" w:rsidRPr="006E49A3" w:rsidRDefault="00372623" w:rsidP="00372623">
            <w:pPr>
              <w:spacing w:line="360" w:lineRule="auto"/>
              <w:rPr>
                <w:rFonts w:ascii="Arial" w:hAnsi="Arial" w:cs="Arial"/>
              </w:rPr>
            </w:pPr>
            <w:r>
              <w:rPr>
                <w:rFonts w:ascii="Arial" w:hAnsi="Arial" w:cs="Arial"/>
              </w:rPr>
              <w:t>22 &amp; 30</w:t>
            </w:r>
            <w:r w:rsidR="0009710D">
              <w:rPr>
                <w:rFonts w:ascii="Arial" w:hAnsi="Arial" w:cs="Arial"/>
              </w:rPr>
              <w:t xml:space="preserve"> </w:t>
            </w:r>
            <w:r>
              <w:rPr>
                <w:rFonts w:ascii="Arial" w:hAnsi="Arial" w:cs="Arial"/>
              </w:rPr>
              <w:t>MARCH</w:t>
            </w:r>
            <w:r w:rsidR="00F72F82" w:rsidRPr="006E49A3">
              <w:rPr>
                <w:rFonts w:ascii="Arial" w:hAnsi="Arial" w:cs="Arial"/>
              </w:rPr>
              <w:t xml:space="preserve"> </w:t>
            </w:r>
            <w:r w:rsidR="0009710D">
              <w:rPr>
                <w:rFonts w:ascii="Arial" w:hAnsi="Arial" w:cs="Arial"/>
              </w:rPr>
              <w:t>202</w:t>
            </w:r>
            <w:r w:rsidR="00861229">
              <w:rPr>
                <w:rFonts w:ascii="Arial" w:hAnsi="Arial" w:cs="Arial"/>
              </w:rPr>
              <w:t>3</w:t>
            </w:r>
          </w:p>
        </w:tc>
      </w:tr>
      <w:tr w:rsidR="005403D8" w:rsidRPr="006E49A3" w:rsidTr="00FD38C2">
        <w:trPr>
          <w:trHeight w:val="588"/>
        </w:trPr>
        <w:tc>
          <w:tcPr>
            <w:tcW w:w="5397" w:type="dxa"/>
            <w:gridSpan w:val="2"/>
            <w:vMerge/>
          </w:tcPr>
          <w:p w:rsidR="005403D8" w:rsidRPr="006E49A3" w:rsidRDefault="005403D8" w:rsidP="00EB27A0">
            <w:pPr>
              <w:spacing w:line="360" w:lineRule="auto"/>
              <w:jc w:val="both"/>
              <w:rPr>
                <w:rFonts w:ascii="Arial" w:hAnsi="Arial" w:cs="Arial"/>
                <w:b/>
              </w:rPr>
            </w:pPr>
          </w:p>
        </w:tc>
        <w:tc>
          <w:tcPr>
            <w:tcW w:w="4323" w:type="dxa"/>
          </w:tcPr>
          <w:p w:rsidR="00C75F10" w:rsidRDefault="005403D8" w:rsidP="005403D8">
            <w:pPr>
              <w:spacing w:line="360" w:lineRule="auto"/>
              <w:jc w:val="both"/>
              <w:rPr>
                <w:rFonts w:ascii="Arial" w:hAnsi="Arial" w:cs="Arial"/>
                <w:b/>
              </w:rPr>
            </w:pPr>
            <w:r w:rsidRPr="006E49A3">
              <w:rPr>
                <w:rFonts w:ascii="Arial" w:hAnsi="Arial" w:cs="Arial"/>
                <w:b/>
              </w:rPr>
              <w:t>Delivered on:</w:t>
            </w:r>
            <w:r w:rsidR="003D647D">
              <w:rPr>
                <w:rFonts w:ascii="Arial" w:hAnsi="Arial" w:cs="Arial"/>
                <w:b/>
              </w:rPr>
              <w:t xml:space="preserve">  </w:t>
            </w:r>
          </w:p>
          <w:p w:rsidR="005403D8" w:rsidRPr="006E49A3" w:rsidRDefault="00372623" w:rsidP="00372623">
            <w:pPr>
              <w:spacing w:line="360" w:lineRule="auto"/>
              <w:jc w:val="both"/>
              <w:rPr>
                <w:rFonts w:ascii="Arial" w:hAnsi="Arial" w:cs="Arial"/>
                <w:b/>
              </w:rPr>
            </w:pPr>
            <w:r>
              <w:rPr>
                <w:rFonts w:ascii="Arial" w:hAnsi="Arial" w:cs="Arial"/>
              </w:rPr>
              <w:t>26</w:t>
            </w:r>
            <w:r w:rsidR="003D647D">
              <w:rPr>
                <w:rFonts w:ascii="Arial" w:hAnsi="Arial" w:cs="Arial"/>
              </w:rPr>
              <w:t xml:space="preserve"> </w:t>
            </w:r>
            <w:r>
              <w:rPr>
                <w:rFonts w:ascii="Arial" w:hAnsi="Arial" w:cs="Arial"/>
              </w:rPr>
              <w:t>APRIL</w:t>
            </w:r>
            <w:r w:rsidR="003D647D" w:rsidRPr="006E49A3">
              <w:rPr>
                <w:rFonts w:ascii="Arial" w:hAnsi="Arial" w:cs="Arial"/>
              </w:rPr>
              <w:t xml:space="preserve"> </w:t>
            </w:r>
            <w:r w:rsidR="00C75F10">
              <w:rPr>
                <w:rFonts w:ascii="Arial" w:hAnsi="Arial" w:cs="Arial"/>
              </w:rPr>
              <w:t>202</w:t>
            </w:r>
            <w:r w:rsidR="00861229">
              <w:rPr>
                <w:rFonts w:ascii="Arial" w:hAnsi="Arial" w:cs="Arial"/>
              </w:rPr>
              <w:t>3</w:t>
            </w:r>
          </w:p>
        </w:tc>
      </w:tr>
      <w:tr w:rsidR="005955B1" w:rsidRPr="006E49A3" w:rsidTr="00BB1E6E">
        <w:trPr>
          <w:trHeight w:val="908"/>
        </w:trPr>
        <w:tc>
          <w:tcPr>
            <w:tcW w:w="9720" w:type="dxa"/>
            <w:gridSpan w:val="3"/>
          </w:tcPr>
          <w:p w:rsidR="00F71EB9" w:rsidRPr="006E49A3" w:rsidRDefault="0000294E" w:rsidP="00350F84">
            <w:pPr>
              <w:spacing w:line="360" w:lineRule="auto"/>
              <w:ind w:left="1722" w:hanging="1722"/>
              <w:jc w:val="both"/>
              <w:rPr>
                <w:rFonts w:ascii="Arial" w:hAnsi="Arial" w:cs="Arial"/>
              </w:rPr>
            </w:pPr>
            <w:r>
              <w:rPr>
                <w:rFonts w:ascii="Arial" w:hAnsi="Arial" w:cs="Arial"/>
                <w:b/>
              </w:rPr>
              <w:t xml:space="preserve">Neutral citation: </w:t>
            </w:r>
            <w:r w:rsidR="00831333">
              <w:rPr>
                <w:rFonts w:ascii="Arial" w:hAnsi="Arial" w:cs="Arial"/>
                <w:i/>
                <w:sz w:val="24"/>
                <w:szCs w:val="24"/>
              </w:rPr>
              <w:t>Johannes</w:t>
            </w:r>
            <w:r w:rsidR="0009710D" w:rsidRPr="00761AEA">
              <w:rPr>
                <w:rFonts w:ascii="Arial" w:hAnsi="Arial" w:cs="Arial"/>
                <w:i/>
                <w:sz w:val="24"/>
                <w:szCs w:val="24"/>
              </w:rPr>
              <w:t xml:space="preserve"> </w:t>
            </w:r>
            <w:r w:rsidR="00F72F82" w:rsidRPr="00761AEA">
              <w:rPr>
                <w:rFonts w:ascii="Arial" w:hAnsi="Arial" w:cs="Arial"/>
                <w:i/>
                <w:sz w:val="24"/>
                <w:szCs w:val="24"/>
              </w:rPr>
              <w:t xml:space="preserve">v </w:t>
            </w:r>
            <w:proofErr w:type="spellStart"/>
            <w:r w:rsidR="00831333">
              <w:rPr>
                <w:rFonts w:ascii="Arial" w:hAnsi="Arial" w:cs="Arial"/>
                <w:i/>
                <w:sz w:val="24"/>
                <w:szCs w:val="24"/>
              </w:rPr>
              <w:t>Uuton</w:t>
            </w:r>
            <w:r w:rsidR="00A312F8">
              <w:rPr>
                <w:rFonts w:ascii="Arial" w:hAnsi="Arial" w:cs="Arial"/>
                <w:i/>
                <w:sz w:val="24"/>
                <w:szCs w:val="24"/>
              </w:rPr>
              <w:t>i</w:t>
            </w:r>
            <w:proofErr w:type="spellEnd"/>
            <w:r w:rsidR="00026D86" w:rsidRPr="00761AEA">
              <w:rPr>
                <w:rFonts w:ascii="Arial" w:hAnsi="Arial" w:cs="Arial"/>
                <w:i/>
                <w:sz w:val="24"/>
                <w:szCs w:val="24"/>
              </w:rPr>
              <w:t xml:space="preserve"> </w:t>
            </w:r>
            <w:r w:rsidR="00B4625E" w:rsidRPr="00761AEA">
              <w:rPr>
                <w:rFonts w:ascii="Arial" w:hAnsi="Arial" w:cs="Arial"/>
                <w:sz w:val="24"/>
                <w:szCs w:val="24"/>
              </w:rPr>
              <w:t>(</w:t>
            </w:r>
            <w:r w:rsidR="00831333" w:rsidRPr="00372623">
              <w:rPr>
                <w:rFonts w:ascii="Arial" w:hAnsi="Arial" w:cs="Arial"/>
              </w:rPr>
              <w:t>HC-MD-CIV-ACT-MAT-2021/04410</w:t>
            </w:r>
            <w:r w:rsidR="00B4625E" w:rsidRPr="00761AEA">
              <w:rPr>
                <w:rFonts w:ascii="Arial" w:hAnsi="Arial" w:cs="Arial"/>
                <w:sz w:val="24"/>
                <w:szCs w:val="24"/>
              </w:rPr>
              <w:t>)</w:t>
            </w:r>
            <w:r w:rsidR="00B4625E" w:rsidRPr="00761AEA">
              <w:rPr>
                <w:rFonts w:ascii="Arial" w:hAnsi="Arial" w:cs="Arial"/>
                <w:b/>
                <w:sz w:val="24"/>
                <w:szCs w:val="24"/>
              </w:rPr>
              <w:t xml:space="preserve"> </w:t>
            </w:r>
            <w:r w:rsidR="00B4625E" w:rsidRPr="00761AEA">
              <w:rPr>
                <w:rFonts w:ascii="Arial" w:hAnsi="Arial" w:cs="Arial"/>
                <w:sz w:val="24"/>
                <w:szCs w:val="24"/>
              </w:rPr>
              <w:t>[20</w:t>
            </w:r>
            <w:r w:rsidR="0009710D" w:rsidRPr="00761AEA">
              <w:rPr>
                <w:rFonts w:ascii="Arial" w:hAnsi="Arial" w:cs="Arial"/>
                <w:sz w:val="24"/>
                <w:szCs w:val="24"/>
              </w:rPr>
              <w:t>2</w:t>
            </w:r>
            <w:r w:rsidR="00861229">
              <w:rPr>
                <w:rFonts w:ascii="Arial" w:hAnsi="Arial" w:cs="Arial"/>
                <w:sz w:val="24"/>
                <w:szCs w:val="24"/>
              </w:rPr>
              <w:t>3</w:t>
            </w:r>
            <w:r w:rsidR="00B4625E" w:rsidRPr="00761AEA">
              <w:rPr>
                <w:rFonts w:ascii="Arial" w:hAnsi="Arial" w:cs="Arial"/>
                <w:sz w:val="24"/>
                <w:szCs w:val="24"/>
              </w:rPr>
              <w:t xml:space="preserve">] </w:t>
            </w:r>
            <w:r w:rsidR="005955B1" w:rsidRPr="00761AEA">
              <w:rPr>
                <w:rFonts w:ascii="Arial" w:hAnsi="Arial" w:cs="Arial"/>
                <w:sz w:val="24"/>
                <w:szCs w:val="24"/>
              </w:rPr>
              <w:t xml:space="preserve">NAHCMD </w:t>
            </w:r>
            <w:r w:rsidR="00350F84">
              <w:rPr>
                <w:rFonts w:ascii="Arial" w:hAnsi="Arial" w:cs="Arial"/>
                <w:sz w:val="24"/>
                <w:szCs w:val="24"/>
              </w:rPr>
              <w:t>222</w:t>
            </w:r>
            <w:r w:rsidR="00B4625E" w:rsidRPr="00761AEA">
              <w:rPr>
                <w:rFonts w:ascii="Arial" w:hAnsi="Arial" w:cs="Arial"/>
                <w:sz w:val="24"/>
                <w:szCs w:val="24"/>
              </w:rPr>
              <w:t xml:space="preserve"> (</w:t>
            </w:r>
            <w:r w:rsidR="00831333">
              <w:rPr>
                <w:rFonts w:ascii="Arial" w:hAnsi="Arial" w:cs="Arial"/>
                <w:sz w:val="24"/>
                <w:szCs w:val="24"/>
              </w:rPr>
              <w:t>26</w:t>
            </w:r>
            <w:r w:rsidR="003D647D" w:rsidRPr="00761AEA">
              <w:rPr>
                <w:rFonts w:ascii="Arial" w:hAnsi="Arial" w:cs="Arial"/>
                <w:sz w:val="24"/>
                <w:szCs w:val="24"/>
              </w:rPr>
              <w:t xml:space="preserve"> </w:t>
            </w:r>
            <w:r w:rsidR="00875129">
              <w:rPr>
                <w:rFonts w:ascii="Arial" w:hAnsi="Arial" w:cs="Arial"/>
                <w:sz w:val="24"/>
                <w:szCs w:val="24"/>
              </w:rPr>
              <w:t>April</w:t>
            </w:r>
            <w:r w:rsidR="003D647D" w:rsidRPr="00761AEA">
              <w:rPr>
                <w:rFonts w:ascii="Arial" w:hAnsi="Arial" w:cs="Arial"/>
                <w:sz w:val="24"/>
                <w:szCs w:val="24"/>
              </w:rPr>
              <w:t xml:space="preserve"> 202</w:t>
            </w:r>
            <w:r w:rsidR="00861229">
              <w:rPr>
                <w:rFonts w:ascii="Arial" w:hAnsi="Arial" w:cs="Arial"/>
                <w:sz w:val="24"/>
                <w:szCs w:val="24"/>
              </w:rPr>
              <w:t>3</w:t>
            </w:r>
            <w:r w:rsidR="005955B1" w:rsidRPr="00761AEA">
              <w:rPr>
                <w:rFonts w:ascii="Arial" w:hAnsi="Arial" w:cs="Arial"/>
                <w:sz w:val="24"/>
                <w:szCs w:val="24"/>
              </w:rPr>
              <w:t>)</w:t>
            </w:r>
          </w:p>
        </w:tc>
      </w:tr>
      <w:tr w:rsidR="00281FAB" w:rsidRPr="006E49A3" w:rsidTr="00EB27A0">
        <w:tc>
          <w:tcPr>
            <w:tcW w:w="9720" w:type="dxa"/>
            <w:gridSpan w:val="3"/>
          </w:tcPr>
          <w:p w:rsidR="00EB27A0" w:rsidRPr="006E49A3" w:rsidRDefault="00EB27A0" w:rsidP="00EB27A0">
            <w:pPr>
              <w:spacing w:line="360" w:lineRule="auto"/>
              <w:jc w:val="both"/>
              <w:rPr>
                <w:rFonts w:ascii="Arial" w:hAnsi="Arial" w:cs="Arial"/>
                <w:sz w:val="20"/>
                <w:szCs w:val="20"/>
              </w:rPr>
            </w:pPr>
          </w:p>
          <w:p w:rsidR="00EB27A0" w:rsidRDefault="00EB27A0" w:rsidP="00977346">
            <w:pPr>
              <w:spacing w:line="360" w:lineRule="auto"/>
              <w:jc w:val="both"/>
              <w:rPr>
                <w:rFonts w:ascii="Arial" w:hAnsi="Arial" w:cs="Arial"/>
                <w:b/>
                <w:sz w:val="24"/>
                <w:szCs w:val="24"/>
              </w:rPr>
            </w:pPr>
            <w:r w:rsidRPr="00177C43">
              <w:rPr>
                <w:rFonts w:ascii="Arial" w:hAnsi="Arial" w:cs="Arial"/>
                <w:b/>
                <w:sz w:val="24"/>
                <w:szCs w:val="24"/>
              </w:rPr>
              <w:t>IT IS ORDERED THAT:</w:t>
            </w:r>
          </w:p>
          <w:p w:rsidR="00C76546" w:rsidRPr="00177C43" w:rsidRDefault="00C76546" w:rsidP="00977346">
            <w:pPr>
              <w:spacing w:line="360" w:lineRule="auto"/>
              <w:jc w:val="both"/>
              <w:rPr>
                <w:rFonts w:ascii="Arial" w:hAnsi="Arial" w:cs="Arial"/>
                <w:b/>
                <w:sz w:val="24"/>
                <w:szCs w:val="24"/>
              </w:rPr>
            </w:pPr>
          </w:p>
          <w:p w:rsidR="00C57202" w:rsidRDefault="00C57202" w:rsidP="00C57202">
            <w:pPr>
              <w:pStyle w:val="ListParagraph"/>
              <w:numPr>
                <w:ilvl w:val="0"/>
                <w:numId w:val="21"/>
              </w:numPr>
              <w:spacing w:line="360" w:lineRule="auto"/>
              <w:ind w:left="729" w:hanging="709"/>
              <w:jc w:val="both"/>
              <w:rPr>
                <w:rFonts w:ascii="Arial" w:hAnsi="Arial" w:cs="Arial"/>
                <w:sz w:val="24"/>
                <w:szCs w:val="24"/>
              </w:rPr>
            </w:pPr>
            <w:r>
              <w:rPr>
                <w:rFonts w:ascii="Arial" w:hAnsi="Arial" w:cs="Arial"/>
                <w:sz w:val="24"/>
                <w:szCs w:val="24"/>
              </w:rPr>
              <w:t>The bonds of marriage subsisting between the plaintiff and the defendant are dissolved; and a final order of divorce is hereby granted.</w:t>
            </w:r>
          </w:p>
          <w:p w:rsidR="00C57202" w:rsidRDefault="00C57202" w:rsidP="00C57202">
            <w:pPr>
              <w:pStyle w:val="ListParagraph"/>
              <w:spacing w:line="360" w:lineRule="auto"/>
              <w:ind w:left="729"/>
              <w:jc w:val="both"/>
              <w:rPr>
                <w:rFonts w:ascii="Arial" w:hAnsi="Arial" w:cs="Arial"/>
                <w:sz w:val="24"/>
                <w:szCs w:val="24"/>
              </w:rPr>
            </w:pPr>
          </w:p>
          <w:p w:rsidR="00C57202" w:rsidRDefault="00C57202" w:rsidP="00C57202">
            <w:pPr>
              <w:pStyle w:val="ListParagraph"/>
              <w:numPr>
                <w:ilvl w:val="0"/>
                <w:numId w:val="21"/>
              </w:numPr>
              <w:spacing w:line="360" w:lineRule="auto"/>
              <w:ind w:left="729" w:hanging="709"/>
              <w:jc w:val="both"/>
              <w:rPr>
                <w:rFonts w:ascii="Arial" w:hAnsi="Arial" w:cs="Arial"/>
                <w:sz w:val="24"/>
                <w:szCs w:val="24"/>
              </w:rPr>
            </w:pPr>
            <w:r>
              <w:rPr>
                <w:rFonts w:ascii="Arial" w:hAnsi="Arial" w:cs="Arial"/>
                <w:sz w:val="24"/>
                <w:szCs w:val="24"/>
              </w:rPr>
              <w:t>Custody and control of the minor child of the family are awarded to the plaintiff, subject to the defendant’s reasonable access to the minor child.</w:t>
            </w:r>
          </w:p>
          <w:p w:rsidR="00C57202" w:rsidRPr="00355C9F" w:rsidRDefault="00C57202" w:rsidP="00C57202">
            <w:pPr>
              <w:pStyle w:val="ListParagraph"/>
              <w:rPr>
                <w:rFonts w:ascii="Arial" w:hAnsi="Arial" w:cs="Arial"/>
                <w:sz w:val="24"/>
                <w:szCs w:val="24"/>
              </w:rPr>
            </w:pPr>
          </w:p>
          <w:p w:rsidR="00C57202" w:rsidRDefault="00C57202" w:rsidP="00C57202">
            <w:pPr>
              <w:pStyle w:val="ListParagraph"/>
              <w:numPr>
                <w:ilvl w:val="0"/>
                <w:numId w:val="21"/>
              </w:numPr>
              <w:spacing w:line="360" w:lineRule="auto"/>
              <w:ind w:left="729" w:hanging="709"/>
              <w:jc w:val="both"/>
              <w:rPr>
                <w:rFonts w:ascii="Arial" w:hAnsi="Arial" w:cs="Arial"/>
                <w:sz w:val="24"/>
                <w:szCs w:val="24"/>
              </w:rPr>
            </w:pPr>
            <w:r>
              <w:rPr>
                <w:rFonts w:ascii="Arial" w:hAnsi="Arial" w:cs="Arial"/>
                <w:sz w:val="24"/>
                <w:szCs w:val="24"/>
              </w:rPr>
              <w:t>The defendant shall pay N$2 000 per month towards the maintenance of the minor child.</w:t>
            </w:r>
          </w:p>
          <w:p w:rsidR="00C57202" w:rsidRPr="00355C9F" w:rsidRDefault="00C57202" w:rsidP="00C57202">
            <w:pPr>
              <w:pStyle w:val="ListParagraph"/>
              <w:rPr>
                <w:rFonts w:ascii="Arial" w:hAnsi="Arial" w:cs="Arial"/>
                <w:sz w:val="24"/>
                <w:szCs w:val="24"/>
              </w:rPr>
            </w:pPr>
          </w:p>
          <w:p w:rsidR="00C57202" w:rsidRDefault="00C57202" w:rsidP="00C57202">
            <w:pPr>
              <w:pStyle w:val="ListParagraph"/>
              <w:numPr>
                <w:ilvl w:val="0"/>
                <w:numId w:val="21"/>
              </w:numPr>
              <w:spacing w:line="360" w:lineRule="auto"/>
              <w:ind w:left="729" w:hanging="709"/>
              <w:jc w:val="both"/>
              <w:rPr>
                <w:rFonts w:ascii="Arial" w:hAnsi="Arial" w:cs="Arial"/>
                <w:sz w:val="24"/>
                <w:szCs w:val="24"/>
              </w:rPr>
            </w:pPr>
            <w:r>
              <w:rPr>
                <w:rFonts w:ascii="Arial" w:hAnsi="Arial" w:cs="Arial"/>
                <w:sz w:val="24"/>
                <w:szCs w:val="24"/>
              </w:rPr>
              <w:t>The defendant shall forfeit any benefits deriving from the marriage out of community of property.</w:t>
            </w:r>
          </w:p>
          <w:p w:rsidR="00C57202" w:rsidRPr="00355C9F" w:rsidRDefault="00C57202" w:rsidP="00C57202">
            <w:pPr>
              <w:pStyle w:val="ListParagraph"/>
              <w:rPr>
                <w:rFonts w:ascii="Arial" w:hAnsi="Arial" w:cs="Arial"/>
                <w:sz w:val="24"/>
                <w:szCs w:val="24"/>
              </w:rPr>
            </w:pPr>
          </w:p>
          <w:p w:rsidR="00C57202" w:rsidRDefault="00C57202" w:rsidP="00C57202">
            <w:pPr>
              <w:pStyle w:val="ListParagraph"/>
              <w:numPr>
                <w:ilvl w:val="0"/>
                <w:numId w:val="21"/>
              </w:numPr>
              <w:spacing w:line="360" w:lineRule="auto"/>
              <w:ind w:left="729" w:hanging="709"/>
              <w:jc w:val="both"/>
              <w:rPr>
                <w:rFonts w:ascii="Arial" w:hAnsi="Arial" w:cs="Arial"/>
                <w:sz w:val="24"/>
                <w:szCs w:val="24"/>
              </w:rPr>
            </w:pPr>
            <w:r>
              <w:rPr>
                <w:rFonts w:ascii="Arial" w:hAnsi="Arial" w:cs="Arial"/>
                <w:sz w:val="24"/>
                <w:szCs w:val="24"/>
              </w:rPr>
              <w:lastRenderedPageBreak/>
              <w:t xml:space="preserve">The ownership of Erf No. 94 </w:t>
            </w:r>
            <w:proofErr w:type="spellStart"/>
            <w:r>
              <w:rPr>
                <w:rFonts w:ascii="Arial" w:hAnsi="Arial" w:cs="Arial"/>
                <w:sz w:val="24"/>
                <w:szCs w:val="24"/>
              </w:rPr>
              <w:t>Tolla</w:t>
            </w:r>
            <w:proofErr w:type="spellEnd"/>
            <w:r>
              <w:rPr>
                <w:rFonts w:ascii="Arial" w:hAnsi="Arial" w:cs="Arial"/>
                <w:sz w:val="24"/>
                <w:szCs w:val="24"/>
              </w:rPr>
              <w:t xml:space="preserve"> Street, </w:t>
            </w:r>
            <w:proofErr w:type="spellStart"/>
            <w:r>
              <w:rPr>
                <w:rFonts w:ascii="Arial" w:hAnsi="Arial" w:cs="Arial"/>
                <w:sz w:val="24"/>
                <w:szCs w:val="24"/>
              </w:rPr>
              <w:t>Goreangab</w:t>
            </w:r>
            <w:proofErr w:type="spellEnd"/>
            <w:r>
              <w:rPr>
                <w:rFonts w:ascii="Arial" w:hAnsi="Arial" w:cs="Arial"/>
                <w:sz w:val="24"/>
                <w:szCs w:val="24"/>
              </w:rPr>
              <w:t xml:space="preserve"> Dam, Windhoek, is hereby vested solely in the plaintiff.</w:t>
            </w:r>
          </w:p>
          <w:p w:rsidR="00C57202" w:rsidRPr="00355C9F" w:rsidRDefault="00C57202" w:rsidP="00C57202">
            <w:pPr>
              <w:pStyle w:val="ListParagraph"/>
              <w:rPr>
                <w:rFonts w:ascii="Arial" w:hAnsi="Arial" w:cs="Arial"/>
                <w:sz w:val="24"/>
                <w:szCs w:val="24"/>
              </w:rPr>
            </w:pPr>
          </w:p>
          <w:p w:rsidR="00C57202" w:rsidRDefault="00C57202" w:rsidP="00C57202">
            <w:pPr>
              <w:pStyle w:val="ListParagraph"/>
              <w:numPr>
                <w:ilvl w:val="0"/>
                <w:numId w:val="21"/>
              </w:numPr>
              <w:spacing w:line="360" w:lineRule="auto"/>
              <w:ind w:left="729" w:hanging="709"/>
              <w:jc w:val="both"/>
              <w:rPr>
                <w:rFonts w:ascii="Arial" w:hAnsi="Arial" w:cs="Arial"/>
                <w:sz w:val="24"/>
                <w:szCs w:val="24"/>
              </w:rPr>
            </w:pPr>
            <w:r>
              <w:rPr>
                <w:rFonts w:ascii="Arial" w:hAnsi="Arial" w:cs="Arial"/>
                <w:sz w:val="24"/>
                <w:szCs w:val="24"/>
              </w:rPr>
              <w:t xml:space="preserve">The defendant must, on or before 17 May 2023, take all steps necessary and required to transfer his share of the said Erf No. 94, </w:t>
            </w:r>
            <w:proofErr w:type="spellStart"/>
            <w:r>
              <w:rPr>
                <w:rFonts w:ascii="Arial" w:hAnsi="Arial" w:cs="Arial"/>
                <w:sz w:val="24"/>
                <w:szCs w:val="24"/>
              </w:rPr>
              <w:t>Tolla</w:t>
            </w:r>
            <w:proofErr w:type="spellEnd"/>
            <w:r>
              <w:rPr>
                <w:rFonts w:ascii="Arial" w:hAnsi="Arial" w:cs="Arial"/>
                <w:sz w:val="24"/>
                <w:szCs w:val="24"/>
              </w:rPr>
              <w:t xml:space="preserve"> Street, </w:t>
            </w:r>
            <w:proofErr w:type="spellStart"/>
            <w:r>
              <w:rPr>
                <w:rFonts w:ascii="Arial" w:hAnsi="Arial" w:cs="Arial"/>
                <w:sz w:val="24"/>
                <w:szCs w:val="24"/>
              </w:rPr>
              <w:t>Goreangab</w:t>
            </w:r>
            <w:proofErr w:type="spellEnd"/>
            <w:r>
              <w:rPr>
                <w:rFonts w:ascii="Arial" w:hAnsi="Arial" w:cs="Arial"/>
                <w:sz w:val="24"/>
                <w:szCs w:val="24"/>
              </w:rPr>
              <w:t xml:space="preserve"> Dam, Windhoek, to the plaintiff; and if the defendant fails or refuses to act as such, the Deputy Sheriff responsible for Windhoek is hereby authorized to take all steps necessary and required to effect the aforementioned transfer.</w:t>
            </w:r>
          </w:p>
          <w:p w:rsidR="00C57202" w:rsidRPr="007540BE" w:rsidRDefault="00C57202" w:rsidP="00C57202">
            <w:pPr>
              <w:pStyle w:val="ListParagraph"/>
              <w:rPr>
                <w:rFonts w:ascii="Arial" w:hAnsi="Arial" w:cs="Arial"/>
                <w:sz w:val="24"/>
                <w:szCs w:val="24"/>
              </w:rPr>
            </w:pPr>
          </w:p>
          <w:p w:rsidR="00C57202" w:rsidRDefault="00C57202" w:rsidP="00C57202">
            <w:pPr>
              <w:pStyle w:val="ListParagraph"/>
              <w:numPr>
                <w:ilvl w:val="0"/>
                <w:numId w:val="21"/>
              </w:numPr>
              <w:spacing w:line="360" w:lineRule="auto"/>
              <w:ind w:left="729" w:hanging="709"/>
              <w:jc w:val="both"/>
              <w:rPr>
                <w:rFonts w:ascii="Arial" w:hAnsi="Arial" w:cs="Arial"/>
                <w:sz w:val="24"/>
                <w:szCs w:val="24"/>
              </w:rPr>
            </w:pPr>
            <w:r>
              <w:rPr>
                <w:rFonts w:ascii="Arial" w:hAnsi="Arial" w:cs="Arial"/>
                <w:sz w:val="24"/>
                <w:szCs w:val="24"/>
              </w:rPr>
              <w:t>The plaintiff be the sole owner of all property listed and identified in Annexure ‘HLJ8’ to the particula</w:t>
            </w:r>
            <w:r w:rsidR="00875129">
              <w:rPr>
                <w:rFonts w:ascii="Arial" w:hAnsi="Arial" w:cs="Arial"/>
                <w:sz w:val="24"/>
                <w:szCs w:val="24"/>
              </w:rPr>
              <w:t>rs of claim, a pounding machine</w:t>
            </w:r>
            <w:r>
              <w:rPr>
                <w:rFonts w:ascii="Arial" w:hAnsi="Arial" w:cs="Arial"/>
                <w:sz w:val="24"/>
                <w:szCs w:val="24"/>
              </w:rPr>
              <w:t xml:space="preserve"> and 20 goats listed in paragraph 18 of the particulars of claim.</w:t>
            </w:r>
          </w:p>
          <w:p w:rsidR="00C57202" w:rsidRPr="007540BE" w:rsidRDefault="00C57202" w:rsidP="00C57202">
            <w:pPr>
              <w:pStyle w:val="ListParagraph"/>
              <w:rPr>
                <w:rFonts w:ascii="Arial" w:hAnsi="Arial" w:cs="Arial"/>
                <w:sz w:val="24"/>
                <w:szCs w:val="24"/>
              </w:rPr>
            </w:pPr>
          </w:p>
          <w:p w:rsidR="00C57202" w:rsidRDefault="00C57202" w:rsidP="00C57202">
            <w:pPr>
              <w:pStyle w:val="ListParagraph"/>
              <w:numPr>
                <w:ilvl w:val="0"/>
                <w:numId w:val="21"/>
              </w:numPr>
              <w:spacing w:line="360" w:lineRule="auto"/>
              <w:ind w:left="729" w:hanging="709"/>
              <w:jc w:val="both"/>
              <w:rPr>
                <w:rFonts w:ascii="Arial" w:hAnsi="Arial" w:cs="Arial"/>
                <w:sz w:val="24"/>
                <w:szCs w:val="24"/>
              </w:rPr>
            </w:pPr>
            <w:r>
              <w:rPr>
                <w:rFonts w:ascii="Arial" w:hAnsi="Arial" w:cs="Arial"/>
                <w:sz w:val="24"/>
                <w:szCs w:val="24"/>
              </w:rPr>
              <w:t>That plaintiff be the sole owner of the two motor vehicles listed in paragraphs 18.1 and 18.2 of the particulars of claim.</w:t>
            </w:r>
          </w:p>
          <w:p w:rsidR="00C57202" w:rsidRPr="007540BE" w:rsidRDefault="00C57202" w:rsidP="00C57202">
            <w:pPr>
              <w:pStyle w:val="ListParagraph"/>
              <w:rPr>
                <w:rFonts w:ascii="Arial" w:hAnsi="Arial" w:cs="Arial"/>
                <w:sz w:val="24"/>
                <w:szCs w:val="24"/>
              </w:rPr>
            </w:pPr>
          </w:p>
          <w:p w:rsidR="00C57202" w:rsidRDefault="00C57202" w:rsidP="00C57202">
            <w:pPr>
              <w:pStyle w:val="ListParagraph"/>
              <w:numPr>
                <w:ilvl w:val="0"/>
                <w:numId w:val="21"/>
              </w:numPr>
              <w:spacing w:line="360" w:lineRule="auto"/>
              <w:ind w:left="729" w:hanging="709"/>
              <w:jc w:val="both"/>
              <w:rPr>
                <w:rFonts w:ascii="Arial" w:hAnsi="Arial" w:cs="Arial"/>
                <w:sz w:val="24"/>
                <w:szCs w:val="24"/>
              </w:rPr>
            </w:pPr>
            <w:r>
              <w:rPr>
                <w:rFonts w:ascii="Arial" w:hAnsi="Arial" w:cs="Arial"/>
                <w:sz w:val="24"/>
                <w:szCs w:val="24"/>
              </w:rPr>
              <w:t>That the defendant be the sole owner of all the property listed and identified in paragraphs 15 and 16 of the particulars of claim.</w:t>
            </w:r>
          </w:p>
          <w:p w:rsidR="00C57202" w:rsidRPr="007540BE" w:rsidRDefault="00C57202" w:rsidP="00C57202">
            <w:pPr>
              <w:pStyle w:val="ListParagraph"/>
              <w:rPr>
                <w:rFonts w:ascii="Arial" w:hAnsi="Arial" w:cs="Arial"/>
                <w:sz w:val="24"/>
                <w:szCs w:val="24"/>
              </w:rPr>
            </w:pPr>
          </w:p>
          <w:p w:rsidR="002714DD" w:rsidRPr="00C57202" w:rsidRDefault="00C57202" w:rsidP="00C57202">
            <w:pPr>
              <w:pStyle w:val="ListParagraph"/>
              <w:numPr>
                <w:ilvl w:val="0"/>
                <w:numId w:val="21"/>
              </w:numPr>
              <w:spacing w:line="360" w:lineRule="auto"/>
              <w:ind w:left="729" w:hanging="709"/>
              <w:jc w:val="both"/>
              <w:rPr>
                <w:rFonts w:ascii="Arial" w:hAnsi="Arial" w:cs="Arial"/>
                <w:sz w:val="24"/>
                <w:szCs w:val="24"/>
              </w:rPr>
            </w:pPr>
            <w:r>
              <w:rPr>
                <w:rFonts w:ascii="Arial" w:hAnsi="Arial" w:cs="Arial"/>
                <w:sz w:val="24"/>
                <w:szCs w:val="24"/>
              </w:rPr>
              <w:t>There is no order as to costs.</w:t>
            </w:r>
          </w:p>
        </w:tc>
      </w:tr>
      <w:tr w:rsidR="00281FAB" w:rsidRPr="006E49A3" w:rsidTr="00EB27A0">
        <w:tc>
          <w:tcPr>
            <w:tcW w:w="9720" w:type="dxa"/>
            <w:gridSpan w:val="3"/>
          </w:tcPr>
          <w:p w:rsidR="00281FAB" w:rsidRPr="008E6759" w:rsidRDefault="00E4232A" w:rsidP="00E4232A">
            <w:pPr>
              <w:spacing w:line="360" w:lineRule="auto"/>
              <w:jc w:val="both"/>
              <w:rPr>
                <w:rFonts w:ascii="Arial" w:hAnsi="Arial" w:cs="Arial"/>
                <w:b/>
              </w:rPr>
            </w:pPr>
            <w:r>
              <w:rPr>
                <w:rFonts w:ascii="Arial" w:hAnsi="Arial" w:cs="Arial"/>
                <w:b/>
              </w:rPr>
              <w:lastRenderedPageBreak/>
              <w:t>R</w:t>
            </w:r>
            <w:r w:rsidR="008E6759" w:rsidRPr="008E6759">
              <w:rPr>
                <w:rFonts w:ascii="Arial" w:hAnsi="Arial" w:cs="Arial"/>
                <w:b/>
              </w:rPr>
              <w:t xml:space="preserve">easons for the </w:t>
            </w:r>
            <w:r>
              <w:rPr>
                <w:rFonts w:ascii="Arial" w:hAnsi="Arial" w:cs="Arial"/>
                <w:b/>
              </w:rPr>
              <w:t>O</w:t>
            </w:r>
            <w:r w:rsidR="008E6759" w:rsidRPr="008E6759">
              <w:rPr>
                <w:rFonts w:ascii="Arial" w:hAnsi="Arial" w:cs="Arial"/>
                <w:b/>
              </w:rPr>
              <w:t>rder:</w:t>
            </w:r>
          </w:p>
        </w:tc>
      </w:tr>
      <w:tr w:rsidR="00281FAB" w:rsidRPr="006E49A3" w:rsidTr="00EB27A0">
        <w:tc>
          <w:tcPr>
            <w:tcW w:w="9720" w:type="dxa"/>
            <w:gridSpan w:val="3"/>
          </w:tcPr>
          <w:p w:rsidR="00AA7713" w:rsidRDefault="00AA7713" w:rsidP="00070FC8">
            <w:pPr>
              <w:spacing w:line="360" w:lineRule="auto"/>
              <w:jc w:val="both"/>
              <w:rPr>
                <w:rFonts w:ascii="Arial" w:hAnsi="Arial" w:cs="Arial"/>
              </w:rPr>
            </w:pPr>
            <w:r w:rsidRPr="00AA7713">
              <w:rPr>
                <w:rFonts w:ascii="Arial" w:hAnsi="Arial" w:cs="Arial"/>
                <w:b/>
              </w:rPr>
              <w:t>PARKER AJ</w:t>
            </w:r>
            <w:r>
              <w:rPr>
                <w:rFonts w:ascii="Arial" w:hAnsi="Arial" w:cs="Arial"/>
              </w:rPr>
              <w:t>:</w:t>
            </w:r>
          </w:p>
          <w:p w:rsidR="00AA7713" w:rsidRDefault="00AA7713" w:rsidP="00070FC8">
            <w:pPr>
              <w:spacing w:line="360" w:lineRule="auto"/>
              <w:jc w:val="both"/>
              <w:rPr>
                <w:rFonts w:ascii="Arial" w:hAnsi="Arial" w:cs="Arial"/>
              </w:rPr>
            </w:pPr>
          </w:p>
          <w:p w:rsidR="00525724" w:rsidRDefault="00977346" w:rsidP="00977346">
            <w:pPr>
              <w:spacing w:line="360" w:lineRule="auto"/>
              <w:jc w:val="both"/>
              <w:rPr>
                <w:rFonts w:ascii="Arial" w:hAnsi="Arial" w:cs="Arial"/>
                <w:sz w:val="24"/>
                <w:szCs w:val="24"/>
              </w:rPr>
            </w:pPr>
            <w:r w:rsidRPr="00977346">
              <w:rPr>
                <w:rFonts w:ascii="Arial" w:hAnsi="Arial" w:cs="Arial"/>
                <w:sz w:val="24"/>
                <w:szCs w:val="24"/>
              </w:rPr>
              <w:t>[1]</w:t>
            </w:r>
            <w:r w:rsidRPr="00977346">
              <w:rPr>
                <w:rFonts w:ascii="Arial" w:hAnsi="Arial" w:cs="Arial"/>
                <w:sz w:val="24"/>
                <w:szCs w:val="24"/>
              </w:rPr>
              <w:tab/>
            </w:r>
            <w:r w:rsidR="00525724">
              <w:rPr>
                <w:rFonts w:ascii="Arial" w:hAnsi="Arial" w:cs="Arial"/>
                <w:sz w:val="24"/>
                <w:szCs w:val="24"/>
              </w:rPr>
              <w:t xml:space="preserve">In this matrimonial matter, the plaintiff, represented by Ms </w:t>
            </w:r>
            <w:proofErr w:type="spellStart"/>
            <w:r w:rsidR="00525724">
              <w:rPr>
                <w:rFonts w:ascii="Arial" w:hAnsi="Arial" w:cs="Arial"/>
                <w:sz w:val="24"/>
                <w:szCs w:val="24"/>
              </w:rPr>
              <w:t>Nambinga</w:t>
            </w:r>
            <w:proofErr w:type="spellEnd"/>
            <w:r w:rsidR="00525724">
              <w:rPr>
                <w:rFonts w:ascii="Arial" w:hAnsi="Arial" w:cs="Arial"/>
                <w:sz w:val="24"/>
                <w:szCs w:val="24"/>
              </w:rPr>
              <w:t xml:space="preserve">, has instituted divorce proceedings.  The plaintiff relies on these grounds, namely, that the defendant wrongfully, unlawfully and constructively deserted the plaintiff by, among other things, committing emotional, psychological and physical abuse towards the plaintiff.  The parties have been married to each other for some 11 years.  There is one </w:t>
            </w:r>
            <w:r w:rsidR="000A2E51">
              <w:rPr>
                <w:rFonts w:ascii="Arial" w:hAnsi="Arial" w:cs="Arial"/>
                <w:sz w:val="24"/>
                <w:szCs w:val="24"/>
              </w:rPr>
              <w:t xml:space="preserve">minor </w:t>
            </w:r>
            <w:r w:rsidR="00525724">
              <w:rPr>
                <w:rFonts w:ascii="Arial" w:hAnsi="Arial" w:cs="Arial"/>
                <w:sz w:val="24"/>
                <w:szCs w:val="24"/>
              </w:rPr>
              <w:t>child of the family.  The marriage is out of community of property.</w:t>
            </w:r>
          </w:p>
          <w:p w:rsidR="00525724" w:rsidRDefault="00525724" w:rsidP="00977346">
            <w:pPr>
              <w:spacing w:line="360" w:lineRule="auto"/>
              <w:jc w:val="both"/>
              <w:rPr>
                <w:rFonts w:ascii="Arial" w:hAnsi="Arial" w:cs="Arial"/>
                <w:sz w:val="24"/>
                <w:szCs w:val="24"/>
              </w:rPr>
            </w:pPr>
          </w:p>
          <w:p w:rsidR="003A4D37" w:rsidRPr="00525724" w:rsidRDefault="00525724" w:rsidP="00977346">
            <w:pPr>
              <w:spacing w:line="360" w:lineRule="auto"/>
              <w:jc w:val="both"/>
              <w:rPr>
                <w:rFonts w:ascii="Arial" w:hAnsi="Arial" w:cs="Arial"/>
                <w:sz w:val="24"/>
                <w:szCs w:val="24"/>
                <w:u w:val="single"/>
              </w:rPr>
            </w:pPr>
            <w:r w:rsidRPr="00525724">
              <w:rPr>
                <w:rFonts w:ascii="Arial" w:hAnsi="Arial" w:cs="Arial"/>
                <w:sz w:val="24"/>
                <w:szCs w:val="24"/>
                <w:u w:val="single"/>
              </w:rPr>
              <w:t xml:space="preserve">The claim in convention </w:t>
            </w:r>
          </w:p>
          <w:p w:rsidR="003A4D37" w:rsidRDefault="003A4D37" w:rsidP="00977346">
            <w:pPr>
              <w:spacing w:line="360" w:lineRule="auto"/>
              <w:jc w:val="both"/>
              <w:rPr>
                <w:rFonts w:ascii="Arial" w:hAnsi="Arial" w:cs="Arial"/>
                <w:sz w:val="24"/>
                <w:szCs w:val="24"/>
              </w:rPr>
            </w:pPr>
          </w:p>
          <w:p w:rsidR="003F0AEC" w:rsidRPr="001F51A3" w:rsidRDefault="00977346" w:rsidP="00831333">
            <w:pPr>
              <w:spacing w:line="360" w:lineRule="auto"/>
              <w:jc w:val="both"/>
              <w:rPr>
                <w:rFonts w:ascii="Arial" w:hAnsi="Arial" w:cs="Arial"/>
              </w:rPr>
            </w:pPr>
            <w:r w:rsidRPr="00977346">
              <w:rPr>
                <w:rFonts w:ascii="Arial" w:hAnsi="Arial" w:cs="Arial"/>
                <w:sz w:val="24"/>
                <w:szCs w:val="24"/>
              </w:rPr>
              <w:t>[2]</w:t>
            </w:r>
            <w:r w:rsidRPr="00977346">
              <w:rPr>
                <w:rFonts w:ascii="Arial" w:hAnsi="Arial" w:cs="Arial"/>
                <w:sz w:val="24"/>
                <w:szCs w:val="24"/>
              </w:rPr>
              <w:tab/>
            </w:r>
            <w:r w:rsidR="00B222E3">
              <w:rPr>
                <w:rFonts w:ascii="Arial" w:hAnsi="Arial" w:cs="Arial"/>
                <w:sz w:val="24"/>
                <w:szCs w:val="24"/>
              </w:rPr>
              <w:t>The said abuse led to the plaintiff seeking and obtaining a final protection order from the Magistrates Domestic Violence Court (‘the magistrates</w:t>
            </w:r>
            <w:r w:rsidR="00A312F8">
              <w:rPr>
                <w:rFonts w:ascii="Arial" w:hAnsi="Arial" w:cs="Arial"/>
                <w:sz w:val="24"/>
                <w:szCs w:val="24"/>
              </w:rPr>
              <w:t>’</w:t>
            </w:r>
            <w:r w:rsidR="00B222E3">
              <w:rPr>
                <w:rFonts w:ascii="Arial" w:hAnsi="Arial" w:cs="Arial"/>
                <w:sz w:val="24"/>
                <w:szCs w:val="24"/>
              </w:rPr>
              <w:t xml:space="preserve"> court’) on 14 February 2022.  The defendant, with legal representation, unsuccessfully resisted the granting of the </w:t>
            </w:r>
            <w:r w:rsidR="000A2E51">
              <w:rPr>
                <w:rFonts w:ascii="Arial" w:hAnsi="Arial" w:cs="Arial"/>
                <w:sz w:val="24"/>
                <w:szCs w:val="24"/>
              </w:rPr>
              <w:t xml:space="preserve">final </w:t>
            </w:r>
            <w:r w:rsidR="00B222E3">
              <w:rPr>
                <w:rFonts w:ascii="Arial" w:hAnsi="Arial" w:cs="Arial"/>
                <w:sz w:val="24"/>
                <w:szCs w:val="24"/>
              </w:rPr>
              <w:t xml:space="preserve">protection order.  </w:t>
            </w:r>
            <w:r w:rsidR="00B222E3" w:rsidRPr="00350F84">
              <w:rPr>
                <w:rFonts w:ascii="Arial" w:hAnsi="Arial" w:cs="Arial"/>
                <w:sz w:val="24"/>
                <w:szCs w:val="24"/>
              </w:rPr>
              <w:t xml:space="preserve">The order was granted on the grounds that the defendant </w:t>
            </w:r>
            <w:r w:rsidR="00A312F8" w:rsidRPr="00350F84">
              <w:rPr>
                <w:rFonts w:ascii="Arial" w:hAnsi="Arial" w:cs="Arial"/>
                <w:sz w:val="24"/>
                <w:szCs w:val="24"/>
              </w:rPr>
              <w:t xml:space="preserve">had committed against the plaintiff </w:t>
            </w:r>
            <w:r w:rsidR="00B222E3" w:rsidRPr="00350F84">
              <w:rPr>
                <w:rFonts w:ascii="Arial" w:hAnsi="Arial" w:cs="Arial"/>
                <w:sz w:val="24"/>
                <w:szCs w:val="24"/>
              </w:rPr>
              <w:t xml:space="preserve">all manner of </w:t>
            </w:r>
            <w:r w:rsidR="000A2E51" w:rsidRPr="00350F84">
              <w:rPr>
                <w:rFonts w:ascii="Arial" w:hAnsi="Arial" w:cs="Arial"/>
                <w:sz w:val="24"/>
                <w:szCs w:val="24"/>
              </w:rPr>
              <w:t>abuse</w:t>
            </w:r>
            <w:r w:rsidR="009A69A9" w:rsidRPr="00350F84">
              <w:rPr>
                <w:rFonts w:ascii="Arial" w:hAnsi="Arial" w:cs="Arial"/>
                <w:sz w:val="24"/>
                <w:szCs w:val="24"/>
              </w:rPr>
              <w:t>,</w:t>
            </w:r>
            <w:r w:rsidR="00B222E3" w:rsidRPr="00350F84">
              <w:rPr>
                <w:rFonts w:ascii="Arial" w:hAnsi="Arial" w:cs="Arial"/>
                <w:sz w:val="24"/>
                <w:szCs w:val="24"/>
              </w:rPr>
              <w:t xml:space="preserve"> includi</w:t>
            </w:r>
            <w:bookmarkStart w:id="0" w:name="_GoBack"/>
            <w:bookmarkEnd w:id="0"/>
            <w:r w:rsidR="00B222E3" w:rsidRPr="00350F84">
              <w:rPr>
                <w:rFonts w:ascii="Arial" w:hAnsi="Arial" w:cs="Arial"/>
                <w:sz w:val="24"/>
                <w:szCs w:val="24"/>
              </w:rPr>
              <w:t>ng</w:t>
            </w:r>
            <w:r w:rsidR="00B222E3">
              <w:rPr>
                <w:rFonts w:ascii="Arial" w:hAnsi="Arial" w:cs="Arial"/>
                <w:sz w:val="24"/>
                <w:szCs w:val="24"/>
              </w:rPr>
              <w:t xml:space="preserve"> physical abuse, </w:t>
            </w:r>
            <w:r w:rsidR="00551B49">
              <w:rPr>
                <w:rFonts w:ascii="Arial" w:hAnsi="Arial" w:cs="Arial"/>
                <w:sz w:val="24"/>
                <w:szCs w:val="24"/>
              </w:rPr>
              <w:t>s</w:t>
            </w:r>
            <w:r w:rsidR="00B222E3">
              <w:rPr>
                <w:rFonts w:ascii="Arial" w:hAnsi="Arial" w:cs="Arial"/>
                <w:sz w:val="24"/>
                <w:szCs w:val="24"/>
              </w:rPr>
              <w:t xml:space="preserve">exual abuse, economic </w:t>
            </w:r>
            <w:r w:rsidR="00B222E3">
              <w:rPr>
                <w:rFonts w:ascii="Arial" w:hAnsi="Arial" w:cs="Arial"/>
                <w:sz w:val="24"/>
                <w:szCs w:val="24"/>
              </w:rPr>
              <w:lastRenderedPageBreak/>
              <w:t xml:space="preserve">abuse and emotional, verbal or psychological abuse.  </w:t>
            </w:r>
            <w:r w:rsidR="000A2E51">
              <w:rPr>
                <w:rFonts w:ascii="Arial" w:hAnsi="Arial" w:cs="Arial"/>
                <w:sz w:val="24"/>
                <w:szCs w:val="24"/>
              </w:rPr>
              <w:t>For such abuse, I find that the</w:t>
            </w:r>
            <w:r w:rsidR="00B222E3">
              <w:rPr>
                <w:rFonts w:ascii="Arial" w:hAnsi="Arial" w:cs="Arial"/>
                <w:sz w:val="24"/>
                <w:szCs w:val="24"/>
              </w:rPr>
              <w:t xml:space="preserve"> defendant </w:t>
            </w:r>
            <w:r w:rsidR="000A2E51">
              <w:rPr>
                <w:rFonts w:ascii="Arial" w:hAnsi="Arial" w:cs="Arial"/>
                <w:sz w:val="24"/>
                <w:szCs w:val="24"/>
              </w:rPr>
              <w:t xml:space="preserve">is </w:t>
            </w:r>
            <w:r w:rsidR="00B222E3">
              <w:rPr>
                <w:rFonts w:ascii="Arial" w:hAnsi="Arial" w:cs="Arial"/>
                <w:sz w:val="24"/>
                <w:szCs w:val="24"/>
              </w:rPr>
              <w:t>the guilty party.</w:t>
            </w:r>
          </w:p>
          <w:p w:rsidR="00861E7B" w:rsidRDefault="00861E7B" w:rsidP="008E6694">
            <w:pPr>
              <w:spacing w:line="360" w:lineRule="auto"/>
              <w:jc w:val="both"/>
              <w:rPr>
                <w:rFonts w:ascii="Arial" w:hAnsi="Arial" w:cs="Arial"/>
                <w:sz w:val="24"/>
                <w:szCs w:val="24"/>
              </w:rPr>
            </w:pPr>
          </w:p>
          <w:p w:rsidR="00085761" w:rsidRDefault="00A766E1" w:rsidP="00977346">
            <w:pPr>
              <w:spacing w:line="360" w:lineRule="auto"/>
              <w:jc w:val="both"/>
              <w:rPr>
                <w:rFonts w:ascii="Arial" w:hAnsi="Arial" w:cs="Arial"/>
                <w:sz w:val="24"/>
                <w:szCs w:val="24"/>
              </w:rPr>
            </w:pPr>
            <w:r w:rsidRPr="00977346">
              <w:rPr>
                <w:rFonts w:ascii="Arial" w:hAnsi="Arial" w:cs="Arial"/>
                <w:sz w:val="24"/>
                <w:szCs w:val="24"/>
              </w:rPr>
              <w:t>[</w:t>
            </w:r>
            <w:r w:rsidR="001F51A3">
              <w:rPr>
                <w:rFonts w:ascii="Arial" w:hAnsi="Arial" w:cs="Arial"/>
                <w:sz w:val="24"/>
                <w:szCs w:val="24"/>
              </w:rPr>
              <w:t>3</w:t>
            </w:r>
            <w:r w:rsidRPr="00977346">
              <w:rPr>
                <w:rFonts w:ascii="Arial" w:hAnsi="Arial" w:cs="Arial"/>
                <w:sz w:val="24"/>
                <w:szCs w:val="24"/>
              </w:rPr>
              <w:t>]</w:t>
            </w:r>
            <w:r w:rsidRPr="00977346">
              <w:rPr>
                <w:rFonts w:ascii="Arial" w:hAnsi="Arial" w:cs="Arial"/>
                <w:sz w:val="24"/>
                <w:szCs w:val="24"/>
              </w:rPr>
              <w:tab/>
            </w:r>
            <w:r>
              <w:rPr>
                <w:rFonts w:ascii="Arial" w:hAnsi="Arial" w:cs="Arial"/>
                <w:sz w:val="24"/>
                <w:szCs w:val="24"/>
              </w:rPr>
              <w:t xml:space="preserve"> </w:t>
            </w:r>
            <w:r w:rsidR="00551B49">
              <w:rPr>
                <w:rFonts w:ascii="Arial" w:hAnsi="Arial" w:cs="Arial"/>
                <w:sz w:val="24"/>
                <w:szCs w:val="24"/>
              </w:rPr>
              <w:t xml:space="preserve">The </w:t>
            </w:r>
            <w:r w:rsidR="000A2E51">
              <w:rPr>
                <w:rFonts w:ascii="Arial" w:hAnsi="Arial" w:cs="Arial"/>
                <w:sz w:val="24"/>
                <w:szCs w:val="24"/>
              </w:rPr>
              <w:t xml:space="preserve">final </w:t>
            </w:r>
            <w:r w:rsidR="00551B49">
              <w:rPr>
                <w:rFonts w:ascii="Arial" w:hAnsi="Arial" w:cs="Arial"/>
                <w:sz w:val="24"/>
                <w:szCs w:val="24"/>
              </w:rPr>
              <w:t>protection order has not been set aside by a compe</w:t>
            </w:r>
            <w:r w:rsidR="00A312F8">
              <w:rPr>
                <w:rFonts w:ascii="Arial" w:hAnsi="Arial" w:cs="Arial"/>
                <w:sz w:val="24"/>
                <w:szCs w:val="24"/>
              </w:rPr>
              <w:t>tent</w:t>
            </w:r>
            <w:r w:rsidR="001D1EE6">
              <w:rPr>
                <w:rFonts w:ascii="Arial" w:hAnsi="Arial" w:cs="Arial"/>
                <w:sz w:val="24"/>
                <w:szCs w:val="24"/>
              </w:rPr>
              <w:t xml:space="preserve"> court,</w:t>
            </w:r>
            <w:r w:rsidR="00A312F8">
              <w:rPr>
                <w:rFonts w:ascii="Arial" w:hAnsi="Arial" w:cs="Arial"/>
                <w:sz w:val="24"/>
                <w:szCs w:val="24"/>
              </w:rPr>
              <w:t xml:space="preserve"> and so, I cannot air</w:t>
            </w:r>
            <w:r w:rsidR="00551B49">
              <w:rPr>
                <w:rFonts w:ascii="Arial" w:hAnsi="Arial" w:cs="Arial"/>
                <w:sz w:val="24"/>
                <w:szCs w:val="24"/>
              </w:rPr>
              <w:t xml:space="preserve">brush it.  I should implement it.  I said in </w:t>
            </w:r>
            <w:proofErr w:type="spellStart"/>
            <w:r w:rsidR="00551B49" w:rsidRPr="00A312F8">
              <w:rPr>
                <w:rFonts w:ascii="Arial" w:hAnsi="Arial" w:cs="Arial"/>
                <w:i/>
                <w:sz w:val="24"/>
                <w:szCs w:val="24"/>
              </w:rPr>
              <w:t>Beukes</w:t>
            </w:r>
            <w:proofErr w:type="spellEnd"/>
            <w:r w:rsidR="00551B49" w:rsidRPr="00A312F8">
              <w:rPr>
                <w:rFonts w:ascii="Arial" w:hAnsi="Arial" w:cs="Arial"/>
                <w:i/>
                <w:sz w:val="24"/>
                <w:szCs w:val="24"/>
              </w:rPr>
              <w:t xml:space="preserve"> v </w:t>
            </w:r>
            <w:proofErr w:type="spellStart"/>
            <w:r w:rsidR="00551B49" w:rsidRPr="00A312F8">
              <w:rPr>
                <w:rFonts w:ascii="Arial" w:hAnsi="Arial" w:cs="Arial"/>
                <w:i/>
                <w:sz w:val="24"/>
                <w:szCs w:val="24"/>
              </w:rPr>
              <w:t>Beukes</w:t>
            </w:r>
            <w:proofErr w:type="spellEnd"/>
            <w:r w:rsidR="00551B49">
              <w:rPr>
                <w:rFonts w:ascii="Arial" w:hAnsi="Arial" w:cs="Arial"/>
                <w:sz w:val="24"/>
                <w:szCs w:val="24"/>
              </w:rPr>
              <w:t xml:space="preserve"> –</w:t>
            </w:r>
          </w:p>
          <w:p w:rsidR="00551B49" w:rsidRDefault="00551B49" w:rsidP="00977346">
            <w:pPr>
              <w:spacing w:line="360" w:lineRule="auto"/>
              <w:jc w:val="both"/>
              <w:rPr>
                <w:rFonts w:ascii="Arial" w:hAnsi="Arial" w:cs="Arial"/>
                <w:sz w:val="24"/>
                <w:szCs w:val="24"/>
              </w:rPr>
            </w:pPr>
          </w:p>
          <w:p w:rsidR="00551B49" w:rsidRDefault="00551B49" w:rsidP="00977346">
            <w:pPr>
              <w:spacing w:line="360" w:lineRule="auto"/>
              <w:jc w:val="both"/>
              <w:rPr>
                <w:rFonts w:ascii="Arial" w:hAnsi="Arial" w:cs="Arial"/>
                <w:sz w:val="24"/>
                <w:szCs w:val="24"/>
              </w:rPr>
            </w:pPr>
            <w:r w:rsidRPr="00977346">
              <w:rPr>
                <w:rFonts w:ascii="Arial" w:hAnsi="Arial" w:cs="Arial"/>
                <w:sz w:val="24"/>
                <w:szCs w:val="24"/>
              </w:rPr>
              <w:tab/>
            </w:r>
            <w:r w:rsidRPr="00230748">
              <w:rPr>
                <w:rFonts w:ascii="Arial" w:hAnsi="Arial" w:cs="Arial"/>
              </w:rPr>
              <w:t>‘In our law, an order of court does not just evaporate into thin air:  It exists until it is set aside by a competent court or vacated or executed by the party in whose favour the order was made.’</w:t>
            </w:r>
            <w:r>
              <w:rPr>
                <w:rStyle w:val="FootnoteReference"/>
                <w:rFonts w:ascii="Arial" w:hAnsi="Arial" w:cs="Arial"/>
                <w:sz w:val="24"/>
                <w:szCs w:val="24"/>
              </w:rPr>
              <w:footnoteReference w:id="1"/>
            </w:r>
          </w:p>
          <w:p w:rsidR="00977346" w:rsidRPr="00977346" w:rsidRDefault="00861E7B" w:rsidP="00977346">
            <w:pPr>
              <w:spacing w:line="360" w:lineRule="auto"/>
              <w:jc w:val="both"/>
              <w:rPr>
                <w:rFonts w:ascii="Arial" w:hAnsi="Arial" w:cs="Arial"/>
                <w:sz w:val="24"/>
                <w:szCs w:val="24"/>
              </w:rPr>
            </w:pPr>
            <w:r>
              <w:rPr>
                <w:rFonts w:ascii="Arial" w:hAnsi="Arial" w:cs="Arial"/>
                <w:sz w:val="24"/>
                <w:szCs w:val="24"/>
              </w:rPr>
              <w:t xml:space="preserve">   </w:t>
            </w:r>
          </w:p>
          <w:p w:rsidR="000150D4" w:rsidRDefault="00977346" w:rsidP="00F05652">
            <w:pPr>
              <w:spacing w:line="360" w:lineRule="auto"/>
              <w:jc w:val="both"/>
              <w:rPr>
                <w:rFonts w:ascii="Arial" w:hAnsi="Arial" w:cs="Arial"/>
                <w:sz w:val="24"/>
                <w:szCs w:val="24"/>
              </w:rPr>
            </w:pPr>
            <w:r w:rsidRPr="00977346">
              <w:rPr>
                <w:rFonts w:ascii="Arial" w:hAnsi="Arial" w:cs="Arial"/>
                <w:sz w:val="24"/>
                <w:szCs w:val="24"/>
              </w:rPr>
              <w:t>[</w:t>
            </w:r>
            <w:r w:rsidR="0052599B">
              <w:rPr>
                <w:rFonts w:ascii="Arial" w:hAnsi="Arial" w:cs="Arial"/>
                <w:sz w:val="24"/>
                <w:szCs w:val="24"/>
              </w:rPr>
              <w:t>4</w:t>
            </w:r>
            <w:r w:rsidRPr="00977346">
              <w:rPr>
                <w:rFonts w:ascii="Arial" w:hAnsi="Arial" w:cs="Arial"/>
                <w:sz w:val="24"/>
                <w:szCs w:val="24"/>
              </w:rPr>
              <w:t>]</w:t>
            </w:r>
            <w:r w:rsidRPr="00977346">
              <w:rPr>
                <w:rFonts w:ascii="Arial" w:hAnsi="Arial" w:cs="Arial"/>
                <w:sz w:val="24"/>
                <w:szCs w:val="24"/>
              </w:rPr>
              <w:tab/>
            </w:r>
            <w:r w:rsidR="004369B7">
              <w:rPr>
                <w:rFonts w:ascii="Arial" w:hAnsi="Arial" w:cs="Arial"/>
                <w:sz w:val="24"/>
                <w:szCs w:val="24"/>
              </w:rPr>
              <w:t xml:space="preserve">On the basis of the said abuse, among other considerations such as the plaintiff having contributed about 90 percent of the repayment of the mortgage bond registered over the property, being Erf No. 94 </w:t>
            </w:r>
            <w:proofErr w:type="spellStart"/>
            <w:r w:rsidR="004369B7">
              <w:rPr>
                <w:rFonts w:ascii="Arial" w:hAnsi="Arial" w:cs="Arial"/>
                <w:sz w:val="24"/>
                <w:szCs w:val="24"/>
              </w:rPr>
              <w:t>Tolla</w:t>
            </w:r>
            <w:proofErr w:type="spellEnd"/>
            <w:r w:rsidR="004369B7">
              <w:rPr>
                <w:rFonts w:ascii="Arial" w:hAnsi="Arial" w:cs="Arial"/>
                <w:sz w:val="24"/>
                <w:szCs w:val="24"/>
              </w:rPr>
              <w:t xml:space="preserve"> Street, </w:t>
            </w:r>
            <w:proofErr w:type="spellStart"/>
            <w:r w:rsidR="004369B7">
              <w:rPr>
                <w:rFonts w:ascii="Arial" w:hAnsi="Arial" w:cs="Arial"/>
                <w:sz w:val="24"/>
                <w:szCs w:val="24"/>
              </w:rPr>
              <w:t>Goreangab</w:t>
            </w:r>
            <w:proofErr w:type="spellEnd"/>
            <w:r w:rsidR="004369B7">
              <w:rPr>
                <w:rFonts w:ascii="Arial" w:hAnsi="Arial" w:cs="Arial"/>
                <w:sz w:val="24"/>
                <w:szCs w:val="24"/>
              </w:rPr>
              <w:t xml:space="preserve"> Dam, Katutura, Windhoek (‘the first immovable property’), the plaintiff seeks an order against the defendant for the forfeiture of any benefits deriving from the marriage out of community of property.</w:t>
            </w:r>
          </w:p>
          <w:p w:rsidR="0070364F" w:rsidRDefault="0070364F" w:rsidP="00F05652">
            <w:pPr>
              <w:spacing w:line="360" w:lineRule="auto"/>
              <w:jc w:val="both"/>
              <w:rPr>
                <w:rFonts w:ascii="Arial" w:hAnsi="Arial" w:cs="Arial"/>
                <w:sz w:val="24"/>
                <w:szCs w:val="24"/>
              </w:rPr>
            </w:pPr>
          </w:p>
          <w:p w:rsidR="0070364F" w:rsidRDefault="0070364F" w:rsidP="00F05652">
            <w:pPr>
              <w:spacing w:line="360" w:lineRule="auto"/>
              <w:jc w:val="both"/>
              <w:rPr>
                <w:rFonts w:ascii="Arial" w:hAnsi="Arial" w:cs="Arial"/>
                <w:sz w:val="24"/>
                <w:szCs w:val="24"/>
              </w:rPr>
            </w:pPr>
            <w:r w:rsidRPr="00977346">
              <w:rPr>
                <w:rFonts w:ascii="Arial" w:hAnsi="Arial" w:cs="Arial"/>
                <w:sz w:val="24"/>
                <w:szCs w:val="24"/>
              </w:rPr>
              <w:t>[</w:t>
            </w:r>
            <w:r w:rsidR="003026D9">
              <w:rPr>
                <w:rFonts w:ascii="Arial" w:hAnsi="Arial" w:cs="Arial"/>
                <w:sz w:val="24"/>
                <w:szCs w:val="24"/>
              </w:rPr>
              <w:t>5</w:t>
            </w:r>
            <w:r w:rsidRPr="00977346">
              <w:rPr>
                <w:rFonts w:ascii="Arial" w:hAnsi="Arial" w:cs="Arial"/>
                <w:sz w:val="24"/>
                <w:szCs w:val="24"/>
              </w:rPr>
              <w:t>]</w:t>
            </w:r>
            <w:r w:rsidRPr="00977346">
              <w:rPr>
                <w:rFonts w:ascii="Arial" w:hAnsi="Arial" w:cs="Arial"/>
                <w:sz w:val="24"/>
                <w:szCs w:val="24"/>
              </w:rPr>
              <w:tab/>
            </w:r>
            <w:r w:rsidR="004B18FB">
              <w:rPr>
                <w:rFonts w:ascii="Arial" w:hAnsi="Arial" w:cs="Arial"/>
                <w:sz w:val="24"/>
                <w:szCs w:val="24"/>
              </w:rPr>
              <w:t>The defendant</w:t>
            </w:r>
            <w:r w:rsidR="001D1EE6">
              <w:rPr>
                <w:rFonts w:ascii="Arial" w:hAnsi="Arial" w:cs="Arial"/>
                <w:sz w:val="24"/>
                <w:szCs w:val="24"/>
              </w:rPr>
              <w:t>,</w:t>
            </w:r>
            <w:r w:rsidR="004B18FB">
              <w:rPr>
                <w:rFonts w:ascii="Arial" w:hAnsi="Arial" w:cs="Arial"/>
                <w:sz w:val="24"/>
                <w:szCs w:val="24"/>
              </w:rPr>
              <w:t xml:space="preserve"> on his part</w:t>
            </w:r>
            <w:r w:rsidR="001D1EE6">
              <w:rPr>
                <w:rFonts w:ascii="Arial" w:hAnsi="Arial" w:cs="Arial"/>
                <w:sz w:val="24"/>
                <w:szCs w:val="24"/>
              </w:rPr>
              <w:t>,</w:t>
            </w:r>
            <w:r w:rsidR="004B18FB">
              <w:rPr>
                <w:rFonts w:ascii="Arial" w:hAnsi="Arial" w:cs="Arial"/>
                <w:sz w:val="24"/>
                <w:szCs w:val="24"/>
              </w:rPr>
              <w:t xml:space="preserve"> has set up a plea and a counterclaim.  In his plea, the defendant denies being responsible for the breakdown of the marriage and challenges the granting of the forfeiture order.  In turn, the defendant claims</w:t>
            </w:r>
            <w:r w:rsidR="001D1EE6">
              <w:rPr>
                <w:rFonts w:ascii="Arial" w:hAnsi="Arial" w:cs="Arial"/>
                <w:sz w:val="24"/>
                <w:szCs w:val="24"/>
              </w:rPr>
              <w:t>,</w:t>
            </w:r>
            <w:r w:rsidR="004B18FB">
              <w:rPr>
                <w:rFonts w:ascii="Arial" w:hAnsi="Arial" w:cs="Arial"/>
                <w:sz w:val="24"/>
                <w:szCs w:val="24"/>
              </w:rPr>
              <w:t xml:space="preserve"> in reconvention</w:t>
            </w:r>
            <w:r w:rsidR="001D1EE6">
              <w:rPr>
                <w:rFonts w:ascii="Arial" w:hAnsi="Arial" w:cs="Arial"/>
                <w:sz w:val="24"/>
                <w:szCs w:val="24"/>
              </w:rPr>
              <w:t>,</w:t>
            </w:r>
            <w:r w:rsidR="004B18FB">
              <w:rPr>
                <w:rFonts w:ascii="Arial" w:hAnsi="Arial" w:cs="Arial"/>
                <w:sz w:val="24"/>
                <w:szCs w:val="24"/>
              </w:rPr>
              <w:t xml:space="preserve"> principally that the first immovable property be sold and the proceeds therefrom divided equally between the parties.</w:t>
            </w:r>
          </w:p>
          <w:p w:rsidR="00CE663E" w:rsidRDefault="00CE663E" w:rsidP="00F05652">
            <w:pPr>
              <w:spacing w:line="360" w:lineRule="auto"/>
              <w:jc w:val="both"/>
              <w:rPr>
                <w:rFonts w:ascii="Arial" w:hAnsi="Arial" w:cs="Arial"/>
                <w:sz w:val="24"/>
                <w:szCs w:val="24"/>
              </w:rPr>
            </w:pPr>
          </w:p>
          <w:p w:rsidR="00C0076A" w:rsidRDefault="00C0076A" w:rsidP="00F05652">
            <w:pPr>
              <w:spacing w:line="360" w:lineRule="auto"/>
              <w:jc w:val="both"/>
              <w:rPr>
                <w:rFonts w:ascii="Arial" w:hAnsi="Arial" w:cs="Arial"/>
                <w:sz w:val="24"/>
                <w:szCs w:val="24"/>
              </w:rPr>
            </w:pPr>
            <w:r w:rsidRPr="00977346">
              <w:rPr>
                <w:rFonts w:ascii="Arial" w:hAnsi="Arial" w:cs="Arial"/>
                <w:sz w:val="24"/>
                <w:szCs w:val="24"/>
              </w:rPr>
              <w:t>[</w:t>
            </w:r>
            <w:r w:rsidR="00FB7A3F">
              <w:rPr>
                <w:rFonts w:ascii="Arial" w:hAnsi="Arial" w:cs="Arial"/>
                <w:sz w:val="24"/>
                <w:szCs w:val="24"/>
              </w:rPr>
              <w:t>6</w:t>
            </w:r>
            <w:r w:rsidRPr="00977346">
              <w:rPr>
                <w:rFonts w:ascii="Arial" w:hAnsi="Arial" w:cs="Arial"/>
                <w:sz w:val="24"/>
                <w:szCs w:val="24"/>
              </w:rPr>
              <w:t>]</w:t>
            </w:r>
            <w:r w:rsidRPr="00977346">
              <w:rPr>
                <w:rFonts w:ascii="Arial" w:hAnsi="Arial" w:cs="Arial"/>
                <w:sz w:val="24"/>
                <w:szCs w:val="24"/>
              </w:rPr>
              <w:tab/>
            </w:r>
            <w:r w:rsidR="00B91CA1">
              <w:rPr>
                <w:rFonts w:ascii="Arial" w:hAnsi="Arial" w:cs="Arial"/>
                <w:sz w:val="24"/>
                <w:szCs w:val="24"/>
              </w:rPr>
              <w:t xml:space="preserve">On the evidence and for the purposes of the instant proceedings which are in the course of a divorce matter, I accept Ms </w:t>
            </w:r>
            <w:proofErr w:type="spellStart"/>
            <w:r w:rsidR="00B91CA1">
              <w:rPr>
                <w:rFonts w:ascii="Arial" w:hAnsi="Arial" w:cs="Arial"/>
                <w:sz w:val="24"/>
                <w:szCs w:val="24"/>
              </w:rPr>
              <w:t>Nambinga’s</w:t>
            </w:r>
            <w:proofErr w:type="spellEnd"/>
            <w:r w:rsidR="00B91CA1">
              <w:rPr>
                <w:rFonts w:ascii="Arial" w:hAnsi="Arial" w:cs="Arial"/>
                <w:sz w:val="24"/>
                <w:szCs w:val="24"/>
              </w:rPr>
              <w:t xml:space="preserve"> submission that the final protection order disproves the defendant’s defence that he did not abuse the plaintiff.  Consequently, the defendant’s denial that he is not responsible for the breakdown of the marriage is roundly rejected as baseless.  Therefore, the defendant is the guilty party, as aforesaid.</w:t>
            </w:r>
          </w:p>
          <w:p w:rsidR="00B4126D" w:rsidRDefault="00B4126D" w:rsidP="00F05652">
            <w:pPr>
              <w:spacing w:line="360" w:lineRule="auto"/>
              <w:jc w:val="both"/>
              <w:rPr>
                <w:rFonts w:ascii="Arial" w:hAnsi="Arial" w:cs="Arial"/>
                <w:sz w:val="24"/>
                <w:szCs w:val="24"/>
              </w:rPr>
            </w:pPr>
          </w:p>
          <w:p w:rsidR="00C0076A" w:rsidRDefault="00C0076A" w:rsidP="00F05652">
            <w:pPr>
              <w:spacing w:line="360" w:lineRule="auto"/>
              <w:jc w:val="both"/>
              <w:rPr>
                <w:rFonts w:ascii="Arial" w:hAnsi="Arial" w:cs="Arial"/>
                <w:sz w:val="24"/>
                <w:szCs w:val="24"/>
              </w:rPr>
            </w:pPr>
            <w:r w:rsidRPr="00977346">
              <w:rPr>
                <w:rFonts w:ascii="Arial" w:hAnsi="Arial" w:cs="Arial"/>
                <w:sz w:val="24"/>
                <w:szCs w:val="24"/>
              </w:rPr>
              <w:t>[</w:t>
            </w:r>
            <w:r w:rsidR="00F800CA">
              <w:rPr>
                <w:rFonts w:ascii="Arial" w:hAnsi="Arial" w:cs="Arial"/>
                <w:sz w:val="24"/>
                <w:szCs w:val="24"/>
              </w:rPr>
              <w:t>7</w:t>
            </w:r>
            <w:r w:rsidRPr="00977346">
              <w:rPr>
                <w:rFonts w:ascii="Arial" w:hAnsi="Arial" w:cs="Arial"/>
                <w:sz w:val="24"/>
                <w:szCs w:val="24"/>
              </w:rPr>
              <w:t>]</w:t>
            </w:r>
            <w:r w:rsidRPr="00977346">
              <w:rPr>
                <w:rFonts w:ascii="Arial" w:hAnsi="Arial" w:cs="Arial"/>
                <w:sz w:val="24"/>
                <w:szCs w:val="24"/>
              </w:rPr>
              <w:tab/>
            </w:r>
            <w:r w:rsidR="00B65913">
              <w:rPr>
                <w:rFonts w:ascii="Arial" w:hAnsi="Arial" w:cs="Arial"/>
                <w:sz w:val="24"/>
                <w:szCs w:val="24"/>
              </w:rPr>
              <w:t>Although the marriage is out of community of property, the parties jointly acquired the first immovable property. The plaintiff paid towards the acquisition of the property N$60 000, whilst the defendant paid N$50 000. There was some contestation about whether the plaintiff paid to the defendant N$49 000 in June 2020 as a ‘refund’ of the defendant</w:t>
            </w:r>
            <w:r w:rsidR="002C53AE">
              <w:rPr>
                <w:rFonts w:ascii="Arial" w:hAnsi="Arial" w:cs="Arial"/>
                <w:sz w:val="24"/>
                <w:szCs w:val="24"/>
              </w:rPr>
              <w:t>’s deposit payment when he asked the plaintiff return to</w:t>
            </w:r>
            <w:r w:rsidR="00B65913">
              <w:rPr>
                <w:rFonts w:ascii="Arial" w:hAnsi="Arial" w:cs="Arial"/>
                <w:sz w:val="24"/>
                <w:szCs w:val="24"/>
              </w:rPr>
              <w:t xml:space="preserve"> him the amount of the deposit.  The evidence is not clear whether the amount paid was a refund of the deposit amount.  No evidence was adduced to explain why, if </w:t>
            </w:r>
            <w:r w:rsidR="00B65913" w:rsidRPr="00054D05">
              <w:rPr>
                <w:rFonts w:ascii="Arial" w:hAnsi="Arial" w:cs="Arial"/>
                <w:sz w:val="24"/>
                <w:szCs w:val="24"/>
                <w:shd w:val="clear" w:color="auto" w:fill="FFFFFF" w:themeFill="background1"/>
              </w:rPr>
              <w:t>the defendant</w:t>
            </w:r>
            <w:r w:rsidR="00B65913">
              <w:rPr>
                <w:rFonts w:ascii="Arial" w:hAnsi="Arial" w:cs="Arial"/>
                <w:sz w:val="24"/>
                <w:szCs w:val="24"/>
              </w:rPr>
              <w:t xml:space="preserve"> wanted a refund of </w:t>
            </w:r>
            <w:r w:rsidR="00B65913">
              <w:rPr>
                <w:rFonts w:ascii="Arial" w:hAnsi="Arial" w:cs="Arial"/>
                <w:sz w:val="24"/>
                <w:szCs w:val="24"/>
              </w:rPr>
              <w:lastRenderedPageBreak/>
              <w:t xml:space="preserve">the deposit he </w:t>
            </w:r>
            <w:r w:rsidR="0005699F">
              <w:rPr>
                <w:rFonts w:ascii="Arial" w:hAnsi="Arial" w:cs="Arial"/>
                <w:sz w:val="24"/>
                <w:szCs w:val="24"/>
              </w:rPr>
              <w:t xml:space="preserve">had </w:t>
            </w:r>
            <w:r w:rsidR="00B65913">
              <w:rPr>
                <w:rFonts w:ascii="Arial" w:hAnsi="Arial" w:cs="Arial"/>
                <w:sz w:val="24"/>
                <w:szCs w:val="24"/>
              </w:rPr>
              <w:t>paid</w:t>
            </w:r>
            <w:r w:rsidR="0005699F">
              <w:rPr>
                <w:rFonts w:ascii="Arial" w:hAnsi="Arial" w:cs="Arial"/>
                <w:sz w:val="24"/>
                <w:szCs w:val="24"/>
              </w:rPr>
              <w:t xml:space="preserve"> which was N$ 50 </w:t>
            </w:r>
            <w:r w:rsidR="00FC0B8A">
              <w:rPr>
                <w:rFonts w:ascii="Arial" w:hAnsi="Arial" w:cs="Arial"/>
                <w:sz w:val="24"/>
                <w:szCs w:val="24"/>
              </w:rPr>
              <w:t>0</w:t>
            </w:r>
            <w:r w:rsidR="0005699F">
              <w:rPr>
                <w:rFonts w:ascii="Arial" w:hAnsi="Arial" w:cs="Arial"/>
                <w:sz w:val="24"/>
                <w:szCs w:val="24"/>
              </w:rPr>
              <w:t>00</w:t>
            </w:r>
            <w:r w:rsidR="00B65913">
              <w:rPr>
                <w:rFonts w:ascii="Arial" w:hAnsi="Arial" w:cs="Arial"/>
                <w:sz w:val="24"/>
                <w:szCs w:val="24"/>
              </w:rPr>
              <w:t>, only N$49 000 was paid</w:t>
            </w:r>
            <w:r w:rsidR="0005699F">
              <w:rPr>
                <w:rFonts w:ascii="Arial" w:hAnsi="Arial" w:cs="Arial"/>
                <w:sz w:val="24"/>
                <w:szCs w:val="24"/>
              </w:rPr>
              <w:t xml:space="preserve"> back to him</w:t>
            </w:r>
            <w:r w:rsidR="00B65913">
              <w:rPr>
                <w:rFonts w:ascii="Arial" w:hAnsi="Arial" w:cs="Arial"/>
                <w:sz w:val="24"/>
                <w:szCs w:val="24"/>
              </w:rPr>
              <w:t>.  The evidence is not satisfactory nor sufficient to prove that the plaintiff reimbursed defendant for the deposit he had paid.  The probabilities are not in favour of the plaintiff’s version</w:t>
            </w:r>
            <w:r w:rsidR="0005699F">
              <w:rPr>
                <w:rFonts w:ascii="Arial" w:hAnsi="Arial" w:cs="Arial"/>
                <w:sz w:val="24"/>
                <w:szCs w:val="24"/>
              </w:rPr>
              <w:t>, and so it is rejected</w:t>
            </w:r>
            <w:r w:rsidR="00B65913">
              <w:rPr>
                <w:rFonts w:ascii="Arial" w:hAnsi="Arial" w:cs="Arial"/>
                <w:sz w:val="24"/>
                <w:szCs w:val="24"/>
              </w:rPr>
              <w:t>.</w:t>
            </w:r>
          </w:p>
          <w:p w:rsidR="0058764F" w:rsidRDefault="0058764F" w:rsidP="00F05652">
            <w:pPr>
              <w:spacing w:line="360" w:lineRule="auto"/>
              <w:jc w:val="both"/>
              <w:rPr>
                <w:rFonts w:ascii="Arial" w:hAnsi="Arial" w:cs="Arial"/>
                <w:sz w:val="24"/>
                <w:szCs w:val="24"/>
              </w:rPr>
            </w:pPr>
          </w:p>
          <w:p w:rsidR="00D906C3" w:rsidRDefault="0058764F" w:rsidP="00F05652">
            <w:pPr>
              <w:spacing w:line="360" w:lineRule="auto"/>
              <w:jc w:val="both"/>
              <w:rPr>
                <w:rFonts w:ascii="Arial" w:hAnsi="Arial" w:cs="Arial"/>
                <w:sz w:val="24"/>
                <w:szCs w:val="24"/>
              </w:rPr>
            </w:pPr>
            <w:r w:rsidRPr="00977346">
              <w:rPr>
                <w:rFonts w:ascii="Arial" w:hAnsi="Arial" w:cs="Arial"/>
                <w:sz w:val="24"/>
                <w:szCs w:val="24"/>
              </w:rPr>
              <w:t>[</w:t>
            </w:r>
            <w:r w:rsidR="00F800CA">
              <w:rPr>
                <w:rFonts w:ascii="Arial" w:hAnsi="Arial" w:cs="Arial"/>
                <w:sz w:val="24"/>
                <w:szCs w:val="24"/>
              </w:rPr>
              <w:t>8</w:t>
            </w:r>
            <w:r w:rsidRPr="00977346">
              <w:rPr>
                <w:rFonts w:ascii="Arial" w:hAnsi="Arial" w:cs="Arial"/>
                <w:sz w:val="24"/>
                <w:szCs w:val="24"/>
              </w:rPr>
              <w:t>]</w:t>
            </w:r>
            <w:r w:rsidRPr="00977346">
              <w:rPr>
                <w:rFonts w:ascii="Arial" w:hAnsi="Arial" w:cs="Arial"/>
                <w:sz w:val="24"/>
                <w:szCs w:val="24"/>
              </w:rPr>
              <w:tab/>
            </w:r>
            <w:r w:rsidR="00BE0D15">
              <w:rPr>
                <w:rFonts w:ascii="Arial" w:hAnsi="Arial" w:cs="Arial"/>
                <w:sz w:val="24"/>
                <w:szCs w:val="24"/>
              </w:rPr>
              <w:t>It is common cause between the parties that the plaintiff paid 90 percent of the settlement of the bond</w:t>
            </w:r>
            <w:r w:rsidR="0005699F">
              <w:rPr>
                <w:rFonts w:ascii="Arial" w:hAnsi="Arial" w:cs="Arial"/>
                <w:sz w:val="24"/>
                <w:szCs w:val="24"/>
              </w:rPr>
              <w:t xml:space="preserve"> re</w:t>
            </w:r>
            <w:r w:rsidR="00BE0D15">
              <w:rPr>
                <w:rFonts w:ascii="Arial" w:hAnsi="Arial" w:cs="Arial"/>
                <w:sz w:val="24"/>
                <w:szCs w:val="24"/>
              </w:rPr>
              <w:t>payments</w:t>
            </w:r>
            <w:r w:rsidR="0005699F">
              <w:rPr>
                <w:rFonts w:ascii="Arial" w:hAnsi="Arial" w:cs="Arial"/>
                <w:sz w:val="24"/>
                <w:szCs w:val="24"/>
              </w:rPr>
              <w:t>,</w:t>
            </w:r>
            <w:r w:rsidR="00BE0D15">
              <w:rPr>
                <w:rFonts w:ascii="Arial" w:hAnsi="Arial" w:cs="Arial"/>
                <w:sz w:val="24"/>
                <w:szCs w:val="24"/>
              </w:rPr>
              <w:t xml:space="preserve"> and the defendant </w:t>
            </w:r>
            <w:r w:rsidR="00BE0D15" w:rsidRPr="00804914">
              <w:rPr>
                <w:rFonts w:ascii="Arial" w:hAnsi="Arial" w:cs="Arial"/>
                <w:sz w:val="24"/>
                <w:szCs w:val="24"/>
              </w:rPr>
              <w:t>10 percent</w:t>
            </w:r>
            <w:r w:rsidR="00BE0D15">
              <w:rPr>
                <w:rFonts w:ascii="Arial" w:hAnsi="Arial" w:cs="Arial"/>
                <w:sz w:val="24"/>
                <w:szCs w:val="24"/>
              </w:rPr>
              <w:t>.  Furthermore, the plaintiff on her own effected renovations to the first immovable property in the amount of N$679 330.74.  As at October 2021</w:t>
            </w:r>
            <w:r w:rsidR="001D1EE6">
              <w:rPr>
                <w:rFonts w:ascii="Arial" w:hAnsi="Arial" w:cs="Arial"/>
                <w:sz w:val="24"/>
                <w:szCs w:val="24"/>
              </w:rPr>
              <w:t>,</w:t>
            </w:r>
            <w:r w:rsidR="00BE0D15">
              <w:rPr>
                <w:rFonts w:ascii="Arial" w:hAnsi="Arial" w:cs="Arial"/>
                <w:sz w:val="24"/>
                <w:szCs w:val="24"/>
              </w:rPr>
              <w:t xml:space="preserve"> the mortgage bank’s statement indicated that the outstanding balance on the bond was N$671 927.57.</w:t>
            </w:r>
          </w:p>
          <w:p w:rsidR="00D906C3" w:rsidRDefault="00D906C3" w:rsidP="00F05652">
            <w:pPr>
              <w:spacing w:line="360" w:lineRule="auto"/>
              <w:jc w:val="both"/>
              <w:rPr>
                <w:rFonts w:ascii="Arial" w:hAnsi="Arial" w:cs="Arial"/>
                <w:sz w:val="24"/>
                <w:szCs w:val="24"/>
              </w:rPr>
            </w:pPr>
          </w:p>
          <w:p w:rsidR="0058764F" w:rsidRDefault="0058764F" w:rsidP="00F05652">
            <w:pPr>
              <w:spacing w:line="360" w:lineRule="auto"/>
              <w:jc w:val="both"/>
              <w:rPr>
                <w:rFonts w:ascii="Arial" w:hAnsi="Arial" w:cs="Arial"/>
                <w:sz w:val="24"/>
                <w:szCs w:val="24"/>
              </w:rPr>
            </w:pPr>
            <w:r w:rsidRPr="00977346">
              <w:rPr>
                <w:rFonts w:ascii="Arial" w:hAnsi="Arial" w:cs="Arial"/>
                <w:sz w:val="24"/>
                <w:szCs w:val="24"/>
              </w:rPr>
              <w:t>[</w:t>
            </w:r>
            <w:r w:rsidR="00D906C3">
              <w:rPr>
                <w:rFonts w:ascii="Arial" w:hAnsi="Arial" w:cs="Arial"/>
                <w:sz w:val="24"/>
                <w:szCs w:val="24"/>
              </w:rPr>
              <w:t>9</w:t>
            </w:r>
            <w:r w:rsidRPr="00977346">
              <w:rPr>
                <w:rFonts w:ascii="Arial" w:hAnsi="Arial" w:cs="Arial"/>
                <w:sz w:val="24"/>
                <w:szCs w:val="24"/>
              </w:rPr>
              <w:t>]</w:t>
            </w:r>
            <w:r w:rsidRPr="00977346">
              <w:rPr>
                <w:rFonts w:ascii="Arial" w:hAnsi="Arial" w:cs="Arial"/>
                <w:sz w:val="24"/>
                <w:szCs w:val="24"/>
              </w:rPr>
              <w:tab/>
            </w:r>
            <w:r w:rsidR="00BA0FB7" w:rsidRPr="00054D05">
              <w:rPr>
                <w:rFonts w:ascii="Arial" w:hAnsi="Arial" w:cs="Arial"/>
                <w:i/>
                <w:sz w:val="24"/>
                <w:szCs w:val="24"/>
              </w:rPr>
              <w:t>Carlos v Carlos</w:t>
            </w:r>
            <w:r w:rsidR="00BA0FB7">
              <w:rPr>
                <w:rStyle w:val="FootnoteReference"/>
                <w:rFonts w:ascii="Arial" w:hAnsi="Arial" w:cs="Arial"/>
                <w:sz w:val="24"/>
                <w:szCs w:val="24"/>
              </w:rPr>
              <w:footnoteReference w:id="2"/>
            </w:r>
            <w:r w:rsidR="00FC4437">
              <w:rPr>
                <w:rFonts w:ascii="Arial" w:hAnsi="Arial" w:cs="Arial"/>
                <w:sz w:val="24"/>
                <w:szCs w:val="24"/>
              </w:rPr>
              <w:t xml:space="preserve"> should guide us in the consideration of the relief the plaintiff claims, </w:t>
            </w:r>
            <w:proofErr w:type="spellStart"/>
            <w:r w:rsidR="00FC4437">
              <w:rPr>
                <w:rFonts w:ascii="Arial" w:hAnsi="Arial" w:cs="Arial"/>
                <w:sz w:val="24"/>
                <w:szCs w:val="24"/>
              </w:rPr>
              <w:t>ie</w:t>
            </w:r>
            <w:proofErr w:type="spellEnd"/>
            <w:r w:rsidR="00FC4437">
              <w:rPr>
                <w:rFonts w:ascii="Arial" w:hAnsi="Arial" w:cs="Arial"/>
                <w:sz w:val="24"/>
                <w:szCs w:val="24"/>
              </w:rPr>
              <w:t xml:space="preserve"> the forfeiture of benefits.  In that case, the court dealt with the legal principles applicable in Namibia to orders for the forfeiture of benefits in matrimonial matters in the following terms:</w:t>
            </w:r>
          </w:p>
          <w:p w:rsidR="00096AE5" w:rsidRDefault="00096AE5" w:rsidP="00F05652">
            <w:pPr>
              <w:spacing w:line="360" w:lineRule="auto"/>
              <w:jc w:val="both"/>
              <w:rPr>
                <w:rFonts w:ascii="Arial" w:hAnsi="Arial" w:cs="Arial"/>
                <w:sz w:val="24"/>
                <w:szCs w:val="24"/>
              </w:rPr>
            </w:pPr>
          </w:p>
          <w:p w:rsidR="0005699F" w:rsidRDefault="001D1EE6" w:rsidP="0005699F">
            <w:pPr>
              <w:pStyle w:val="western"/>
              <w:shd w:val="clear" w:color="auto" w:fill="FFFFFF"/>
              <w:spacing w:before="0" w:beforeAutospacing="0" w:after="288" w:afterAutospacing="0" w:line="360" w:lineRule="auto"/>
              <w:jc w:val="both"/>
              <w:rPr>
                <w:rFonts w:ascii="Arial" w:hAnsi="Arial" w:cs="Arial"/>
                <w:color w:val="000000"/>
                <w:sz w:val="22"/>
                <w:szCs w:val="22"/>
              </w:rPr>
            </w:pPr>
            <w:r w:rsidRPr="00977346">
              <w:rPr>
                <w:rFonts w:ascii="Arial" w:hAnsi="Arial" w:cs="Arial"/>
              </w:rPr>
              <w:tab/>
            </w:r>
            <w:r>
              <w:rPr>
                <w:rFonts w:ascii="Arial" w:hAnsi="Arial" w:cs="Arial"/>
                <w:color w:val="000000"/>
                <w:sz w:val="22"/>
                <w:szCs w:val="22"/>
              </w:rPr>
              <w:t xml:space="preserve"> </w:t>
            </w:r>
            <w:r w:rsidR="0005699F">
              <w:rPr>
                <w:rFonts w:ascii="Arial" w:hAnsi="Arial" w:cs="Arial"/>
                <w:color w:val="000000"/>
                <w:sz w:val="22"/>
                <w:szCs w:val="22"/>
              </w:rPr>
              <w:t>‘[22]</w:t>
            </w:r>
            <w:r w:rsidR="009B604B" w:rsidRPr="00977346">
              <w:rPr>
                <w:rFonts w:ascii="Arial" w:hAnsi="Arial" w:cs="Arial"/>
              </w:rPr>
              <w:t xml:space="preserve"> </w:t>
            </w:r>
            <w:r w:rsidR="009B604B" w:rsidRPr="00977346">
              <w:rPr>
                <w:rFonts w:ascii="Arial" w:hAnsi="Arial" w:cs="Arial"/>
              </w:rPr>
              <w:tab/>
            </w:r>
            <w:r w:rsidR="0005699F">
              <w:rPr>
                <w:rFonts w:ascii="Arial" w:hAnsi="Arial" w:cs="Arial"/>
                <w:color w:val="000000"/>
                <w:sz w:val="22"/>
                <w:szCs w:val="22"/>
              </w:rPr>
              <w:t>From the aforementioned authorities, I would venture to suggest, the legal principles applicable in Namibia are these:</w:t>
            </w:r>
          </w:p>
          <w:p w:rsidR="0005699F" w:rsidRDefault="0005699F" w:rsidP="001D1EE6">
            <w:pPr>
              <w:pStyle w:val="western"/>
              <w:shd w:val="clear" w:color="auto" w:fill="FFFFFF"/>
              <w:spacing w:before="0" w:beforeAutospacing="0" w:after="0" w:afterAutospacing="0" w:line="360" w:lineRule="auto"/>
              <w:ind w:left="1440" w:hanging="720"/>
              <w:jc w:val="both"/>
              <w:rPr>
                <w:rFonts w:ascii="Arial" w:hAnsi="Arial" w:cs="Arial"/>
                <w:color w:val="000000"/>
                <w:sz w:val="22"/>
                <w:szCs w:val="22"/>
              </w:rPr>
            </w:pPr>
            <w:r>
              <w:rPr>
                <w:rFonts w:ascii="Arial" w:hAnsi="Arial" w:cs="Arial"/>
                <w:color w:val="000000"/>
                <w:sz w:val="22"/>
                <w:szCs w:val="22"/>
              </w:rPr>
              <w:t>[22.1]</w:t>
            </w:r>
            <w:r>
              <w:rPr>
                <w:rFonts w:ascii="Arial" w:hAnsi="Arial" w:cs="Arial"/>
                <w:color w:val="000000"/>
                <w:sz w:val="22"/>
                <w:szCs w:val="22"/>
              </w:rPr>
              <w:tab/>
              <w:t xml:space="preserve"> When parties are married in community of property, and the Defendant commits adultery or maliciously deserts the Plaintiff, the court has no discretion but to grant a general forfeiture order, if so requested. The court will grant such general forfeiture order without enquiring as to the value of the estate at the date of divorce, or the value of the respective parties’ contributions.</w:t>
            </w:r>
          </w:p>
          <w:p w:rsidR="0005699F" w:rsidRDefault="0005699F" w:rsidP="001D1EE6">
            <w:pPr>
              <w:pStyle w:val="western"/>
              <w:shd w:val="clear" w:color="auto" w:fill="FFFFFF"/>
              <w:spacing w:before="0" w:beforeAutospacing="0" w:after="0" w:afterAutospacing="0" w:line="360" w:lineRule="auto"/>
              <w:ind w:left="1440" w:hanging="720"/>
              <w:jc w:val="both"/>
              <w:rPr>
                <w:rFonts w:ascii="Arial" w:hAnsi="Arial" w:cs="Arial"/>
                <w:color w:val="000000"/>
                <w:sz w:val="22"/>
                <w:szCs w:val="22"/>
              </w:rPr>
            </w:pPr>
            <w:r>
              <w:rPr>
                <w:rFonts w:ascii="Arial" w:hAnsi="Arial" w:cs="Arial"/>
                <w:color w:val="000000"/>
                <w:sz w:val="22"/>
                <w:szCs w:val="22"/>
              </w:rPr>
              <w:t> </w:t>
            </w:r>
          </w:p>
          <w:p w:rsidR="0005699F" w:rsidRDefault="0005699F" w:rsidP="009B604B">
            <w:pPr>
              <w:pStyle w:val="western"/>
              <w:shd w:val="clear" w:color="auto" w:fill="FFFFFF"/>
              <w:spacing w:before="0" w:beforeAutospacing="0" w:after="0" w:afterAutospacing="0" w:line="360" w:lineRule="auto"/>
              <w:ind w:left="1440" w:hanging="720"/>
              <w:jc w:val="both"/>
              <w:rPr>
                <w:rFonts w:ascii="Arial" w:hAnsi="Arial" w:cs="Arial"/>
                <w:iCs/>
                <w:color w:val="000000"/>
                <w:sz w:val="22"/>
                <w:szCs w:val="22"/>
              </w:rPr>
            </w:pPr>
            <w:r>
              <w:rPr>
                <w:rFonts w:ascii="Arial" w:hAnsi="Arial" w:cs="Arial"/>
                <w:color w:val="000000"/>
                <w:sz w:val="22"/>
                <w:szCs w:val="22"/>
              </w:rPr>
              <w:t>[22.2]</w:t>
            </w:r>
            <w:r w:rsidR="009B604B" w:rsidRPr="00977346">
              <w:rPr>
                <w:rFonts w:ascii="Arial" w:hAnsi="Arial" w:cs="Arial"/>
              </w:rPr>
              <w:t xml:space="preserve"> </w:t>
            </w:r>
            <w:r w:rsidR="009B604B" w:rsidRPr="00977346">
              <w:rPr>
                <w:rFonts w:ascii="Arial" w:hAnsi="Arial" w:cs="Arial"/>
              </w:rPr>
              <w:tab/>
            </w:r>
            <w:r>
              <w:rPr>
                <w:rFonts w:ascii="Arial" w:hAnsi="Arial" w:cs="Arial"/>
                <w:color w:val="000000"/>
                <w:sz w:val="22"/>
                <w:szCs w:val="22"/>
              </w:rPr>
              <w:t>Even if a general forfeiture order is granted, it may have the effect, in certain circumstances, that the property is simply equally divided. That would be in circumstances where the so called “</w:t>
            </w:r>
            <w:r>
              <w:rPr>
                <w:rFonts w:ascii="Arial" w:hAnsi="Arial" w:cs="Arial"/>
                <w:i/>
                <w:iCs/>
                <w:color w:val="000000"/>
                <w:sz w:val="22"/>
                <w:szCs w:val="22"/>
              </w:rPr>
              <w:t>guilty spouse” </w:t>
            </w:r>
            <w:r>
              <w:rPr>
                <w:rFonts w:ascii="Arial" w:hAnsi="Arial" w:cs="Arial"/>
                <w:color w:val="000000"/>
                <w:sz w:val="22"/>
                <w:szCs w:val="22"/>
              </w:rPr>
              <w:t>has contributed much more to the joint estate than the contributions of the so called “</w:t>
            </w:r>
            <w:r>
              <w:rPr>
                <w:rFonts w:ascii="Arial" w:hAnsi="Arial" w:cs="Arial"/>
                <w:i/>
                <w:iCs/>
                <w:color w:val="000000"/>
                <w:sz w:val="22"/>
                <w:szCs w:val="22"/>
              </w:rPr>
              <w:t>innocent spouse”. (</w:t>
            </w:r>
            <w:r>
              <w:rPr>
                <w:rFonts w:ascii="Arial" w:hAnsi="Arial" w:cs="Arial"/>
                <w:iCs/>
                <w:color w:val="000000"/>
                <w:sz w:val="22"/>
                <w:szCs w:val="22"/>
              </w:rPr>
              <w:t xml:space="preserve">Italics in </w:t>
            </w:r>
            <w:r w:rsidR="00703646">
              <w:rPr>
                <w:rFonts w:ascii="Arial" w:hAnsi="Arial" w:cs="Arial"/>
                <w:iCs/>
                <w:color w:val="000000"/>
                <w:sz w:val="22"/>
                <w:szCs w:val="22"/>
              </w:rPr>
              <w:t xml:space="preserve">the </w:t>
            </w:r>
            <w:r>
              <w:rPr>
                <w:rFonts w:ascii="Arial" w:hAnsi="Arial" w:cs="Arial"/>
                <w:iCs/>
                <w:color w:val="000000"/>
                <w:sz w:val="22"/>
                <w:szCs w:val="22"/>
              </w:rPr>
              <w:t>original passage)</w:t>
            </w:r>
          </w:p>
          <w:p w:rsidR="009B604B" w:rsidRDefault="009B604B" w:rsidP="009B604B">
            <w:pPr>
              <w:pStyle w:val="western"/>
              <w:shd w:val="clear" w:color="auto" w:fill="FFFFFF"/>
              <w:spacing w:before="0" w:beforeAutospacing="0" w:after="0" w:afterAutospacing="0" w:line="360" w:lineRule="auto"/>
              <w:ind w:left="1440" w:hanging="720"/>
              <w:jc w:val="both"/>
              <w:rPr>
                <w:rFonts w:ascii="Arial" w:hAnsi="Arial" w:cs="Arial"/>
                <w:iCs/>
                <w:color w:val="000000"/>
                <w:sz w:val="22"/>
                <w:szCs w:val="22"/>
              </w:rPr>
            </w:pPr>
          </w:p>
          <w:p w:rsidR="0005699F" w:rsidRDefault="0005699F" w:rsidP="009B604B">
            <w:pPr>
              <w:pStyle w:val="western"/>
              <w:shd w:val="clear" w:color="auto" w:fill="FFFFFF"/>
              <w:spacing w:before="0" w:beforeAutospacing="0" w:after="0" w:afterAutospacing="0" w:line="360" w:lineRule="auto"/>
              <w:ind w:left="1440" w:hanging="720"/>
              <w:jc w:val="both"/>
              <w:rPr>
                <w:rFonts w:ascii="Arial" w:hAnsi="Arial" w:cs="Arial"/>
                <w:color w:val="000000"/>
                <w:sz w:val="22"/>
                <w:szCs w:val="22"/>
              </w:rPr>
            </w:pPr>
            <w:r>
              <w:rPr>
                <w:rFonts w:ascii="Arial" w:hAnsi="Arial" w:cs="Arial"/>
                <w:color w:val="000000"/>
                <w:sz w:val="22"/>
                <w:szCs w:val="22"/>
              </w:rPr>
              <w:t>[22.3]</w:t>
            </w:r>
            <w:r>
              <w:rPr>
                <w:rFonts w:ascii="Arial" w:hAnsi="Arial" w:cs="Arial"/>
                <w:color w:val="000000"/>
                <w:sz w:val="22"/>
                <w:szCs w:val="22"/>
              </w:rPr>
              <w:tab/>
              <w:t>A general forfeiture order will only have a practical effect if the guilty spouse contributed less to the joint estate than the innocent spouse did. In short, the guilty spouse cannot insist on half of the value of the joint estate. The benefit of a marriage in community of property is that, in the normal course, each party is entitled to half of the estate. But, a guilty party in divorce proceedings forfeits that benefit. </w:t>
            </w:r>
          </w:p>
          <w:p w:rsidR="0005699F" w:rsidRDefault="0005699F" w:rsidP="0005699F">
            <w:pPr>
              <w:pStyle w:val="western"/>
              <w:shd w:val="clear" w:color="auto" w:fill="FFFFFF"/>
              <w:spacing w:before="0" w:beforeAutospacing="0" w:after="288" w:afterAutospacing="0" w:line="360" w:lineRule="auto"/>
              <w:ind w:left="1440" w:hanging="720"/>
              <w:jc w:val="both"/>
              <w:rPr>
                <w:rFonts w:ascii="Arial" w:hAnsi="Arial" w:cs="Arial"/>
                <w:color w:val="000000"/>
                <w:sz w:val="22"/>
                <w:szCs w:val="22"/>
              </w:rPr>
            </w:pPr>
            <w:r>
              <w:rPr>
                <w:rFonts w:ascii="Arial" w:hAnsi="Arial" w:cs="Arial"/>
                <w:color w:val="000000"/>
                <w:sz w:val="22"/>
                <w:szCs w:val="22"/>
              </w:rPr>
              <w:lastRenderedPageBreak/>
              <w:t>[22.4]</w:t>
            </w:r>
            <w:r>
              <w:rPr>
                <w:rFonts w:ascii="Arial" w:hAnsi="Arial" w:cs="Arial"/>
                <w:color w:val="000000"/>
                <w:sz w:val="22"/>
                <w:szCs w:val="22"/>
              </w:rPr>
              <w:tab/>
              <w:t>Once a general forfeiture order is granted, the court may either appoint a liquidator, who would then liquidate the estate in accordance with the law, or any one of the parties can approach the court to give practical effect to the general forfeiture order by issuing a quantified forfeiture order. </w:t>
            </w:r>
          </w:p>
          <w:p w:rsidR="0005699F" w:rsidRDefault="0005699F" w:rsidP="0005699F">
            <w:pPr>
              <w:pStyle w:val="western"/>
              <w:shd w:val="clear" w:color="auto" w:fill="FFFFFF"/>
              <w:spacing w:before="0" w:beforeAutospacing="0" w:after="288" w:afterAutospacing="0" w:line="360" w:lineRule="auto"/>
              <w:ind w:left="1440" w:hanging="720"/>
              <w:jc w:val="both"/>
              <w:rPr>
                <w:rFonts w:ascii="Arial" w:hAnsi="Arial" w:cs="Arial"/>
                <w:color w:val="000000"/>
                <w:sz w:val="22"/>
                <w:szCs w:val="22"/>
              </w:rPr>
            </w:pPr>
            <w:r>
              <w:rPr>
                <w:rFonts w:ascii="Arial" w:hAnsi="Arial" w:cs="Arial"/>
                <w:color w:val="000000"/>
                <w:sz w:val="22"/>
                <w:szCs w:val="22"/>
              </w:rPr>
              <w:t>[22.5]</w:t>
            </w:r>
            <w:r>
              <w:rPr>
                <w:rFonts w:ascii="Arial" w:hAnsi="Arial" w:cs="Arial"/>
                <w:color w:val="000000"/>
                <w:sz w:val="22"/>
                <w:szCs w:val="22"/>
              </w:rPr>
              <w:tab/>
              <w:t>When the court deals with a request to issue a quantified or specific forfeiture order, it is necessary to provide evidence to the court as to the value of the estate at the date of the divorce. Similarly, evidence about all contributions of both spouses should be led. The fact that a husband or wife does not work, does not mean that he/she did not contribute. Value should be given to the maintenance provided to the children, household chores and the like. It would be readily quantifiable with reference to the reasonable costs which would have been incurred to hire a third party to do such work, had the spouse who provided the services, not been available during the marriage. Of course, he/she would then possibly have contributed more to the estate, but these difficulties must be determined on a case by case basis. Only in such circumstances can the forfeiture order be equitable. </w:t>
            </w:r>
          </w:p>
          <w:p w:rsidR="0005699F" w:rsidRDefault="0005699F" w:rsidP="0005699F">
            <w:pPr>
              <w:pStyle w:val="western"/>
              <w:shd w:val="clear" w:color="auto" w:fill="FFFFFF"/>
              <w:spacing w:before="0" w:beforeAutospacing="0" w:after="288" w:afterAutospacing="0" w:line="360" w:lineRule="auto"/>
              <w:ind w:left="1440" w:hanging="720"/>
              <w:jc w:val="both"/>
              <w:rPr>
                <w:rFonts w:ascii="Arial" w:hAnsi="Arial" w:cs="Arial"/>
                <w:color w:val="000000"/>
                <w:sz w:val="22"/>
                <w:szCs w:val="22"/>
              </w:rPr>
            </w:pPr>
            <w:r>
              <w:rPr>
                <w:rFonts w:ascii="Arial" w:hAnsi="Arial" w:cs="Arial"/>
                <w:color w:val="000000"/>
                <w:sz w:val="22"/>
                <w:szCs w:val="22"/>
              </w:rPr>
              <w:t>[22.6</w:t>
            </w:r>
            <w:r w:rsidR="009B604B">
              <w:rPr>
                <w:rFonts w:ascii="Arial" w:hAnsi="Arial" w:cs="Arial"/>
                <w:color w:val="000000"/>
                <w:sz w:val="22"/>
                <w:szCs w:val="22"/>
              </w:rPr>
              <w:t>]</w:t>
            </w:r>
            <w:r>
              <w:rPr>
                <w:rFonts w:ascii="Arial" w:hAnsi="Arial" w:cs="Arial"/>
                <w:color w:val="000000"/>
                <w:sz w:val="22"/>
                <w:szCs w:val="22"/>
              </w:rPr>
              <w:tab/>
              <w:t>When a court considers a request to grant a quantified forfeiture order, evidence produced should include the value of the joint estate at the time of the divorce, the specific contributions made to the joint estate by each party, and all the relevant circumstances. The court will then determine the ratio of the portion each former spouse should receive with reference to their respective contributions. If the guilty spouse has only contributed 10% to the joint estate that is the percentage he or she receives. If, however, the 10% contributor is the innocent spouse, he or she still receives 50% of the joint estate. The same method as applied in the Gates’ case should find application. </w:t>
            </w:r>
          </w:p>
          <w:p w:rsidR="0005699F" w:rsidRDefault="0005699F" w:rsidP="0005699F">
            <w:pPr>
              <w:pStyle w:val="western"/>
              <w:shd w:val="clear" w:color="auto" w:fill="FFFFFF"/>
              <w:spacing w:before="0" w:beforeAutospacing="0" w:after="288" w:afterAutospacing="0" w:line="360" w:lineRule="auto"/>
              <w:ind w:left="1440" w:hanging="720"/>
              <w:jc w:val="both"/>
              <w:rPr>
                <w:rFonts w:ascii="Arial" w:hAnsi="Arial" w:cs="Arial"/>
                <w:color w:val="000000"/>
                <w:sz w:val="22"/>
                <w:szCs w:val="22"/>
              </w:rPr>
            </w:pPr>
            <w:r>
              <w:rPr>
                <w:rFonts w:ascii="Arial" w:hAnsi="Arial" w:cs="Arial"/>
                <w:color w:val="000000"/>
                <w:sz w:val="22"/>
                <w:szCs w:val="22"/>
              </w:rPr>
              <w:t>[22.7]</w:t>
            </w:r>
            <w:r>
              <w:rPr>
                <w:rFonts w:ascii="Arial" w:hAnsi="Arial" w:cs="Arial"/>
                <w:color w:val="000000"/>
                <w:sz w:val="22"/>
                <w:szCs w:val="22"/>
              </w:rPr>
              <w:tab/>
              <w:t>The court, of course, has a discretion to grant a specific or quantified forfeiture order on the same day the restitution order is granted, if the necessary evidence is lead at the trial. In order to obtain such an order, the necessary allegations should be made in the particulars of claim i.e. the value of the property at the time of divorce, the value of the respective contributions made by the parties; and the ratio which the Plaintiff suggests should find application (where a quantified forfeiture order is sought). Where a specific forfeiture order is sought, the value of the estate should be alleged, and the specific asset sought to be declared forfeited should be identified. It should then be alleged that the Defendant made no contribution whatsoever (or some negligible contribution) to the joint estate. </w:t>
            </w:r>
            <w:r>
              <w:rPr>
                <w:rFonts w:ascii="Arial" w:hAnsi="Arial" w:cs="Arial"/>
                <w:color w:val="000000"/>
                <w:sz w:val="22"/>
                <w:szCs w:val="22"/>
                <w:u w:val="single"/>
              </w:rPr>
              <w:t xml:space="preserve">(Note: this is not the same as alleging that no contribution was made to the acquisition or maintenance of the specific asset). </w:t>
            </w:r>
            <w:r>
              <w:rPr>
                <w:rFonts w:ascii="Arial" w:hAnsi="Arial" w:cs="Arial"/>
                <w:color w:val="000000"/>
                <w:sz w:val="22"/>
                <w:szCs w:val="22"/>
              </w:rPr>
              <w:t xml:space="preserve">I am of the view that it is only fair that Defendants also, in </w:t>
            </w:r>
            <w:r>
              <w:rPr>
                <w:rFonts w:ascii="Arial" w:hAnsi="Arial" w:cs="Arial"/>
                <w:color w:val="000000"/>
                <w:sz w:val="22"/>
                <w:szCs w:val="22"/>
              </w:rPr>
              <w:lastRenderedPageBreak/>
              <w:t xml:space="preserve">unopposed divorce actions, (by and large getting divorced in circumstances where the Defendant is illiterate and would not even understand the concept of forfeiture of benefits) should be provided with such details. (Underlining in original </w:t>
            </w:r>
            <w:r w:rsidR="00703646">
              <w:rPr>
                <w:rFonts w:ascii="Arial" w:hAnsi="Arial" w:cs="Arial"/>
                <w:color w:val="000000"/>
                <w:sz w:val="22"/>
                <w:szCs w:val="22"/>
              </w:rPr>
              <w:t>passage</w:t>
            </w:r>
            <w:r>
              <w:rPr>
                <w:rFonts w:ascii="Arial" w:hAnsi="Arial" w:cs="Arial"/>
                <w:color w:val="000000"/>
                <w:sz w:val="22"/>
                <w:szCs w:val="22"/>
              </w:rPr>
              <w:t>) </w:t>
            </w:r>
          </w:p>
          <w:p w:rsidR="0005699F" w:rsidRDefault="0005699F" w:rsidP="0005699F">
            <w:pPr>
              <w:pStyle w:val="western"/>
              <w:shd w:val="clear" w:color="auto" w:fill="FFFFFF"/>
              <w:spacing w:before="0" w:beforeAutospacing="0" w:after="288" w:afterAutospacing="0" w:line="360" w:lineRule="auto"/>
              <w:ind w:left="1440" w:hanging="720"/>
              <w:jc w:val="both"/>
              <w:rPr>
                <w:rFonts w:ascii="Arial" w:hAnsi="Arial" w:cs="Arial"/>
                <w:color w:val="000000"/>
                <w:sz w:val="22"/>
                <w:szCs w:val="22"/>
              </w:rPr>
            </w:pPr>
            <w:r>
              <w:rPr>
                <w:rFonts w:ascii="Arial" w:hAnsi="Arial" w:cs="Arial"/>
                <w:color w:val="000000"/>
                <w:sz w:val="22"/>
                <w:szCs w:val="22"/>
              </w:rPr>
              <w:t>[22.8]</w:t>
            </w:r>
            <w:r>
              <w:rPr>
                <w:rFonts w:ascii="Arial" w:hAnsi="Arial" w:cs="Arial"/>
                <w:color w:val="000000"/>
                <w:sz w:val="22"/>
                <w:szCs w:val="22"/>
              </w:rPr>
              <w:tab/>
              <w:t>In exceptional circumstances, and if the necessary allegations were made and the required evidence led, it is possible for a court to make a forfeiture order in respect of a specific immovable or movable property (i.e. a specific forfeiture order). I say that this would only find application in exceptional circumstances, because it is not always that the guilty Defendant is so useless that the Plaintiff would be able to say that he/she has made no contribution whatsoever, or a really insignificant contribution, (to the extent that it can for all practical intents and purposes be ignored). </w:t>
            </w:r>
          </w:p>
          <w:p w:rsidR="0005699F" w:rsidRDefault="0005699F" w:rsidP="0005699F">
            <w:pPr>
              <w:pStyle w:val="western"/>
              <w:shd w:val="clear" w:color="auto" w:fill="FFFFFF"/>
              <w:spacing w:before="0" w:beforeAutospacing="0" w:after="288" w:afterAutospacing="0" w:line="360" w:lineRule="auto"/>
              <w:ind w:left="1440" w:hanging="720"/>
              <w:jc w:val="both"/>
              <w:rPr>
                <w:rFonts w:ascii="Arial" w:hAnsi="Arial" w:cs="Arial"/>
                <w:color w:val="000000"/>
                <w:sz w:val="22"/>
                <w:szCs w:val="22"/>
              </w:rPr>
            </w:pPr>
            <w:r>
              <w:rPr>
                <w:rFonts w:ascii="Arial" w:hAnsi="Arial" w:cs="Arial"/>
                <w:color w:val="000000"/>
                <w:sz w:val="22"/>
                <w:szCs w:val="22"/>
              </w:rPr>
              <w:t>[22.9]</w:t>
            </w:r>
            <w:r>
              <w:rPr>
                <w:rFonts w:ascii="Arial" w:hAnsi="Arial" w:cs="Arial"/>
                <w:color w:val="000000"/>
                <w:sz w:val="22"/>
                <w:szCs w:val="22"/>
              </w:rPr>
              <w:tab/>
              <w:t>It is of no significance or assistance, if the Plaintiff merely leads evidence that, in respect of a specific property he or she had made all the bond payments and the like. What about the Defendant’s contributions towards the joint estate or other movable or immovable property in the joint estate? </w:t>
            </w:r>
          </w:p>
          <w:p w:rsidR="0005699F" w:rsidRDefault="0005699F" w:rsidP="0005699F">
            <w:pPr>
              <w:pStyle w:val="western"/>
              <w:shd w:val="clear" w:color="auto" w:fill="FFFFFF"/>
              <w:spacing w:before="0" w:beforeAutospacing="0" w:after="288" w:afterAutospacing="0" w:line="360" w:lineRule="auto"/>
              <w:ind w:left="1440" w:hanging="720"/>
              <w:jc w:val="both"/>
              <w:rPr>
                <w:rFonts w:ascii="Arial" w:hAnsi="Arial" w:cs="Arial"/>
                <w:color w:val="000000"/>
                <w:sz w:val="22"/>
                <w:szCs w:val="22"/>
              </w:rPr>
            </w:pPr>
            <w:r>
              <w:rPr>
                <w:rFonts w:ascii="Arial" w:hAnsi="Arial" w:cs="Arial"/>
                <w:color w:val="000000"/>
                <w:sz w:val="22"/>
                <w:szCs w:val="22"/>
              </w:rPr>
              <w:t>[22.</w:t>
            </w:r>
            <w:r w:rsidR="00703646">
              <w:rPr>
                <w:rFonts w:ascii="Arial" w:hAnsi="Arial" w:cs="Arial"/>
                <w:color w:val="000000"/>
                <w:sz w:val="22"/>
                <w:szCs w:val="22"/>
              </w:rPr>
              <w:t>1</w:t>
            </w:r>
            <w:r>
              <w:rPr>
                <w:rFonts w:ascii="Arial" w:hAnsi="Arial" w:cs="Arial"/>
                <w:color w:val="000000"/>
                <w:sz w:val="22"/>
                <w:szCs w:val="22"/>
              </w:rPr>
              <w:t>0]</w:t>
            </w:r>
            <w:r>
              <w:rPr>
                <w:rFonts w:ascii="Arial" w:hAnsi="Arial" w:cs="Arial"/>
                <w:color w:val="000000"/>
                <w:sz w:val="22"/>
                <w:szCs w:val="22"/>
              </w:rPr>
              <w:tab/>
              <w:t>It is also not a valid argument, to submit, (as counsel for the one of the Plaintiff’s in this case did), that the matter is unopposed. The question which arises is, does the Defendant know what is claimed? And in any event, the court has no discretion to act contrary to the law simply because the matter is not opposed. No opposition does not constitute an agreement. Any Defendant is entitled to assume, even if he/she does not oppose, that a court will only grant a default judgment within the confines of the law.’</w:t>
            </w:r>
          </w:p>
          <w:p w:rsidR="0058764F" w:rsidRDefault="0005699F" w:rsidP="005119C0">
            <w:pPr>
              <w:pStyle w:val="western"/>
              <w:shd w:val="clear" w:color="auto" w:fill="FFFFFF"/>
              <w:spacing w:before="0" w:beforeAutospacing="0" w:after="0" w:afterAutospacing="0" w:line="360" w:lineRule="auto"/>
              <w:jc w:val="both"/>
              <w:rPr>
                <w:rFonts w:ascii="Arial" w:hAnsi="Arial" w:cs="Arial"/>
              </w:rPr>
            </w:pPr>
            <w:r>
              <w:rPr>
                <w:rFonts w:ascii="Arial" w:hAnsi="Arial" w:cs="Arial"/>
                <w:color w:val="000000"/>
                <w:sz w:val="22"/>
                <w:szCs w:val="22"/>
              </w:rPr>
              <w:t> </w:t>
            </w:r>
            <w:r w:rsidR="0058764F" w:rsidRPr="00977346">
              <w:rPr>
                <w:rFonts w:ascii="Arial" w:hAnsi="Arial" w:cs="Arial"/>
              </w:rPr>
              <w:t>[</w:t>
            </w:r>
            <w:r w:rsidR="00703646">
              <w:rPr>
                <w:rFonts w:ascii="Arial" w:hAnsi="Arial" w:cs="Arial"/>
              </w:rPr>
              <w:t>10</w:t>
            </w:r>
            <w:r w:rsidR="0043458A">
              <w:rPr>
                <w:rFonts w:ascii="Arial" w:hAnsi="Arial" w:cs="Arial"/>
              </w:rPr>
              <w:t>]</w:t>
            </w:r>
            <w:r w:rsidR="0058764F" w:rsidRPr="00977346">
              <w:rPr>
                <w:rFonts w:ascii="Arial" w:hAnsi="Arial" w:cs="Arial"/>
              </w:rPr>
              <w:tab/>
            </w:r>
            <w:r w:rsidR="00096AE5">
              <w:rPr>
                <w:rFonts w:ascii="Arial" w:hAnsi="Arial" w:cs="Arial"/>
              </w:rPr>
              <w:t>In the instant matter, I have mentioned previously that the defendant</w:t>
            </w:r>
            <w:r w:rsidR="00703646">
              <w:rPr>
                <w:rFonts w:ascii="Arial" w:hAnsi="Arial" w:cs="Arial"/>
              </w:rPr>
              <w:t xml:space="preserve">, </w:t>
            </w:r>
            <w:r w:rsidR="00096AE5">
              <w:rPr>
                <w:rFonts w:ascii="Arial" w:hAnsi="Arial" w:cs="Arial"/>
              </w:rPr>
              <w:t>the guilty party</w:t>
            </w:r>
            <w:r w:rsidR="00703646">
              <w:rPr>
                <w:rFonts w:ascii="Arial" w:hAnsi="Arial" w:cs="Arial"/>
              </w:rPr>
              <w:t>,</w:t>
            </w:r>
            <w:r w:rsidR="00096AE5">
              <w:rPr>
                <w:rFonts w:ascii="Arial" w:hAnsi="Arial" w:cs="Arial"/>
              </w:rPr>
              <w:t xml:space="preserve"> has contributed only </w:t>
            </w:r>
            <w:r w:rsidR="00096AE5" w:rsidRPr="00804914">
              <w:rPr>
                <w:rFonts w:ascii="Arial" w:hAnsi="Arial" w:cs="Arial"/>
              </w:rPr>
              <w:t>10 percent</w:t>
            </w:r>
            <w:r w:rsidR="00096AE5">
              <w:rPr>
                <w:rFonts w:ascii="Arial" w:hAnsi="Arial" w:cs="Arial"/>
              </w:rPr>
              <w:t xml:space="preserve"> to</w:t>
            </w:r>
            <w:r w:rsidR="00703646">
              <w:rPr>
                <w:rFonts w:ascii="Arial" w:hAnsi="Arial" w:cs="Arial"/>
              </w:rPr>
              <w:t>wards</w:t>
            </w:r>
            <w:r w:rsidR="00096AE5">
              <w:rPr>
                <w:rFonts w:ascii="Arial" w:hAnsi="Arial" w:cs="Arial"/>
              </w:rPr>
              <w:t xml:space="preserve"> the mortgage bond repayment and no contribution at all to</w:t>
            </w:r>
            <w:r w:rsidR="00703646">
              <w:rPr>
                <w:rFonts w:ascii="Arial" w:hAnsi="Arial" w:cs="Arial"/>
              </w:rPr>
              <w:t>wards</w:t>
            </w:r>
            <w:r w:rsidR="00096AE5">
              <w:rPr>
                <w:rFonts w:ascii="Arial" w:hAnsi="Arial" w:cs="Arial"/>
              </w:rPr>
              <w:t xml:space="preserve"> the renovation of the first immovable property.  </w:t>
            </w:r>
            <w:r w:rsidR="00703646">
              <w:rPr>
                <w:rFonts w:ascii="Arial" w:hAnsi="Arial" w:cs="Arial"/>
              </w:rPr>
              <w:t>That being the</w:t>
            </w:r>
            <w:r w:rsidR="00096AE5">
              <w:rPr>
                <w:rFonts w:ascii="Arial" w:hAnsi="Arial" w:cs="Arial"/>
              </w:rPr>
              <w:t xml:space="preserve"> case, he receives </w:t>
            </w:r>
            <w:r w:rsidR="00096AE5" w:rsidRPr="00804914">
              <w:rPr>
                <w:rFonts w:ascii="Arial" w:hAnsi="Arial" w:cs="Arial"/>
              </w:rPr>
              <w:t>10 percent</w:t>
            </w:r>
            <w:r w:rsidR="00096AE5">
              <w:rPr>
                <w:rFonts w:ascii="Arial" w:hAnsi="Arial" w:cs="Arial"/>
              </w:rPr>
              <w:t xml:space="preserve"> of the</w:t>
            </w:r>
            <w:r w:rsidR="00703646">
              <w:rPr>
                <w:rFonts w:ascii="Arial" w:hAnsi="Arial" w:cs="Arial"/>
              </w:rPr>
              <w:t xml:space="preserve"> value of the</w:t>
            </w:r>
            <w:r w:rsidR="00096AE5">
              <w:rPr>
                <w:rFonts w:ascii="Arial" w:hAnsi="Arial" w:cs="Arial"/>
              </w:rPr>
              <w:t xml:space="preserve"> joint estate.  The defendant being the guilty party cannot receive one half of the</w:t>
            </w:r>
            <w:r w:rsidR="00703646">
              <w:rPr>
                <w:rFonts w:ascii="Arial" w:hAnsi="Arial" w:cs="Arial"/>
              </w:rPr>
              <w:t xml:space="preserve"> value of the</w:t>
            </w:r>
            <w:r w:rsidR="00096AE5">
              <w:rPr>
                <w:rFonts w:ascii="Arial" w:hAnsi="Arial" w:cs="Arial"/>
              </w:rPr>
              <w:t xml:space="preserve"> joint estate, as the defendant claims in reconvention.</w:t>
            </w:r>
            <w:r w:rsidR="00703646">
              <w:rPr>
                <w:rStyle w:val="FootnoteReference"/>
                <w:rFonts w:ascii="Arial" w:hAnsi="Arial" w:cs="Arial"/>
              </w:rPr>
              <w:footnoteReference w:id="3"/>
            </w:r>
          </w:p>
          <w:p w:rsidR="00096AE5" w:rsidRDefault="00096AE5" w:rsidP="005119C0">
            <w:pPr>
              <w:spacing w:line="360" w:lineRule="auto"/>
              <w:jc w:val="both"/>
              <w:rPr>
                <w:rFonts w:ascii="Arial" w:hAnsi="Arial" w:cs="Arial"/>
                <w:sz w:val="24"/>
                <w:szCs w:val="24"/>
              </w:rPr>
            </w:pPr>
          </w:p>
          <w:p w:rsidR="00096AE5" w:rsidRPr="00DA2368" w:rsidRDefault="00DA2368" w:rsidP="005119C0">
            <w:pPr>
              <w:spacing w:line="360" w:lineRule="auto"/>
              <w:jc w:val="both"/>
              <w:rPr>
                <w:rFonts w:ascii="Arial" w:hAnsi="Arial" w:cs="Arial"/>
                <w:sz w:val="24"/>
                <w:szCs w:val="24"/>
              </w:rPr>
            </w:pPr>
            <w:r>
              <w:rPr>
                <w:rFonts w:ascii="Arial" w:hAnsi="Arial" w:cs="Arial"/>
                <w:sz w:val="24"/>
                <w:szCs w:val="24"/>
                <w:u w:val="single"/>
              </w:rPr>
              <w:t>The defendant’s claim in reconvention</w:t>
            </w:r>
          </w:p>
          <w:p w:rsidR="0058764F" w:rsidRDefault="0058764F" w:rsidP="005119C0">
            <w:pPr>
              <w:spacing w:line="360" w:lineRule="auto"/>
              <w:jc w:val="both"/>
              <w:rPr>
                <w:rFonts w:ascii="Arial" w:hAnsi="Arial" w:cs="Arial"/>
                <w:sz w:val="24"/>
                <w:szCs w:val="24"/>
              </w:rPr>
            </w:pPr>
          </w:p>
          <w:p w:rsidR="0058764F" w:rsidRDefault="0058764F" w:rsidP="00F05652">
            <w:pPr>
              <w:spacing w:line="360" w:lineRule="auto"/>
              <w:jc w:val="both"/>
              <w:rPr>
                <w:rFonts w:ascii="Arial" w:hAnsi="Arial" w:cs="Arial"/>
                <w:sz w:val="24"/>
                <w:szCs w:val="24"/>
              </w:rPr>
            </w:pPr>
            <w:r w:rsidRPr="00977346">
              <w:rPr>
                <w:rFonts w:ascii="Arial" w:hAnsi="Arial" w:cs="Arial"/>
                <w:sz w:val="24"/>
                <w:szCs w:val="24"/>
              </w:rPr>
              <w:lastRenderedPageBreak/>
              <w:t>[</w:t>
            </w:r>
            <w:r w:rsidR="00686D84">
              <w:rPr>
                <w:rFonts w:ascii="Arial" w:hAnsi="Arial" w:cs="Arial"/>
                <w:sz w:val="24"/>
                <w:szCs w:val="24"/>
              </w:rPr>
              <w:t>11</w:t>
            </w:r>
            <w:r w:rsidRPr="00977346">
              <w:rPr>
                <w:rFonts w:ascii="Arial" w:hAnsi="Arial" w:cs="Arial"/>
                <w:sz w:val="24"/>
                <w:szCs w:val="24"/>
              </w:rPr>
              <w:t>]</w:t>
            </w:r>
            <w:r w:rsidRPr="00977346">
              <w:rPr>
                <w:rFonts w:ascii="Arial" w:hAnsi="Arial" w:cs="Arial"/>
                <w:sz w:val="24"/>
                <w:szCs w:val="24"/>
              </w:rPr>
              <w:tab/>
            </w:r>
            <w:r w:rsidR="006C47B3">
              <w:rPr>
                <w:rFonts w:ascii="Arial" w:hAnsi="Arial" w:cs="Arial"/>
                <w:sz w:val="24"/>
                <w:szCs w:val="24"/>
              </w:rPr>
              <w:t xml:space="preserve">The defendant’s allegation that the plaintiff is the guilty spouse has been rejected.  </w:t>
            </w:r>
            <w:r w:rsidR="00686D84">
              <w:rPr>
                <w:rFonts w:ascii="Arial" w:hAnsi="Arial" w:cs="Arial"/>
                <w:sz w:val="24"/>
                <w:szCs w:val="24"/>
              </w:rPr>
              <w:t>And based on the foregoing reasons,</w:t>
            </w:r>
            <w:r w:rsidR="006C47B3">
              <w:rPr>
                <w:rFonts w:ascii="Arial" w:hAnsi="Arial" w:cs="Arial"/>
                <w:sz w:val="24"/>
                <w:szCs w:val="24"/>
              </w:rPr>
              <w:t xml:space="preserve"> I refuse to grant the order he seeks in paras 2 and 3 of the counterclaim.</w:t>
            </w:r>
          </w:p>
          <w:p w:rsidR="006C47B3" w:rsidRDefault="006C47B3" w:rsidP="00F05652">
            <w:pPr>
              <w:spacing w:line="360" w:lineRule="auto"/>
              <w:jc w:val="both"/>
              <w:rPr>
                <w:rFonts w:ascii="Arial" w:hAnsi="Arial" w:cs="Arial"/>
                <w:sz w:val="24"/>
                <w:szCs w:val="24"/>
              </w:rPr>
            </w:pPr>
          </w:p>
          <w:p w:rsidR="006C47B3" w:rsidRPr="006C47B3" w:rsidRDefault="006C47B3" w:rsidP="00F05652">
            <w:pPr>
              <w:spacing w:line="360" w:lineRule="auto"/>
              <w:jc w:val="both"/>
              <w:rPr>
                <w:rFonts w:ascii="Arial" w:hAnsi="Arial" w:cs="Arial"/>
                <w:sz w:val="24"/>
                <w:szCs w:val="24"/>
                <w:u w:val="single"/>
              </w:rPr>
            </w:pPr>
            <w:r w:rsidRPr="006C47B3">
              <w:rPr>
                <w:rFonts w:ascii="Arial" w:hAnsi="Arial" w:cs="Arial"/>
                <w:sz w:val="24"/>
                <w:szCs w:val="24"/>
                <w:u w:val="single"/>
              </w:rPr>
              <w:t>Conclusion</w:t>
            </w:r>
          </w:p>
          <w:p w:rsidR="00583364" w:rsidRDefault="00583364" w:rsidP="00F05652">
            <w:pPr>
              <w:spacing w:line="360" w:lineRule="auto"/>
              <w:jc w:val="both"/>
              <w:rPr>
                <w:rFonts w:ascii="Arial" w:hAnsi="Arial" w:cs="Arial"/>
                <w:sz w:val="24"/>
                <w:szCs w:val="24"/>
              </w:rPr>
            </w:pPr>
          </w:p>
          <w:p w:rsidR="0058764F" w:rsidRDefault="0058764F" w:rsidP="00F05652">
            <w:pPr>
              <w:spacing w:line="360" w:lineRule="auto"/>
              <w:jc w:val="both"/>
              <w:rPr>
                <w:rFonts w:ascii="Arial" w:hAnsi="Arial" w:cs="Arial"/>
                <w:sz w:val="24"/>
                <w:szCs w:val="24"/>
              </w:rPr>
            </w:pPr>
            <w:r w:rsidRPr="00977346">
              <w:rPr>
                <w:rFonts w:ascii="Arial" w:hAnsi="Arial" w:cs="Arial"/>
                <w:sz w:val="24"/>
                <w:szCs w:val="24"/>
              </w:rPr>
              <w:t>[</w:t>
            </w:r>
            <w:r w:rsidR="00583364">
              <w:rPr>
                <w:rFonts w:ascii="Arial" w:hAnsi="Arial" w:cs="Arial"/>
                <w:sz w:val="24"/>
                <w:szCs w:val="24"/>
              </w:rPr>
              <w:t>12</w:t>
            </w:r>
            <w:r w:rsidRPr="00977346">
              <w:rPr>
                <w:rFonts w:ascii="Arial" w:hAnsi="Arial" w:cs="Arial"/>
                <w:sz w:val="24"/>
                <w:szCs w:val="24"/>
              </w:rPr>
              <w:t>]</w:t>
            </w:r>
            <w:r w:rsidRPr="00977346">
              <w:rPr>
                <w:rFonts w:ascii="Arial" w:hAnsi="Arial" w:cs="Arial"/>
                <w:sz w:val="24"/>
                <w:szCs w:val="24"/>
              </w:rPr>
              <w:tab/>
            </w:r>
            <w:r w:rsidR="00BB245F">
              <w:rPr>
                <w:rFonts w:ascii="Arial" w:hAnsi="Arial" w:cs="Arial"/>
                <w:sz w:val="24"/>
                <w:szCs w:val="24"/>
              </w:rPr>
              <w:t>The parties agree as to who should be granted custody and control of the minor child.  The defendant has offered to pay maintenance in the amount of N$2 615 per month for the minor child.  Since his counterclaim for half of</w:t>
            </w:r>
            <w:r w:rsidR="00E616A1">
              <w:rPr>
                <w:rFonts w:ascii="Arial" w:hAnsi="Arial" w:cs="Arial"/>
                <w:sz w:val="24"/>
                <w:szCs w:val="24"/>
              </w:rPr>
              <w:t xml:space="preserve"> </w:t>
            </w:r>
            <w:r w:rsidR="00BB245F">
              <w:rPr>
                <w:rFonts w:ascii="Arial" w:hAnsi="Arial" w:cs="Arial"/>
                <w:sz w:val="24"/>
                <w:szCs w:val="24"/>
              </w:rPr>
              <w:t>the value of the joint estate has been rejected, I think, it is fair and reasonable that he pays only N$2</w:t>
            </w:r>
            <w:r w:rsidR="00686D84">
              <w:rPr>
                <w:rFonts w:ascii="Arial" w:hAnsi="Arial" w:cs="Arial"/>
                <w:sz w:val="24"/>
                <w:szCs w:val="24"/>
              </w:rPr>
              <w:t xml:space="preserve"> </w:t>
            </w:r>
            <w:r w:rsidR="00BB245F">
              <w:rPr>
                <w:rFonts w:ascii="Arial" w:hAnsi="Arial" w:cs="Arial"/>
                <w:sz w:val="24"/>
                <w:szCs w:val="24"/>
              </w:rPr>
              <w:t>000 per month for child maintenance.  In the nature of the proceedings, it is similarly fair and reasonable that no costs order is granted in favour of, or against, any party.</w:t>
            </w:r>
          </w:p>
          <w:p w:rsidR="00335138" w:rsidRDefault="00335138" w:rsidP="00F05652">
            <w:pPr>
              <w:spacing w:line="360" w:lineRule="auto"/>
              <w:jc w:val="both"/>
              <w:rPr>
                <w:rFonts w:ascii="Arial" w:hAnsi="Arial" w:cs="Arial"/>
                <w:sz w:val="24"/>
                <w:szCs w:val="24"/>
              </w:rPr>
            </w:pPr>
          </w:p>
          <w:p w:rsidR="00335138" w:rsidRDefault="00C57202" w:rsidP="00F05652">
            <w:pPr>
              <w:spacing w:line="360" w:lineRule="auto"/>
              <w:jc w:val="both"/>
              <w:rPr>
                <w:rFonts w:ascii="Arial" w:hAnsi="Arial" w:cs="Arial"/>
                <w:sz w:val="24"/>
                <w:szCs w:val="24"/>
              </w:rPr>
            </w:pPr>
            <w:r>
              <w:rPr>
                <w:rFonts w:ascii="Arial" w:hAnsi="Arial" w:cs="Arial"/>
                <w:sz w:val="24"/>
                <w:szCs w:val="24"/>
              </w:rPr>
              <w:t>[13</w:t>
            </w:r>
            <w:r w:rsidR="00335138">
              <w:rPr>
                <w:rFonts w:ascii="Arial" w:hAnsi="Arial" w:cs="Arial"/>
                <w:sz w:val="24"/>
                <w:szCs w:val="24"/>
              </w:rPr>
              <w:t>]</w:t>
            </w:r>
            <w:r w:rsidR="00335138" w:rsidRPr="00977346">
              <w:rPr>
                <w:rFonts w:ascii="Arial" w:hAnsi="Arial" w:cs="Arial"/>
                <w:sz w:val="24"/>
                <w:szCs w:val="24"/>
              </w:rPr>
              <w:t xml:space="preserve"> </w:t>
            </w:r>
            <w:r w:rsidR="00335138" w:rsidRPr="00977346">
              <w:rPr>
                <w:rFonts w:ascii="Arial" w:hAnsi="Arial" w:cs="Arial"/>
                <w:sz w:val="24"/>
                <w:szCs w:val="24"/>
              </w:rPr>
              <w:tab/>
            </w:r>
            <w:r w:rsidR="00335138">
              <w:rPr>
                <w:rFonts w:ascii="Arial" w:hAnsi="Arial" w:cs="Arial"/>
                <w:sz w:val="24"/>
                <w:szCs w:val="24"/>
              </w:rPr>
              <w:t>In the result, I make an order in the following terms, that-</w:t>
            </w:r>
          </w:p>
          <w:p w:rsidR="009A043B" w:rsidRDefault="009A043B" w:rsidP="00F05652">
            <w:pPr>
              <w:spacing w:line="360" w:lineRule="auto"/>
              <w:jc w:val="both"/>
              <w:rPr>
                <w:rFonts w:ascii="Arial" w:hAnsi="Arial" w:cs="Arial"/>
                <w:sz w:val="24"/>
                <w:szCs w:val="24"/>
              </w:rPr>
            </w:pPr>
          </w:p>
          <w:p w:rsidR="0054289B" w:rsidRDefault="00335138" w:rsidP="00AA70ED">
            <w:pPr>
              <w:pStyle w:val="ListParagraph"/>
              <w:numPr>
                <w:ilvl w:val="0"/>
                <w:numId w:val="22"/>
              </w:numPr>
              <w:spacing w:line="360" w:lineRule="auto"/>
              <w:ind w:left="729" w:hanging="709"/>
              <w:jc w:val="both"/>
              <w:rPr>
                <w:rFonts w:ascii="Arial" w:hAnsi="Arial" w:cs="Arial"/>
                <w:sz w:val="24"/>
                <w:szCs w:val="24"/>
              </w:rPr>
            </w:pPr>
            <w:r>
              <w:rPr>
                <w:rFonts w:ascii="Arial" w:hAnsi="Arial" w:cs="Arial"/>
                <w:sz w:val="24"/>
                <w:szCs w:val="24"/>
              </w:rPr>
              <w:t>The bonds of marriage subsisting between the plaintiff and the defendant are dissolved; and a final order of divorce is hereby granted.</w:t>
            </w:r>
          </w:p>
          <w:p w:rsidR="0054289B" w:rsidRDefault="0054289B" w:rsidP="0054289B">
            <w:pPr>
              <w:pStyle w:val="ListParagraph"/>
              <w:spacing w:line="360" w:lineRule="auto"/>
              <w:ind w:left="729"/>
              <w:jc w:val="both"/>
              <w:rPr>
                <w:rFonts w:ascii="Arial" w:hAnsi="Arial" w:cs="Arial"/>
                <w:sz w:val="24"/>
                <w:szCs w:val="24"/>
              </w:rPr>
            </w:pPr>
          </w:p>
          <w:p w:rsidR="0054289B" w:rsidRDefault="00355C9F" w:rsidP="00AA70ED">
            <w:pPr>
              <w:pStyle w:val="ListParagraph"/>
              <w:numPr>
                <w:ilvl w:val="0"/>
                <w:numId w:val="22"/>
              </w:numPr>
              <w:spacing w:line="360" w:lineRule="auto"/>
              <w:ind w:left="729" w:hanging="709"/>
              <w:jc w:val="both"/>
              <w:rPr>
                <w:rFonts w:ascii="Arial" w:hAnsi="Arial" w:cs="Arial"/>
                <w:sz w:val="24"/>
                <w:szCs w:val="24"/>
              </w:rPr>
            </w:pPr>
            <w:r>
              <w:rPr>
                <w:rFonts w:ascii="Arial" w:hAnsi="Arial" w:cs="Arial"/>
                <w:sz w:val="24"/>
                <w:szCs w:val="24"/>
              </w:rPr>
              <w:t>Custody and control of the minor child of the family are awarded to the plaintiff, subject to the defendant’s reasonable access to the minor child.</w:t>
            </w:r>
          </w:p>
          <w:p w:rsidR="00355C9F" w:rsidRPr="00355C9F" w:rsidRDefault="00355C9F" w:rsidP="00355C9F">
            <w:pPr>
              <w:pStyle w:val="ListParagraph"/>
              <w:rPr>
                <w:rFonts w:ascii="Arial" w:hAnsi="Arial" w:cs="Arial"/>
                <w:sz w:val="24"/>
                <w:szCs w:val="24"/>
              </w:rPr>
            </w:pPr>
          </w:p>
          <w:p w:rsidR="00355C9F" w:rsidRDefault="00355C9F" w:rsidP="00AA70ED">
            <w:pPr>
              <w:pStyle w:val="ListParagraph"/>
              <w:numPr>
                <w:ilvl w:val="0"/>
                <w:numId w:val="22"/>
              </w:numPr>
              <w:spacing w:line="360" w:lineRule="auto"/>
              <w:ind w:left="729" w:hanging="709"/>
              <w:jc w:val="both"/>
              <w:rPr>
                <w:rFonts w:ascii="Arial" w:hAnsi="Arial" w:cs="Arial"/>
                <w:sz w:val="24"/>
                <w:szCs w:val="24"/>
              </w:rPr>
            </w:pPr>
            <w:r>
              <w:rPr>
                <w:rFonts w:ascii="Arial" w:hAnsi="Arial" w:cs="Arial"/>
                <w:sz w:val="24"/>
                <w:szCs w:val="24"/>
              </w:rPr>
              <w:t>The defendant shall pay N$2</w:t>
            </w:r>
            <w:r w:rsidR="00686D84">
              <w:rPr>
                <w:rFonts w:ascii="Arial" w:hAnsi="Arial" w:cs="Arial"/>
                <w:sz w:val="24"/>
                <w:szCs w:val="24"/>
              </w:rPr>
              <w:t xml:space="preserve"> </w:t>
            </w:r>
            <w:r>
              <w:rPr>
                <w:rFonts w:ascii="Arial" w:hAnsi="Arial" w:cs="Arial"/>
                <w:sz w:val="24"/>
                <w:szCs w:val="24"/>
              </w:rPr>
              <w:t>000 per month towards the maintenance of the minor child.</w:t>
            </w:r>
          </w:p>
          <w:p w:rsidR="00355C9F" w:rsidRPr="00355C9F" w:rsidRDefault="00355C9F" w:rsidP="00355C9F">
            <w:pPr>
              <w:pStyle w:val="ListParagraph"/>
              <w:rPr>
                <w:rFonts w:ascii="Arial" w:hAnsi="Arial" w:cs="Arial"/>
                <w:sz w:val="24"/>
                <w:szCs w:val="24"/>
              </w:rPr>
            </w:pPr>
          </w:p>
          <w:p w:rsidR="00355C9F" w:rsidRDefault="00355C9F" w:rsidP="00AA70ED">
            <w:pPr>
              <w:pStyle w:val="ListParagraph"/>
              <w:numPr>
                <w:ilvl w:val="0"/>
                <w:numId w:val="22"/>
              </w:numPr>
              <w:spacing w:line="360" w:lineRule="auto"/>
              <w:ind w:left="729" w:hanging="709"/>
              <w:jc w:val="both"/>
              <w:rPr>
                <w:rFonts w:ascii="Arial" w:hAnsi="Arial" w:cs="Arial"/>
                <w:sz w:val="24"/>
                <w:szCs w:val="24"/>
              </w:rPr>
            </w:pPr>
            <w:r>
              <w:rPr>
                <w:rFonts w:ascii="Arial" w:hAnsi="Arial" w:cs="Arial"/>
                <w:sz w:val="24"/>
                <w:szCs w:val="24"/>
              </w:rPr>
              <w:t>The defendant shall forfeit any benefits deriving from the marriage out of community of property.</w:t>
            </w:r>
          </w:p>
          <w:p w:rsidR="00355C9F" w:rsidRPr="00355C9F" w:rsidRDefault="00355C9F" w:rsidP="00355C9F">
            <w:pPr>
              <w:pStyle w:val="ListParagraph"/>
              <w:rPr>
                <w:rFonts w:ascii="Arial" w:hAnsi="Arial" w:cs="Arial"/>
                <w:sz w:val="24"/>
                <w:szCs w:val="24"/>
              </w:rPr>
            </w:pPr>
          </w:p>
          <w:p w:rsidR="00355C9F" w:rsidRDefault="00355C9F" w:rsidP="00AA70ED">
            <w:pPr>
              <w:pStyle w:val="ListParagraph"/>
              <w:numPr>
                <w:ilvl w:val="0"/>
                <w:numId w:val="22"/>
              </w:numPr>
              <w:spacing w:line="360" w:lineRule="auto"/>
              <w:ind w:left="729" w:hanging="709"/>
              <w:jc w:val="both"/>
              <w:rPr>
                <w:rFonts w:ascii="Arial" w:hAnsi="Arial" w:cs="Arial"/>
                <w:sz w:val="24"/>
                <w:szCs w:val="24"/>
              </w:rPr>
            </w:pPr>
            <w:r>
              <w:rPr>
                <w:rFonts w:ascii="Arial" w:hAnsi="Arial" w:cs="Arial"/>
                <w:sz w:val="24"/>
                <w:szCs w:val="24"/>
              </w:rPr>
              <w:t xml:space="preserve">The ownership of Erf No. 94 </w:t>
            </w:r>
            <w:proofErr w:type="spellStart"/>
            <w:r>
              <w:rPr>
                <w:rFonts w:ascii="Arial" w:hAnsi="Arial" w:cs="Arial"/>
                <w:sz w:val="24"/>
                <w:szCs w:val="24"/>
              </w:rPr>
              <w:t>Tolla</w:t>
            </w:r>
            <w:proofErr w:type="spellEnd"/>
            <w:r>
              <w:rPr>
                <w:rFonts w:ascii="Arial" w:hAnsi="Arial" w:cs="Arial"/>
                <w:sz w:val="24"/>
                <w:szCs w:val="24"/>
              </w:rPr>
              <w:t xml:space="preserve"> Street, </w:t>
            </w:r>
            <w:proofErr w:type="spellStart"/>
            <w:r>
              <w:rPr>
                <w:rFonts w:ascii="Arial" w:hAnsi="Arial" w:cs="Arial"/>
                <w:sz w:val="24"/>
                <w:szCs w:val="24"/>
              </w:rPr>
              <w:t>Goreangab</w:t>
            </w:r>
            <w:proofErr w:type="spellEnd"/>
            <w:r>
              <w:rPr>
                <w:rFonts w:ascii="Arial" w:hAnsi="Arial" w:cs="Arial"/>
                <w:sz w:val="24"/>
                <w:szCs w:val="24"/>
              </w:rPr>
              <w:t xml:space="preserve"> Dam, Windhoek, is hereby vested solely in the plaintiff.</w:t>
            </w:r>
          </w:p>
          <w:p w:rsidR="00355C9F" w:rsidRPr="00355C9F" w:rsidRDefault="00355C9F" w:rsidP="00355C9F">
            <w:pPr>
              <w:pStyle w:val="ListParagraph"/>
              <w:rPr>
                <w:rFonts w:ascii="Arial" w:hAnsi="Arial" w:cs="Arial"/>
                <w:sz w:val="24"/>
                <w:szCs w:val="24"/>
              </w:rPr>
            </w:pPr>
          </w:p>
          <w:p w:rsidR="00355C9F" w:rsidRDefault="00355C9F" w:rsidP="00AA70ED">
            <w:pPr>
              <w:pStyle w:val="ListParagraph"/>
              <w:numPr>
                <w:ilvl w:val="0"/>
                <w:numId w:val="22"/>
              </w:numPr>
              <w:spacing w:line="360" w:lineRule="auto"/>
              <w:ind w:left="729" w:hanging="709"/>
              <w:jc w:val="both"/>
              <w:rPr>
                <w:rFonts w:ascii="Arial" w:hAnsi="Arial" w:cs="Arial"/>
                <w:sz w:val="24"/>
                <w:szCs w:val="24"/>
              </w:rPr>
            </w:pPr>
            <w:r>
              <w:rPr>
                <w:rFonts w:ascii="Arial" w:hAnsi="Arial" w:cs="Arial"/>
                <w:sz w:val="24"/>
                <w:szCs w:val="24"/>
              </w:rPr>
              <w:t xml:space="preserve">The defendant must, </w:t>
            </w:r>
            <w:r w:rsidR="00686D84">
              <w:rPr>
                <w:rFonts w:ascii="Arial" w:hAnsi="Arial" w:cs="Arial"/>
                <w:sz w:val="24"/>
                <w:szCs w:val="24"/>
              </w:rPr>
              <w:t>on or before 17 May 2023</w:t>
            </w:r>
            <w:r>
              <w:rPr>
                <w:rFonts w:ascii="Arial" w:hAnsi="Arial" w:cs="Arial"/>
                <w:sz w:val="24"/>
                <w:szCs w:val="24"/>
              </w:rPr>
              <w:t xml:space="preserve">, take all steps necessary and required to transfer his share of the said Erf No. 94, </w:t>
            </w:r>
            <w:proofErr w:type="spellStart"/>
            <w:r>
              <w:rPr>
                <w:rFonts w:ascii="Arial" w:hAnsi="Arial" w:cs="Arial"/>
                <w:sz w:val="24"/>
                <w:szCs w:val="24"/>
              </w:rPr>
              <w:t>Tolla</w:t>
            </w:r>
            <w:proofErr w:type="spellEnd"/>
            <w:r>
              <w:rPr>
                <w:rFonts w:ascii="Arial" w:hAnsi="Arial" w:cs="Arial"/>
                <w:sz w:val="24"/>
                <w:szCs w:val="24"/>
              </w:rPr>
              <w:t xml:space="preserve"> Street, </w:t>
            </w:r>
            <w:proofErr w:type="spellStart"/>
            <w:r>
              <w:rPr>
                <w:rFonts w:ascii="Arial" w:hAnsi="Arial" w:cs="Arial"/>
                <w:sz w:val="24"/>
                <w:szCs w:val="24"/>
              </w:rPr>
              <w:t>Goreangab</w:t>
            </w:r>
            <w:proofErr w:type="spellEnd"/>
            <w:r>
              <w:rPr>
                <w:rFonts w:ascii="Arial" w:hAnsi="Arial" w:cs="Arial"/>
                <w:sz w:val="24"/>
                <w:szCs w:val="24"/>
              </w:rPr>
              <w:t xml:space="preserve"> Dam, Windhoek, to the plaintiff; and if the defendant fails or refuses to act as such, the Deputy Sheriff responsible for Windhoek is hereby authorized to take all steps necessary and required to effect the aforementioned transfer.</w:t>
            </w:r>
          </w:p>
          <w:p w:rsidR="007540BE" w:rsidRPr="007540BE" w:rsidRDefault="007540BE" w:rsidP="007540BE">
            <w:pPr>
              <w:pStyle w:val="ListParagraph"/>
              <w:rPr>
                <w:rFonts w:ascii="Arial" w:hAnsi="Arial" w:cs="Arial"/>
                <w:sz w:val="24"/>
                <w:szCs w:val="24"/>
              </w:rPr>
            </w:pPr>
          </w:p>
          <w:p w:rsidR="007540BE" w:rsidRDefault="007540BE" w:rsidP="00AA70ED">
            <w:pPr>
              <w:pStyle w:val="ListParagraph"/>
              <w:numPr>
                <w:ilvl w:val="0"/>
                <w:numId w:val="22"/>
              </w:numPr>
              <w:spacing w:line="360" w:lineRule="auto"/>
              <w:ind w:left="729" w:hanging="709"/>
              <w:jc w:val="both"/>
              <w:rPr>
                <w:rFonts w:ascii="Arial" w:hAnsi="Arial" w:cs="Arial"/>
                <w:sz w:val="24"/>
                <w:szCs w:val="24"/>
              </w:rPr>
            </w:pPr>
            <w:r>
              <w:rPr>
                <w:rFonts w:ascii="Arial" w:hAnsi="Arial" w:cs="Arial"/>
                <w:sz w:val="24"/>
                <w:szCs w:val="24"/>
              </w:rPr>
              <w:lastRenderedPageBreak/>
              <w:t xml:space="preserve">The plaintiff be the sole owner of all property listed and identified in </w:t>
            </w:r>
            <w:r w:rsidR="00686D84">
              <w:rPr>
                <w:rFonts w:ascii="Arial" w:hAnsi="Arial" w:cs="Arial"/>
                <w:sz w:val="24"/>
                <w:szCs w:val="24"/>
              </w:rPr>
              <w:t>A</w:t>
            </w:r>
            <w:r>
              <w:rPr>
                <w:rFonts w:ascii="Arial" w:hAnsi="Arial" w:cs="Arial"/>
                <w:sz w:val="24"/>
                <w:szCs w:val="24"/>
              </w:rPr>
              <w:t xml:space="preserve">nnexure ‘HLJ8’ to </w:t>
            </w:r>
            <w:r w:rsidR="00B965E5">
              <w:rPr>
                <w:rFonts w:ascii="Arial" w:hAnsi="Arial" w:cs="Arial"/>
                <w:sz w:val="24"/>
                <w:szCs w:val="24"/>
              </w:rPr>
              <w:t>t</w:t>
            </w:r>
            <w:r>
              <w:rPr>
                <w:rFonts w:ascii="Arial" w:hAnsi="Arial" w:cs="Arial"/>
                <w:sz w:val="24"/>
                <w:szCs w:val="24"/>
              </w:rPr>
              <w:t>h</w:t>
            </w:r>
            <w:r w:rsidR="00B965E5">
              <w:rPr>
                <w:rFonts w:ascii="Arial" w:hAnsi="Arial" w:cs="Arial"/>
                <w:sz w:val="24"/>
                <w:szCs w:val="24"/>
              </w:rPr>
              <w:t>e</w:t>
            </w:r>
            <w:r>
              <w:rPr>
                <w:rFonts w:ascii="Arial" w:hAnsi="Arial" w:cs="Arial"/>
                <w:sz w:val="24"/>
                <w:szCs w:val="24"/>
              </w:rPr>
              <w:t xml:space="preserve"> particulars of claim, a pounding machine, and 20 goats listed in paragraph 18 of the particulars of claim.</w:t>
            </w:r>
          </w:p>
          <w:p w:rsidR="007540BE" w:rsidRPr="007540BE" w:rsidRDefault="007540BE" w:rsidP="007540BE">
            <w:pPr>
              <w:pStyle w:val="ListParagraph"/>
              <w:rPr>
                <w:rFonts w:ascii="Arial" w:hAnsi="Arial" w:cs="Arial"/>
                <w:sz w:val="24"/>
                <w:szCs w:val="24"/>
              </w:rPr>
            </w:pPr>
          </w:p>
          <w:p w:rsidR="007540BE" w:rsidRDefault="007540BE" w:rsidP="00AA70ED">
            <w:pPr>
              <w:pStyle w:val="ListParagraph"/>
              <w:numPr>
                <w:ilvl w:val="0"/>
                <w:numId w:val="22"/>
              </w:numPr>
              <w:spacing w:line="360" w:lineRule="auto"/>
              <w:ind w:left="729" w:hanging="709"/>
              <w:jc w:val="both"/>
              <w:rPr>
                <w:rFonts w:ascii="Arial" w:hAnsi="Arial" w:cs="Arial"/>
                <w:sz w:val="24"/>
                <w:szCs w:val="24"/>
              </w:rPr>
            </w:pPr>
            <w:r>
              <w:rPr>
                <w:rFonts w:ascii="Arial" w:hAnsi="Arial" w:cs="Arial"/>
                <w:sz w:val="24"/>
                <w:szCs w:val="24"/>
              </w:rPr>
              <w:t>That plaintiff be the sole owner of the two motor vehicles listed in paragraphs 18.1 and 18.2 of the particulars of claim.</w:t>
            </w:r>
          </w:p>
          <w:p w:rsidR="007540BE" w:rsidRPr="007540BE" w:rsidRDefault="007540BE" w:rsidP="007540BE">
            <w:pPr>
              <w:pStyle w:val="ListParagraph"/>
              <w:rPr>
                <w:rFonts w:ascii="Arial" w:hAnsi="Arial" w:cs="Arial"/>
                <w:sz w:val="24"/>
                <w:szCs w:val="24"/>
              </w:rPr>
            </w:pPr>
          </w:p>
          <w:p w:rsidR="007540BE" w:rsidRDefault="007540BE" w:rsidP="00AA70ED">
            <w:pPr>
              <w:pStyle w:val="ListParagraph"/>
              <w:numPr>
                <w:ilvl w:val="0"/>
                <w:numId w:val="22"/>
              </w:numPr>
              <w:spacing w:line="360" w:lineRule="auto"/>
              <w:ind w:left="729" w:hanging="709"/>
              <w:jc w:val="both"/>
              <w:rPr>
                <w:rFonts w:ascii="Arial" w:hAnsi="Arial" w:cs="Arial"/>
                <w:sz w:val="24"/>
                <w:szCs w:val="24"/>
              </w:rPr>
            </w:pPr>
            <w:r>
              <w:rPr>
                <w:rFonts w:ascii="Arial" w:hAnsi="Arial" w:cs="Arial"/>
                <w:sz w:val="24"/>
                <w:szCs w:val="24"/>
              </w:rPr>
              <w:t>That the defendant be the sole owner of all the property listed and identified in paragraphs 15 and 16 of the particulars of claim.</w:t>
            </w:r>
          </w:p>
          <w:p w:rsidR="007540BE" w:rsidRPr="007540BE" w:rsidRDefault="007540BE" w:rsidP="007540BE">
            <w:pPr>
              <w:pStyle w:val="ListParagraph"/>
              <w:rPr>
                <w:rFonts w:ascii="Arial" w:hAnsi="Arial" w:cs="Arial"/>
                <w:sz w:val="24"/>
                <w:szCs w:val="24"/>
              </w:rPr>
            </w:pPr>
          </w:p>
          <w:p w:rsidR="007540BE" w:rsidRDefault="007540BE" w:rsidP="00AA70ED">
            <w:pPr>
              <w:pStyle w:val="ListParagraph"/>
              <w:numPr>
                <w:ilvl w:val="0"/>
                <w:numId w:val="22"/>
              </w:numPr>
              <w:spacing w:line="360" w:lineRule="auto"/>
              <w:ind w:left="729" w:hanging="709"/>
              <w:jc w:val="both"/>
              <w:rPr>
                <w:rFonts w:ascii="Arial" w:hAnsi="Arial" w:cs="Arial"/>
                <w:sz w:val="24"/>
                <w:szCs w:val="24"/>
              </w:rPr>
            </w:pPr>
            <w:r>
              <w:rPr>
                <w:rFonts w:ascii="Arial" w:hAnsi="Arial" w:cs="Arial"/>
                <w:sz w:val="24"/>
                <w:szCs w:val="24"/>
              </w:rPr>
              <w:t>There is no order as to costs.</w:t>
            </w:r>
          </w:p>
          <w:p w:rsidR="00E4232A" w:rsidRPr="006E49A3" w:rsidRDefault="00E4232A" w:rsidP="006C2F95">
            <w:pPr>
              <w:suppressAutoHyphens/>
              <w:spacing w:line="360" w:lineRule="auto"/>
              <w:ind w:right="74"/>
              <w:jc w:val="both"/>
              <w:rPr>
                <w:rFonts w:ascii="Arial" w:hAnsi="Arial" w:cs="Arial"/>
              </w:rPr>
            </w:pPr>
          </w:p>
        </w:tc>
      </w:tr>
      <w:tr w:rsidR="00BE5489" w:rsidRPr="006E49A3" w:rsidTr="00C04EBD">
        <w:tc>
          <w:tcPr>
            <w:tcW w:w="4770" w:type="dxa"/>
          </w:tcPr>
          <w:p w:rsidR="00BE5489" w:rsidRPr="006E49A3" w:rsidRDefault="00C73A9D" w:rsidP="0050338C">
            <w:pPr>
              <w:spacing w:line="360" w:lineRule="auto"/>
              <w:jc w:val="center"/>
              <w:rPr>
                <w:rFonts w:ascii="Arial" w:hAnsi="Arial" w:cs="Arial"/>
                <w:b/>
              </w:rPr>
            </w:pPr>
            <w:r>
              <w:rPr>
                <w:rFonts w:ascii="Arial" w:hAnsi="Arial" w:cs="Arial"/>
                <w:b/>
              </w:rPr>
              <w:lastRenderedPageBreak/>
              <w:t>Judge’s signature</w:t>
            </w:r>
            <w:r w:rsidR="00D73BC7">
              <w:rPr>
                <w:rFonts w:ascii="Arial" w:hAnsi="Arial" w:cs="Arial"/>
                <w:b/>
              </w:rPr>
              <w:t xml:space="preserve"> </w:t>
            </w:r>
          </w:p>
        </w:tc>
        <w:tc>
          <w:tcPr>
            <w:tcW w:w="4950" w:type="dxa"/>
            <w:gridSpan w:val="2"/>
          </w:tcPr>
          <w:p w:rsidR="00BE5489" w:rsidRPr="006E49A3" w:rsidRDefault="00EB27A0" w:rsidP="0050338C">
            <w:pPr>
              <w:spacing w:line="360" w:lineRule="auto"/>
              <w:jc w:val="center"/>
              <w:rPr>
                <w:rFonts w:ascii="Arial" w:hAnsi="Arial" w:cs="Arial"/>
                <w:b/>
              </w:rPr>
            </w:pPr>
            <w:r w:rsidRPr="006E49A3">
              <w:rPr>
                <w:rFonts w:ascii="Arial" w:hAnsi="Arial" w:cs="Arial"/>
                <w:b/>
              </w:rPr>
              <w:t>Note to the parties:</w:t>
            </w:r>
          </w:p>
        </w:tc>
      </w:tr>
      <w:tr w:rsidR="00BE5489" w:rsidRPr="006E49A3" w:rsidTr="0050338C">
        <w:trPr>
          <w:trHeight w:val="1114"/>
        </w:trPr>
        <w:tc>
          <w:tcPr>
            <w:tcW w:w="4770" w:type="dxa"/>
          </w:tcPr>
          <w:p w:rsidR="00BE5489" w:rsidRPr="006E49A3" w:rsidRDefault="00BE5489" w:rsidP="00EB27A0">
            <w:pPr>
              <w:spacing w:line="360" w:lineRule="auto"/>
              <w:jc w:val="both"/>
              <w:rPr>
                <w:rFonts w:ascii="Arial" w:hAnsi="Arial" w:cs="Arial"/>
              </w:rPr>
            </w:pPr>
          </w:p>
          <w:p w:rsidR="006D2D84" w:rsidRPr="006E49A3" w:rsidRDefault="006D2D84" w:rsidP="00EB27A0">
            <w:pPr>
              <w:spacing w:line="360" w:lineRule="auto"/>
              <w:jc w:val="both"/>
              <w:rPr>
                <w:rFonts w:ascii="Arial" w:hAnsi="Arial" w:cs="Arial"/>
              </w:rPr>
            </w:pPr>
          </w:p>
          <w:p w:rsidR="009F6C8B" w:rsidRPr="006E49A3" w:rsidRDefault="009F6C8B" w:rsidP="00EB27A0">
            <w:pPr>
              <w:spacing w:line="360" w:lineRule="auto"/>
              <w:jc w:val="both"/>
              <w:rPr>
                <w:rFonts w:ascii="Arial" w:hAnsi="Arial" w:cs="Arial"/>
              </w:rPr>
            </w:pPr>
          </w:p>
        </w:tc>
        <w:tc>
          <w:tcPr>
            <w:tcW w:w="4950" w:type="dxa"/>
            <w:gridSpan w:val="2"/>
          </w:tcPr>
          <w:p w:rsidR="00BE5489" w:rsidRPr="006E49A3" w:rsidRDefault="0060394A" w:rsidP="00952193">
            <w:pPr>
              <w:spacing w:line="360" w:lineRule="auto"/>
              <w:jc w:val="both"/>
              <w:rPr>
                <w:rFonts w:ascii="Arial" w:hAnsi="Arial" w:cs="Arial"/>
              </w:rPr>
            </w:pPr>
            <w:r w:rsidRPr="006E49A3">
              <w:rPr>
                <w:rFonts w:ascii="Arial" w:hAnsi="Arial" w:cs="Arial"/>
              </w:rPr>
              <w:t>Not applicable.</w:t>
            </w:r>
          </w:p>
        </w:tc>
      </w:tr>
      <w:tr w:rsidR="00A23F8A" w:rsidRPr="006E49A3" w:rsidTr="00B530B4">
        <w:tc>
          <w:tcPr>
            <w:tcW w:w="9720" w:type="dxa"/>
            <w:gridSpan w:val="3"/>
          </w:tcPr>
          <w:p w:rsidR="00A23F8A" w:rsidRPr="006E49A3" w:rsidRDefault="00A23F8A" w:rsidP="00A23F8A">
            <w:pPr>
              <w:spacing w:line="360" w:lineRule="auto"/>
              <w:jc w:val="center"/>
              <w:rPr>
                <w:rFonts w:ascii="Arial" w:hAnsi="Arial" w:cs="Arial"/>
                <w:b/>
              </w:rPr>
            </w:pPr>
            <w:r w:rsidRPr="006E49A3">
              <w:rPr>
                <w:rFonts w:ascii="Arial" w:hAnsi="Arial" w:cs="Arial"/>
                <w:b/>
              </w:rPr>
              <w:t>Counsel:</w:t>
            </w:r>
          </w:p>
        </w:tc>
      </w:tr>
      <w:tr w:rsidR="00FD38C2" w:rsidRPr="006E49A3" w:rsidTr="00FD38C2">
        <w:tc>
          <w:tcPr>
            <w:tcW w:w="4770" w:type="dxa"/>
          </w:tcPr>
          <w:p w:rsidR="00FD38C2" w:rsidRPr="006E49A3" w:rsidRDefault="00890A9F" w:rsidP="000E7034">
            <w:pPr>
              <w:spacing w:line="360" w:lineRule="auto"/>
              <w:jc w:val="center"/>
              <w:rPr>
                <w:rFonts w:ascii="Arial" w:hAnsi="Arial" w:cs="Arial"/>
                <w:b/>
              </w:rPr>
            </w:pPr>
            <w:r>
              <w:rPr>
                <w:rFonts w:ascii="Arial" w:hAnsi="Arial" w:cs="Arial"/>
                <w:b/>
              </w:rPr>
              <w:t>Plaintiff</w:t>
            </w:r>
          </w:p>
        </w:tc>
        <w:tc>
          <w:tcPr>
            <w:tcW w:w="4950" w:type="dxa"/>
            <w:gridSpan w:val="2"/>
          </w:tcPr>
          <w:p w:rsidR="00FD38C2" w:rsidRPr="006E49A3" w:rsidRDefault="000E7034" w:rsidP="00B643AE">
            <w:pPr>
              <w:spacing w:line="360" w:lineRule="auto"/>
              <w:jc w:val="center"/>
              <w:rPr>
                <w:rFonts w:ascii="Arial" w:hAnsi="Arial" w:cs="Arial"/>
                <w:b/>
              </w:rPr>
            </w:pPr>
            <w:r>
              <w:rPr>
                <w:rFonts w:ascii="Arial" w:hAnsi="Arial" w:cs="Arial"/>
                <w:b/>
              </w:rPr>
              <w:t>Defendant</w:t>
            </w:r>
          </w:p>
        </w:tc>
      </w:tr>
      <w:tr w:rsidR="00A23F8A" w:rsidRPr="006E49A3" w:rsidTr="00FD38C2">
        <w:tc>
          <w:tcPr>
            <w:tcW w:w="4770" w:type="dxa"/>
          </w:tcPr>
          <w:p w:rsidR="00B933D1" w:rsidRDefault="00B933D1" w:rsidP="008E6759">
            <w:pPr>
              <w:spacing w:line="360" w:lineRule="auto"/>
              <w:jc w:val="center"/>
              <w:rPr>
                <w:rFonts w:ascii="Arial" w:hAnsi="Arial" w:cs="Arial"/>
              </w:rPr>
            </w:pPr>
          </w:p>
          <w:p w:rsidR="00831333" w:rsidRPr="00831333" w:rsidRDefault="00831333" w:rsidP="00861229">
            <w:pPr>
              <w:spacing w:line="360" w:lineRule="auto"/>
              <w:jc w:val="center"/>
              <w:rPr>
                <w:rFonts w:ascii="Arial" w:hAnsi="Arial" w:cs="Arial"/>
              </w:rPr>
            </w:pPr>
            <w:r w:rsidRPr="00831333">
              <w:rPr>
                <w:rFonts w:ascii="Arial" w:hAnsi="Arial" w:cs="Arial"/>
              </w:rPr>
              <w:t xml:space="preserve">S </w:t>
            </w:r>
            <w:proofErr w:type="spellStart"/>
            <w:r w:rsidR="00AA70ED">
              <w:rPr>
                <w:rFonts w:ascii="Arial" w:hAnsi="Arial" w:cs="Arial"/>
              </w:rPr>
              <w:t>N</w:t>
            </w:r>
            <w:r w:rsidR="00AA70ED" w:rsidRPr="00831333">
              <w:rPr>
                <w:rFonts w:ascii="Arial" w:hAnsi="Arial" w:cs="Arial"/>
              </w:rPr>
              <w:t>ambinga</w:t>
            </w:r>
            <w:proofErr w:type="spellEnd"/>
            <w:r w:rsidRPr="00831333">
              <w:rPr>
                <w:rFonts w:ascii="Arial" w:hAnsi="Arial" w:cs="Arial"/>
              </w:rPr>
              <w:t xml:space="preserve"> </w:t>
            </w:r>
          </w:p>
          <w:p w:rsidR="00861229" w:rsidRPr="00B643AE" w:rsidRDefault="00D405CA" w:rsidP="00861229">
            <w:pPr>
              <w:spacing w:line="360" w:lineRule="auto"/>
              <w:jc w:val="center"/>
              <w:rPr>
                <w:rFonts w:ascii="Arial" w:hAnsi="Arial" w:cs="Arial"/>
              </w:rPr>
            </w:pPr>
            <w:r w:rsidRPr="00B643AE">
              <w:rPr>
                <w:rFonts w:ascii="Arial" w:hAnsi="Arial" w:cs="Arial"/>
              </w:rPr>
              <w:t>of</w:t>
            </w:r>
          </w:p>
          <w:p w:rsidR="00861229" w:rsidRPr="00861229" w:rsidRDefault="00831333" w:rsidP="00861229">
            <w:pPr>
              <w:spacing w:line="360" w:lineRule="auto"/>
              <w:jc w:val="center"/>
              <w:rPr>
                <w:rFonts w:ascii="Arial" w:hAnsi="Arial" w:cs="Arial"/>
              </w:rPr>
            </w:pPr>
            <w:proofErr w:type="spellStart"/>
            <w:r w:rsidRPr="00831333">
              <w:rPr>
                <w:rFonts w:ascii="Arial" w:hAnsi="Arial" w:cs="Arial"/>
              </w:rPr>
              <w:t>Palyeenime</w:t>
            </w:r>
            <w:proofErr w:type="spellEnd"/>
            <w:r w:rsidRPr="00831333">
              <w:rPr>
                <w:rFonts w:ascii="Arial" w:hAnsi="Arial" w:cs="Arial"/>
              </w:rPr>
              <w:t xml:space="preserve"> Incorporated</w:t>
            </w:r>
            <w:r w:rsidR="00053235" w:rsidRPr="000E7034">
              <w:rPr>
                <w:rFonts w:ascii="Arial" w:hAnsi="Arial" w:cs="Arial"/>
              </w:rPr>
              <w:t>,</w:t>
            </w:r>
            <w:r w:rsidR="00053235">
              <w:rPr>
                <w:rFonts w:ascii="Arial" w:hAnsi="Arial" w:cs="Arial"/>
              </w:rPr>
              <w:t xml:space="preserve"> Windhoek</w:t>
            </w:r>
          </w:p>
        </w:tc>
        <w:tc>
          <w:tcPr>
            <w:tcW w:w="4950" w:type="dxa"/>
            <w:gridSpan w:val="2"/>
          </w:tcPr>
          <w:p w:rsidR="00B933D1" w:rsidRDefault="00B933D1" w:rsidP="008E6759">
            <w:pPr>
              <w:spacing w:line="360" w:lineRule="auto"/>
              <w:jc w:val="center"/>
              <w:rPr>
                <w:rFonts w:ascii="Arial" w:hAnsi="Arial" w:cs="Arial"/>
              </w:rPr>
            </w:pPr>
          </w:p>
          <w:p w:rsidR="00EF2F4C" w:rsidRPr="00EF2F4C" w:rsidRDefault="00EF2F4C" w:rsidP="00265783">
            <w:pPr>
              <w:spacing w:line="360" w:lineRule="auto"/>
              <w:jc w:val="center"/>
              <w:rPr>
                <w:rFonts w:ascii="Arial" w:hAnsi="Arial" w:cs="Arial"/>
              </w:rPr>
            </w:pPr>
            <w:r w:rsidRPr="00EF2F4C">
              <w:rPr>
                <w:rFonts w:ascii="Arial" w:hAnsi="Arial" w:cs="Arial"/>
              </w:rPr>
              <w:t>J A</w:t>
            </w:r>
            <w:r w:rsidR="00B643AE" w:rsidRPr="00EF2F4C">
              <w:rPr>
                <w:rFonts w:ascii="Arial" w:hAnsi="Arial" w:cs="Arial"/>
              </w:rPr>
              <w:t>ndreas</w:t>
            </w:r>
          </w:p>
          <w:p w:rsidR="00265783" w:rsidRPr="00B643AE" w:rsidRDefault="00F52942" w:rsidP="00265783">
            <w:pPr>
              <w:spacing w:line="360" w:lineRule="auto"/>
              <w:jc w:val="center"/>
              <w:rPr>
                <w:rFonts w:ascii="Arial" w:hAnsi="Arial" w:cs="Arial"/>
              </w:rPr>
            </w:pPr>
            <w:r w:rsidRPr="00B643AE">
              <w:rPr>
                <w:rFonts w:ascii="Arial" w:hAnsi="Arial" w:cs="Arial"/>
              </w:rPr>
              <w:t>of</w:t>
            </w:r>
          </w:p>
          <w:p w:rsidR="006E49A3" w:rsidRPr="00F52942" w:rsidRDefault="00EF2F4C" w:rsidP="006E49A3">
            <w:pPr>
              <w:spacing w:line="360" w:lineRule="auto"/>
              <w:jc w:val="center"/>
              <w:rPr>
                <w:rFonts w:ascii="Arial" w:hAnsi="Arial" w:cs="Arial"/>
              </w:rPr>
            </w:pPr>
            <w:r w:rsidRPr="00EF2F4C">
              <w:rPr>
                <w:rFonts w:ascii="Arial" w:hAnsi="Arial" w:cs="Arial"/>
              </w:rPr>
              <w:t>Andreas-</w:t>
            </w:r>
            <w:proofErr w:type="spellStart"/>
            <w:r w:rsidRPr="00EF2F4C">
              <w:rPr>
                <w:rFonts w:ascii="Arial" w:hAnsi="Arial" w:cs="Arial"/>
              </w:rPr>
              <w:t>Hamunyela</w:t>
            </w:r>
            <w:proofErr w:type="spellEnd"/>
            <w:r w:rsidRPr="00EF2F4C">
              <w:rPr>
                <w:rFonts w:ascii="Arial" w:hAnsi="Arial" w:cs="Arial"/>
              </w:rPr>
              <w:t xml:space="preserve"> Legal Practitioners</w:t>
            </w:r>
            <w:r w:rsidR="00761AEA" w:rsidRPr="00053235">
              <w:rPr>
                <w:rFonts w:ascii="Arial" w:hAnsi="Arial" w:cs="Arial"/>
              </w:rPr>
              <w:t>,</w:t>
            </w:r>
            <w:r w:rsidR="00761AEA">
              <w:rPr>
                <w:rFonts w:ascii="Arial" w:hAnsi="Arial" w:cs="Arial"/>
              </w:rPr>
              <w:t xml:space="preserve"> Windhoek</w:t>
            </w:r>
          </w:p>
        </w:tc>
      </w:tr>
    </w:tbl>
    <w:p w:rsidR="009B096F" w:rsidRPr="006E49A3" w:rsidRDefault="009B096F" w:rsidP="00EB27A0">
      <w:pPr>
        <w:spacing w:after="0" w:line="360" w:lineRule="auto"/>
        <w:jc w:val="both"/>
        <w:rPr>
          <w:rFonts w:ascii="Arial" w:hAnsi="Arial" w:cs="Arial"/>
        </w:rPr>
      </w:pPr>
    </w:p>
    <w:sectPr w:rsidR="009B096F" w:rsidRPr="006E49A3" w:rsidSect="00757F07">
      <w:headerReference w:type="default" r:id="rId9"/>
      <w:footerReference w:type="default" r:id="rId10"/>
      <w:pgSz w:w="11906" w:h="16838"/>
      <w:pgMar w:top="851"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D01" w:rsidRDefault="003E5D01" w:rsidP="00A23F8A">
      <w:pPr>
        <w:spacing w:after="0" w:line="240" w:lineRule="auto"/>
      </w:pPr>
      <w:r>
        <w:separator/>
      </w:r>
    </w:p>
  </w:endnote>
  <w:endnote w:type="continuationSeparator" w:id="0">
    <w:p w:rsidR="003E5D01" w:rsidRDefault="003E5D01"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F8A" w:rsidRDefault="00A23F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D01" w:rsidRDefault="003E5D01" w:rsidP="00A23F8A">
      <w:pPr>
        <w:spacing w:after="0" w:line="240" w:lineRule="auto"/>
      </w:pPr>
      <w:r>
        <w:separator/>
      </w:r>
    </w:p>
  </w:footnote>
  <w:footnote w:type="continuationSeparator" w:id="0">
    <w:p w:rsidR="003E5D01" w:rsidRDefault="003E5D01" w:rsidP="00A23F8A">
      <w:pPr>
        <w:spacing w:after="0" w:line="240" w:lineRule="auto"/>
      </w:pPr>
      <w:r>
        <w:continuationSeparator/>
      </w:r>
    </w:p>
  </w:footnote>
  <w:footnote w:id="1">
    <w:p w:rsidR="00551B49" w:rsidRPr="00230748" w:rsidRDefault="00551B49" w:rsidP="00230748">
      <w:pPr>
        <w:pStyle w:val="FootnoteText"/>
        <w:jc w:val="both"/>
        <w:rPr>
          <w:rFonts w:ascii="Arial" w:hAnsi="Arial" w:cs="Arial"/>
        </w:rPr>
      </w:pPr>
      <w:r w:rsidRPr="00230748">
        <w:rPr>
          <w:rStyle w:val="FootnoteReference"/>
          <w:rFonts w:ascii="Arial" w:hAnsi="Arial" w:cs="Arial"/>
        </w:rPr>
        <w:footnoteRef/>
      </w:r>
      <w:r w:rsidRPr="00230748">
        <w:rPr>
          <w:rFonts w:ascii="Arial" w:hAnsi="Arial" w:cs="Arial"/>
        </w:rPr>
        <w:t xml:space="preserve"> </w:t>
      </w:r>
      <w:proofErr w:type="spellStart"/>
      <w:r w:rsidR="00917C8F" w:rsidRPr="00230748">
        <w:rPr>
          <w:rFonts w:ascii="Arial" w:hAnsi="Arial" w:cs="Arial"/>
          <w:i/>
        </w:rPr>
        <w:t>Beukes</w:t>
      </w:r>
      <w:proofErr w:type="spellEnd"/>
      <w:r w:rsidR="00917C8F" w:rsidRPr="00230748">
        <w:rPr>
          <w:rFonts w:ascii="Arial" w:hAnsi="Arial" w:cs="Arial"/>
          <w:i/>
        </w:rPr>
        <w:t xml:space="preserve"> v </w:t>
      </w:r>
      <w:proofErr w:type="spellStart"/>
      <w:r w:rsidR="00917C8F" w:rsidRPr="00230748">
        <w:rPr>
          <w:rFonts w:ascii="Arial" w:hAnsi="Arial" w:cs="Arial"/>
          <w:i/>
        </w:rPr>
        <w:t>Beukes</w:t>
      </w:r>
      <w:proofErr w:type="spellEnd"/>
      <w:r w:rsidR="00917C8F" w:rsidRPr="00230748">
        <w:rPr>
          <w:rFonts w:ascii="Arial" w:hAnsi="Arial" w:cs="Arial"/>
        </w:rPr>
        <w:t xml:space="preserve"> [2023] NAHCMD 169 (5 April 2023)</w:t>
      </w:r>
      <w:r w:rsidR="000A2E51">
        <w:rPr>
          <w:rFonts w:ascii="Arial" w:hAnsi="Arial" w:cs="Arial"/>
        </w:rPr>
        <w:t xml:space="preserve"> para 23</w:t>
      </w:r>
      <w:r w:rsidR="00917C8F" w:rsidRPr="00230748">
        <w:rPr>
          <w:rFonts w:ascii="Arial" w:hAnsi="Arial" w:cs="Arial"/>
        </w:rPr>
        <w:t>.</w:t>
      </w:r>
    </w:p>
  </w:footnote>
  <w:footnote w:id="2">
    <w:p w:rsidR="00BA0FB7" w:rsidRPr="002B4DA3" w:rsidRDefault="00BA0FB7" w:rsidP="002B4DA3">
      <w:pPr>
        <w:pStyle w:val="FootnoteText"/>
        <w:jc w:val="both"/>
        <w:rPr>
          <w:rFonts w:ascii="Arial" w:hAnsi="Arial" w:cs="Arial"/>
        </w:rPr>
      </w:pPr>
      <w:r>
        <w:rPr>
          <w:rStyle w:val="FootnoteReference"/>
        </w:rPr>
        <w:footnoteRef/>
      </w:r>
      <w:r>
        <w:t xml:space="preserve"> </w:t>
      </w:r>
      <w:r w:rsidRPr="002B4DA3">
        <w:rPr>
          <w:rFonts w:ascii="Arial" w:hAnsi="Arial" w:cs="Arial"/>
          <w:i/>
        </w:rPr>
        <w:t>Carlos v Carlos</w:t>
      </w:r>
      <w:r w:rsidRPr="002B4DA3">
        <w:rPr>
          <w:rFonts w:ascii="Arial" w:hAnsi="Arial" w:cs="Arial"/>
        </w:rPr>
        <w:t xml:space="preserve"> [2011] NAHCMD 156 (10 June 2011).</w:t>
      </w:r>
    </w:p>
  </w:footnote>
  <w:footnote w:id="3">
    <w:p w:rsidR="00703646" w:rsidRPr="005119C0" w:rsidRDefault="00703646" w:rsidP="005119C0">
      <w:pPr>
        <w:pStyle w:val="FootnoteText"/>
        <w:jc w:val="both"/>
        <w:rPr>
          <w:rFonts w:ascii="Arial" w:hAnsi="Arial" w:cs="Arial"/>
        </w:rPr>
      </w:pPr>
      <w:r w:rsidRPr="005119C0">
        <w:rPr>
          <w:rStyle w:val="FootnoteReference"/>
          <w:rFonts w:ascii="Arial" w:hAnsi="Arial" w:cs="Arial"/>
        </w:rPr>
        <w:footnoteRef/>
      </w:r>
      <w:r w:rsidRPr="005119C0">
        <w:rPr>
          <w:rFonts w:ascii="Arial" w:hAnsi="Arial" w:cs="Arial"/>
        </w:rPr>
        <w:t xml:space="preserve"> I</w:t>
      </w:r>
      <w:r w:rsidR="00686D84" w:rsidRPr="005119C0">
        <w:rPr>
          <w:rFonts w:ascii="Arial" w:hAnsi="Arial" w:cs="Arial"/>
        </w:rPr>
        <w:t>bid para 22.6.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214461"/>
      <w:docPartObj>
        <w:docPartGallery w:val="Page Numbers (Top of Page)"/>
        <w:docPartUnique/>
      </w:docPartObj>
    </w:sdtPr>
    <w:sdtEndPr>
      <w:rPr>
        <w:noProof/>
      </w:rPr>
    </w:sdtEndPr>
    <w:sdtContent>
      <w:p w:rsidR="004F601C" w:rsidRDefault="004F601C">
        <w:pPr>
          <w:pStyle w:val="Header"/>
          <w:jc w:val="right"/>
        </w:pPr>
        <w:r w:rsidRPr="00350F84">
          <w:rPr>
            <w:rFonts w:ascii="Arial" w:hAnsi="Arial" w:cs="Arial"/>
            <w:sz w:val="24"/>
            <w:szCs w:val="24"/>
          </w:rPr>
          <w:fldChar w:fldCharType="begin"/>
        </w:r>
        <w:r w:rsidRPr="00350F84">
          <w:rPr>
            <w:rFonts w:ascii="Arial" w:hAnsi="Arial" w:cs="Arial"/>
            <w:sz w:val="24"/>
            <w:szCs w:val="24"/>
          </w:rPr>
          <w:instrText xml:space="preserve"> PAGE   \* MERGEFORMAT </w:instrText>
        </w:r>
        <w:r w:rsidRPr="00350F84">
          <w:rPr>
            <w:rFonts w:ascii="Arial" w:hAnsi="Arial" w:cs="Arial"/>
            <w:sz w:val="24"/>
            <w:szCs w:val="24"/>
          </w:rPr>
          <w:fldChar w:fldCharType="separate"/>
        </w:r>
        <w:r w:rsidR="00350F84">
          <w:rPr>
            <w:rFonts w:ascii="Arial" w:hAnsi="Arial" w:cs="Arial"/>
            <w:noProof/>
            <w:sz w:val="24"/>
            <w:szCs w:val="24"/>
          </w:rPr>
          <w:t>8</w:t>
        </w:r>
        <w:r w:rsidRPr="00350F84">
          <w:rPr>
            <w:rFonts w:ascii="Arial" w:hAnsi="Arial" w:cs="Arial"/>
            <w:noProof/>
            <w:sz w:val="24"/>
            <w:szCs w:val="24"/>
          </w:rPr>
          <w:fldChar w:fldCharType="end"/>
        </w:r>
      </w:p>
    </w:sdtContent>
  </w:sdt>
  <w:p w:rsidR="00062B72" w:rsidRDefault="00062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864"/>
    <w:multiLevelType w:val="hybridMultilevel"/>
    <w:tmpl w:val="432EB76A"/>
    <w:lvl w:ilvl="0" w:tplc="017438E6">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97486E"/>
    <w:multiLevelType w:val="hybridMultilevel"/>
    <w:tmpl w:val="BC00ECD8"/>
    <w:lvl w:ilvl="0" w:tplc="322AF092">
      <w:start w:val="1"/>
      <w:numFmt w:val="decimal"/>
      <w:lvlText w:val="%1."/>
      <w:lvlJc w:val="left"/>
      <w:pPr>
        <w:ind w:left="380" w:hanging="360"/>
      </w:pPr>
      <w:rPr>
        <w:rFonts w:hint="default"/>
      </w:rPr>
    </w:lvl>
    <w:lvl w:ilvl="1" w:tplc="1C090019" w:tentative="1">
      <w:start w:val="1"/>
      <w:numFmt w:val="lowerLetter"/>
      <w:lvlText w:val="%2."/>
      <w:lvlJc w:val="left"/>
      <w:pPr>
        <w:ind w:left="1100" w:hanging="360"/>
      </w:pPr>
    </w:lvl>
    <w:lvl w:ilvl="2" w:tplc="1C09001B" w:tentative="1">
      <w:start w:val="1"/>
      <w:numFmt w:val="lowerRoman"/>
      <w:lvlText w:val="%3."/>
      <w:lvlJc w:val="right"/>
      <w:pPr>
        <w:ind w:left="1820" w:hanging="180"/>
      </w:pPr>
    </w:lvl>
    <w:lvl w:ilvl="3" w:tplc="1C09000F" w:tentative="1">
      <w:start w:val="1"/>
      <w:numFmt w:val="decimal"/>
      <w:lvlText w:val="%4."/>
      <w:lvlJc w:val="left"/>
      <w:pPr>
        <w:ind w:left="2540" w:hanging="360"/>
      </w:pPr>
    </w:lvl>
    <w:lvl w:ilvl="4" w:tplc="1C090019" w:tentative="1">
      <w:start w:val="1"/>
      <w:numFmt w:val="lowerLetter"/>
      <w:lvlText w:val="%5."/>
      <w:lvlJc w:val="left"/>
      <w:pPr>
        <w:ind w:left="3260" w:hanging="360"/>
      </w:pPr>
    </w:lvl>
    <w:lvl w:ilvl="5" w:tplc="1C09001B" w:tentative="1">
      <w:start w:val="1"/>
      <w:numFmt w:val="lowerRoman"/>
      <w:lvlText w:val="%6."/>
      <w:lvlJc w:val="right"/>
      <w:pPr>
        <w:ind w:left="3980" w:hanging="180"/>
      </w:pPr>
    </w:lvl>
    <w:lvl w:ilvl="6" w:tplc="1C09000F" w:tentative="1">
      <w:start w:val="1"/>
      <w:numFmt w:val="decimal"/>
      <w:lvlText w:val="%7."/>
      <w:lvlJc w:val="left"/>
      <w:pPr>
        <w:ind w:left="4700" w:hanging="360"/>
      </w:pPr>
    </w:lvl>
    <w:lvl w:ilvl="7" w:tplc="1C090019" w:tentative="1">
      <w:start w:val="1"/>
      <w:numFmt w:val="lowerLetter"/>
      <w:lvlText w:val="%8."/>
      <w:lvlJc w:val="left"/>
      <w:pPr>
        <w:ind w:left="5420" w:hanging="360"/>
      </w:pPr>
    </w:lvl>
    <w:lvl w:ilvl="8" w:tplc="1C09001B" w:tentative="1">
      <w:start w:val="1"/>
      <w:numFmt w:val="lowerRoman"/>
      <w:lvlText w:val="%9."/>
      <w:lvlJc w:val="right"/>
      <w:pPr>
        <w:ind w:left="6140" w:hanging="180"/>
      </w:pPr>
    </w:lvl>
  </w:abstractNum>
  <w:abstractNum w:abstractNumId="2" w15:restartNumberingAfterBreak="0">
    <w:nsid w:val="1B32076F"/>
    <w:multiLevelType w:val="hybridMultilevel"/>
    <w:tmpl w:val="EA320E4E"/>
    <w:lvl w:ilvl="0" w:tplc="BBB0045E">
      <w:start w:val="1"/>
      <w:numFmt w:val="decimal"/>
      <w:lvlText w:val="%1."/>
      <w:lvlJc w:val="left"/>
      <w:pPr>
        <w:ind w:left="1125" w:hanging="720"/>
      </w:pPr>
      <w:rPr>
        <w:rFonts w:hint="default"/>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3" w15:restartNumberingAfterBreak="0">
    <w:nsid w:val="27577DD1"/>
    <w:multiLevelType w:val="hybridMultilevel"/>
    <w:tmpl w:val="EA320E4E"/>
    <w:lvl w:ilvl="0" w:tplc="BBB0045E">
      <w:start w:val="1"/>
      <w:numFmt w:val="decimal"/>
      <w:lvlText w:val="%1."/>
      <w:lvlJc w:val="left"/>
      <w:pPr>
        <w:ind w:left="1125" w:hanging="720"/>
      </w:pPr>
      <w:rPr>
        <w:rFonts w:hint="default"/>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4"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BEB02E1"/>
    <w:multiLevelType w:val="hybridMultilevel"/>
    <w:tmpl w:val="ED403330"/>
    <w:lvl w:ilvl="0" w:tplc="748A3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75816A4"/>
    <w:multiLevelType w:val="multilevel"/>
    <w:tmpl w:val="C8EA4ED8"/>
    <w:lvl w:ilvl="0">
      <w:start w:val="1"/>
      <w:numFmt w:val="decimal"/>
      <w:lvlText w:val="%1."/>
      <w:lvlJc w:val="left"/>
      <w:pPr>
        <w:ind w:left="1080" w:hanging="360"/>
      </w:pPr>
      <w:rPr>
        <w:rFonts w:hint="default"/>
      </w:rPr>
    </w:lvl>
    <w:lvl w:ilvl="1">
      <w:start w:val="1"/>
      <w:numFmt w:val="decimal"/>
      <w:isLgl/>
      <w:lvlText w:val="%1.%2"/>
      <w:lvlJc w:val="left"/>
      <w:pPr>
        <w:ind w:left="1455"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57E65568"/>
    <w:multiLevelType w:val="hybridMultilevel"/>
    <w:tmpl w:val="558A28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AF3676F"/>
    <w:multiLevelType w:val="hybridMultilevel"/>
    <w:tmpl w:val="0F5456CA"/>
    <w:lvl w:ilvl="0" w:tplc="76D411F8">
      <w:start w:val="1"/>
      <w:numFmt w:val="decimal"/>
      <w:lvlText w:val="2.%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14"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2D43C37"/>
    <w:multiLevelType w:val="hybridMultilevel"/>
    <w:tmpl w:val="52DACAE8"/>
    <w:lvl w:ilvl="0" w:tplc="C9148A5C">
      <w:start w:val="1"/>
      <w:numFmt w:val="decimal"/>
      <w:lvlText w:val="%1."/>
      <w:lvlJc w:val="left"/>
      <w:pPr>
        <w:ind w:left="380" w:hanging="360"/>
      </w:pPr>
      <w:rPr>
        <w:rFonts w:hint="default"/>
        <w:sz w:val="22"/>
      </w:rPr>
    </w:lvl>
    <w:lvl w:ilvl="1" w:tplc="1C090019" w:tentative="1">
      <w:start w:val="1"/>
      <w:numFmt w:val="lowerLetter"/>
      <w:lvlText w:val="%2."/>
      <w:lvlJc w:val="left"/>
      <w:pPr>
        <w:ind w:left="1100" w:hanging="360"/>
      </w:pPr>
    </w:lvl>
    <w:lvl w:ilvl="2" w:tplc="1C09001B" w:tentative="1">
      <w:start w:val="1"/>
      <w:numFmt w:val="lowerRoman"/>
      <w:lvlText w:val="%3."/>
      <w:lvlJc w:val="right"/>
      <w:pPr>
        <w:ind w:left="1820" w:hanging="180"/>
      </w:pPr>
    </w:lvl>
    <w:lvl w:ilvl="3" w:tplc="1C09000F" w:tentative="1">
      <w:start w:val="1"/>
      <w:numFmt w:val="decimal"/>
      <w:lvlText w:val="%4."/>
      <w:lvlJc w:val="left"/>
      <w:pPr>
        <w:ind w:left="2540" w:hanging="360"/>
      </w:pPr>
    </w:lvl>
    <w:lvl w:ilvl="4" w:tplc="1C090019" w:tentative="1">
      <w:start w:val="1"/>
      <w:numFmt w:val="lowerLetter"/>
      <w:lvlText w:val="%5."/>
      <w:lvlJc w:val="left"/>
      <w:pPr>
        <w:ind w:left="3260" w:hanging="360"/>
      </w:pPr>
    </w:lvl>
    <w:lvl w:ilvl="5" w:tplc="1C09001B" w:tentative="1">
      <w:start w:val="1"/>
      <w:numFmt w:val="lowerRoman"/>
      <w:lvlText w:val="%6."/>
      <w:lvlJc w:val="right"/>
      <w:pPr>
        <w:ind w:left="3980" w:hanging="180"/>
      </w:pPr>
    </w:lvl>
    <w:lvl w:ilvl="6" w:tplc="1C09000F" w:tentative="1">
      <w:start w:val="1"/>
      <w:numFmt w:val="decimal"/>
      <w:lvlText w:val="%7."/>
      <w:lvlJc w:val="left"/>
      <w:pPr>
        <w:ind w:left="4700" w:hanging="360"/>
      </w:pPr>
    </w:lvl>
    <w:lvl w:ilvl="7" w:tplc="1C090019" w:tentative="1">
      <w:start w:val="1"/>
      <w:numFmt w:val="lowerLetter"/>
      <w:lvlText w:val="%8."/>
      <w:lvlJc w:val="left"/>
      <w:pPr>
        <w:ind w:left="5420" w:hanging="360"/>
      </w:pPr>
    </w:lvl>
    <w:lvl w:ilvl="8" w:tplc="1C09001B" w:tentative="1">
      <w:start w:val="1"/>
      <w:numFmt w:val="lowerRoman"/>
      <w:lvlText w:val="%9."/>
      <w:lvlJc w:val="right"/>
      <w:pPr>
        <w:ind w:left="6140" w:hanging="180"/>
      </w:pPr>
    </w:lvl>
  </w:abstractNum>
  <w:abstractNum w:abstractNumId="16"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BDD5705"/>
    <w:multiLevelType w:val="hybridMultilevel"/>
    <w:tmpl w:val="1596692A"/>
    <w:lvl w:ilvl="0" w:tplc="D5D25310">
      <w:start w:val="1"/>
      <w:numFmt w:val="decimal"/>
      <w:lvlText w:val="%1."/>
      <w:lvlJc w:val="left"/>
      <w:pPr>
        <w:ind w:left="740" w:hanging="720"/>
      </w:pPr>
      <w:rPr>
        <w:rFonts w:hint="default"/>
      </w:rPr>
    </w:lvl>
    <w:lvl w:ilvl="1" w:tplc="1C090019" w:tentative="1">
      <w:start w:val="1"/>
      <w:numFmt w:val="lowerLetter"/>
      <w:lvlText w:val="%2."/>
      <w:lvlJc w:val="left"/>
      <w:pPr>
        <w:ind w:left="1100" w:hanging="360"/>
      </w:pPr>
    </w:lvl>
    <w:lvl w:ilvl="2" w:tplc="1C09001B" w:tentative="1">
      <w:start w:val="1"/>
      <w:numFmt w:val="lowerRoman"/>
      <w:lvlText w:val="%3."/>
      <w:lvlJc w:val="right"/>
      <w:pPr>
        <w:ind w:left="1820" w:hanging="180"/>
      </w:pPr>
    </w:lvl>
    <w:lvl w:ilvl="3" w:tplc="1C09000F" w:tentative="1">
      <w:start w:val="1"/>
      <w:numFmt w:val="decimal"/>
      <w:lvlText w:val="%4."/>
      <w:lvlJc w:val="left"/>
      <w:pPr>
        <w:ind w:left="2540" w:hanging="360"/>
      </w:pPr>
    </w:lvl>
    <w:lvl w:ilvl="4" w:tplc="1C090019" w:tentative="1">
      <w:start w:val="1"/>
      <w:numFmt w:val="lowerLetter"/>
      <w:lvlText w:val="%5."/>
      <w:lvlJc w:val="left"/>
      <w:pPr>
        <w:ind w:left="3260" w:hanging="360"/>
      </w:pPr>
    </w:lvl>
    <w:lvl w:ilvl="5" w:tplc="1C09001B" w:tentative="1">
      <w:start w:val="1"/>
      <w:numFmt w:val="lowerRoman"/>
      <w:lvlText w:val="%6."/>
      <w:lvlJc w:val="right"/>
      <w:pPr>
        <w:ind w:left="3980" w:hanging="180"/>
      </w:pPr>
    </w:lvl>
    <w:lvl w:ilvl="6" w:tplc="1C09000F" w:tentative="1">
      <w:start w:val="1"/>
      <w:numFmt w:val="decimal"/>
      <w:lvlText w:val="%7."/>
      <w:lvlJc w:val="left"/>
      <w:pPr>
        <w:ind w:left="4700" w:hanging="360"/>
      </w:pPr>
    </w:lvl>
    <w:lvl w:ilvl="7" w:tplc="1C090019" w:tentative="1">
      <w:start w:val="1"/>
      <w:numFmt w:val="lowerLetter"/>
      <w:lvlText w:val="%8."/>
      <w:lvlJc w:val="left"/>
      <w:pPr>
        <w:ind w:left="5420" w:hanging="360"/>
      </w:pPr>
    </w:lvl>
    <w:lvl w:ilvl="8" w:tplc="1C09001B" w:tentative="1">
      <w:start w:val="1"/>
      <w:numFmt w:val="lowerRoman"/>
      <w:lvlText w:val="%9."/>
      <w:lvlJc w:val="right"/>
      <w:pPr>
        <w:ind w:left="6140" w:hanging="180"/>
      </w:pPr>
    </w:lvl>
  </w:abstractNum>
  <w:abstractNum w:abstractNumId="18" w15:restartNumberingAfterBreak="0">
    <w:nsid w:val="6C7F21E6"/>
    <w:multiLevelType w:val="hybridMultilevel"/>
    <w:tmpl w:val="52DACAE8"/>
    <w:lvl w:ilvl="0" w:tplc="C9148A5C">
      <w:start w:val="1"/>
      <w:numFmt w:val="decimal"/>
      <w:lvlText w:val="%1."/>
      <w:lvlJc w:val="left"/>
      <w:pPr>
        <w:ind w:left="380" w:hanging="360"/>
      </w:pPr>
      <w:rPr>
        <w:rFonts w:hint="default"/>
        <w:sz w:val="22"/>
      </w:rPr>
    </w:lvl>
    <w:lvl w:ilvl="1" w:tplc="1C090019" w:tentative="1">
      <w:start w:val="1"/>
      <w:numFmt w:val="lowerLetter"/>
      <w:lvlText w:val="%2."/>
      <w:lvlJc w:val="left"/>
      <w:pPr>
        <w:ind w:left="1100" w:hanging="360"/>
      </w:pPr>
    </w:lvl>
    <w:lvl w:ilvl="2" w:tplc="1C09001B" w:tentative="1">
      <w:start w:val="1"/>
      <w:numFmt w:val="lowerRoman"/>
      <w:lvlText w:val="%3."/>
      <w:lvlJc w:val="right"/>
      <w:pPr>
        <w:ind w:left="1820" w:hanging="180"/>
      </w:pPr>
    </w:lvl>
    <w:lvl w:ilvl="3" w:tplc="1C09000F" w:tentative="1">
      <w:start w:val="1"/>
      <w:numFmt w:val="decimal"/>
      <w:lvlText w:val="%4."/>
      <w:lvlJc w:val="left"/>
      <w:pPr>
        <w:ind w:left="2540" w:hanging="360"/>
      </w:pPr>
    </w:lvl>
    <w:lvl w:ilvl="4" w:tplc="1C090019" w:tentative="1">
      <w:start w:val="1"/>
      <w:numFmt w:val="lowerLetter"/>
      <w:lvlText w:val="%5."/>
      <w:lvlJc w:val="left"/>
      <w:pPr>
        <w:ind w:left="3260" w:hanging="360"/>
      </w:pPr>
    </w:lvl>
    <w:lvl w:ilvl="5" w:tplc="1C09001B" w:tentative="1">
      <w:start w:val="1"/>
      <w:numFmt w:val="lowerRoman"/>
      <w:lvlText w:val="%6."/>
      <w:lvlJc w:val="right"/>
      <w:pPr>
        <w:ind w:left="3980" w:hanging="180"/>
      </w:pPr>
    </w:lvl>
    <w:lvl w:ilvl="6" w:tplc="1C09000F" w:tentative="1">
      <w:start w:val="1"/>
      <w:numFmt w:val="decimal"/>
      <w:lvlText w:val="%7."/>
      <w:lvlJc w:val="left"/>
      <w:pPr>
        <w:ind w:left="4700" w:hanging="360"/>
      </w:pPr>
    </w:lvl>
    <w:lvl w:ilvl="7" w:tplc="1C090019" w:tentative="1">
      <w:start w:val="1"/>
      <w:numFmt w:val="lowerLetter"/>
      <w:lvlText w:val="%8."/>
      <w:lvlJc w:val="left"/>
      <w:pPr>
        <w:ind w:left="5420" w:hanging="360"/>
      </w:pPr>
    </w:lvl>
    <w:lvl w:ilvl="8" w:tplc="1C09001B" w:tentative="1">
      <w:start w:val="1"/>
      <w:numFmt w:val="lowerRoman"/>
      <w:lvlText w:val="%9."/>
      <w:lvlJc w:val="right"/>
      <w:pPr>
        <w:ind w:left="6140" w:hanging="180"/>
      </w:pPr>
    </w:lvl>
  </w:abstractNum>
  <w:abstractNum w:abstractNumId="19" w15:restartNumberingAfterBreak="0">
    <w:nsid w:val="6F33512E"/>
    <w:multiLevelType w:val="hybridMultilevel"/>
    <w:tmpl w:val="F8740784"/>
    <w:lvl w:ilvl="0" w:tplc="AF90C65C">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27058"/>
    <w:multiLevelType w:val="hybridMultilevel"/>
    <w:tmpl w:val="EA320E4E"/>
    <w:lvl w:ilvl="0" w:tplc="BBB0045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9"/>
  </w:num>
  <w:num w:numId="3">
    <w:abstractNumId w:val="16"/>
  </w:num>
  <w:num w:numId="4">
    <w:abstractNumId w:val="14"/>
  </w:num>
  <w:num w:numId="5">
    <w:abstractNumId w:val="10"/>
  </w:num>
  <w:num w:numId="6">
    <w:abstractNumId w:val="8"/>
  </w:num>
  <w:num w:numId="7">
    <w:abstractNumId w:val="20"/>
  </w:num>
  <w:num w:numId="8">
    <w:abstractNumId w:val="19"/>
  </w:num>
  <w:num w:numId="9">
    <w:abstractNumId w:val="7"/>
  </w:num>
  <w:num w:numId="10">
    <w:abstractNumId w:val="13"/>
  </w:num>
  <w:num w:numId="11">
    <w:abstractNumId w:val="6"/>
  </w:num>
  <w:num w:numId="12">
    <w:abstractNumId w:val="11"/>
  </w:num>
  <w:num w:numId="13">
    <w:abstractNumId w:val="18"/>
  </w:num>
  <w:num w:numId="14">
    <w:abstractNumId w:val="12"/>
  </w:num>
  <w:num w:numId="15">
    <w:abstractNumId w:val="15"/>
  </w:num>
  <w:num w:numId="16">
    <w:abstractNumId w:val="5"/>
  </w:num>
  <w:num w:numId="17">
    <w:abstractNumId w:val="17"/>
  </w:num>
  <w:num w:numId="18">
    <w:abstractNumId w:val="0"/>
  </w:num>
  <w:num w:numId="19">
    <w:abstractNumId w:val="3"/>
  </w:num>
  <w:num w:numId="20">
    <w:abstractNumId w:val="21"/>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294E"/>
    <w:rsid w:val="00004B6F"/>
    <w:rsid w:val="00007708"/>
    <w:rsid w:val="00010937"/>
    <w:rsid w:val="000132BA"/>
    <w:rsid w:val="000150D4"/>
    <w:rsid w:val="00015572"/>
    <w:rsid w:val="00017B55"/>
    <w:rsid w:val="00026D86"/>
    <w:rsid w:val="000410D4"/>
    <w:rsid w:val="00046837"/>
    <w:rsid w:val="00053235"/>
    <w:rsid w:val="00054D05"/>
    <w:rsid w:val="0005699F"/>
    <w:rsid w:val="00062068"/>
    <w:rsid w:val="00062B72"/>
    <w:rsid w:val="00065CE7"/>
    <w:rsid w:val="00070FC8"/>
    <w:rsid w:val="00085761"/>
    <w:rsid w:val="00090783"/>
    <w:rsid w:val="000919AF"/>
    <w:rsid w:val="00091C59"/>
    <w:rsid w:val="00092FD2"/>
    <w:rsid w:val="00096AE5"/>
    <w:rsid w:val="0009710D"/>
    <w:rsid w:val="000A2E51"/>
    <w:rsid w:val="000C0A07"/>
    <w:rsid w:val="000D5FE9"/>
    <w:rsid w:val="000E362A"/>
    <w:rsid w:val="000E3A58"/>
    <w:rsid w:val="000E7034"/>
    <w:rsid w:val="000F1180"/>
    <w:rsid w:val="001025AE"/>
    <w:rsid w:val="0010344D"/>
    <w:rsid w:val="00112D50"/>
    <w:rsid w:val="00113321"/>
    <w:rsid w:val="00124EC8"/>
    <w:rsid w:val="001338C3"/>
    <w:rsid w:val="001417E6"/>
    <w:rsid w:val="001470A4"/>
    <w:rsid w:val="00157865"/>
    <w:rsid w:val="00163191"/>
    <w:rsid w:val="0016439C"/>
    <w:rsid w:val="00165FEE"/>
    <w:rsid w:val="0017153C"/>
    <w:rsid w:val="00176D9D"/>
    <w:rsid w:val="00177C43"/>
    <w:rsid w:val="001804AD"/>
    <w:rsid w:val="00184ED2"/>
    <w:rsid w:val="001A4677"/>
    <w:rsid w:val="001B2042"/>
    <w:rsid w:val="001B23D9"/>
    <w:rsid w:val="001B710C"/>
    <w:rsid w:val="001C708A"/>
    <w:rsid w:val="001D1EE6"/>
    <w:rsid w:val="001D41D2"/>
    <w:rsid w:val="001D4FDC"/>
    <w:rsid w:val="001D781B"/>
    <w:rsid w:val="001E39EE"/>
    <w:rsid w:val="001E70F9"/>
    <w:rsid w:val="001F1ECD"/>
    <w:rsid w:val="001F4A48"/>
    <w:rsid w:val="001F51A3"/>
    <w:rsid w:val="002002FA"/>
    <w:rsid w:val="00203E3D"/>
    <w:rsid w:val="002058A2"/>
    <w:rsid w:val="002100DF"/>
    <w:rsid w:val="002207D9"/>
    <w:rsid w:val="00221B85"/>
    <w:rsid w:val="00223D66"/>
    <w:rsid w:val="002277CD"/>
    <w:rsid w:val="00227CBC"/>
    <w:rsid w:val="00230748"/>
    <w:rsid w:val="00235021"/>
    <w:rsid w:val="00237908"/>
    <w:rsid w:val="00242C0E"/>
    <w:rsid w:val="002447C9"/>
    <w:rsid w:val="002456CE"/>
    <w:rsid w:val="00246BA2"/>
    <w:rsid w:val="00246E7A"/>
    <w:rsid w:val="00263A9B"/>
    <w:rsid w:val="00265783"/>
    <w:rsid w:val="0026598E"/>
    <w:rsid w:val="00266B3E"/>
    <w:rsid w:val="002712BC"/>
    <w:rsid w:val="002714DD"/>
    <w:rsid w:val="002736CF"/>
    <w:rsid w:val="00281A10"/>
    <w:rsid w:val="00281FAB"/>
    <w:rsid w:val="00286A37"/>
    <w:rsid w:val="002A06F0"/>
    <w:rsid w:val="002B1C34"/>
    <w:rsid w:val="002B311B"/>
    <w:rsid w:val="002B3F1D"/>
    <w:rsid w:val="002B3F8B"/>
    <w:rsid w:val="002B4DA3"/>
    <w:rsid w:val="002C3150"/>
    <w:rsid w:val="002C53AE"/>
    <w:rsid w:val="002C6FA8"/>
    <w:rsid w:val="002C7FEC"/>
    <w:rsid w:val="002D4C2A"/>
    <w:rsid w:val="002E1E23"/>
    <w:rsid w:val="002E3BFB"/>
    <w:rsid w:val="002F36CD"/>
    <w:rsid w:val="002F3E09"/>
    <w:rsid w:val="002F6D4A"/>
    <w:rsid w:val="002F7683"/>
    <w:rsid w:val="00300CF7"/>
    <w:rsid w:val="003026D9"/>
    <w:rsid w:val="0030287B"/>
    <w:rsid w:val="00307310"/>
    <w:rsid w:val="003232AE"/>
    <w:rsid w:val="00323762"/>
    <w:rsid w:val="00326559"/>
    <w:rsid w:val="00334EC0"/>
    <w:rsid w:val="00335138"/>
    <w:rsid w:val="003375D1"/>
    <w:rsid w:val="0034035C"/>
    <w:rsid w:val="00341520"/>
    <w:rsid w:val="00342AC5"/>
    <w:rsid w:val="00347DBC"/>
    <w:rsid w:val="00350F84"/>
    <w:rsid w:val="00355C9F"/>
    <w:rsid w:val="00364D3C"/>
    <w:rsid w:val="00364E28"/>
    <w:rsid w:val="00365ABD"/>
    <w:rsid w:val="00371CD0"/>
    <w:rsid w:val="00371E0E"/>
    <w:rsid w:val="003723C3"/>
    <w:rsid w:val="00372623"/>
    <w:rsid w:val="003850E0"/>
    <w:rsid w:val="00387D77"/>
    <w:rsid w:val="00391127"/>
    <w:rsid w:val="003927BC"/>
    <w:rsid w:val="0039308E"/>
    <w:rsid w:val="00393E41"/>
    <w:rsid w:val="00396AF1"/>
    <w:rsid w:val="003A0103"/>
    <w:rsid w:val="003A0598"/>
    <w:rsid w:val="003A4D37"/>
    <w:rsid w:val="003A7E2F"/>
    <w:rsid w:val="003B0E74"/>
    <w:rsid w:val="003C4403"/>
    <w:rsid w:val="003C4613"/>
    <w:rsid w:val="003D647D"/>
    <w:rsid w:val="003E3D0D"/>
    <w:rsid w:val="003E4B3D"/>
    <w:rsid w:val="003E50E8"/>
    <w:rsid w:val="003E5D01"/>
    <w:rsid w:val="003F0AEC"/>
    <w:rsid w:val="003F22B6"/>
    <w:rsid w:val="003F52A2"/>
    <w:rsid w:val="003F63E0"/>
    <w:rsid w:val="004154AF"/>
    <w:rsid w:val="004206F5"/>
    <w:rsid w:val="00422CA6"/>
    <w:rsid w:val="00425541"/>
    <w:rsid w:val="00425554"/>
    <w:rsid w:val="004301CC"/>
    <w:rsid w:val="0043458A"/>
    <w:rsid w:val="00435460"/>
    <w:rsid w:val="004369B7"/>
    <w:rsid w:val="004373CF"/>
    <w:rsid w:val="00446661"/>
    <w:rsid w:val="004514DE"/>
    <w:rsid w:val="004546CC"/>
    <w:rsid w:val="00456199"/>
    <w:rsid w:val="004571D8"/>
    <w:rsid w:val="004645BD"/>
    <w:rsid w:val="00470B0C"/>
    <w:rsid w:val="0048355F"/>
    <w:rsid w:val="004A4B86"/>
    <w:rsid w:val="004A5752"/>
    <w:rsid w:val="004B18FB"/>
    <w:rsid w:val="004B2ED8"/>
    <w:rsid w:val="004B355E"/>
    <w:rsid w:val="004B5538"/>
    <w:rsid w:val="004B5E87"/>
    <w:rsid w:val="004C2B59"/>
    <w:rsid w:val="004C4024"/>
    <w:rsid w:val="004E0FB1"/>
    <w:rsid w:val="004E581F"/>
    <w:rsid w:val="004E7D33"/>
    <w:rsid w:val="004F503A"/>
    <w:rsid w:val="004F601C"/>
    <w:rsid w:val="0050338C"/>
    <w:rsid w:val="00507423"/>
    <w:rsid w:val="005119C0"/>
    <w:rsid w:val="005234EE"/>
    <w:rsid w:val="00525724"/>
    <w:rsid w:val="0052599B"/>
    <w:rsid w:val="005310BB"/>
    <w:rsid w:val="005403D8"/>
    <w:rsid w:val="0054289B"/>
    <w:rsid w:val="00544F48"/>
    <w:rsid w:val="005457A0"/>
    <w:rsid w:val="00551B49"/>
    <w:rsid w:val="00552897"/>
    <w:rsid w:val="00553BE2"/>
    <w:rsid w:val="00553E39"/>
    <w:rsid w:val="005577B6"/>
    <w:rsid w:val="00560857"/>
    <w:rsid w:val="0056169D"/>
    <w:rsid w:val="00562A14"/>
    <w:rsid w:val="0056512A"/>
    <w:rsid w:val="00583364"/>
    <w:rsid w:val="0058764F"/>
    <w:rsid w:val="00590D65"/>
    <w:rsid w:val="00593E7D"/>
    <w:rsid w:val="005955B1"/>
    <w:rsid w:val="00595A4A"/>
    <w:rsid w:val="005A5D2D"/>
    <w:rsid w:val="005A66F8"/>
    <w:rsid w:val="005B7597"/>
    <w:rsid w:val="005B7A31"/>
    <w:rsid w:val="005D0592"/>
    <w:rsid w:val="005D1540"/>
    <w:rsid w:val="005D3DFE"/>
    <w:rsid w:val="005D6172"/>
    <w:rsid w:val="005D7161"/>
    <w:rsid w:val="005E057E"/>
    <w:rsid w:val="005E152A"/>
    <w:rsid w:val="005E5A8F"/>
    <w:rsid w:val="0060394A"/>
    <w:rsid w:val="006039AA"/>
    <w:rsid w:val="00613074"/>
    <w:rsid w:val="00617C68"/>
    <w:rsid w:val="00621EE8"/>
    <w:rsid w:val="0062225A"/>
    <w:rsid w:val="00627C26"/>
    <w:rsid w:val="00643F51"/>
    <w:rsid w:val="006475B1"/>
    <w:rsid w:val="00647A7B"/>
    <w:rsid w:val="00650F45"/>
    <w:rsid w:val="00652595"/>
    <w:rsid w:val="00654E4C"/>
    <w:rsid w:val="006562E7"/>
    <w:rsid w:val="00660B61"/>
    <w:rsid w:val="00666306"/>
    <w:rsid w:val="00672A34"/>
    <w:rsid w:val="006809D8"/>
    <w:rsid w:val="00682468"/>
    <w:rsid w:val="006824ED"/>
    <w:rsid w:val="00686B3F"/>
    <w:rsid w:val="00686D84"/>
    <w:rsid w:val="006B1F56"/>
    <w:rsid w:val="006C2872"/>
    <w:rsid w:val="006C2E27"/>
    <w:rsid w:val="006C2F95"/>
    <w:rsid w:val="006C47B3"/>
    <w:rsid w:val="006C6008"/>
    <w:rsid w:val="006D0D14"/>
    <w:rsid w:val="006D1141"/>
    <w:rsid w:val="006D22F9"/>
    <w:rsid w:val="006D2D84"/>
    <w:rsid w:val="006E2964"/>
    <w:rsid w:val="006E3043"/>
    <w:rsid w:val="006E49A3"/>
    <w:rsid w:val="006E563A"/>
    <w:rsid w:val="006E73F6"/>
    <w:rsid w:val="006F12A5"/>
    <w:rsid w:val="006F4A66"/>
    <w:rsid w:val="00703646"/>
    <w:rsid w:val="0070364F"/>
    <w:rsid w:val="00711F52"/>
    <w:rsid w:val="00715AD2"/>
    <w:rsid w:val="00723F03"/>
    <w:rsid w:val="00724A78"/>
    <w:rsid w:val="0072640A"/>
    <w:rsid w:val="0073012B"/>
    <w:rsid w:val="007329D4"/>
    <w:rsid w:val="00734328"/>
    <w:rsid w:val="007447AE"/>
    <w:rsid w:val="00751919"/>
    <w:rsid w:val="007540BE"/>
    <w:rsid w:val="00757F07"/>
    <w:rsid w:val="00761AEA"/>
    <w:rsid w:val="00764071"/>
    <w:rsid w:val="00772C8E"/>
    <w:rsid w:val="007741AD"/>
    <w:rsid w:val="0078341F"/>
    <w:rsid w:val="00790E9F"/>
    <w:rsid w:val="0079456D"/>
    <w:rsid w:val="00797188"/>
    <w:rsid w:val="00797247"/>
    <w:rsid w:val="007A64D4"/>
    <w:rsid w:val="007B3DE3"/>
    <w:rsid w:val="007C6B41"/>
    <w:rsid w:val="007F3578"/>
    <w:rsid w:val="00804914"/>
    <w:rsid w:val="008054E5"/>
    <w:rsid w:val="00805BCE"/>
    <w:rsid w:val="00806B14"/>
    <w:rsid w:val="00812E09"/>
    <w:rsid w:val="0081352A"/>
    <w:rsid w:val="00815BE9"/>
    <w:rsid w:val="00823237"/>
    <w:rsid w:val="00825474"/>
    <w:rsid w:val="00825DEB"/>
    <w:rsid w:val="008309EC"/>
    <w:rsid w:val="00831333"/>
    <w:rsid w:val="00837272"/>
    <w:rsid w:val="00850C45"/>
    <w:rsid w:val="00851B88"/>
    <w:rsid w:val="00854C7D"/>
    <w:rsid w:val="008609C2"/>
    <w:rsid w:val="00861229"/>
    <w:rsid w:val="00861E7B"/>
    <w:rsid w:val="00864008"/>
    <w:rsid w:val="00864FC2"/>
    <w:rsid w:val="00867BDF"/>
    <w:rsid w:val="00874DFA"/>
    <w:rsid w:val="00875129"/>
    <w:rsid w:val="00881D18"/>
    <w:rsid w:val="00887F9F"/>
    <w:rsid w:val="00890143"/>
    <w:rsid w:val="00890A9F"/>
    <w:rsid w:val="008930A5"/>
    <w:rsid w:val="00896530"/>
    <w:rsid w:val="008A14A9"/>
    <w:rsid w:val="008A14F9"/>
    <w:rsid w:val="008B0938"/>
    <w:rsid w:val="008B1C23"/>
    <w:rsid w:val="008B3222"/>
    <w:rsid w:val="008B5A09"/>
    <w:rsid w:val="008C0AC7"/>
    <w:rsid w:val="008C176C"/>
    <w:rsid w:val="008D2B93"/>
    <w:rsid w:val="008D2D6A"/>
    <w:rsid w:val="008D5B8D"/>
    <w:rsid w:val="008D65E9"/>
    <w:rsid w:val="008D79D4"/>
    <w:rsid w:val="008E6694"/>
    <w:rsid w:val="008E6759"/>
    <w:rsid w:val="008E783F"/>
    <w:rsid w:val="00902CE8"/>
    <w:rsid w:val="00905A48"/>
    <w:rsid w:val="00906750"/>
    <w:rsid w:val="00912A40"/>
    <w:rsid w:val="00912D4E"/>
    <w:rsid w:val="00913A1D"/>
    <w:rsid w:val="00917C8F"/>
    <w:rsid w:val="0092011C"/>
    <w:rsid w:val="00926C39"/>
    <w:rsid w:val="00945A2F"/>
    <w:rsid w:val="00947BEE"/>
    <w:rsid w:val="00952193"/>
    <w:rsid w:val="009633A4"/>
    <w:rsid w:val="00973362"/>
    <w:rsid w:val="00977346"/>
    <w:rsid w:val="00980485"/>
    <w:rsid w:val="0098277A"/>
    <w:rsid w:val="0098450B"/>
    <w:rsid w:val="00992A7D"/>
    <w:rsid w:val="00997334"/>
    <w:rsid w:val="009A043B"/>
    <w:rsid w:val="009A0F12"/>
    <w:rsid w:val="009A20BE"/>
    <w:rsid w:val="009A5F60"/>
    <w:rsid w:val="009A69A9"/>
    <w:rsid w:val="009B096F"/>
    <w:rsid w:val="009B506A"/>
    <w:rsid w:val="009B604B"/>
    <w:rsid w:val="009B640B"/>
    <w:rsid w:val="009C36A5"/>
    <w:rsid w:val="009C7093"/>
    <w:rsid w:val="009D77ED"/>
    <w:rsid w:val="009F24FA"/>
    <w:rsid w:val="009F68F3"/>
    <w:rsid w:val="009F6C8B"/>
    <w:rsid w:val="00A06FD8"/>
    <w:rsid w:val="00A14435"/>
    <w:rsid w:val="00A15715"/>
    <w:rsid w:val="00A16AC6"/>
    <w:rsid w:val="00A23F8A"/>
    <w:rsid w:val="00A258AF"/>
    <w:rsid w:val="00A312F8"/>
    <w:rsid w:val="00A40097"/>
    <w:rsid w:val="00A4515E"/>
    <w:rsid w:val="00A5368E"/>
    <w:rsid w:val="00A56A05"/>
    <w:rsid w:val="00A5758F"/>
    <w:rsid w:val="00A635A8"/>
    <w:rsid w:val="00A6494E"/>
    <w:rsid w:val="00A65A4C"/>
    <w:rsid w:val="00A665A5"/>
    <w:rsid w:val="00A71C55"/>
    <w:rsid w:val="00A766E1"/>
    <w:rsid w:val="00A772D3"/>
    <w:rsid w:val="00A81203"/>
    <w:rsid w:val="00A82F94"/>
    <w:rsid w:val="00AA01C0"/>
    <w:rsid w:val="00AA70ED"/>
    <w:rsid w:val="00AA7713"/>
    <w:rsid w:val="00AB3745"/>
    <w:rsid w:val="00AB5193"/>
    <w:rsid w:val="00AC4198"/>
    <w:rsid w:val="00AD0FCD"/>
    <w:rsid w:val="00AD1833"/>
    <w:rsid w:val="00AD2ECB"/>
    <w:rsid w:val="00AE6BBD"/>
    <w:rsid w:val="00AF4C80"/>
    <w:rsid w:val="00B037A2"/>
    <w:rsid w:val="00B0792F"/>
    <w:rsid w:val="00B07B4B"/>
    <w:rsid w:val="00B160EB"/>
    <w:rsid w:val="00B1649C"/>
    <w:rsid w:val="00B16E88"/>
    <w:rsid w:val="00B222E3"/>
    <w:rsid w:val="00B30012"/>
    <w:rsid w:val="00B337FC"/>
    <w:rsid w:val="00B40BBE"/>
    <w:rsid w:val="00B40BD9"/>
    <w:rsid w:val="00B4126D"/>
    <w:rsid w:val="00B45ABE"/>
    <w:rsid w:val="00B45F3A"/>
    <w:rsid w:val="00B4625E"/>
    <w:rsid w:val="00B53D6D"/>
    <w:rsid w:val="00B643AE"/>
    <w:rsid w:val="00B65913"/>
    <w:rsid w:val="00B66325"/>
    <w:rsid w:val="00B66678"/>
    <w:rsid w:val="00B71AB3"/>
    <w:rsid w:val="00B76671"/>
    <w:rsid w:val="00B8518D"/>
    <w:rsid w:val="00B86E48"/>
    <w:rsid w:val="00B91CA1"/>
    <w:rsid w:val="00B9278D"/>
    <w:rsid w:val="00B933D1"/>
    <w:rsid w:val="00B965E5"/>
    <w:rsid w:val="00BA0FB7"/>
    <w:rsid w:val="00BA213D"/>
    <w:rsid w:val="00BA3715"/>
    <w:rsid w:val="00BA48EA"/>
    <w:rsid w:val="00BB1E6E"/>
    <w:rsid w:val="00BB22C1"/>
    <w:rsid w:val="00BB245F"/>
    <w:rsid w:val="00BB388A"/>
    <w:rsid w:val="00BC4D4A"/>
    <w:rsid w:val="00BE0D15"/>
    <w:rsid w:val="00BE5489"/>
    <w:rsid w:val="00BE7DE8"/>
    <w:rsid w:val="00BF539E"/>
    <w:rsid w:val="00BF5824"/>
    <w:rsid w:val="00BF6DAE"/>
    <w:rsid w:val="00C0076A"/>
    <w:rsid w:val="00C04EBD"/>
    <w:rsid w:val="00C05B9C"/>
    <w:rsid w:val="00C06B39"/>
    <w:rsid w:val="00C10C58"/>
    <w:rsid w:val="00C11023"/>
    <w:rsid w:val="00C119BC"/>
    <w:rsid w:val="00C14A59"/>
    <w:rsid w:val="00C249D9"/>
    <w:rsid w:val="00C332BE"/>
    <w:rsid w:val="00C356C5"/>
    <w:rsid w:val="00C43FFE"/>
    <w:rsid w:val="00C47BF8"/>
    <w:rsid w:val="00C50A1F"/>
    <w:rsid w:val="00C57202"/>
    <w:rsid w:val="00C65FFD"/>
    <w:rsid w:val="00C73154"/>
    <w:rsid w:val="00C73A9D"/>
    <w:rsid w:val="00C75F10"/>
    <w:rsid w:val="00C76546"/>
    <w:rsid w:val="00CA2B73"/>
    <w:rsid w:val="00CA4320"/>
    <w:rsid w:val="00CB39F0"/>
    <w:rsid w:val="00CB4CA9"/>
    <w:rsid w:val="00CC191C"/>
    <w:rsid w:val="00CC4D82"/>
    <w:rsid w:val="00CC4E7A"/>
    <w:rsid w:val="00CC5024"/>
    <w:rsid w:val="00CE1B70"/>
    <w:rsid w:val="00CE65CD"/>
    <w:rsid w:val="00CE663E"/>
    <w:rsid w:val="00CF3A48"/>
    <w:rsid w:val="00CF3D16"/>
    <w:rsid w:val="00CF520A"/>
    <w:rsid w:val="00CF6287"/>
    <w:rsid w:val="00D0287E"/>
    <w:rsid w:val="00D052C6"/>
    <w:rsid w:val="00D06A6C"/>
    <w:rsid w:val="00D10393"/>
    <w:rsid w:val="00D10858"/>
    <w:rsid w:val="00D14D02"/>
    <w:rsid w:val="00D153C7"/>
    <w:rsid w:val="00D22ACF"/>
    <w:rsid w:val="00D26717"/>
    <w:rsid w:val="00D33289"/>
    <w:rsid w:val="00D40029"/>
    <w:rsid w:val="00D405CA"/>
    <w:rsid w:val="00D41573"/>
    <w:rsid w:val="00D513E5"/>
    <w:rsid w:val="00D5434B"/>
    <w:rsid w:val="00D544AD"/>
    <w:rsid w:val="00D54EF8"/>
    <w:rsid w:val="00D64023"/>
    <w:rsid w:val="00D729C0"/>
    <w:rsid w:val="00D73BC7"/>
    <w:rsid w:val="00D73FFF"/>
    <w:rsid w:val="00D859DD"/>
    <w:rsid w:val="00D862BF"/>
    <w:rsid w:val="00D906C3"/>
    <w:rsid w:val="00D90D0C"/>
    <w:rsid w:val="00D95EAB"/>
    <w:rsid w:val="00DA2368"/>
    <w:rsid w:val="00DA7983"/>
    <w:rsid w:val="00DC392E"/>
    <w:rsid w:val="00DD1F31"/>
    <w:rsid w:val="00DD432D"/>
    <w:rsid w:val="00DE1153"/>
    <w:rsid w:val="00E0562C"/>
    <w:rsid w:val="00E1002B"/>
    <w:rsid w:val="00E1050A"/>
    <w:rsid w:val="00E13E5D"/>
    <w:rsid w:val="00E14C87"/>
    <w:rsid w:val="00E177AA"/>
    <w:rsid w:val="00E256F6"/>
    <w:rsid w:val="00E3339B"/>
    <w:rsid w:val="00E40EBE"/>
    <w:rsid w:val="00E41527"/>
    <w:rsid w:val="00E41C88"/>
    <w:rsid w:val="00E4232A"/>
    <w:rsid w:val="00E44BBF"/>
    <w:rsid w:val="00E616A1"/>
    <w:rsid w:val="00E619CB"/>
    <w:rsid w:val="00E650F9"/>
    <w:rsid w:val="00E71F9B"/>
    <w:rsid w:val="00E7570D"/>
    <w:rsid w:val="00E765F9"/>
    <w:rsid w:val="00E84489"/>
    <w:rsid w:val="00E84FDB"/>
    <w:rsid w:val="00E875F1"/>
    <w:rsid w:val="00E916D2"/>
    <w:rsid w:val="00EA06CF"/>
    <w:rsid w:val="00EA1F6E"/>
    <w:rsid w:val="00EA456C"/>
    <w:rsid w:val="00EB27A0"/>
    <w:rsid w:val="00EC0411"/>
    <w:rsid w:val="00EC69AD"/>
    <w:rsid w:val="00EE19B5"/>
    <w:rsid w:val="00EF159E"/>
    <w:rsid w:val="00EF2F4C"/>
    <w:rsid w:val="00F05652"/>
    <w:rsid w:val="00F11950"/>
    <w:rsid w:val="00F16C57"/>
    <w:rsid w:val="00F224DA"/>
    <w:rsid w:val="00F24301"/>
    <w:rsid w:val="00F26163"/>
    <w:rsid w:val="00F3787E"/>
    <w:rsid w:val="00F44AE0"/>
    <w:rsid w:val="00F52942"/>
    <w:rsid w:val="00F53DDE"/>
    <w:rsid w:val="00F56A8E"/>
    <w:rsid w:val="00F571A4"/>
    <w:rsid w:val="00F62F2C"/>
    <w:rsid w:val="00F66EB8"/>
    <w:rsid w:val="00F70036"/>
    <w:rsid w:val="00F70493"/>
    <w:rsid w:val="00F71EB9"/>
    <w:rsid w:val="00F72F82"/>
    <w:rsid w:val="00F800CA"/>
    <w:rsid w:val="00F822E8"/>
    <w:rsid w:val="00F844AF"/>
    <w:rsid w:val="00F85B9D"/>
    <w:rsid w:val="00F94FFE"/>
    <w:rsid w:val="00FB0A6E"/>
    <w:rsid w:val="00FB2069"/>
    <w:rsid w:val="00FB7A3F"/>
    <w:rsid w:val="00FB7BB2"/>
    <w:rsid w:val="00FC0B8A"/>
    <w:rsid w:val="00FC1D10"/>
    <w:rsid w:val="00FC4437"/>
    <w:rsid w:val="00FD2586"/>
    <w:rsid w:val="00FD3814"/>
    <w:rsid w:val="00FD38C2"/>
    <w:rsid w:val="00FE0AC3"/>
    <w:rsid w:val="00FE72DB"/>
    <w:rsid w:val="00FF485D"/>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F4E541-DE00-4FA1-AA74-B0CA5218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B07B4B"/>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B07B4B"/>
    <w:rPr>
      <w:sz w:val="20"/>
      <w:szCs w:val="20"/>
    </w:rPr>
  </w:style>
  <w:style w:type="character" w:styleId="FootnoteReference">
    <w:name w:val="footnote reference"/>
    <w:aliases w:val="Ref,de nota al pie,註腳內容,Footnotes refss,(NECG) Footnote Reference,fr,Appel note de bas de page"/>
    <w:basedOn w:val="DefaultParagraphFont"/>
    <w:uiPriority w:val="99"/>
    <w:unhideWhenUsed/>
    <w:qFormat/>
    <w:rsid w:val="00B07B4B"/>
    <w:rPr>
      <w:vertAlign w:val="superscript"/>
    </w:rPr>
  </w:style>
  <w:style w:type="paragraph" w:styleId="BodyText">
    <w:name w:val="Body Text"/>
    <w:basedOn w:val="Normal"/>
    <w:link w:val="BodyTextChar"/>
    <w:uiPriority w:val="1"/>
    <w:qFormat/>
    <w:rsid w:val="002712BC"/>
    <w:pPr>
      <w:widowControl w:val="0"/>
      <w:autoSpaceDE w:val="0"/>
      <w:autoSpaceDN w:val="0"/>
      <w:adjustRightInd w:val="0"/>
      <w:spacing w:after="0" w:line="240" w:lineRule="auto"/>
      <w:ind w:left="2386"/>
    </w:pPr>
    <w:rPr>
      <w:rFonts w:ascii="Arial" w:eastAsiaTheme="minorEastAsia" w:hAnsi="Arial" w:cs="Arial"/>
      <w:sz w:val="24"/>
      <w:szCs w:val="24"/>
      <w:lang w:eastAsia="en-ZA"/>
    </w:rPr>
  </w:style>
  <w:style w:type="character" w:customStyle="1" w:styleId="BodyTextChar">
    <w:name w:val="Body Text Char"/>
    <w:basedOn w:val="DefaultParagraphFont"/>
    <w:link w:val="BodyText"/>
    <w:uiPriority w:val="1"/>
    <w:rsid w:val="002712BC"/>
    <w:rPr>
      <w:rFonts w:ascii="Arial" w:eastAsiaTheme="minorEastAsia" w:hAnsi="Arial" w:cs="Arial"/>
      <w:sz w:val="24"/>
      <w:szCs w:val="24"/>
      <w:lang w:eastAsia="en-ZA"/>
    </w:rPr>
  </w:style>
  <w:style w:type="paragraph" w:customStyle="1" w:styleId="western">
    <w:name w:val="western"/>
    <w:basedOn w:val="Normal"/>
    <w:rsid w:val="0005699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88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2023-04-25T18:30:00+00:00</Judgment_x0020_Date>
    <Year xmlns="c1afb1bd-f2fb-40fd-9abb-aea55b4d7662">2023</Year>
  </documentManagement>
</p:properties>
</file>

<file path=customXml/itemProps1.xml><?xml version="1.0" encoding="utf-8"?>
<ds:datastoreItem xmlns:ds="http://schemas.openxmlformats.org/officeDocument/2006/customXml" ds:itemID="{BB8884DD-E87F-4B0C-A39A-5AF1374BC1C3}"/>
</file>

<file path=customXml/itemProps2.xml><?xml version="1.0" encoding="utf-8"?>
<ds:datastoreItem xmlns:ds="http://schemas.openxmlformats.org/officeDocument/2006/customXml" ds:itemID="{97862594-12C0-4370-95A2-024E421799EC}"/>
</file>

<file path=customXml/itemProps3.xml><?xml version="1.0" encoding="utf-8"?>
<ds:datastoreItem xmlns:ds="http://schemas.openxmlformats.org/officeDocument/2006/customXml" ds:itemID="{9C820712-5A0F-4AB4-A21B-6556F8E864C0}"/>
</file>

<file path=customXml/itemProps4.xml><?xml version="1.0" encoding="utf-8"?>
<ds:datastoreItem xmlns:ds="http://schemas.openxmlformats.org/officeDocument/2006/customXml" ds:itemID="{CB6DE96F-851F-49D7-BE1C-78689BA36F42}"/>
</file>

<file path=docProps/app.xml><?xml version="1.0" encoding="utf-8"?>
<Properties xmlns="http://schemas.openxmlformats.org/officeDocument/2006/extended-properties" xmlns:vt="http://schemas.openxmlformats.org/officeDocument/2006/docPropsVTypes">
  <Template>Normal</Template>
  <TotalTime>113</TotalTime>
  <Pages>8</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 v Uutoni (HC-MD-CIV-ACT-MAT-2021-04410) [2023] NAHCMD 222 (26 April 2023)</dc:title>
  <dc:subject/>
  <dc:creator>E. Kharases</dc:creator>
  <cp:keywords/>
  <dc:description/>
  <cp:lastModifiedBy>Lusia Simon</cp:lastModifiedBy>
  <cp:revision>20</cp:revision>
  <cp:lastPrinted>2023-04-24T07:57:00Z</cp:lastPrinted>
  <dcterms:created xsi:type="dcterms:W3CDTF">2023-04-13T14:02:00Z</dcterms:created>
  <dcterms:modified xsi:type="dcterms:W3CDTF">2023-04-25T13:15:00Z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