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3" w:rsidRPr="00E101EF" w:rsidRDefault="000C5373" w:rsidP="000C53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 w:rsidRPr="00E101EF">
        <w:rPr>
          <w:rFonts w:ascii="Arial" w:hAnsi="Arial" w:cs="Arial"/>
          <w:b/>
          <w:sz w:val="24"/>
          <w:szCs w:val="24"/>
        </w:rPr>
        <w:t>REPUBLIC OF NAMIBIA</w:t>
      </w:r>
    </w:p>
    <w:p w:rsidR="000C5373" w:rsidRPr="00707B80" w:rsidRDefault="000C5373" w:rsidP="000C5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7B8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A12ABC6" wp14:editId="0954883A">
            <wp:simplePos x="0" y="0"/>
            <wp:positionH relativeFrom="margin">
              <wp:posOffset>2218055</wp:posOffset>
            </wp:positionH>
            <wp:positionV relativeFrom="paragraph">
              <wp:posOffset>129540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73" w:rsidRPr="00707B80" w:rsidRDefault="000C5373" w:rsidP="000C53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5373" w:rsidRPr="00707B80" w:rsidRDefault="000C5373" w:rsidP="000C53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5373" w:rsidRDefault="000C5373" w:rsidP="000C53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5373" w:rsidRDefault="000C5373" w:rsidP="000C53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5373" w:rsidRDefault="000C5373" w:rsidP="000C5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5373" w:rsidRPr="0018713C" w:rsidRDefault="000C5373" w:rsidP="000C53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13C">
        <w:rPr>
          <w:rFonts w:ascii="Arial" w:hAnsi="Arial" w:cs="Arial"/>
          <w:b/>
          <w:sz w:val="24"/>
          <w:szCs w:val="24"/>
        </w:rPr>
        <w:t>IN THE HIGH COURT OF NAMIBIA</w:t>
      </w:r>
    </w:p>
    <w:p w:rsidR="000C5373" w:rsidRDefault="000C5373" w:rsidP="000C53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13C">
        <w:rPr>
          <w:rFonts w:ascii="Arial" w:hAnsi="Arial" w:cs="Arial"/>
          <w:b/>
          <w:sz w:val="24"/>
          <w:szCs w:val="24"/>
        </w:rPr>
        <w:t>REVIEW JUDGMENT</w:t>
      </w:r>
    </w:p>
    <w:p w:rsidR="00664678" w:rsidRDefault="00664678" w:rsidP="000C53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DIRECTIVE 61</w:t>
      </w:r>
    </w:p>
    <w:p w:rsidR="000C5373" w:rsidRDefault="000C5373" w:rsidP="000C53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390"/>
        <w:gridCol w:w="4486"/>
      </w:tblGrid>
      <w:tr w:rsidR="000C5373" w:rsidTr="000C5373">
        <w:trPr>
          <w:trHeight w:val="615"/>
        </w:trPr>
        <w:tc>
          <w:tcPr>
            <w:tcW w:w="4530" w:type="dxa"/>
            <w:gridSpan w:val="2"/>
            <w:vMerge w:val="restart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0C5373" w:rsidRDefault="000C5373" w:rsidP="00121B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</w:t>
            </w:r>
          </w:p>
          <w:p w:rsidR="00664678" w:rsidRDefault="00664678" w:rsidP="006646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5373" w:rsidRDefault="00664678" w:rsidP="00664678">
            <w:pPr>
              <w:tabs>
                <w:tab w:val="left" w:pos="7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664678" w:rsidRDefault="00664678" w:rsidP="006646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5373" w:rsidRP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Kambinda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Ndala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Accused</w:t>
            </w:r>
          </w:p>
        </w:tc>
        <w:tc>
          <w:tcPr>
            <w:tcW w:w="4486" w:type="dxa"/>
          </w:tcPr>
          <w:p w:rsidR="000C5373" w:rsidRDefault="000C5373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No: CR </w:t>
            </w:r>
            <w:r w:rsidR="0065538B">
              <w:rPr>
                <w:rFonts w:ascii="Arial" w:hAnsi="Arial" w:cs="Arial"/>
                <w:sz w:val="24"/>
                <w:szCs w:val="24"/>
              </w:rPr>
              <w:t>51</w:t>
            </w:r>
            <w:r w:rsidRPr="000C5373"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0C5373" w:rsidRDefault="000C5373" w:rsidP="000C537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373" w:rsidTr="000C5373">
        <w:trPr>
          <w:trHeight w:val="1425"/>
        </w:trPr>
        <w:tc>
          <w:tcPr>
            <w:tcW w:w="4530" w:type="dxa"/>
            <w:gridSpan w:val="2"/>
            <w:vMerge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Court, Main Division</w:t>
            </w:r>
          </w:p>
          <w:p w:rsidR="000C5373" w:rsidRP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73" w:rsidTr="000C5373">
        <w:trPr>
          <w:trHeight w:val="1065"/>
        </w:trPr>
        <w:tc>
          <w:tcPr>
            <w:tcW w:w="4530" w:type="dxa"/>
            <w:gridSpan w:val="2"/>
            <w:vMerge w:val="restart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0C5373" w:rsidRP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J et 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486" w:type="dxa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0C5373" w:rsidRPr="000C5373" w:rsidRDefault="0065538B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0C5373" w:rsidRPr="000C5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373">
              <w:rPr>
                <w:rFonts w:ascii="Arial" w:hAnsi="Arial" w:cs="Arial"/>
                <w:sz w:val="24"/>
                <w:szCs w:val="24"/>
              </w:rPr>
              <w:t>April 2023</w:t>
            </w:r>
          </w:p>
        </w:tc>
      </w:tr>
      <w:tr w:rsidR="000C5373" w:rsidTr="00410ABA">
        <w:trPr>
          <w:trHeight w:val="953"/>
        </w:trPr>
        <w:tc>
          <w:tcPr>
            <w:tcW w:w="4530" w:type="dxa"/>
            <w:gridSpan w:val="2"/>
            <w:vMerge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0C5373" w:rsidRPr="000C5373" w:rsidRDefault="0065538B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0C5373">
              <w:rPr>
                <w:rFonts w:ascii="Arial" w:hAnsi="Arial" w:cs="Arial"/>
                <w:sz w:val="24"/>
                <w:szCs w:val="24"/>
              </w:rPr>
              <w:t xml:space="preserve"> April 2023</w:t>
            </w:r>
          </w:p>
        </w:tc>
      </w:tr>
      <w:tr w:rsidR="000C5373" w:rsidTr="0015727C">
        <w:trPr>
          <w:trHeight w:val="1095"/>
        </w:trPr>
        <w:tc>
          <w:tcPr>
            <w:tcW w:w="9016" w:type="dxa"/>
            <w:gridSpan w:val="3"/>
          </w:tcPr>
          <w:p w:rsidR="000C5373" w:rsidRDefault="000C5373" w:rsidP="000C53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373" w:rsidRDefault="000C5373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0C5373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Pr="000C5373">
              <w:rPr>
                <w:rFonts w:ascii="Arial" w:hAnsi="Arial" w:cs="Arial"/>
                <w:i/>
                <w:sz w:val="24"/>
                <w:szCs w:val="24"/>
              </w:rPr>
              <w:t>Ndala</w:t>
            </w:r>
            <w:proofErr w:type="spellEnd"/>
            <w:r w:rsidR="00D056D0">
              <w:rPr>
                <w:rFonts w:ascii="Arial" w:hAnsi="Arial" w:cs="Arial"/>
                <w:sz w:val="24"/>
                <w:szCs w:val="24"/>
              </w:rPr>
              <w:t xml:space="preserve"> (CR 51</w:t>
            </w:r>
            <w:r w:rsidR="00A8597F">
              <w:rPr>
                <w:rFonts w:ascii="Arial" w:hAnsi="Arial" w:cs="Arial"/>
                <w:sz w:val="24"/>
                <w:szCs w:val="24"/>
              </w:rPr>
              <w:t>-2023</w:t>
            </w:r>
            <w:bookmarkStart w:id="0" w:name="_GoBack"/>
            <w:bookmarkEnd w:id="0"/>
            <w:r w:rsidR="00D056D0">
              <w:rPr>
                <w:rFonts w:ascii="Arial" w:hAnsi="Arial" w:cs="Arial"/>
                <w:sz w:val="24"/>
                <w:szCs w:val="24"/>
              </w:rPr>
              <w:t>) [2023] NAHCMD 227</w:t>
            </w:r>
            <w:r w:rsidR="0065538B">
              <w:rPr>
                <w:rFonts w:ascii="Arial" w:hAnsi="Arial" w:cs="Arial"/>
                <w:sz w:val="24"/>
                <w:szCs w:val="24"/>
              </w:rPr>
              <w:t xml:space="preserve"> (27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2023)</w:t>
            </w:r>
          </w:p>
          <w:p w:rsidR="0015727C" w:rsidRPr="000C5373" w:rsidRDefault="0015727C" w:rsidP="000C53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27C" w:rsidTr="009C1279">
        <w:trPr>
          <w:trHeight w:val="546"/>
        </w:trPr>
        <w:tc>
          <w:tcPr>
            <w:tcW w:w="9016" w:type="dxa"/>
            <w:gridSpan w:val="3"/>
          </w:tcPr>
          <w:p w:rsidR="0015727C" w:rsidRDefault="0015727C" w:rsidP="001572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27C" w:rsidRDefault="0015727C" w:rsidP="001572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</w:t>
            </w:r>
          </w:p>
        </w:tc>
      </w:tr>
      <w:tr w:rsidR="0015727C" w:rsidTr="009C1279">
        <w:trPr>
          <w:trHeight w:val="546"/>
        </w:trPr>
        <w:tc>
          <w:tcPr>
            <w:tcW w:w="9016" w:type="dxa"/>
            <w:gridSpan w:val="3"/>
          </w:tcPr>
          <w:p w:rsidR="0015727C" w:rsidRDefault="0015727C" w:rsidP="001572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27C" w:rsidRDefault="0015727C" w:rsidP="001572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727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64678">
              <w:rPr>
                <w:rFonts w:ascii="Arial" w:hAnsi="Arial" w:cs="Arial"/>
                <w:sz w:val="24"/>
                <w:szCs w:val="24"/>
              </w:rPr>
              <w:t xml:space="preserve">payment of the </w:t>
            </w:r>
            <w:r w:rsidRPr="0015727C">
              <w:rPr>
                <w:rFonts w:ascii="Arial" w:hAnsi="Arial" w:cs="Arial"/>
                <w:sz w:val="24"/>
                <w:szCs w:val="24"/>
              </w:rPr>
              <w:t xml:space="preserve">admission of </w:t>
            </w:r>
            <w:r>
              <w:rPr>
                <w:rFonts w:ascii="Arial" w:hAnsi="Arial" w:cs="Arial"/>
                <w:sz w:val="24"/>
                <w:szCs w:val="24"/>
              </w:rPr>
              <w:t>guilt is set aside.</w:t>
            </w:r>
          </w:p>
          <w:p w:rsidR="00664678" w:rsidRDefault="00664678" w:rsidP="00664678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678" w:rsidRDefault="00664678" w:rsidP="0066467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fine in the amount of N$2000 paid as admission of guilt, is to be refunded to the accused herein.</w:t>
            </w:r>
          </w:p>
          <w:p w:rsidR="0015727C" w:rsidRDefault="0015727C" w:rsidP="0015727C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727C" w:rsidRPr="0015727C" w:rsidRDefault="0015727C" w:rsidP="001572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remitted</w:t>
            </w:r>
            <w:r w:rsidR="00410ABA">
              <w:rPr>
                <w:rFonts w:ascii="Arial" w:hAnsi="Arial" w:cs="Arial"/>
                <w:sz w:val="24"/>
                <w:szCs w:val="24"/>
              </w:rPr>
              <w:t xml:space="preserve"> back to the magistrate, to</w:t>
            </w:r>
            <w:r w:rsidR="00664678">
              <w:rPr>
                <w:rFonts w:ascii="Arial" w:hAnsi="Arial" w:cs="Arial"/>
                <w:sz w:val="24"/>
                <w:szCs w:val="24"/>
              </w:rPr>
              <w:t xml:space="preserve"> hear and finalise same</w:t>
            </w:r>
            <w:r w:rsidR="00410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727C" w:rsidRDefault="0015727C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27C" w:rsidTr="009C1279">
        <w:trPr>
          <w:trHeight w:val="546"/>
        </w:trPr>
        <w:tc>
          <w:tcPr>
            <w:tcW w:w="9016" w:type="dxa"/>
            <w:gridSpan w:val="3"/>
          </w:tcPr>
          <w:p w:rsidR="0015727C" w:rsidRDefault="0015727C" w:rsidP="001572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27C" w:rsidRDefault="0015727C" w:rsidP="001572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ORDERS:</w:t>
            </w:r>
          </w:p>
          <w:p w:rsidR="0015727C" w:rsidRDefault="0015727C" w:rsidP="001572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27C" w:rsidTr="009C1279">
        <w:trPr>
          <w:trHeight w:val="546"/>
        </w:trPr>
        <w:tc>
          <w:tcPr>
            <w:tcW w:w="9016" w:type="dxa"/>
            <w:gridSpan w:val="3"/>
          </w:tcPr>
          <w:p w:rsidR="0015727C" w:rsidRDefault="0015727C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27C" w:rsidRPr="0015727C" w:rsidRDefault="0015727C" w:rsidP="001572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727C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 w:rsidRPr="0015727C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 w:rsidRPr="0015727C">
              <w:rPr>
                <w:rFonts w:ascii="Arial" w:hAnsi="Arial" w:cs="Arial"/>
                <w:sz w:val="24"/>
                <w:szCs w:val="24"/>
              </w:rPr>
              <w:t xml:space="preserve"> J (January J concurring):</w:t>
            </w:r>
          </w:p>
          <w:p w:rsidR="0015727C" w:rsidRDefault="0015727C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27C" w:rsidRDefault="0015727C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 w:rsidR="00244B02">
              <w:rPr>
                <w:rFonts w:ascii="Arial" w:hAnsi="Arial" w:cs="Arial"/>
                <w:sz w:val="24"/>
                <w:szCs w:val="24"/>
              </w:rPr>
              <w:tab/>
            </w:r>
            <w:r w:rsidR="00BF07CC" w:rsidRPr="00BF07CC">
              <w:rPr>
                <w:rFonts w:ascii="Arial" w:hAnsi="Arial" w:cs="Arial"/>
                <w:sz w:val="24"/>
                <w:szCs w:val="24"/>
              </w:rPr>
              <w:t xml:space="preserve">This case is before us not in the ordinary course of review, but in terms of section 304(4) of the Criminal Procedure Act </w:t>
            </w:r>
            <w:r w:rsidR="00502FD7">
              <w:rPr>
                <w:rFonts w:ascii="Arial" w:hAnsi="Arial" w:cs="Arial"/>
                <w:sz w:val="24"/>
                <w:szCs w:val="24"/>
              </w:rPr>
              <w:t>51 of 1977, as amended. The matter</w:t>
            </w:r>
            <w:r w:rsidR="00BF07CC" w:rsidRPr="00BF07CC">
              <w:rPr>
                <w:rFonts w:ascii="Arial" w:hAnsi="Arial" w:cs="Arial"/>
                <w:sz w:val="24"/>
                <w:szCs w:val="24"/>
              </w:rPr>
              <w:t xml:space="preserve"> was referred</w:t>
            </w:r>
            <w:r w:rsidR="00502FD7">
              <w:rPr>
                <w:rFonts w:ascii="Arial" w:hAnsi="Arial" w:cs="Arial"/>
                <w:sz w:val="24"/>
                <w:szCs w:val="24"/>
              </w:rPr>
              <w:t xml:space="preserve"> to this Court by the head of office of</w:t>
            </w:r>
            <w:r w:rsidR="0036064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502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FD7">
              <w:rPr>
                <w:rFonts w:ascii="Arial" w:hAnsi="Arial" w:cs="Arial"/>
                <w:sz w:val="24"/>
                <w:szCs w:val="24"/>
              </w:rPr>
              <w:t>Rundu</w:t>
            </w:r>
            <w:proofErr w:type="spellEnd"/>
            <w:r w:rsidR="00502FD7">
              <w:rPr>
                <w:rFonts w:ascii="Arial" w:hAnsi="Arial" w:cs="Arial"/>
                <w:sz w:val="24"/>
                <w:szCs w:val="24"/>
              </w:rPr>
              <w:t xml:space="preserve"> Magistrate’s Court </w:t>
            </w:r>
            <w:r w:rsidR="00BF07CC" w:rsidRPr="00BF07CC">
              <w:rPr>
                <w:rFonts w:ascii="Arial" w:hAnsi="Arial" w:cs="Arial"/>
                <w:sz w:val="24"/>
                <w:szCs w:val="24"/>
              </w:rPr>
              <w:t xml:space="preserve">with a recommendation that the admission of guilt </w:t>
            </w:r>
            <w:r w:rsidR="00502FD7">
              <w:rPr>
                <w:rFonts w:ascii="Arial" w:hAnsi="Arial" w:cs="Arial"/>
                <w:sz w:val="24"/>
                <w:szCs w:val="24"/>
              </w:rPr>
              <w:t xml:space="preserve">fine </w:t>
            </w:r>
            <w:r w:rsidR="00BF07CC" w:rsidRPr="00BF07CC">
              <w:rPr>
                <w:rFonts w:ascii="Arial" w:hAnsi="Arial" w:cs="Arial"/>
                <w:sz w:val="24"/>
                <w:szCs w:val="24"/>
              </w:rPr>
              <w:t xml:space="preserve">be set aside and </w:t>
            </w:r>
            <w:r w:rsidR="00BF07CC">
              <w:rPr>
                <w:rFonts w:ascii="Arial" w:hAnsi="Arial" w:cs="Arial"/>
                <w:sz w:val="24"/>
                <w:szCs w:val="24"/>
              </w:rPr>
              <w:t>the matter be referred</w:t>
            </w:r>
            <w:r w:rsidR="00502FD7">
              <w:rPr>
                <w:rFonts w:ascii="Arial" w:hAnsi="Arial" w:cs="Arial"/>
                <w:sz w:val="24"/>
                <w:szCs w:val="24"/>
              </w:rPr>
              <w:t xml:space="preserve"> back to</w:t>
            </w:r>
            <w:r w:rsidR="00BF07CC">
              <w:rPr>
                <w:rFonts w:ascii="Arial" w:hAnsi="Arial" w:cs="Arial"/>
                <w:sz w:val="24"/>
                <w:szCs w:val="24"/>
              </w:rPr>
              <w:t xml:space="preserve"> the learned magistrate to finalise it.</w:t>
            </w:r>
          </w:p>
          <w:p w:rsidR="0015727C" w:rsidRDefault="0015727C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5EE" w:rsidRPr="00BF07CC" w:rsidRDefault="00BF07CC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 w:rsidR="00244B0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BF07CC">
              <w:rPr>
                <w:rFonts w:ascii="Arial" w:hAnsi="Arial" w:cs="Arial"/>
                <w:sz w:val="24"/>
                <w:szCs w:val="24"/>
                <w:lang w:val="en-US"/>
              </w:rPr>
              <w:t>The bundle that was placed before the review cour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>t comprised of the original admission of guilt receipt</w:t>
            </w:r>
            <w:r w:rsidRPr="00BF07CC">
              <w:rPr>
                <w:rFonts w:ascii="Arial" w:hAnsi="Arial" w:cs="Arial"/>
                <w:sz w:val="24"/>
                <w:szCs w:val="24"/>
                <w:lang w:val="en-US"/>
              </w:rPr>
              <w:t>, an a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 xml:space="preserve">ffidavit by the accused, </w:t>
            </w:r>
            <w:r w:rsidRPr="00BF07CC">
              <w:rPr>
                <w:rFonts w:ascii="Arial" w:hAnsi="Arial" w:cs="Arial"/>
                <w:sz w:val="24"/>
                <w:szCs w:val="24"/>
                <w:lang w:val="en-US"/>
              </w:rPr>
              <w:t>a letter by th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 xml:space="preserve">e Head of Office of the </w:t>
            </w:r>
            <w:proofErr w:type="spellStart"/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>Rundu</w:t>
            </w:r>
            <w:proofErr w:type="spellEnd"/>
            <w:r w:rsidRPr="00BF07CC">
              <w:rPr>
                <w:rFonts w:ascii="Arial" w:hAnsi="Arial" w:cs="Arial"/>
                <w:sz w:val="24"/>
                <w:szCs w:val="24"/>
                <w:lang w:val="en-US"/>
              </w:rPr>
              <w:t xml:space="preserve"> Magistrates’ Court, a l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>etter by the clerk</w:t>
            </w:r>
            <w:r w:rsidRPr="00BF07CC">
              <w:rPr>
                <w:rFonts w:ascii="Arial" w:hAnsi="Arial" w:cs="Arial"/>
                <w:sz w:val="24"/>
                <w:szCs w:val="24"/>
                <w:lang w:val="en-US"/>
              </w:rPr>
              <w:t xml:space="preserve"> who checked the 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 xml:space="preserve">record and referred accused to the revenue office, </w:t>
            </w:r>
            <w:r w:rsidR="00664678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B665E8">
              <w:rPr>
                <w:rFonts w:ascii="Arial" w:hAnsi="Arial" w:cs="Arial"/>
                <w:sz w:val="24"/>
                <w:szCs w:val="24"/>
                <w:lang w:val="en-US"/>
              </w:rPr>
              <w:t>letter by the clerk that received the payment and a letter by the public prosecutor.</w:t>
            </w:r>
          </w:p>
          <w:p w:rsidR="005E25EE" w:rsidRDefault="005E25EE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E25EE" w:rsidRDefault="005E25EE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 w:rsidR="00244B0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E80552">
              <w:rPr>
                <w:rFonts w:ascii="Arial" w:hAnsi="Arial" w:cs="Arial"/>
                <w:sz w:val="24"/>
                <w:szCs w:val="24"/>
                <w:lang w:val="en-US"/>
              </w:rPr>
              <w:t>The accused person was charged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contravening regulation 7(1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)(</w:t>
            </w:r>
            <w:proofErr w:type="gramEnd"/>
            <w:r w:rsidRPr="005E25E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)(1) of the </w:t>
            </w:r>
            <w:r w:rsidR="00181A17">
              <w:rPr>
                <w:rFonts w:ascii="Arial" w:hAnsi="Arial" w:cs="Arial"/>
                <w:sz w:val="24"/>
                <w:szCs w:val="24"/>
                <w:lang w:val="en-US"/>
              </w:rPr>
              <w:t>Proclamation of State of Emergency. The accused pleaded not guilty to the charge on 6 November 2020 and the matter was subsequently postponed to 16 December 2020 for trial.</w:t>
            </w:r>
          </w:p>
          <w:p w:rsidR="00181A17" w:rsidRDefault="00181A17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1A17" w:rsidRDefault="00181A17" w:rsidP="00244B02">
            <w:pPr>
              <w:tabs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[4]     Upon resumption, the matter did not proceed</w:t>
            </w:r>
            <w:r w:rsidR="0066467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was postponed </w:t>
            </w:r>
            <w:r w:rsidR="00502FD7">
              <w:rPr>
                <w:rFonts w:ascii="Arial" w:hAnsi="Arial" w:cs="Arial"/>
                <w:sz w:val="24"/>
                <w:szCs w:val="24"/>
                <w:lang w:val="en-US"/>
              </w:rPr>
              <w:t xml:space="preserve">again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a further date.</w:t>
            </w:r>
          </w:p>
          <w:p w:rsidR="00181A17" w:rsidRDefault="00181A17" w:rsidP="0015727C">
            <w:pPr>
              <w:tabs>
                <w:tab w:val="left" w:pos="59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5727C" w:rsidRDefault="00181A17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[5]     On 22 December 2022, </w:t>
            </w:r>
            <w:r w:rsidR="00E80552">
              <w:rPr>
                <w:rFonts w:ascii="Arial" w:hAnsi="Arial" w:cs="Arial"/>
                <w:sz w:val="24"/>
                <w:szCs w:val="24"/>
                <w:lang w:val="en-US"/>
              </w:rPr>
              <w:t xml:space="preserve">after various postponements,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accused</w:t>
            </w:r>
            <w:r w:rsidR="00E80552">
              <w:rPr>
                <w:rFonts w:ascii="Arial" w:hAnsi="Arial" w:cs="Arial"/>
                <w:sz w:val="24"/>
                <w:szCs w:val="24"/>
                <w:lang w:val="en-US"/>
              </w:rPr>
              <w:t xml:space="preserve"> person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paid an admission of guilt fine in the amount of N$2000 despite having pleaded not guilty to the charge.</w:t>
            </w:r>
            <w:r w:rsidR="005E25EE" w:rsidRPr="005E25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502FD7" w:rsidRDefault="00502FD7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2FD7" w:rsidRPr="00502FD7" w:rsidRDefault="00502FD7" w:rsidP="00664678">
            <w:p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[6]   </w:t>
            </w:r>
            <w:r w:rsidR="006646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 is trite that admission of guilt fine can only be made before the accused person pleads to the charge.</w:t>
            </w:r>
            <w:r>
              <w:rPr>
                <w:rStyle w:val="FootnoteReference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B5E1A">
              <w:rPr>
                <w:rFonts w:ascii="Arial" w:hAnsi="Arial" w:cs="Arial"/>
                <w:sz w:val="24"/>
                <w:szCs w:val="24"/>
              </w:rPr>
              <w:t>nce the accused person</w:t>
            </w:r>
            <w:r w:rsidR="00664678">
              <w:rPr>
                <w:rFonts w:ascii="Arial" w:hAnsi="Arial" w:cs="Arial"/>
                <w:sz w:val="24"/>
                <w:szCs w:val="24"/>
              </w:rPr>
              <w:t xml:space="preserve"> has pleaded</w:t>
            </w:r>
            <w:r w:rsidR="00CB5E1A">
              <w:rPr>
                <w:rFonts w:ascii="Arial" w:hAnsi="Arial" w:cs="Arial"/>
                <w:sz w:val="24"/>
                <w:szCs w:val="24"/>
              </w:rPr>
              <w:t xml:space="preserve"> to the charge, he can no longer pay an admission of guilt fine.</w:t>
            </w:r>
          </w:p>
          <w:p w:rsidR="00E80552" w:rsidRDefault="00E80552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80552" w:rsidRDefault="00664678" w:rsidP="00664678">
            <w:p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[7</w:t>
            </w:r>
            <w:r w:rsidR="00E80552">
              <w:rPr>
                <w:rFonts w:ascii="Arial" w:hAnsi="Arial" w:cs="Arial"/>
                <w:sz w:val="24"/>
                <w:szCs w:val="24"/>
              </w:rPr>
              <w:t xml:space="preserve">]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552">
              <w:rPr>
                <w:rFonts w:ascii="Arial" w:hAnsi="Arial" w:cs="Arial"/>
                <w:sz w:val="24"/>
                <w:szCs w:val="24"/>
              </w:rPr>
              <w:t xml:space="preserve">According to the accused, 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he consulted with the public prosecutor to enquire whether he 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982D04">
              <w:rPr>
                <w:rFonts w:ascii="Arial" w:hAnsi="Arial" w:cs="Arial"/>
                <w:sz w:val="24"/>
                <w:szCs w:val="24"/>
              </w:rPr>
              <w:t>pay an admission of guilt fine. The prosecutor informed him that he c</w:t>
            </w:r>
            <w:r w:rsidR="00121B67">
              <w:rPr>
                <w:rFonts w:ascii="Arial" w:hAnsi="Arial" w:cs="Arial"/>
                <w:sz w:val="24"/>
                <w:szCs w:val="24"/>
              </w:rPr>
              <w:t>ould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 pay an 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admission of guilt fine even though </w:t>
            </w:r>
            <w:r w:rsidR="00982D04">
              <w:rPr>
                <w:rFonts w:ascii="Arial" w:hAnsi="Arial" w:cs="Arial"/>
                <w:sz w:val="24"/>
                <w:szCs w:val="24"/>
              </w:rPr>
              <w:t>he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 has already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 pleaded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 to the charge</w:t>
            </w:r>
            <w:r w:rsidR="00244B02">
              <w:rPr>
                <w:rFonts w:ascii="Arial" w:hAnsi="Arial" w:cs="Arial"/>
                <w:sz w:val="24"/>
                <w:szCs w:val="24"/>
              </w:rPr>
              <w:t xml:space="preserve"> during his second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 appearance. He was further advised by the prosecutor to retur</w:t>
            </w:r>
            <w:r w:rsidR="00121B67">
              <w:rPr>
                <w:rFonts w:ascii="Arial" w:hAnsi="Arial" w:cs="Arial"/>
                <w:sz w:val="24"/>
                <w:szCs w:val="24"/>
              </w:rPr>
              <w:t>n to court on 9 January 2023 in order to have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 the matter to be struck from the roll. Accused</w:t>
            </w:r>
            <w:r w:rsidR="00244B02">
              <w:rPr>
                <w:rFonts w:ascii="Arial" w:hAnsi="Arial" w:cs="Arial"/>
                <w:sz w:val="24"/>
                <w:szCs w:val="24"/>
              </w:rPr>
              <w:t>,</w:t>
            </w:r>
            <w:r w:rsidR="00982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B67">
              <w:rPr>
                <w:rFonts w:ascii="Arial" w:hAnsi="Arial" w:cs="Arial"/>
                <w:sz w:val="24"/>
                <w:szCs w:val="24"/>
              </w:rPr>
              <w:t>however</w:t>
            </w:r>
            <w:r w:rsidR="00244B02">
              <w:rPr>
                <w:rFonts w:ascii="Arial" w:hAnsi="Arial" w:cs="Arial"/>
                <w:sz w:val="24"/>
                <w:szCs w:val="24"/>
              </w:rPr>
              <w:t>,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D04">
              <w:rPr>
                <w:rFonts w:ascii="Arial" w:hAnsi="Arial" w:cs="Arial"/>
                <w:sz w:val="24"/>
                <w:szCs w:val="24"/>
              </w:rPr>
              <w:t>proceeded to the clerk of court and paid an admission of guilt fine in the amount of N$ 2000.</w:t>
            </w:r>
          </w:p>
          <w:p w:rsidR="007E0C7C" w:rsidRDefault="007E0C7C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D04" w:rsidRDefault="00664678" w:rsidP="00664678">
            <w:p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[8</w:t>
            </w:r>
            <w:r w:rsidR="007E0C7C">
              <w:rPr>
                <w:rFonts w:ascii="Arial" w:hAnsi="Arial" w:cs="Arial"/>
                <w:sz w:val="24"/>
                <w:szCs w:val="24"/>
              </w:rPr>
              <w:t xml:space="preserve">]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1B67">
              <w:rPr>
                <w:rFonts w:ascii="Arial" w:hAnsi="Arial" w:cs="Arial"/>
                <w:sz w:val="24"/>
                <w:szCs w:val="24"/>
              </w:rPr>
              <w:t xml:space="preserve">From the record of proceedings, </w:t>
            </w:r>
            <w:r w:rsidR="00121B6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>t is clear that t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>he prosecutor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did not go through the record before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advising the accused person to pay the admission of guilt fine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121B67">
              <w:rPr>
                <w:rFonts w:ascii="Arial" w:hAnsi="Arial" w:cs="Arial"/>
                <w:sz w:val="24"/>
                <w:szCs w:val="24"/>
                <w:lang w:val="en-US"/>
              </w:rPr>
              <w:t>The prosecutor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conceded that the accused </w:t>
            </w:r>
            <w:r w:rsidR="00121B67">
              <w:rPr>
                <w:rFonts w:ascii="Arial" w:hAnsi="Arial" w:cs="Arial"/>
                <w:sz w:val="24"/>
                <w:szCs w:val="24"/>
                <w:lang w:val="en-US"/>
              </w:rPr>
              <w:t xml:space="preserve">had 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>pleaded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not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guilty </w:t>
            </w:r>
            <w:r w:rsidR="00244B02">
              <w:rPr>
                <w:rFonts w:ascii="Arial" w:hAnsi="Arial" w:cs="Arial"/>
                <w:sz w:val="24"/>
                <w:szCs w:val="24"/>
                <w:lang w:val="en-US"/>
              </w:rPr>
              <w:t>on his second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appearance</w:t>
            </w:r>
            <w:r w:rsidR="00244B0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21B67">
              <w:rPr>
                <w:rFonts w:ascii="Arial" w:hAnsi="Arial" w:cs="Arial"/>
                <w:sz w:val="24"/>
                <w:szCs w:val="24"/>
                <w:lang w:val="en-US"/>
              </w:rPr>
              <w:t xml:space="preserve">therefore </w:t>
            </w:r>
            <w:r w:rsidR="007E0C7C">
              <w:rPr>
                <w:rFonts w:ascii="Arial" w:hAnsi="Arial" w:cs="Arial"/>
                <w:sz w:val="24"/>
                <w:szCs w:val="24"/>
                <w:lang w:val="en-US"/>
              </w:rPr>
              <w:t>the withdrawal of the case was no longer possible</w:t>
            </w:r>
            <w:r w:rsidR="001E2DF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The </w:t>
            </w:r>
            <w:r w:rsidR="001E2DFC">
              <w:rPr>
                <w:rFonts w:ascii="Arial" w:hAnsi="Arial" w:cs="Arial"/>
                <w:sz w:val="24"/>
                <w:szCs w:val="24"/>
                <w:lang w:val="en-US"/>
              </w:rPr>
              <w:t xml:space="preserve">admission of guilt fine </w:t>
            </w:r>
            <w:r w:rsidR="00121B67">
              <w:rPr>
                <w:rFonts w:ascii="Arial" w:hAnsi="Arial" w:cs="Arial"/>
                <w:sz w:val="24"/>
                <w:szCs w:val="24"/>
                <w:lang w:val="en-US"/>
              </w:rPr>
              <w:t>should</w:t>
            </w:r>
            <w:r w:rsidR="007E0C7C" w:rsidRPr="007E0C7C">
              <w:rPr>
                <w:rFonts w:ascii="Arial" w:hAnsi="Arial" w:cs="Arial"/>
                <w:sz w:val="24"/>
                <w:szCs w:val="24"/>
                <w:lang w:val="en-US"/>
              </w:rPr>
              <w:t xml:space="preserve"> to be set aside.</w:t>
            </w:r>
          </w:p>
          <w:p w:rsidR="00410ABA" w:rsidRDefault="00410ABA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0ABA" w:rsidRDefault="00664678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[9</w:t>
            </w:r>
            <w:r w:rsidR="00410ABA">
              <w:rPr>
                <w:rFonts w:ascii="Arial" w:hAnsi="Arial" w:cs="Arial"/>
                <w:sz w:val="24"/>
                <w:szCs w:val="24"/>
              </w:rPr>
              <w:t xml:space="preserve">]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ABA">
              <w:rPr>
                <w:rFonts w:ascii="Arial" w:hAnsi="Arial" w:cs="Arial"/>
                <w:sz w:val="24"/>
                <w:szCs w:val="24"/>
              </w:rPr>
              <w:t>In the result, the following orders are made:</w:t>
            </w:r>
          </w:p>
          <w:p w:rsidR="00410ABA" w:rsidRDefault="00410ABA" w:rsidP="00181A17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0ABA" w:rsidRDefault="00410ABA" w:rsidP="00121B67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B6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21B67" w:rsidRPr="00121B67">
              <w:rPr>
                <w:rFonts w:ascii="Arial" w:hAnsi="Arial" w:cs="Arial"/>
                <w:sz w:val="24"/>
                <w:szCs w:val="24"/>
              </w:rPr>
              <w:t xml:space="preserve">payment of the </w:t>
            </w:r>
            <w:r w:rsidRPr="00121B67">
              <w:rPr>
                <w:rFonts w:ascii="Arial" w:hAnsi="Arial" w:cs="Arial"/>
                <w:sz w:val="24"/>
                <w:szCs w:val="24"/>
              </w:rPr>
              <w:t>admission of guilt is set aside.</w:t>
            </w:r>
          </w:p>
          <w:p w:rsidR="00121B67" w:rsidRPr="00121B67" w:rsidRDefault="00121B67" w:rsidP="00121B67">
            <w:pPr>
              <w:pStyle w:val="ListParagraph"/>
              <w:tabs>
                <w:tab w:val="left" w:pos="577"/>
                <w:tab w:val="left" w:pos="738"/>
              </w:tabs>
              <w:spacing w:line="360" w:lineRule="auto"/>
              <w:ind w:left="9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08C4" w:rsidRDefault="00121B67" w:rsidP="00121B67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fine in the amount of N$2000 paid as a</w:t>
            </w:r>
            <w:r w:rsidR="00CC08C4">
              <w:rPr>
                <w:rFonts w:ascii="Arial" w:hAnsi="Arial" w:cs="Arial"/>
                <w:sz w:val="24"/>
                <w:szCs w:val="24"/>
              </w:rPr>
              <w:t>dmission of guilt fine is to be</w:t>
            </w:r>
          </w:p>
          <w:p w:rsidR="00121B67" w:rsidRPr="00CC08C4" w:rsidRDefault="00CC08C4" w:rsidP="00CC08C4">
            <w:p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121B67" w:rsidRPr="00CC08C4">
              <w:rPr>
                <w:rFonts w:ascii="Arial" w:hAnsi="Arial" w:cs="Arial"/>
                <w:sz w:val="24"/>
                <w:szCs w:val="24"/>
              </w:rPr>
              <w:t>refunded</w:t>
            </w:r>
            <w:proofErr w:type="gramEnd"/>
            <w:r w:rsidR="00121B67" w:rsidRPr="00CC08C4">
              <w:rPr>
                <w:rFonts w:ascii="Arial" w:hAnsi="Arial" w:cs="Arial"/>
                <w:sz w:val="24"/>
                <w:szCs w:val="24"/>
              </w:rPr>
              <w:t xml:space="preserve"> to the accused herein.</w:t>
            </w:r>
          </w:p>
          <w:p w:rsidR="00121B67" w:rsidRPr="00121B67" w:rsidRDefault="00121B67" w:rsidP="00121B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10ABA" w:rsidRPr="00121B67" w:rsidRDefault="00410ABA" w:rsidP="00410ABA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  <w:tab w:val="left" w:pos="7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B67">
              <w:rPr>
                <w:rFonts w:ascii="Arial" w:hAnsi="Arial" w:cs="Arial"/>
                <w:sz w:val="24"/>
                <w:szCs w:val="24"/>
              </w:rPr>
              <w:t xml:space="preserve">The matter is remitted back to the magistrate, to </w:t>
            </w:r>
            <w:r w:rsidR="00121B67" w:rsidRPr="00121B67">
              <w:rPr>
                <w:rFonts w:ascii="Arial" w:hAnsi="Arial" w:cs="Arial"/>
                <w:sz w:val="24"/>
                <w:szCs w:val="24"/>
              </w:rPr>
              <w:t>hear and finalise same</w:t>
            </w:r>
            <w:r w:rsidRPr="00121B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727C" w:rsidRPr="0015727C" w:rsidRDefault="0015727C" w:rsidP="0015727C">
            <w:pPr>
              <w:tabs>
                <w:tab w:val="left" w:pos="59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ABA" w:rsidTr="00410ABA">
        <w:trPr>
          <w:trHeight w:val="801"/>
        </w:trPr>
        <w:tc>
          <w:tcPr>
            <w:tcW w:w="4140" w:type="dxa"/>
          </w:tcPr>
          <w:p w:rsidR="00410ABA" w:rsidRDefault="00CC08C4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410ABA" w:rsidRDefault="00410ABA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10ABA" w:rsidRDefault="00410AB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ABA" w:rsidRDefault="00410ABA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ABA" w:rsidTr="00410ABA">
        <w:trPr>
          <w:trHeight w:val="840"/>
        </w:trPr>
        <w:tc>
          <w:tcPr>
            <w:tcW w:w="4140" w:type="dxa"/>
          </w:tcPr>
          <w:p w:rsidR="00410ABA" w:rsidRDefault="00410ABA" w:rsidP="00410A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ABA" w:rsidRPr="00410ABA" w:rsidRDefault="00410ABA" w:rsidP="00410A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ABA">
              <w:rPr>
                <w:rFonts w:ascii="Arial" w:hAnsi="Arial" w:cs="Arial"/>
                <w:b/>
                <w:sz w:val="24"/>
                <w:szCs w:val="24"/>
              </w:rPr>
              <w:t>D USIKU</w:t>
            </w:r>
          </w:p>
          <w:p w:rsidR="00410ABA" w:rsidRDefault="00410ABA" w:rsidP="00410A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ABA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  <w:p w:rsidR="00410ABA" w:rsidRDefault="00410ABA" w:rsidP="001572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10ABA" w:rsidRDefault="00410AB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ABA" w:rsidRDefault="0036064F" w:rsidP="00410A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 C </w:t>
            </w:r>
            <w:r w:rsidR="00410ABA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  <w:p w:rsidR="00410ABA" w:rsidRDefault="00410ABA" w:rsidP="00410A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0C5373" w:rsidRPr="0018713C" w:rsidRDefault="000C5373" w:rsidP="000C53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E72" w:rsidRDefault="009E2E72"/>
    <w:sectPr w:rsidR="009E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5F" w:rsidRDefault="0032265F" w:rsidP="00502FD7">
      <w:pPr>
        <w:spacing w:after="0" w:line="240" w:lineRule="auto"/>
      </w:pPr>
      <w:r>
        <w:separator/>
      </w:r>
    </w:p>
  </w:endnote>
  <w:endnote w:type="continuationSeparator" w:id="0">
    <w:p w:rsidR="0032265F" w:rsidRDefault="0032265F" w:rsidP="005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5F" w:rsidRDefault="0032265F" w:rsidP="00502FD7">
      <w:pPr>
        <w:spacing w:after="0" w:line="240" w:lineRule="auto"/>
      </w:pPr>
      <w:r>
        <w:separator/>
      </w:r>
    </w:p>
  </w:footnote>
  <w:footnote w:type="continuationSeparator" w:id="0">
    <w:p w:rsidR="0032265F" w:rsidRDefault="0032265F" w:rsidP="00502FD7">
      <w:pPr>
        <w:spacing w:after="0" w:line="240" w:lineRule="auto"/>
      </w:pPr>
      <w:r>
        <w:continuationSeparator/>
      </w:r>
    </w:p>
  </w:footnote>
  <w:footnote w:id="1">
    <w:p w:rsidR="00502FD7" w:rsidRPr="00502FD7" w:rsidRDefault="00502FD7">
      <w:pPr>
        <w:pStyle w:val="FootnoteText"/>
        <w:rPr>
          <w:rFonts w:ascii="Arial" w:hAnsi="Arial" w:cs="Arial"/>
          <w:lang w:val="en-US"/>
        </w:rPr>
      </w:pPr>
      <w:r w:rsidRPr="00502FD7">
        <w:rPr>
          <w:rStyle w:val="FootnoteReference"/>
          <w:rFonts w:ascii="Arial" w:hAnsi="Arial" w:cs="Arial"/>
        </w:rPr>
        <w:footnoteRef/>
      </w:r>
      <w:r w:rsidRPr="00502FD7">
        <w:rPr>
          <w:rFonts w:ascii="Arial" w:hAnsi="Arial" w:cs="Arial"/>
        </w:rPr>
        <w:t xml:space="preserve"> </w:t>
      </w:r>
      <w:r w:rsidRPr="00502FD7">
        <w:rPr>
          <w:rFonts w:ascii="Arial" w:hAnsi="Arial" w:cs="Arial"/>
          <w:lang w:val="en-US"/>
        </w:rPr>
        <w:t>S 57(a) Criminal Procedure Act 51 of 1977, as amended.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8F8"/>
    <w:multiLevelType w:val="hybridMultilevel"/>
    <w:tmpl w:val="23CCA7C8"/>
    <w:lvl w:ilvl="0" w:tplc="73FA9E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5FB2"/>
    <w:multiLevelType w:val="hybridMultilevel"/>
    <w:tmpl w:val="CC8E0B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3"/>
    <w:rsid w:val="000C5373"/>
    <w:rsid w:val="00121B67"/>
    <w:rsid w:val="0015727C"/>
    <w:rsid w:val="00181A17"/>
    <w:rsid w:val="001E2DFC"/>
    <w:rsid w:val="002364B4"/>
    <w:rsid w:val="00244B02"/>
    <w:rsid w:val="0032265F"/>
    <w:rsid w:val="0036064F"/>
    <w:rsid w:val="00410ABA"/>
    <w:rsid w:val="00502FD7"/>
    <w:rsid w:val="005E25EE"/>
    <w:rsid w:val="0065538B"/>
    <w:rsid w:val="00664678"/>
    <w:rsid w:val="007E0C7C"/>
    <w:rsid w:val="00875046"/>
    <w:rsid w:val="00982D04"/>
    <w:rsid w:val="009E2E72"/>
    <w:rsid w:val="00A8597F"/>
    <w:rsid w:val="00B665E8"/>
    <w:rsid w:val="00BA5171"/>
    <w:rsid w:val="00BF07CC"/>
    <w:rsid w:val="00C1239D"/>
    <w:rsid w:val="00CB5E1A"/>
    <w:rsid w:val="00CC08C4"/>
    <w:rsid w:val="00CE0D1B"/>
    <w:rsid w:val="00D056D0"/>
    <w:rsid w:val="00DC44EF"/>
    <w:rsid w:val="00E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A202-94BE-4CE9-B673-0A5086C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7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2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2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FD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F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2023-04-26T18:30:00+00:00</Judgment_x0020_Date>
  </documentManagement>
</p:properties>
</file>

<file path=customXml/itemProps1.xml><?xml version="1.0" encoding="utf-8"?>
<ds:datastoreItem xmlns:ds="http://schemas.openxmlformats.org/officeDocument/2006/customXml" ds:itemID="{94C9FF0D-8B79-4C10-8305-5C9314D1EA22}"/>
</file>

<file path=customXml/itemProps2.xml><?xml version="1.0" encoding="utf-8"?>
<ds:datastoreItem xmlns:ds="http://schemas.openxmlformats.org/officeDocument/2006/customXml" ds:itemID="{8FF7DFFA-936B-452D-9B6C-5BE89AAF22F6}"/>
</file>

<file path=customXml/itemProps3.xml><?xml version="1.0" encoding="utf-8"?>
<ds:datastoreItem xmlns:ds="http://schemas.openxmlformats.org/officeDocument/2006/customXml" ds:itemID="{80E230F4-4911-4736-8D2D-1CD1E3A88B3F}"/>
</file>

<file path=customXml/itemProps4.xml><?xml version="1.0" encoding="utf-8"?>
<ds:datastoreItem xmlns:ds="http://schemas.openxmlformats.org/officeDocument/2006/customXml" ds:itemID="{43EB3F1C-151E-4E4D-B3FE-548CB11B5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Ndala (CR 51-2023) [2023] NAHCMD 227 (27 April 2023)</dc:title>
  <dc:subject/>
  <dc:creator>Emilia Mulunga</dc:creator>
  <cp:keywords/>
  <dc:description/>
  <cp:lastModifiedBy>Collins Omalu</cp:lastModifiedBy>
  <cp:revision>5</cp:revision>
  <cp:lastPrinted>2023-04-27T10:06:00Z</cp:lastPrinted>
  <dcterms:created xsi:type="dcterms:W3CDTF">2023-04-17T14:26:00Z</dcterms:created>
  <dcterms:modified xsi:type="dcterms:W3CDTF">2023-04-28T06:31:00Z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