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88" w:rsidRPr="00C96E61" w:rsidRDefault="00843F88" w:rsidP="00843F88">
      <w:pPr>
        <w:spacing w:after="0" w:line="360" w:lineRule="auto"/>
        <w:contextualSpacing/>
        <w:jc w:val="center"/>
        <w:rPr>
          <w:rFonts w:ascii="Arial" w:eastAsia="Times New Roman" w:hAnsi="Arial" w:cs="Arial"/>
          <w:b/>
          <w:spacing w:val="-10"/>
          <w:kern w:val="28"/>
          <w:sz w:val="24"/>
          <w:szCs w:val="24"/>
        </w:rPr>
      </w:pPr>
      <w:r w:rsidRPr="00C96E61">
        <w:rPr>
          <w:rFonts w:ascii="Arial" w:eastAsia="Times New Roman" w:hAnsi="Arial" w:cs="Arial"/>
          <w:noProof/>
          <w:spacing w:val="-10"/>
          <w:kern w:val="28"/>
          <w:sz w:val="24"/>
          <w:szCs w:val="24"/>
        </w:rPr>
        <mc:AlternateContent>
          <mc:Choice Requires="wps">
            <w:drawing>
              <wp:anchor distT="0" distB="0" distL="114300" distR="114300" simplePos="0" relativeHeight="251659264" behindDoc="0" locked="0" layoutInCell="1" allowOverlap="1" wp14:anchorId="7859FB7F" wp14:editId="2F124055">
                <wp:simplePos x="0" y="0"/>
                <wp:positionH relativeFrom="column">
                  <wp:posOffset>4324350</wp:posOffset>
                </wp:positionH>
                <wp:positionV relativeFrom="paragraph">
                  <wp:posOffset>-57150</wp:posOffset>
                </wp:positionV>
                <wp:extent cx="1790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ysClr val="window" lastClr="FFFFFF">
                              <a:lumMod val="100000"/>
                              <a:lumOff val="0"/>
                            </a:sysClr>
                          </a:solidFill>
                          <a:miter lim="800000"/>
                          <a:headEnd/>
                          <a:tailEnd/>
                        </a:ln>
                      </wps:spPr>
                      <wps:txbx>
                        <w:txbxContent>
                          <w:p w:rsidR="00843F88" w:rsidRPr="00AA6FF4" w:rsidRDefault="00843F88" w:rsidP="00843F88">
                            <w:pPr>
                              <w:rPr>
                                <w:rFonts w:ascii="Arial" w:hAnsi="Arial" w:cs="Arial"/>
                                <w:sz w:val="24"/>
                                <w:szCs w:val="24"/>
                              </w:rPr>
                            </w:pPr>
                            <w:r>
                              <w:rPr>
                                <w:rFonts w:ascii="Arial" w:hAnsi="Arial" w:cs="Arial"/>
                                <w:sz w:val="24"/>
                                <w:szCs w:val="24"/>
                              </w:rPr>
                              <w:t xml:space="preserve"> RRRRRREPORTABLE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59FB7F" id="_x0000_t202" coordsize="21600,21600" o:spt="202" path="m,l,21600r21600,l21600,xe">
                <v:stroke joinstyle="miter"/>
                <v:path gradientshapeok="t" o:connecttype="rect"/>
              </v:shapetype>
              <v:shape id="Text Box 2" o:spid="_x0000_s1026" type="#_x0000_t202" style="position:absolute;left:0;text-align:left;margin-left:340.5pt;margin-top:-4.5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sBSwIAAJUEAAAOAAAAZHJzL2Uyb0RvYy54bWysVFtv2yAUfp+0/4B4X+xYSdNacaouXaZJ&#10;3UVq9wMIxjEacBiQ2Nmv3wHSLO3epvkBcS585/Kd4+XtqBU5COclmIZOJyUlwnBopdk19PvT5t01&#10;JT4w0zIFRjT0KDy9Xb19sxxsLSroQbXCEQQxvh5sQ/sQbF0UnvdCMz8BKwwaO3CaBRTdrmgdGxBd&#10;q6Iqy6tiANdaB1x4j9r7bKSrhN91goevXedFIKqhmFtIp0vnNp7FasnqnWO2l/yUBvuHLDSTBoOe&#10;oe5ZYGTv5F9QWnIHHrow4aAL6DrJRaoBq5mWr6p57JkVqRZsjrfnNvn/B8u/HL45ItuGVpQYppGi&#10;JzEG8h5GUsXuDNbX6PRo0S2MqEaWU6XePgD/4YmBdc/MTtw5B0MvWIvZTePL4uJpxvERZDt8hhbD&#10;sH2ABDR2TsfWYTMIoiNLxzMzMRUeQy5uykWJJo62ara4mifqClY/v7bOh48CNImXhjpkPqGzw4MP&#10;MRtWP7vEYB6UbDdSqSS43XatHDkwnJJN+lIBr9yUIUNDb+bVPDfgBcTRnxFwPFsYKFHMB1SeIWMo&#10;tddYfo40LeOXRxD1OKhZ/1yaT5gp9RfpahlwZ5TUDb2+gIi9/2DaNNGBSZXvWLcyJzJi/zMTYdyO&#10;J3K30B6RFgd5N3CX8dKD+0XJgHvRUP9zz5zAcj4ZpPZmOpvFRUrCbL6oUHCXlu2lhRmOUA0NlOTr&#10;OuTl21sndz1GysNk4A7HoZOJqTg3OatT3jj7qQunPY3LdSknrz9/k9VvAAAA//8DAFBLAwQUAAYA&#10;CAAAACEAiRn6kN4AAAAJAQAADwAAAGRycy9kb3ducmV2LnhtbEyPQW/CMAyF75P4D5GRdpkgoUgV&#10;dHURQpt2hu2yW2hMW61J2ibQsl8/77SdbOs9PX8v3022FTcaQuMdwmqpQJArvWlchfDx/rrYgAhR&#10;O6Nb7wjhTgF2xewh15nxozvS7RQrwSEuZBqhjrHLpAxlTVaHpe/IsXbxg9WRz6GSZtAjh9tWJkql&#10;0urG8Ydad3Soqfw6XS2CH1/u1lOvkqfPb/t22PfHS9IjPs6n/TOISFP8M8MvPqNDwUxnf3UmiBYh&#10;3ay4S0RYbHmyYZuueTkjrJUCWeTyf4PiBwAA//8DAFBLAQItABQABgAIAAAAIQC2gziS/gAAAOEB&#10;AAATAAAAAAAAAAAAAAAAAAAAAABbQ29udGVudF9UeXBlc10ueG1sUEsBAi0AFAAGAAgAAAAhADj9&#10;If/WAAAAlAEAAAsAAAAAAAAAAAAAAAAALwEAAF9yZWxzLy5yZWxzUEsBAi0AFAAGAAgAAAAhABnL&#10;KwFLAgAAlQQAAA4AAAAAAAAAAAAAAAAALgIAAGRycy9lMm9Eb2MueG1sUEsBAi0AFAAGAAgAAAAh&#10;AIkZ+pDeAAAACQEAAA8AAAAAAAAAAAAAAAAApQQAAGRycy9kb3ducmV2LnhtbFBLBQYAAAAABAAE&#10;APMAAACwBQAAAAA=&#10;" strokecolor="white">
                <v:textbox>
                  <w:txbxContent>
                    <w:p w:rsidR="00843F88" w:rsidRPr="00AA6FF4" w:rsidRDefault="00843F88" w:rsidP="00843F88">
                      <w:pPr>
                        <w:rPr>
                          <w:rFonts w:ascii="Arial" w:hAnsi="Arial" w:cs="Arial"/>
                          <w:sz w:val="24"/>
                          <w:szCs w:val="24"/>
                        </w:rPr>
                      </w:pPr>
                      <w:r>
                        <w:rPr>
                          <w:rFonts w:ascii="Arial" w:hAnsi="Arial" w:cs="Arial"/>
                          <w:sz w:val="24"/>
                          <w:szCs w:val="24"/>
                        </w:rPr>
                        <w:t xml:space="preserve"> RRRRRREPORTABLE</w:t>
                      </w:r>
                    </w:p>
                  </w:txbxContent>
                </v:textbox>
              </v:shape>
            </w:pict>
          </mc:Fallback>
        </mc:AlternateContent>
      </w:r>
      <w:r w:rsidRPr="00C96E61">
        <w:rPr>
          <w:rFonts w:ascii="Arial" w:eastAsia="Times New Roman" w:hAnsi="Arial" w:cs="Arial"/>
          <w:b/>
          <w:spacing w:val="-10"/>
          <w:kern w:val="28"/>
          <w:sz w:val="24"/>
          <w:szCs w:val="24"/>
        </w:rPr>
        <w:t>REPUBLIC OF NAMIBIA</w:t>
      </w:r>
    </w:p>
    <w:p w:rsidR="00843F88" w:rsidRPr="00C96E61" w:rsidRDefault="00843F88" w:rsidP="00843F88">
      <w:pPr>
        <w:spacing w:after="0" w:line="360" w:lineRule="auto"/>
        <w:jc w:val="center"/>
        <w:rPr>
          <w:rFonts w:ascii="Arial" w:eastAsia="Calibri" w:hAnsi="Arial" w:cs="Arial"/>
          <w:b/>
          <w:sz w:val="28"/>
          <w:szCs w:val="32"/>
        </w:rPr>
      </w:pPr>
      <w:r w:rsidRPr="00C96E61">
        <w:rPr>
          <w:rFonts w:ascii="Arial" w:eastAsia="Calibri" w:hAnsi="Arial" w:cs="Arial"/>
          <w:noProof/>
          <w:sz w:val="24"/>
          <w:szCs w:val="24"/>
        </w:rPr>
        <w:drawing>
          <wp:inline distT="0" distB="0" distL="0" distR="0" wp14:anchorId="6A3AC6D5" wp14:editId="6BEABDEE">
            <wp:extent cx="1192209"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209" cy="1247775"/>
                    </a:xfrm>
                    <a:prstGeom prst="rect">
                      <a:avLst/>
                    </a:prstGeom>
                    <a:noFill/>
                  </pic:spPr>
                </pic:pic>
              </a:graphicData>
            </a:graphic>
          </wp:inline>
        </w:drawing>
      </w:r>
    </w:p>
    <w:p w:rsidR="00843F88" w:rsidRPr="00C96E61" w:rsidRDefault="00843F88" w:rsidP="00843F88">
      <w:pPr>
        <w:spacing w:after="0" w:line="360" w:lineRule="auto"/>
        <w:jc w:val="center"/>
        <w:rPr>
          <w:rFonts w:ascii="Arial" w:eastAsia="Calibri" w:hAnsi="Arial" w:cs="Arial"/>
          <w:bCs/>
          <w:sz w:val="24"/>
          <w:szCs w:val="24"/>
        </w:rPr>
      </w:pPr>
      <w:r w:rsidRPr="00C96E61">
        <w:rPr>
          <w:rFonts w:ascii="Arial" w:eastAsia="Calibri" w:hAnsi="Arial" w:cs="Arial"/>
          <w:b/>
          <w:sz w:val="24"/>
          <w:szCs w:val="24"/>
        </w:rPr>
        <w:t>HIGH COURT OF NAMIBIA MAIN DIVISION, WINDHOEK</w:t>
      </w:r>
    </w:p>
    <w:p w:rsidR="00843F88" w:rsidRPr="00C96E61" w:rsidRDefault="00843F88" w:rsidP="00843F88">
      <w:pPr>
        <w:spacing w:after="0" w:line="360" w:lineRule="auto"/>
        <w:jc w:val="center"/>
        <w:rPr>
          <w:rFonts w:ascii="Arial" w:eastAsia="Calibri" w:hAnsi="Arial" w:cs="Arial"/>
          <w:b/>
          <w:sz w:val="24"/>
          <w:szCs w:val="24"/>
        </w:rPr>
      </w:pPr>
      <w:r w:rsidRPr="00C96E61">
        <w:rPr>
          <w:rFonts w:ascii="Arial" w:eastAsia="Calibri" w:hAnsi="Arial" w:cs="Arial"/>
          <w:b/>
          <w:sz w:val="24"/>
          <w:szCs w:val="24"/>
        </w:rPr>
        <w:t xml:space="preserve"> </w:t>
      </w:r>
      <w:r>
        <w:rPr>
          <w:rFonts w:ascii="Arial" w:eastAsia="Calibri" w:hAnsi="Arial" w:cs="Arial"/>
          <w:b/>
          <w:sz w:val="24"/>
          <w:szCs w:val="24"/>
        </w:rPr>
        <w:t xml:space="preserve">APPEAL </w:t>
      </w:r>
      <w:r w:rsidRPr="00C96E61">
        <w:rPr>
          <w:rFonts w:ascii="Arial" w:eastAsia="Calibri" w:hAnsi="Arial" w:cs="Arial"/>
          <w:b/>
          <w:sz w:val="24"/>
          <w:szCs w:val="24"/>
        </w:rPr>
        <w:t>JUDGMENT</w:t>
      </w:r>
    </w:p>
    <w:p w:rsidR="00843F88" w:rsidRPr="00C96E61" w:rsidRDefault="00843F88" w:rsidP="00843F88">
      <w:pPr>
        <w:tabs>
          <w:tab w:val="right" w:pos="9000"/>
        </w:tabs>
        <w:spacing w:after="0" w:line="360" w:lineRule="auto"/>
        <w:jc w:val="center"/>
        <w:rPr>
          <w:rFonts w:ascii="Arial" w:eastAsia="Calibri" w:hAnsi="Arial" w:cs="Arial"/>
          <w:sz w:val="24"/>
          <w:szCs w:val="24"/>
        </w:rPr>
      </w:pPr>
    </w:p>
    <w:p w:rsidR="00843F88" w:rsidRPr="00C96E61" w:rsidRDefault="00843F88" w:rsidP="00843F88">
      <w:pPr>
        <w:tabs>
          <w:tab w:val="right" w:pos="9000"/>
        </w:tabs>
        <w:spacing w:after="0" w:line="360" w:lineRule="auto"/>
        <w:jc w:val="center"/>
        <w:rPr>
          <w:rFonts w:ascii="Arial" w:eastAsia="Calibri" w:hAnsi="Arial" w:cs="Arial"/>
          <w:sz w:val="24"/>
          <w:szCs w:val="24"/>
        </w:rPr>
      </w:pPr>
      <w:r w:rsidRPr="00C96E61">
        <w:rPr>
          <w:rFonts w:ascii="Arial" w:eastAsia="Calibri" w:hAnsi="Arial" w:cs="Arial"/>
          <w:sz w:val="24"/>
          <w:szCs w:val="24"/>
        </w:rPr>
        <w:tab/>
      </w:r>
      <w:r w:rsidRPr="00246C35">
        <w:rPr>
          <w:rFonts w:ascii="Arial" w:eastAsia="Calibri" w:hAnsi="Arial" w:cs="Arial"/>
          <w:b/>
          <w:sz w:val="24"/>
          <w:szCs w:val="24"/>
        </w:rPr>
        <w:t>CASE NO:</w:t>
      </w:r>
      <w:r w:rsidRPr="00C96E61">
        <w:rPr>
          <w:rFonts w:ascii="Arial" w:eastAsia="Calibri" w:hAnsi="Arial" w:cs="Arial"/>
          <w:sz w:val="24"/>
          <w:szCs w:val="24"/>
        </w:rPr>
        <w:t xml:space="preserve"> </w:t>
      </w:r>
      <w:r w:rsidRPr="001A28AA">
        <w:rPr>
          <w:rFonts w:ascii="Arial" w:hAnsi="Arial" w:cs="Arial"/>
          <w:sz w:val="24"/>
          <w:szCs w:val="24"/>
          <w:shd w:val="clear" w:color="auto" w:fill="FFFFFF"/>
        </w:rPr>
        <w:t>HC-MD-CRI-APP-CAL-202</w:t>
      </w:r>
      <w:r>
        <w:rPr>
          <w:rFonts w:ascii="Arial" w:hAnsi="Arial" w:cs="Arial"/>
          <w:sz w:val="24"/>
          <w:szCs w:val="24"/>
          <w:shd w:val="clear" w:color="auto" w:fill="FFFFFF"/>
        </w:rPr>
        <w:t>1/00068</w:t>
      </w:r>
    </w:p>
    <w:p w:rsidR="00843F88" w:rsidRPr="00C96E61" w:rsidRDefault="00843F88" w:rsidP="00843F88">
      <w:pPr>
        <w:spacing w:after="0" w:line="360" w:lineRule="auto"/>
        <w:rPr>
          <w:rFonts w:ascii="Arial" w:eastAsia="Calibri" w:hAnsi="Arial" w:cs="Arial"/>
          <w:sz w:val="24"/>
          <w:szCs w:val="24"/>
        </w:rPr>
      </w:pPr>
    </w:p>
    <w:p w:rsidR="00843F88" w:rsidRDefault="00843F88" w:rsidP="00843F88">
      <w:pPr>
        <w:spacing w:after="0" w:line="360" w:lineRule="auto"/>
        <w:rPr>
          <w:rFonts w:ascii="Arial" w:eastAsia="Calibri" w:hAnsi="Arial" w:cs="Arial"/>
          <w:sz w:val="24"/>
          <w:szCs w:val="24"/>
        </w:rPr>
      </w:pPr>
      <w:r w:rsidRPr="00C96E61">
        <w:rPr>
          <w:rFonts w:ascii="Arial" w:eastAsia="Calibri" w:hAnsi="Arial" w:cs="Arial"/>
          <w:sz w:val="24"/>
          <w:szCs w:val="24"/>
        </w:rPr>
        <w:t>In the matter between:</w:t>
      </w:r>
    </w:p>
    <w:p w:rsidR="00843F88" w:rsidRPr="00C96E61" w:rsidRDefault="00843F88" w:rsidP="00843F88">
      <w:pPr>
        <w:spacing w:after="0" w:line="360" w:lineRule="auto"/>
        <w:rPr>
          <w:rFonts w:ascii="Arial" w:eastAsia="Calibri" w:hAnsi="Arial" w:cs="Arial"/>
          <w:sz w:val="24"/>
          <w:szCs w:val="24"/>
        </w:rPr>
      </w:pPr>
    </w:p>
    <w:p w:rsidR="00843F88" w:rsidRDefault="00843F88" w:rsidP="00843F88">
      <w:pPr>
        <w:spacing w:after="0" w:line="360" w:lineRule="auto"/>
        <w:rPr>
          <w:rFonts w:ascii="Arial" w:eastAsia="Calibri" w:hAnsi="Arial" w:cs="Arial"/>
          <w:b/>
          <w:sz w:val="24"/>
          <w:szCs w:val="24"/>
        </w:rPr>
      </w:pPr>
      <w:r>
        <w:rPr>
          <w:rFonts w:ascii="Arial" w:eastAsia="Calibri" w:hAnsi="Arial" w:cs="Arial"/>
          <w:b/>
          <w:sz w:val="24"/>
          <w:szCs w:val="24"/>
        </w:rPr>
        <w:t>WILLIAM IMMANUEL</w:t>
      </w:r>
    </w:p>
    <w:p w:rsidR="00843F88" w:rsidRDefault="00843F88" w:rsidP="00843F88">
      <w:pPr>
        <w:spacing w:after="0" w:line="360" w:lineRule="auto"/>
        <w:rPr>
          <w:rFonts w:ascii="Arial" w:eastAsia="Calibri" w:hAnsi="Arial" w:cs="Arial"/>
          <w:b/>
          <w:sz w:val="24"/>
          <w:szCs w:val="24"/>
        </w:rPr>
      </w:pPr>
      <w:r>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t xml:space="preserve">                                                                      </w:t>
      </w:r>
      <w:r w:rsidRPr="00C96E61">
        <w:rPr>
          <w:rFonts w:ascii="Arial" w:eastAsia="Calibri" w:hAnsi="Arial" w:cs="Arial"/>
          <w:b/>
          <w:sz w:val="24"/>
          <w:szCs w:val="24"/>
        </w:rPr>
        <w:t>APPELLANT</w:t>
      </w:r>
    </w:p>
    <w:p w:rsidR="00843F88" w:rsidRDefault="00843F88" w:rsidP="00843F88">
      <w:pPr>
        <w:spacing w:after="0" w:line="360" w:lineRule="auto"/>
        <w:rPr>
          <w:rFonts w:ascii="Arial" w:eastAsia="Calibri" w:hAnsi="Arial" w:cs="Arial"/>
          <w:b/>
          <w:sz w:val="24"/>
          <w:szCs w:val="24"/>
        </w:rPr>
      </w:pPr>
      <w:proofErr w:type="gramStart"/>
      <w:r>
        <w:rPr>
          <w:rFonts w:ascii="Arial" w:eastAsia="Calibri" w:hAnsi="Arial" w:cs="Arial"/>
          <w:b/>
          <w:sz w:val="24"/>
          <w:szCs w:val="24"/>
        </w:rPr>
        <w:t>a</w:t>
      </w:r>
      <w:r w:rsidRPr="00C96E61">
        <w:rPr>
          <w:rFonts w:ascii="Arial" w:eastAsia="Calibri" w:hAnsi="Arial" w:cs="Arial"/>
          <w:b/>
          <w:sz w:val="24"/>
          <w:szCs w:val="24"/>
        </w:rPr>
        <w:t>nd</w:t>
      </w:r>
      <w:proofErr w:type="gramEnd"/>
    </w:p>
    <w:p w:rsidR="00843F88" w:rsidRPr="00C96E61" w:rsidRDefault="00843F88" w:rsidP="00843F88">
      <w:pPr>
        <w:spacing w:after="0" w:line="360" w:lineRule="auto"/>
        <w:rPr>
          <w:rFonts w:ascii="Arial" w:eastAsia="Calibri" w:hAnsi="Arial" w:cs="Arial"/>
          <w:b/>
          <w:sz w:val="24"/>
          <w:szCs w:val="24"/>
        </w:rPr>
      </w:pPr>
    </w:p>
    <w:p w:rsidR="00843F88" w:rsidRPr="00C96E61" w:rsidRDefault="00843F88" w:rsidP="00843F88">
      <w:pPr>
        <w:keepNext/>
        <w:tabs>
          <w:tab w:val="right" w:pos="9000"/>
        </w:tabs>
        <w:spacing w:after="0" w:line="360" w:lineRule="auto"/>
        <w:jc w:val="both"/>
        <w:outlineLvl w:val="3"/>
        <w:rPr>
          <w:rFonts w:ascii="Arial" w:eastAsia="Times New Roman" w:hAnsi="Arial" w:cs="Arial"/>
          <w:b/>
          <w:sz w:val="24"/>
          <w:szCs w:val="24"/>
          <w:lang w:val="en-GB"/>
        </w:rPr>
      </w:pPr>
      <w:r w:rsidRPr="00C96E61">
        <w:rPr>
          <w:rFonts w:ascii="Arial" w:eastAsia="Times New Roman" w:hAnsi="Arial" w:cs="Arial"/>
          <w:b/>
          <w:sz w:val="24"/>
          <w:szCs w:val="24"/>
          <w:lang w:val="en-GB"/>
        </w:rPr>
        <w:t xml:space="preserve">THE STATE                                                                                         </w:t>
      </w:r>
      <w:r>
        <w:rPr>
          <w:rFonts w:ascii="Arial" w:eastAsia="Times New Roman" w:hAnsi="Arial" w:cs="Arial"/>
          <w:b/>
          <w:sz w:val="24"/>
          <w:szCs w:val="24"/>
          <w:lang w:val="en-GB"/>
        </w:rPr>
        <w:t xml:space="preserve">    </w:t>
      </w:r>
      <w:r w:rsidRPr="00C96E61">
        <w:rPr>
          <w:rFonts w:ascii="Arial" w:eastAsia="Times New Roman" w:hAnsi="Arial" w:cs="Arial"/>
          <w:b/>
          <w:sz w:val="24"/>
          <w:szCs w:val="24"/>
          <w:lang w:val="en-GB"/>
        </w:rPr>
        <w:t>RESPONDENT</w:t>
      </w:r>
      <w:r w:rsidRPr="00C96E61">
        <w:rPr>
          <w:rFonts w:ascii="Arial" w:eastAsia="Times New Roman" w:hAnsi="Arial" w:cs="Arial"/>
          <w:b/>
          <w:sz w:val="24"/>
          <w:szCs w:val="24"/>
          <w:lang w:val="en-GB"/>
        </w:rPr>
        <w:tab/>
      </w:r>
    </w:p>
    <w:p w:rsidR="00843F88" w:rsidRPr="00C96E61" w:rsidRDefault="00843F88" w:rsidP="00843F88">
      <w:pPr>
        <w:keepNext/>
        <w:tabs>
          <w:tab w:val="right" w:pos="9000"/>
        </w:tabs>
        <w:spacing w:after="0" w:line="360" w:lineRule="auto"/>
        <w:jc w:val="both"/>
        <w:outlineLvl w:val="3"/>
        <w:rPr>
          <w:rFonts w:ascii="Arial" w:eastAsia="Times New Roman" w:hAnsi="Arial" w:cs="Arial"/>
          <w:b/>
          <w:sz w:val="24"/>
          <w:szCs w:val="24"/>
          <w:lang w:val="en-GB"/>
        </w:rPr>
      </w:pPr>
    </w:p>
    <w:p w:rsidR="00843F88" w:rsidRDefault="00843F88" w:rsidP="00843F88">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b/>
          <w:sz w:val="24"/>
          <w:szCs w:val="24"/>
          <w:lang w:val="en-GB"/>
        </w:rPr>
        <w:t xml:space="preserve">Neutral citation: </w:t>
      </w:r>
      <w:r>
        <w:rPr>
          <w:rFonts w:ascii="Arial" w:eastAsia="Calibri" w:hAnsi="Arial" w:cs="Arial"/>
          <w:i/>
          <w:sz w:val="24"/>
          <w:szCs w:val="24"/>
        </w:rPr>
        <w:t xml:space="preserve">Immanuel </w:t>
      </w:r>
      <w:r w:rsidRPr="00C96E61">
        <w:rPr>
          <w:rFonts w:ascii="Arial" w:eastAsia="Times New Roman" w:hAnsi="Arial" w:cs="Arial"/>
          <w:i/>
          <w:sz w:val="24"/>
          <w:szCs w:val="24"/>
          <w:lang w:val="en-GB"/>
        </w:rPr>
        <w:t xml:space="preserve">v S </w:t>
      </w:r>
      <w:r w:rsidR="00C92939">
        <w:rPr>
          <w:rFonts w:ascii="Arial" w:eastAsia="Times New Roman" w:hAnsi="Arial" w:cs="Arial"/>
          <w:sz w:val="24"/>
          <w:szCs w:val="24"/>
          <w:lang w:val="en-GB"/>
        </w:rPr>
        <w:t>(</w:t>
      </w:r>
      <w:r w:rsidR="00281C67">
        <w:rPr>
          <w:rFonts w:ascii="Arial" w:hAnsi="Arial" w:cs="Arial"/>
          <w:color w:val="000000" w:themeColor="text1"/>
          <w:sz w:val="24"/>
          <w:szCs w:val="24"/>
          <w:shd w:val="clear" w:color="auto" w:fill="FFFFFF"/>
        </w:rPr>
        <w:t>HC-MD-CRI-APP-CAL-2021/</w:t>
      </w:r>
      <w:r w:rsidRPr="00C92939">
        <w:rPr>
          <w:rFonts w:ascii="Arial" w:hAnsi="Arial" w:cs="Arial"/>
          <w:color w:val="000000" w:themeColor="text1"/>
          <w:sz w:val="24"/>
          <w:szCs w:val="24"/>
          <w:shd w:val="clear" w:color="auto" w:fill="FFFFFF"/>
        </w:rPr>
        <w:t>00068</w:t>
      </w:r>
      <w:r w:rsidRPr="00C96E61">
        <w:rPr>
          <w:rFonts w:ascii="Arial" w:eastAsia="Times New Roman" w:hAnsi="Arial" w:cs="Arial"/>
          <w:sz w:val="24"/>
          <w:szCs w:val="24"/>
          <w:lang w:val="en-GB"/>
        </w:rPr>
        <w:t>) [202</w:t>
      </w:r>
      <w:r>
        <w:rPr>
          <w:rFonts w:ascii="Arial" w:eastAsia="Times New Roman" w:hAnsi="Arial" w:cs="Arial"/>
          <w:sz w:val="24"/>
          <w:szCs w:val="24"/>
          <w:lang w:val="en-GB"/>
        </w:rPr>
        <w:t>3</w:t>
      </w:r>
      <w:r w:rsidRPr="00C96E61">
        <w:rPr>
          <w:rFonts w:ascii="Arial" w:eastAsia="Times New Roman" w:hAnsi="Arial" w:cs="Arial"/>
          <w:sz w:val="24"/>
          <w:szCs w:val="24"/>
          <w:lang w:val="en-GB"/>
        </w:rPr>
        <w:t xml:space="preserve">] </w:t>
      </w:r>
    </w:p>
    <w:p w:rsidR="00843F88" w:rsidRPr="00C96E61" w:rsidRDefault="00843F88" w:rsidP="00843F88">
      <w:pPr>
        <w:keepNext/>
        <w:tabs>
          <w:tab w:val="right" w:pos="9000"/>
        </w:tabs>
        <w:spacing w:after="0" w:line="360" w:lineRule="auto"/>
        <w:jc w:val="both"/>
        <w:outlineLvl w:val="3"/>
        <w:rPr>
          <w:rFonts w:ascii="Arial" w:eastAsia="Times New Roman" w:hAnsi="Arial" w:cs="Arial"/>
          <w:sz w:val="24"/>
          <w:szCs w:val="24"/>
          <w:lang w:val="en-GB"/>
        </w:rPr>
      </w:pPr>
      <w:r>
        <w:rPr>
          <w:rFonts w:ascii="Arial" w:eastAsia="Times New Roman" w:hAnsi="Arial" w:cs="Arial"/>
          <w:sz w:val="24"/>
          <w:szCs w:val="24"/>
          <w:lang w:val="en-GB"/>
        </w:rPr>
        <w:t xml:space="preserve">                             </w:t>
      </w:r>
      <w:r w:rsidR="00281C67">
        <w:rPr>
          <w:rFonts w:ascii="Arial" w:eastAsia="Times New Roman" w:hAnsi="Arial" w:cs="Arial"/>
          <w:sz w:val="24"/>
          <w:szCs w:val="24"/>
          <w:lang w:val="en-GB"/>
        </w:rPr>
        <w:t>NAHCMD 230</w:t>
      </w:r>
      <w:r w:rsidRPr="00C96E61">
        <w:rPr>
          <w:rFonts w:ascii="Arial" w:eastAsia="Times New Roman" w:hAnsi="Arial" w:cs="Arial"/>
          <w:sz w:val="24"/>
          <w:szCs w:val="24"/>
          <w:lang w:val="en-GB"/>
        </w:rPr>
        <w:t xml:space="preserve"> (</w:t>
      </w:r>
      <w:r w:rsidR="00DE132C">
        <w:rPr>
          <w:rFonts w:ascii="Arial" w:eastAsia="Times New Roman" w:hAnsi="Arial" w:cs="Arial"/>
          <w:sz w:val="24"/>
          <w:szCs w:val="24"/>
          <w:lang w:val="en-GB"/>
        </w:rPr>
        <w:t>0</w:t>
      </w:r>
      <w:r>
        <w:rPr>
          <w:rFonts w:ascii="Arial" w:eastAsia="Times New Roman" w:hAnsi="Arial" w:cs="Arial"/>
          <w:sz w:val="24"/>
          <w:szCs w:val="24"/>
          <w:lang w:val="en-GB"/>
        </w:rPr>
        <w:t xml:space="preserve">8 </w:t>
      </w:r>
      <w:r w:rsidR="00DE132C">
        <w:rPr>
          <w:rFonts w:ascii="Arial" w:eastAsia="Times New Roman" w:hAnsi="Arial" w:cs="Arial"/>
          <w:sz w:val="24"/>
          <w:szCs w:val="24"/>
          <w:lang w:val="en-GB"/>
        </w:rPr>
        <w:t>May</w:t>
      </w:r>
      <w:r>
        <w:rPr>
          <w:rFonts w:ascii="Arial" w:eastAsia="Times New Roman" w:hAnsi="Arial" w:cs="Arial"/>
          <w:sz w:val="24"/>
          <w:szCs w:val="24"/>
          <w:lang w:val="en-GB"/>
        </w:rPr>
        <w:t xml:space="preserve"> 2023</w:t>
      </w:r>
      <w:r w:rsidRPr="00C96E61">
        <w:rPr>
          <w:rFonts w:ascii="Arial" w:eastAsia="Times New Roman" w:hAnsi="Arial" w:cs="Arial"/>
          <w:sz w:val="24"/>
          <w:szCs w:val="24"/>
          <w:lang w:val="en-GB"/>
        </w:rPr>
        <w:t>)</w:t>
      </w:r>
    </w:p>
    <w:p w:rsidR="00843F88" w:rsidRPr="00C96E61" w:rsidRDefault="00843F88" w:rsidP="00843F88">
      <w:pPr>
        <w:spacing w:after="0" w:line="360" w:lineRule="auto"/>
        <w:jc w:val="both"/>
        <w:rPr>
          <w:rFonts w:ascii="Arial" w:eastAsia="Calibri" w:hAnsi="Arial" w:cs="Arial"/>
          <w:sz w:val="24"/>
          <w:szCs w:val="24"/>
        </w:rPr>
      </w:pPr>
    </w:p>
    <w:p w:rsidR="00843F88" w:rsidRDefault="00843F88" w:rsidP="00843F88">
      <w:pPr>
        <w:spacing w:after="0" w:line="360" w:lineRule="auto"/>
        <w:jc w:val="both"/>
        <w:rPr>
          <w:rFonts w:ascii="Arial" w:eastAsia="Calibri" w:hAnsi="Arial" w:cs="Arial"/>
          <w:sz w:val="24"/>
          <w:szCs w:val="24"/>
        </w:rPr>
      </w:pPr>
      <w:r w:rsidRPr="00C96E61">
        <w:rPr>
          <w:rFonts w:ascii="Arial" w:eastAsia="Calibri" w:hAnsi="Arial" w:cs="Arial"/>
          <w:b/>
          <w:sz w:val="24"/>
          <w:szCs w:val="24"/>
        </w:rPr>
        <w:t>Coram</w:t>
      </w:r>
      <w:r>
        <w:rPr>
          <w:rFonts w:ascii="Arial" w:eastAsia="Calibri" w:hAnsi="Arial" w:cs="Arial"/>
          <w:sz w:val="24"/>
          <w:szCs w:val="24"/>
        </w:rPr>
        <w:t>:</w:t>
      </w:r>
      <w:r>
        <w:rPr>
          <w:rFonts w:ascii="Arial" w:eastAsia="Calibri" w:hAnsi="Arial" w:cs="Arial"/>
          <w:sz w:val="24"/>
          <w:szCs w:val="24"/>
        </w:rPr>
        <w:tab/>
        <w:t>LIEBENBERG</w:t>
      </w:r>
      <w:r w:rsidRPr="00C96E61">
        <w:rPr>
          <w:rFonts w:ascii="Arial" w:eastAsia="Calibri" w:hAnsi="Arial" w:cs="Arial"/>
          <w:sz w:val="24"/>
          <w:szCs w:val="24"/>
        </w:rPr>
        <w:t xml:space="preserve"> J </w:t>
      </w:r>
      <w:proofErr w:type="gramStart"/>
      <w:r>
        <w:rPr>
          <w:rFonts w:ascii="Arial" w:eastAsia="Calibri" w:hAnsi="Arial" w:cs="Arial"/>
          <w:sz w:val="24"/>
          <w:szCs w:val="24"/>
        </w:rPr>
        <w:t>et</w:t>
      </w:r>
      <w:proofErr w:type="gramEnd"/>
      <w:r>
        <w:rPr>
          <w:rFonts w:ascii="Arial" w:eastAsia="Calibri" w:hAnsi="Arial" w:cs="Arial"/>
          <w:sz w:val="24"/>
          <w:szCs w:val="24"/>
        </w:rPr>
        <w:t xml:space="preserve"> JANUARY J</w:t>
      </w:r>
    </w:p>
    <w:p w:rsidR="00843F88" w:rsidRPr="00C96E61" w:rsidRDefault="00843F88" w:rsidP="00843F88">
      <w:pPr>
        <w:spacing w:after="0" w:line="360" w:lineRule="auto"/>
        <w:jc w:val="both"/>
        <w:rPr>
          <w:rFonts w:ascii="Arial" w:eastAsia="Calibri" w:hAnsi="Arial" w:cs="Arial"/>
          <w:sz w:val="24"/>
          <w:szCs w:val="24"/>
        </w:rPr>
      </w:pPr>
    </w:p>
    <w:p w:rsidR="00843F88" w:rsidRPr="00C96E61" w:rsidRDefault="00843F88" w:rsidP="00843F88">
      <w:pPr>
        <w:spacing w:after="0" w:line="360" w:lineRule="auto"/>
        <w:jc w:val="both"/>
        <w:rPr>
          <w:rFonts w:ascii="Arial" w:eastAsia="Calibri" w:hAnsi="Arial" w:cs="Arial"/>
          <w:b/>
          <w:sz w:val="24"/>
          <w:szCs w:val="24"/>
        </w:rPr>
      </w:pPr>
      <w:r>
        <w:rPr>
          <w:rFonts w:ascii="Arial" w:eastAsia="Calibri" w:hAnsi="Arial" w:cs="Arial"/>
          <w:b/>
          <w:sz w:val="24"/>
          <w:szCs w:val="24"/>
        </w:rPr>
        <w:t xml:space="preserve">Heard: </w:t>
      </w:r>
      <w:r>
        <w:rPr>
          <w:rFonts w:ascii="Arial" w:eastAsia="Calibri" w:hAnsi="Arial" w:cs="Arial"/>
          <w:b/>
          <w:sz w:val="24"/>
          <w:szCs w:val="24"/>
        </w:rPr>
        <w:tab/>
        <w:t>09 December 2022</w:t>
      </w:r>
    </w:p>
    <w:p w:rsidR="00843F88" w:rsidRPr="00C96E61" w:rsidRDefault="00DE132C" w:rsidP="00843F88">
      <w:pPr>
        <w:spacing w:after="0" w:line="360" w:lineRule="auto"/>
        <w:jc w:val="both"/>
        <w:rPr>
          <w:rFonts w:ascii="Arial" w:eastAsia="Calibri" w:hAnsi="Arial" w:cs="Arial"/>
          <w:b/>
          <w:sz w:val="24"/>
          <w:szCs w:val="24"/>
        </w:rPr>
      </w:pPr>
      <w:r>
        <w:rPr>
          <w:rFonts w:ascii="Arial" w:eastAsia="Calibri" w:hAnsi="Arial" w:cs="Arial"/>
          <w:b/>
          <w:sz w:val="24"/>
          <w:szCs w:val="24"/>
        </w:rPr>
        <w:t xml:space="preserve">Delivered: </w:t>
      </w:r>
      <w:r>
        <w:rPr>
          <w:rFonts w:ascii="Arial" w:eastAsia="Calibri" w:hAnsi="Arial" w:cs="Arial"/>
          <w:b/>
          <w:sz w:val="24"/>
          <w:szCs w:val="24"/>
        </w:rPr>
        <w:tab/>
        <w:t>0</w:t>
      </w:r>
      <w:r w:rsidR="00843F88">
        <w:rPr>
          <w:rFonts w:ascii="Arial" w:eastAsia="Calibri" w:hAnsi="Arial" w:cs="Arial"/>
          <w:b/>
          <w:sz w:val="24"/>
          <w:szCs w:val="24"/>
        </w:rPr>
        <w:t xml:space="preserve">8 </w:t>
      </w:r>
      <w:r>
        <w:rPr>
          <w:rFonts w:ascii="Arial" w:eastAsia="Calibri" w:hAnsi="Arial" w:cs="Arial"/>
          <w:b/>
          <w:sz w:val="24"/>
          <w:szCs w:val="24"/>
        </w:rPr>
        <w:t>May</w:t>
      </w:r>
      <w:r w:rsidR="00843F88">
        <w:rPr>
          <w:rFonts w:ascii="Arial" w:eastAsia="Calibri" w:hAnsi="Arial" w:cs="Arial"/>
          <w:b/>
          <w:sz w:val="24"/>
          <w:szCs w:val="24"/>
        </w:rPr>
        <w:t xml:space="preserve"> 2023</w:t>
      </w:r>
    </w:p>
    <w:p w:rsidR="00843F88" w:rsidRPr="00C96E61" w:rsidRDefault="00843F88" w:rsidP="00843F88">
      <w:pPr>
        <w:spacing w:after="0" w:line="360" w:lineRule="auto"/>
        <w:jc w:val="both"/>
        <w:rPr>
          <w:rFonts w:ascii="Arial" w:eastAsia="Calibri" w:hAnsi="Arial" w:cs="Arial"/>
          <w:sz w:val="24"/>
          <w:szCs w:val="24"/>
        </w:rPr>
      </w:pPr>
    </w:p>
    <w:p w:rsidR="00843F88" w:rsidRPr="00633A0B" w:rsidRDefault="00843F88" w:rsidP="00843F88">
      <w:pPr>
        <w:spacing w:after="0" w:line="360" w:lineRule="auto"/>
        <w:jc w:val="both"/>
        <w:rPr>
          <w:rFonts w:ascii="Arial" w:eastAsia="Calibri" w:hAnsi="Arial" w:cs="Arial"/>
          <w:sz w:val="24"/>
          <w:szCs w:val="24"/>
          <w:lang w:val="en-ZA"/>
        </w:rPr>
      </w:pPr>
      <w:proofErr w:type="spellStart"/>
      <w:r w:rsidRPr="00633A0B">
        <w:rPr>
          <w:rFonts w:ascii="Arial" w:eastAsia="Calibri" w:hAnsi="Arial" w:cs="Arial"/>
          <w:b/>
          <w:sz w:val="24"/>
          <w:szCs w:val="24"/>
        </w:rPr>
        <w:t>Flynote</w:t>
      </w:r>
      <w:proofErr w:type="spellEnd"/>
      <w:r w:rsidRPr="00633A0B">
        <w:rPr>
          <w:rFonts w:ascii="Arial" w:eastAsia="Calibri" w:hAnsi="Arial" w:cs="Arial"/>
          <w:b/>
          <w:sz w:val="24"/>
          <w:szCs w:val="24"/>
        </w:rPr>
        <w:t>:</w:t>
      </w:r>
      <w:r w:rsidRPr="00633A0B">
        <w:rPr>
          <w:rFonts w:ascii="Arial" w:eastAsia="Calibri" w:hAnsi="Arial" w:cs="Arial"/>
          <w:sz w:val="24"/>
          <w:szCs w:val="24"/>
          <w:lang w:val="en-ZA"/>
        </w:rPr>
        <w:t xml:space="preserve"> Criminal procedure - </w:t>
      </w:r>
      <w:r w:rsidRPr="00633A0B">
        <w:rPr>
          <w:rFonts w:ascii="Arial" w:hAnsi="Arial" w:cs="Arial"/>
          <w:bCs/>
          <w:sz w:val="24"/>
          <w:szCs w:val="24"/>
        </w:rPr>
        <w:t xml:space="preserve">Appeal – Sentencing – </w:t>
      </w:r>
      <w:r w:rsidR="00CB521E" w:rsidRPr="00633A0B">
        <w:rPr>
          <w:rFonts w:ascii="Arial" w:hAnsi="Arial" w:cs="Arial"/>
          <w:bCs/>
          <w:sz w:val="24"/>
          <w:szCs w:val="24"/>
        </w:rPr>
        <w:t xml:space="preserve">Appeal </w:t>
      </w:r>
      <w:r w:rsidR="000E05A7">
        <w:rPr>
          <w:rFonts w:ascii="Arial" w:hAnsi="Arial" w:cs="Arial"/>
          <w:bCs/>
          <w:sz w:val="24"/>
          <w:szCs w:val="24"/>
        </w:rPr>
        <w:t>filed four years and eight</w:t>
      </w:r>
      <w:r w:rsidR="00CB521E" w:rsidRPr="00633A0B">
        <w:rPr>
          <w:rFonts w:ascii="Arial" w:hAnsi="Arial" w:cs="Arial"/>
          <w:bCs/>
          <w:sz w:val="24"/>
          <w:szCs w:val="24"/>
        </w:rPr>
        <w:t xml:space="preserve"> months out of time – Condonation application for late filing</w:t>
      </w:r>
      <w:r w:rsidRPr="00633A0B">
        <w:rPr>
          <w:rFonts w:ascii="Arial" w:hAnsi="Arial" w:cs="Arial"/>
          <w:bCs/>
          <w:sz w:val="24"/>
          <w:szCs w:val="24"/>
        </w:rPr>
        <w:t xml:space="preserve"> – </w:t>
      </w:r>
      <w:r w:rsidR="00BE7C05" w:rsidRPr="00633A0B">
        <w:rPr>
          <w:rFonts w:ascii="Arial" w:hAnsi="Arial" w:cs="Arial"/>
          <w:bCs/>
          <w:sz w:val="24"/>
          <w:szCs w:val="24"/>
        </w:rPr>
        <w:t xml:space="preserve">Requirements re-stated -  </w:t>
      </w:r>
      <w:r w:rsidR="00CB521E" w:rsidRPr="00633A0B">
        <w:rPr>
          <w:rFonts w:ascii="Arial" w:hAnsi="Arial" w:cs="Arial"/>
          <w:bCs/>
          <w:sz w:val="24"/>
          <w:szCs w:val="24"/>
        </w:rPr>
        <w:t>Contradictory reasons</w:t>
      </w:r>
      <w:r w:rsidR="000E05A7">
        <w:rPr>
          <w:rFonts w:ascii="Arial" w:hAnsi="Arial" w:cs="Arial"/>
          <w:bCs/>
          <w:sz w:val="24"/>
          <w:szCs w:val="24"/>
        </w:rPr>
        <w:t xml:space="preserve"> for the delay</w:t>
      </w:r>
      <w:r w:rsidR="00CB521E" w:rsidRPr="00633A0B">
        <w:rPr>
          <w:rFonts w:ascii="Arial" w:hAnsi="Arial" w:cs="Arial"/>
          <w:bCs/>
          <w:sz w:val="24"/>
          <w:szCs w:val="24"/>
        </w:rPr>
        <w:t xml:space="preserve"> </w:t>
      </w:r>
      <w:r w:rsidR="00BE7C05" w:rsidRPr="00633A0B">
        <w:rPr>
          <w:rFonts w:ascii="Arial" w:hAnsi="Arial" w:cs="Arial"/>
          <w:bCs/>
          <w:sz w:val="24"/>
          <w:szCs w:val="24"/>
        </w:rPr>
        <w:t>–</w:t>
      </w:r>
      <w:r w:rsidR="00CB521E" w:rsidRPr="00633A0B">
        <w:rPr>
          <w:rFonts w:ascii="Arial" w:hAnsi="Arial" w:cs="Arial"/>
          <w:bCs/>
          <w:sz w:val="24"/>
          <w:szCs w:val="24"/>
        </w:rPr>
        <w:t xml:space="preserve"> </w:t>
      </w:r>
      <w:r w:rsidR="00BE7C05" w:rsidRPr="00633A0B">
        <w:rPr>
          <w:rFonts w:ascii="Arial" w:hAnsi="Arial" w:cs="Arial"/>
          <w:bCs/>
          <w:sz w:val="24"/>
          <w:szCs w:val="24"/>
        </w:rPr>
        <w:t xml:space="preserve">Explanation not bona fide – </w:t>
      </w:r>
      <w:r w:rsidR="00FB7A13">
        <w:rPr>
          <w:rFonts w:ascii="Arial" w:hAnsi="Arial" w:cs="Arial"/>
          <w:bCs/>
          <w:sz w:val="24"/>
          <w:szCs w:val="24"/>
        </w:rPr>
        <w:t xml:space="preserve">Prospects of success on appeal – No prospects - </w:t>
      </w:r>
      <w:r w:rsidR="00BE7C05" w:rsidRPr="00633A0B">
        <w:rPr>
          <w:rFonts w:ascii="Arial" w:hAnsi="Arial" w:cs="Arial"/>
          <w:bCs/>
          <w:sz w:val="24"/>
          <w:szCs w:val="24"/>
        </w:rPr>
        <w:t>Condonation refused – Struck from the roll</w:t>
      </w:r>
      <w:r w:rsidR="00281C67">
        <w:rPr>
          <w:rFonts w:ascii="Arial" w:hAnsi="Arial" w:cs="Arial"/>
          <w:bCs/>
          <w:sz w:val="24"/>
          <w:szCs w:val="24"/>
        </w:rPr>
        <w:t>.</w:t>
      </w:r>
    </w:p>
    <w:p w:rsidR="00F86C30" w:rsidRPr="00633A0B" w:rsidRDefault="00843F88" w:rsidP="00843F88">
      <w:pPr>
        <w:spacing w:after="0" w:line="360" w:lineRule="auto"/>
        <w:jc w:val="both"/>
        <w:rPr>
          <w:rFonts w:ascii="Arial" w:eastAsia="Calibri" w:hAnsi="Arial" w:cs="Arial"/>
          <w:sz w:val="24"/>
          <w:szCs w:val="24"/>
          <w:lang w:val="en-ZA"/>
        </w:rPr>
      </w:pPr>
      <w:r w:rsidRPr="00633A0B">
        <w:rPr>
          <w:rFonts w:ascii="Arial" w:eastAsia="Calibri" w:hAnsi="Arial" w:cs="Arial"/>
          <w:b/>
          <w:sz w:val="24"/>
          <w:szCs w:val="24"/>
          <w:lang w:val="en-ZA"/>
        </w:rPr>
        <w:lastRenderedPageBreak/>
        <w:t>Summary</w:t>
      </w:r>
      <w:r w:rsidRPr="00633A0B">
        <w:rPr>
          <w:rFonts w:ascii="Arial" w:eastAsia="Calibri" w:hAnsi="Arial" w:cs="Arial"/>
          <w:sz w:val="24"/>
          <w:szCs w:val="24"/>
          <w:lang w:val="en-ZA"/>
        </w:rPr>
        <w:t xml:space="preserve">: The appellant </w:t>
      </w:r>
      <w:r w:rsidR="00BE7C05" w:rsidRPr="00633A0B">
        <w:rPr>
          <w:rFonts w:ascii="Arial" w:eastAsia="Calibri" w:hAnsi="Arial" w:cs="Arial"/>
          <w:sz w:val="24"/>
          <w:szCs w:val="24"/>
          <w:lang w:val="en-ZA"/>
        </w:rPr>
        <w:t xml:space="preserve">was convicted </w:t>
      </w:r>
      <w:r w:rsidR="0054101C">
        <w:rPr>
          <w:rFonts w:ascii="Arial" w:eastAsia="Calibri" w:hAnsi="Arial" w:cs="Arial"/>
          <w:sz w:val="24"/>
          <w:szCs w:val="24"/>
          <w:lang w:val="en-ZA"/>
        </w:rPr>
        <w:t>of</w:t>
      </w:r>
      <w:r w:rsidR="00BE7C05" w:rsidRPr="00633A0B">
        <w:rPr>
          <w:rFonts w:ascii="Arial" w:eastAsia="Calibri" w:hAnsi="Arial" w:cs="Arial"/>
          <w:sz w:val="24"/>
          <w:szCs w:val="24"/>
          <w:lang w:val="en-ZA"/>
        </w:rPr>
        <w:t xml:space="preserve"> murder and assault with intent to do grievous bodily harm. He was sentenced to 20 years’ imprisonment for murder and</w:t>
      </w:r>
      <w:r w:rsidR="0054101C">
        <w:rPr>
          <w:rFonts w:ascii="Arial" w:eastAsia="Calibri" w:hAnsi="Arial" w:cs="Arial"/>
          <w:sz w:val="24"/>
          <w:szCs w:val="24"/>
          <w:lang w:val="en-ZA"/>
        </w:rPr>
        <w:t xml:space="preserve"> to</w:t>
      </w:r>
      <w:r w:rsidR="00BE7C05" w:rsidRPr="00633A0B">
        <w:rPr>
          <w:rFonts w:ascii="Arial" w:eastAsia="Calibri" w:hAnsi="Arial" w:cs="Arial"/>
          <w:sz w:val="24"/>
          <w:szCs w:val="24"/>
          <w:lang w:val="en-ZA"/>
        </w:rPr>
        <w:t xml:space="preserve"> three years’ imprisonment for assault with intent to do grievous bodily harm. </w:t>
      </w:r>
      <w:r w:rsidR="0054101C">
        <w:rPr>
          <w:rFonts w:ascii="Arial" w:eastAsia="Calibri" w:hAnsi="Arial" w:cs="Arial"/>
          <w:sz w:val="24"/>
          <w:szCs w:val="24"/>
          <w:lang w:val="en-ZA"/>
        </w:rPr>
        <w:t>The appellant</w:t>
      </w:r>
      <w:r w:rsidR="00BE7C05" w:rsidRPr="00633A0B">
        <w:rPr>
          <w:rFonts w:ascii="Arial" w:eastAsia="Calibri" w:hAnsi="Arial" w:cs="Arial"/>
          <w:sz w:val="24"/>
          <w:szCs w:val="24"/>
          <w:lang w:val="en-ZA"/>
        </w:rPr>
        <w:t xml:space="preserve"> filed a notice of appeal about 4 years and 8 months</w:t>
      </w:r>
      <w:r w:rsidRPr="00633A0B">
        <w:rPr>
          <w:rFonts w:ascii="Arial" w:eastAsia="Calibri" w:hAnsi="Arial" w:cs="Arial"/>
          <w:sz w:val="24"/>
          <w:szCs w:val="24"/>
          <w:lang w:val="en-ZA"/>
        </w:rPr>
        <w:t xml:space="preserve"> </w:t>
      </w:r>
      <w:r w:rsidR="00BE7C05" w:rsidRPr="00633A0B">
        <w:rPr>
          <w:rFonts w:ascii="Arial" w:eastAsia="Calibri" w:hAnsi="Arial" w:cs="Arial"/>
          <w:sz w:val="24"/>
          <w:szCs w:val="24"/>
          <w:lang w:val="en-ZA"/>
        </w:rPr>
        <w:t xml:space="preserve">late in non-compliance with rule </w:t>
      </w:r>
      <w:r w:rsidR="00517FE9" w:rsidRPr="00633A0B">
        <w:rPr>
          <w:rFonts w:ascii="Arial" w:eastAsia="Calibri" w:hAnsi="Arial" w:cs="Arial"/>
          <w:sz w:val="24"/>
          <w:szCs w:val="24"/>
          <w:lang w:val="en-ZA"/>
        </w:rPr>
        <w:t>67(1) of the Magistrates Court R</w:t>
      </w:r>
      <w:r w:rsidR="00BE7C05" w:rsidRPr="00633A0B">
        <w:rPr>
          <w:rFonts w:ascii="Arial" w:eastAsia="Calibri" w:hAnsi="Arial" w:cs="Arial"/>
          <w:sz w:val="24"/>
          <w:szCs w:val="24"/>
          <w:lang w:val="en-ZA"/>
        </w:rPr>
        <w:t>ules</w:t>
      </w:r>
      <w:r w:rsidR="00517FE9" w:rsidRPr="00633A0B">
        <w:rPr>
          <w:rFonts w:ascii="Arial" w:eastAsia="Calibri" w:hAnsi="Arial" w:cs="Arial"/>
          <w:sz w:val="24"/>
          <w:szCs w:val="24"/>
          <w:lang w:val="en-ZA"/>
        </w:rPr>
        <w:t>. He</w:t>
      </w:r>
      <w:r w:rsidR="000E05A7">
        <w:rPr>
          <w:rFonts w:ascii="Arial" w:eastAsia="Calibri" w:hAnsi="Arial" w:cs="Arial"/>
          <w:sz w:val="24"/>
          <w:szCs w:val="24"/>
          <w:lang w:val="en-ZA"/>
        </w:rPr>
        <w:t>,</w:t>
      </w:r>
      <w:r w:rsidR="00517FE9" w:rsidRPr="00633A0B">
        <w:rPr>
          <w:rFonts w:ascii="Arial" w:eastAsia="Calibri" w:hAnsi="Arial" w:cs="Arial"/>
          <w:sz w:val="24"/>
          <w:szCs w:val="24"/>
          <w:lang w:val="en-ZA"/>
        </w:rPr>
        <w:t xml:space="preserve"> in addition</w:t>
      </w:r>
      <w:r w:rsidR="000E05A7">
        <w:rPr>
          <w:rFonts w:ascii="Arial" w:eastAsia="Calibri" w:hAnsi="Arial" w:cs="Arial"/>
          <w:sz w:val="24"/>
          <w:szCs w:val="24"/>
          <w:lang w:val="en-ZA"/>
        </w:rPr>
        <w:t>,</w:t>
      </w:r>
      <w:r w:rsidR="00517FE9" w:rsidRPr="00633A0B">
        <w:rPr>
          <w:rFonts w:ascii="Arial" w:eastAsia="Calibri" w:hAnsi="Arial" w:cs="Arial"/>
          <w:sz w:val="24"/>
          <w:szCs w:val="24"/>
          <w:lang w:val="en-ZA"/>
        </w:rPr>
        <w:t xml:space="preserve"> filed a supporting affidavit alleging that his rights to appeal were not explained and</w:t>
      </w:r>
      <w:r w:rsidR="0054101C">
        <w:rPr>
          <w:rFonts w:ascii="Arial" w:eastAsia="Calibri" w:hAnsi="Arial" w:cs="Arial"/>
          <w:sz w:val="24"/>
          <w:szCs w:val="24"/>
          <w:lang w:val="en-ZA"/>
        </w:rPr>
        <w:t xml:space="preserve"> that</w:t>
      </w:r>
      <w:r w:rsidR="00C92939">
        <w:rPr>
          <w:rFonts w:ascii="Arial" w:eastAsia="Calibri" w:hAnsi="Arial" w:cs="Arial"/>
          <w:sz w:val="24"/>
          <w:szCs w:val="24"/>
          <w:lang w:val="en-ZA"/>
        </w:rPr>
        <w:t>,</w:t>
      </w:r>
      <w:r w:rsidR="00517FE9" w:rsidRPr="00633A0B">
        <w:rPr>
          <w:rFonts w:ascii="Arial" w:eastAsia="Calibri" w:hAnsi="Arial" w:cs="Arial"/>
          <w:sz w:val="24"/>
          <w:szCs w:val="24"/>
          <w:lang w:val="en-ZA"/>
        </w:rPr>
        <w:t xml:space="preserve"> as a layman, he could not have been expected to know the rules of court. </w:t>
      </w:r>
      <w:r w:rsidR="00633A0B" w:rsidRPr="00633A0B">
        <w:rPr>
          <w:rFonts w:ascii="Arial" w:eastAsia="Calibri" w:hAnsi="Arial" w:cs="Arial"/>
          <w:sz w:val="24"/>
          <w:szCs w:val="24"/>
          <w:lang w:val="en-ZA"/>
        </w:rPr>
        <w:t>He was represented by an experienced legal representative during the trial</w:t>
      </w:r>
      <w:r w:rsidR="000E05A7">
        <w:rPr>
          <w:rFonts w:ascii="Arial" w:eastAsia="Calibri" w:hAnsi="Arial" w:cs="Arial"/>
          <w:sz w:val="24"/>
          <w:szCs w:val="24"/>
          <w:lang w:val="en-ZA"/>
        </w:rPr>
        <w:t>,</w:t>
      </w:r>
      <w:r w:rsidR="00633A0B" w:rsidRPr="00633A0B">
        <w:rPr>
          <w:rFonts w:ascii="Arial" w:eastAsia="Calibri" w:hAnsi="Arial" w:cs="Arial"/>
          <w:sz w:val="24"/>
          <w:szCs w:val="24"/>
          <w:lang w:val="en-ZA"/>
        </w:rPr>
        <w:t xml:space="preserve"> including sentencing.</w:t>
      </w:r>
    </w:p>
    <w:p w:rsidR="00F86C30" w:rsidRPr="00633A0B" w:rsidRDefault="00F86C30" w:rsidP="00843F88">
      <w:pPr>
        <w:spacing w:after="0" w:line="360" w:lineRule="auto"/>
        <w:jc w:val="both"/>
        <w:rPr>
          <w:rFonts w:ascii="Arial" w:eastAsia="Calibri" w:hAnsi="Arial" w:cs="Arial"/>
          <w:sz w:val="24"/>
          <w:szCs w:val="24"/>
          <w:lang w:val="en-ZA"/>
        </w:rPr>
      </w:pPr>
    </w:p>
    <w:p w:rsidR="00843F88" w:rsidRPr="00633A0B" w:rsidRDefault="00517FE9" w:rsidP="00843F88">
      <w:pPr>
        <w:spacing w:after="0" w:line="360" w:lineRule="auto"/>
        <w:jc w:val="both"/>
        <w:rPr>
          <w:rFonts w:ascii="Arial" w:eastAsia="Calibri" w:hAnsi="Arial" w:cs="Arial"/>
          <w:sz w:val="24"/>
          <w:szCs w:val="24"/>
          <w:lang w:val="en-ZA"/>
        </w:rPr>
      </w:pPr>
      <w:r w:rsidRPr="00633A0B">
        <w:rPr>
          <w:rFonts w:ascii="Arial" w:eastAsia="Calibri" w:hAnsi="Arial" w:cs="Arial"/>
          <w:sz w:val="24"/>
          <w:szCs w:val="24"/>
          <w:lang w:val="en-ZA"/>
        </w:rPr>
        <w:t>On advice by his</w:t>
      </w:r>
      <w:r w:rsidR="00633A0B" w:rsidRPr="00633A0B">
        <w:rPr>
          <w:rFonts w:ascii="Arial" w:eastAsia="Calibri" w:hAnsi="Arial" w:cs="Arial"/>
          <w:sz w:val="24"/>
          <w:szCs w:val="24"/>
          <w:lang w:val="en-ZA"/>
        </w:rPr>
        <w:t xml:space="preserve"> new</w:t>
      </w:r>
      <w:r w:rsidRPr="00633A0B">
        <w:rPr>
          <w:rFonts w:ascii="Arial" w:eastAsia="Calibri" w:hAnsi="Arial" w:cs="Arial"/>
          <w:sz w:val="24"/>
          <w:szCs w:val="24"/>
          <w:lang w:val="en-ZA"/>
        </w:rPr>
        <w:t xml:space="preserve"> legal practitioner, he submitted a supplementary affidavit wherein he alleged that the delay was due to lack of income</w:t>
      </w:r>
      <w:r w:rsidR="0054101C">
        <w:rPr>
          <w:rFonts w:ascii="Arial" w:eastAsia="Calibri" w:hAnsi="Arial" w:cs="Arial"/>
          <w:sz w:val="24"/>
          <w:szCs w:val="24"/>
          <w:lang w:val="en-ZA"/>
        </w:rPr>
        <w:t xml:space="preserve"> and that he</w:t>
      </w:r>
      <w:r w:rsidR="00F86C30" w:rsidRPr="00633A0B">
        <w:rPr>
          <w:rFonts w:ascii="Arial" w:eastAsia="Calibri" w:hAnsi="Arial" w:cs="Arial"/>
          <w:sz w:val="24"/>
          <w:szCs w:val="24"/>
          <w:lang w:val="en-ZA"/>
        </w:rPr>
        <w:t xml:space="preserve"> could not afford the</w:t>
      </w:r>
      <w:r w:rsidR="00C92939">
        <w:rPr>
          <w:rFonts w:ascii="Arial" w:eastAsia="Calibri" w:hAnsi="Arial" w:cs="Arial"/>
          <w:sz w:val="24"/>
          <w:szCs w:val="24"/>
          <w:lang w:val="en-ZA"/>
        </w:rPr>
        <w:t xml:space="preserve"> funds to instruct a</w:t>
      </w:r>
      <w:r w:rsidR="00F86C30" w:rsidRPr="00633A0B">
        <w:rPr>
          <w:rFonts w:ascii="Arial" w:eastAsia="Calibri" w:hAnsi="Arial" w:cs="Arial"/>
          <w:sz w:val="24"/>
          <w:szCs w:val="24"/>
          <w:lang w:val="en-ZA"/>
        </w:rPr>
        <w:t xml:space="preserve"> </w:t>
      </w:r>
      <w:r w:rsidR="0054101C">
        <w:rPr>
          <w:rFonts w:ascii="Arial" w:eastAsia="Calibri" w:hAnsi="Arial" w:cs="Arial"/>
          <w:sz w:val="24"/>
          <w:szCs w:val="24"/>
          <w:lang w:val="en-ZA"/>
        </w:rPr>
        <w:t>private</w:t>
      </w:r>
      <w:r w:rsidR="00F86C30" w:rsidRPr="00633A0B">
        <w:rPr>
          <w:rFonts w:ascii="Arial" w:eastAsia="Calibri" w:hAnsi="Arial" w:cs="Arial"/>
          <w:sz w:val="24"/>
          <w:szCs w:val="24"/>
          <w:lang w:val="en-ZA"/>
        </w:rPr>
        <w:t xml:space="preserve"> legal practitioner. In addition, he initially did not apply for legal aid</w:t>
      </w:r>
      <w:r w:rsidR="00C92939">
        <w:rPr>
          <w:rFonts w:ascii="Arial" w:eastAsia="Calibri" w:hAnsi="Arial" w:cs="Arial"/>
          <w:sz w:val="24"/>
          <w:szCs w:val="24"/>
          <w:lang w:val="en-ZA"/>
        </w:rPr>
        <w:t>, being</w:t>
      </w:r>
      <w:r w:rsidR="00F86C30" w:rsidRPr="00633A0B">
        <w:rPr>
          <w:rFonts w:ascii="Arial" w:eastAsia="Calibri" w:hAnsi="Arial" w:cs="Arial"/>
          <w:sz w:val="24"/>
          <w:szCs w:val="24"/>
          <w:lang w:val="en-ZA"/>
        </w:rPr>
        <w:t xml:space="preserve"> under a misconception that</w:t>
      </w:r>
      <w:r w:rsidR="00C92939">
        <w:rPr>
          <w:rFonts w:ascii="Arial" w:eastAsia="Calibri" w:hAnsi="Arial" w:cs="Arial"/>
          <w:sz w:val="24"/>
          <w:szCs w:val="24"/>
          <w:lang w:val="en-ZA"/>
        </w:rPr>
        <w:t>,</w:t>
      </w:r>
      <w:r w:rsidR="00F86C30" w:rsidRPr="00633A0B">
        <w:rPr>
          <w:rFonts w:ascii="Arial" w:eastAsia="Calibri" w:hAnsi="Arial" w:cs="Arial"/>
          <w:sz w:val="24"/>
          <w:szCs w:val="24"/>
          <w:lang w:val="en-ZA"/>
        </w:rPr>
        <w:t xml:space="preserve"> because they refuse</w:t>
      </w:r>
      <w:r w:rsidR="000E05A7">
        <w:rPr>
          <w:rFonts w:ascii="Arial" w:eastAsia="Calibri" w:hAnsi="Arial" w:cs="Arial"/>
          <w:sz w:val="24"/>
          <w:szCs w:val="24"/>
          <w:lang w:val="en-ZA"/>
        </w:rPr>
        <w:t>d</w:t>
      </w:r>
      <w:r w:rsidR="00F86C30" w:rsidRPr="00633A0B">
        <w:rPr>
          <w:rFonts w:ascii="Arial" w:eastAsia="Calibri" w:hAnsi="Arial" w:cs="Arial"/>
          <w:sz w:val="24"/>
          <w:szCs w:val="24"/>
          <w:lang w:val="en-ZA"/>
        </w:rPr>
        <w:t xml:space="preserve"> his initial application due to his income at the time, that such an application </w:t>
      </w:r>
      <w:r w:rsidR="0054101C">
        <w:rPr>
          <w:rFonts w:ascii="Arial" w:eastAsia="Calibri" w:hAnsi="Arial" w:cs="Arial"/>
          <w:sz w:val="24"/>
          <w:szCs w:val="24"/>
          <w:lang w:val="en-ZA"/>
        </w:rPr>
        <w:t xml:space="preserve">would again be refused. Further that, </w:t>
      </w:r>
      <w:r w:rsidR="00F86C30" w:rsidRPr="00633A0B">
        <w:rPr>
          <w:rFonts w:ascii="Arial" w:eastAsia="Calibri" w:hAnsi="Arial" w:cs="Arial"/>
          <w:sz w:val="24"/>
          <w:szCs w:val="24"/>
          <w:lang w:val="en-ZA"/>
        </w:rPr>
        <w:t>when he eventually applied, the applications were lost or not received by the Directorate Legal Aid</w:t>
      </w:r>
      <w:r w:rsidR="00C92939">
        <w:rPr>
          <w:rFonts w:ascii="Arial" w:eastAsia="Calibri" w:hAnsi="Arial" w:cs="Arial"/>
          <w:sz w:val="24"/>
          <w:szCs w:val="24"/>
          <w:lang w:val="en-ZA"/>
        </w:rPr>
        <w:t>,</w:t>
      </w:r>
      <w:r w:rsidR="00F86C30" w:rsidRPr="00633A0B">
        <w:rPr>
          <w:rFonts w:ascii="Arial" w:eastAsia="Calibri" w:hAnsi="Arial" w:cs="Arial"/>
          <w:sz w:val="24"/>
          <w:szCs w:val="24"/>
          <w:lang w:val="en-ZA"/>
        </w:rPr>
        <w:t xml:space="preserve"> causing him to have to re-apply on more than one occasion.</w:t>
      </w:r>
    </w:p>
    <w:p w:rsidR="00F86C30" w:rsidRPr="00633A0B" w:rsidRDefault="00F86C30" w:rsidP="00843F88">
      <w:pPr>
        <w:spacing w:after="0" w:line="360" w:lineRule="auto"/>
        <w:jc w:val="both"/>
        <w:rPr>
          <w:rFonts w:ascii="Arial" w:eastAsia="Calibri" w:hAnsi="Arial" w:cs="Arial"/>
          <w:sz w:val="24"/>
          <w:szCs w:val="24"/>
          <w:lang w:val="en-ZA"/>
        </w:rPr>
      </w:pPr>
    </w:p>
    <w:p w:rsidR="0054101C" w:rsidRDefault="00F86C30" w:rsidP="00843F88">
      <w:pPr>
        <w:spacing w:after="0" w:line="360" w:lineRule="auto"/>
        <w:jc w:val="both"/>
        <w:rPr>
          <w:rFonts w:ascii="Arial" w:eastAsia="Calibri" w:hAnsi="Arial" w:cs="Arial"/>
          <w:sz w:val="24"/>
          <w:szCs w:val="24"/>
          <w:lang w:val="en-ZA"/>
        </w:rPr>
      </w:pPr>
      <w:r w:rsidRPr="00633A0B">
        <w:rPr>
          <w:rFonts w:ascii="Arial" w:eastAsia="Calibri" w:hAnsi="Arial" w:cs="Arial"/>
          <w:sz w:val="24"/>
          <w:szCs w:val="24"/>
          <w:lang w:val="en-ZA"/>
        </w:rPr>
        <w:t xml:space="preserve">It turned out that the appellant was not truthful </w:t>
      </w:r>
      <w:r w:rsidR="0054101C">
        <w:rPr>
          <w:rFonts w:ascii="Arial" w:eastAsia="Calibri" w:hAnsi="Arial" w:cs="Arial"/>
          <w:sz w:val="24"/>
          <w:szCs w:val="24"/>
          <w:lang w:val="en-ZA"/>
        </w:rPr>
        <w:t xml:space="preserve">when he alleged </w:t>
      </w:r>
      <w:r w:rsidRPr="00633A0B">
        <w:rPr>
          <w:rFonts w:ascii="Arial" w:eastAsia="Calibri" w:hAnsi="Arial" w:cs="Arial"/>
          <w:sz w:val="24"/>
          <w:szCs w:val="24"/>
          <w:lang w:val="en-ZA"/>
        </w:rPr>
        <w:t xml:space="preserve">that </w:t>
      </w:r>
      <w:r w:rsidR="00633A0B">
        <w:rPr>
          <w:rFonts w:ascii="Arial" w:eastAsia="Calibri" w:hAnsi="Arial" w:cs="Arial"/>
          <w:sz w:val="24"/>
          <w:szCs w:val="24"/>
          <w:lang w:val="en-ZA"/>
        </w:rPr>
        <w:t>he did not know of his rights to appeal and</w:t>
      </w:r>
      <w:r w:rsidR="0054101C">
        <w:rPr>
          <w:rFonts w:ascii="Arial" w:eastAsia="Calibri" w:hAnsi="Arial" w:cs="Arial"/>
          <w:sz w:val="24"/>
          <w:szCs w:val="24"/>
          <w:lang w:val="en-ZA"/>
        </w:rPr>
        <w:t xml:space="preserve"> that he</w:t>
      </w:r>
      <w:r w:rsidR="00C92939">
        <w:rPr>
          <w:rFonts w:ascii="Arial" w:eastAsia="Calibri" w:hAnsi="Arial" w:cs="Arial"/>
          <w:sz w:val="24"/>
          <w:szCs w:val="24"/>
          <w:lang w:val="en-ZA"/>
        </w:rPr>
        <w:t xml:space="preserve"> had</w:t>
      </w:r>
      <w:r w:rsidR="00633A0B">
        <w:rPr>
          <w:rFonts w:ascii="Arial" w:eastAsia="Calibri" w:hAnsi="Arial" w:cs="Arial"/>
          <w:sz w:val="24"/>
          <w:szCs w:val="24"/>
          <w:lang w:val="en-ZA"/>
        </w:rPr>
        <w:t xml:space="preserve"> to comply with the rules of court. </w:t>
      </w:r>
      <w:r w:rsidR="00496995">
        <w:rPr>
          <w:rFonts w:ascii="Arial" w:eastAsia="Calibri" w:hAnsi="Arial" w:cs="Arial"/>
          <w:sz w:val="24"/>
          <w:szCs w:val="24"/>
          <w:lang w:val="en-ZA"/>
        </w:rPr>
        <w:t>It is evident from his first notice of appeal that he was aware of his rights to appeal and that he needed to apply for condonation</w:t>
      </w:r>
      <w:r w:rsidR="00633A0B" w:rsidRPr="00633A0B">
        <w:rPr>
          <w:rFonts w:ascii="Arial" w:eastAsia="Calibri" w:hAnsi="Arial" w:cs="Arial"/>
          <w:sz w:val="24"/>
          <w:szCs w:val="24"/>
          <w:lang w:val="en-ZA"/>
        </w:rPr>
        <w:t>.</w:t>
      </w:r>
      <w:r w:rsidR="008121D9">
        <w:rPr>
          <w:rFonts w:ascii="Arial" w:eastAsia="Calibri" w:hAnsi="Arial" w:cs="Arial"/>
          <w:sz w:val="24"/>
          <w:szCs w:val="24"/>
          <w:lang w:val="en-ZA"/>
        </w:rPr>
        <w:t xml:space="preserve"> </w:t>
      </w:r>
    </w:p>
    <w:p w:rsidR="0054101C" w:rsidRDefault="0054101C" w:rsidP="00843F88">
      <w:pPr>
        <w:spacing w:after="0" w:line="360" w:lineRule="auto"/>
        <w:jc w:val="both"/>
        <w:rPr>
          <w:rFonts w:ascii="Arial" w:eastAsia="Calibri" w:hAnsi="Arial" w:cs="Arial"/>
          <w:sz w:val="24"/>
          <w:szCs w:val="24"/>
          <w:lang w:val="en-ZA"/>
        </w:rPr>
      </w:pPr>
    </w:p>
    <w:p w:rsidR="00F86C30" w:rsidRPr="00633A0B" w:rsidRDefault="008121D9" w:rsidP="00843F88">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The Magistrate appropriately evaluated the evidence and committed no misdirection. </w:t>
      </w:r>
    </w:p>
    <w:p w:rsidR="00843F88" w:rsidRDefault="00843F88" w:rsidP="00843F88">
      <w:pPr>
        <w:spacing w:after="0" w:line="360" w:lineRule="auto"/>
        <w:jc w:val="both"/>
        <w:rPr>
          <w:rFonts w:ascii="Arial" w:eastAsia="Calibri" w:hAnsi="Arial" w:cs="Arial"/>
          <w:sz w:val="24"/>
          <w:szCs w:val="24"/>
          <w:lang w:val="en-ZA"/>
        </w:rPr>
      </w:pPr>
    </w:p>
    <w:p w:rsidR="00843F88" w:rsidRPr="00633A0B" w:rsidRDefault="00843F88" w:rsidP="00843F88">
      <w:pPr>
        <w:spacing w:after="0" w:line="360" w:lineRule="auto"/>
        <w:jc w:val="both"/>
        <w:rPr>
          <w:rFonts w:ascii="Arial" w:eastAsia="Calibri" w:hAnsi="Arial" w:cs="Arial"/>
          <w:sz w:val="24"/>
          <w:szCs w:val="24"/>
          <w:lang w:val="en-ZA"/>
        </w:rPr>
      </w:pPr>
      <w:r w:rsidRPr="00633A0B">
        <w:rPr>
          <w:rFonts w:ascii="Arial" w:eastAsia="Calibri" w:hAnsi="Arial" w:cs="Arial"/>
          <w:i/>
          <w:sz w:val="24"/>
          <w:szCs w:val="24"/>
          <w:lang w:val="en-ZA"/>
        </w:rPr>
        <w:t xml:space="preserve">Held </w:t>
      </w:r>
      <w:r w:rsidRPr="00633A0B">
        <w:rPr>
          <w:rFonts w:ascii="Arial" w:eastAsia="Calibri" w:hAnsi="Arial" w:cs="Arial"/>
          <w:sz w:val="24"/>
          <w:szCs w:val="24"/>
          <w:lang w:val="en-ZA"/>
        </w:rPr>
        <w:t xml:space="preserve">– </w:t>
      </w:r>
      <w:r w:rsidR="00633A0B" w:rsidRPr="00633A0B">
        <w:rPr>
          <w:rFonts w:ascii="Arial" w:eastAsia="Calibri" w:hAnsi="Arial" w:cs="Arial"/>
          <w:sz w:val="24"/>
          <w:szCs w:val="24"/>
          <w:lang w:val="en-ZA"/>
        </w:rPr>
        <w:t>The reasons for the delay is contradictory and not bona fide</w:t>
      </w:r>
      <w:r w:rsidR="001D4B12">
        <w:rPr>
          <w:rFonts w:ascii="Arial" w:eastAsia="Calibri" w:hAnsi="Arial" w:cs="Arial"/>
          <w:sz w:val="24"/>
          <w:szCs w:val="24"/>
          <w:lang w:val="en-ZA"/>
        </w:rPr>
        <w:t>.</w:t>
      </w:r>
    </w:p>
    <w:p w:rsidR="00843F88" w:rsidRPr="00633A0B" w:rsidRDefault="00843F88" w:rsidP="00843F88">
      <w:pPr>
        <w:spacing w:after="0" w:line="360" w:lineRule="auto"/>
        <w:jc w:val="both"/>
        <w:rPr>
          <w:rFonts w:ascii="Arial" w:eastAsia="Calibri" w:hAnsi="Arial" w:cs="Arial"/>
          <w:sz w:val="24"/>
          <w:szCs w:val="24"/>
          <w:lang w:val="en-ZA"/>
        </w:rPr>
      </w:pPr>
    </w:p>
    <w:p w:rsidR="00843F88" w:rsidRPr="00633A0B" w:rsidRDefault="00843F88" w:rsidP="00843F88">
      <w:pPr>
        <w:spacing w:after="0" w:line="360" w:lineRule="auto"/>
        <w:jc w:val="both"/>
        <w:rPr>
          <w:rFonts w:ascii="Arial" w:eastAsia="Calibri" w:hAnsi="Arial" w:cs="Arial"/>
          <w:sz w:val="24"/>
          <w:szCs w:val="24"/>
          <w:lang w:val="en-ZA"/>
        </w:rPr>
      </w:pPr>
      <w:r w:rsidRPr="00633A0B">
        <w:rPr>
          <w:rFonts w:ascii="Arial" w:eastAsia="Calibri" w:hAnsi="Arial" w:cs="Arial"/>
          <w:i/>
          <w:sz w:val="24"/>
          <w:szCs w:val="24"/>
          <w:lang w:val="en-ZA"/>
        </w:rPr>
        <w:t>Held further</w:t>
      </w:r>
      <w:r w:rsidRPr="00633A0B">
        <w:rPr>
          <w:rFonts w:ascii="Arial" w:eastAsia="Calibri" w:hAnsi="Arial" w:cs="Arial"/>
          <w:sz w:val="24"/>
          <w:szCs w:val="24"/>
          <w:lang w:val="en-ZA"/>
        </w:rPr>
        <w:t xml:space="preserve"> </w:t>
      </w:r>
      <w:r w:rsidR="00633A0B" w:rsidRPr="00633A0B">
        <w:rPr>
          <w:rFonts w:ascii="Arial" w:eastAsia="Calibri" w:hAnsi="Arial" w:cs="Arial"/>
          <w:sz w:val="24"/>
          <w:szCs w:val="24"/>
          <w:lang w:val="en-ZA"/>
        </w:rPr>
        <w:t>–</w:t>
      </w:r>
      <w:r w:rsidRPr="00633A0B">
        <w:rPr>
          <w:rFonts w:ascii="Arial" w:eastAsia="Calibri" w:hAnsi="Arial" w:cs="Arial"/>
          <w:sz w:val="24"/>
          <w:szCs w:val="24"/>
          <w:lang w:val="en-ZA"/>
        </w:rPr>
        <w:t xml:space="preserve"> </w:t>
      </w:r>
      <w:r w:rsidR="00633A0B" w:rsidRPr="00633A0B">
        <w:rPr>
          <w:rFonts w:ascii="Arial" w:eastAsia="Calibri" w:hAnsi="Arial" w:cs="Arial"/>
          <w:sz w:val="24"/>
          <w:szCs w:val="24"/>
          <w:lang w:val="en-ZA"/>
        </w:rPr>
        <w:t>The appellant was not truthful that he was not aware of his rights to appeal</w:t>
      </w:r>
      <w:r w:rsidR="00C92939">
        <w:rPr>
          <w:rFonts w:ascii="Arial" w:eastAsia="Calibri" w:hAnsi="Arial" w:cs="Arial"/>
          <w:sz w:val="24"/>
          <w:szCs w:val="24"/>
          <w:lang w:val="en-ZA"/>
        </w:rPr>
        <w:t xml:space="preserve"> and</w:t>
      </w:r>
      <w:r w:rsidR="0054101C">
        <w:rPr>
          <w:rFonts w:ascii="Arial" w:eastAsia="Calibri" w:hAnsi="Arial" w:cs="Arial"/>
          <w:sz w:val="24"/>
          <w:szCs w:val="24"/>
          <w:lang w:val="en-ZA"/>
        </w:rPr>
        <w:t xml:space="preserve"> that he</w:t>
      </w:r>
      <w:r w:rsidR="00C92939">
        <w:rPr>
          <w:rFonts w:ascii="Arial" w:eastAsia="Calibri" w:hAnsi="Arial" w:cs="Arial"/>
          <w:sz w:val="24"/>
          <w:szCs w:val="24"/>
          <w:lang w:val="en-ZA"/>
        </w:rPr>
        <w:t xml:space="preserve"> had to comply with the rules of court</w:t>
      </w:r>
      <w:r w:rsidR="00633A0B" w:rsidRPr="00633A0B">
        <w:rPr>
          <w:rFonts w:ascii="Arial" w:eastAsia="Calibri" w:hAnsi="Arial" w:cs="Arial"/>
          <w:sz w:val="24"/>
          <w:szCs w:val="24"/>
          <w:lang w:val="en-ZA"/>
        </w:rPr>
        <w:t>.</w:t>
      </w:r>
    </w:p>
    <w:p w:rsidR="00633A0B" w:rsidRPr="00633A0B" w:rsidRDefault="00633A0B" w:rsidP="00843F88">
      <w:pPr>
        <w:spacing w:after="0" w:line="360" w:lineRule="auto"/>
        <w:jc w:val="both"/>
        <w:rPr>
          <w:rFonts w:ascii="Arial" w:eastAsia="Calibri" w:hAnsi="Arial" w:cs="Arial"/>
          <w:sz w:val="24"/>
          <w:szCs w:val="24"/>
          <w:lang w:val="en-ZA"/>
        </w:rPr>
      </w:pPr>
    </w:p>
    <w:p w:rsidR="008121D9" w:rsidRDefault="00633A0B" w:rsidP="00843F88">
      <w:pPr>
        <w:spacing w:after="0" w:line="360" w:lineRule="auto"/>
        <w:jc w:val="both"/>
        <w:rPr>
          <w:rFonts w:ascii="Arial" w:eastAsia="Calibri" w:hAnsi="Arial" w:cs="Arial"/>
          <w:sz w:val="24"/>
          <w:szCs w:val="24"/>
          <w:lang w:val="en-ZA"/>
        </w:rPr>
      </w:pPr>
      <w:r w:rsidRPr="00C92939">
        <w:rPr>
          <w:rFonts w:ascii="Arial" w:eastAsia="Calibri" w:hAnsi="Arial" w:cs="Arial"/>
          <w:i/>
          <w:sz w:val="24"/>
          <w:szCs w:val="24"/>
          <w:lang w:val="en-ZA"/>
        </w:rPr>
        <w:t>Held fu</w:t>
      </w:r>
      <w:r w:rsidR="00C92939" w:rsidRPr="00C92939">
        <w:rPr>
          <w:rFonts w:ascii="Arial" w:eastAsia="Calibri" w:hAnsi="Arial" w:cs="Arial"/>
          <w:i/>
          <w:sz w:val="24"/>
          <w:szCs w:val="24"/>
          <w:lang w:val="en-ZA"/>
        </w:rPr>
        <w:t>r</w:t>
      </w:r>
      <w:r w:rsidRPr="00C92939">
        <w:rPr>
          <w:rFonts w:ascii="Arial" w:eastAsia="Calibri" w:hAnsi="Arial" w:cs="Arial"/>
          <w:i/>
          <w:sz w:val="24"/>
          <w:szCs w:val="24"/>
          <w:lang w:val="en-ZA"/>
        </w:rPr>
        <w:t>ther</w:t>
      </w:r>
      <w:r w:rsidRPr="00633A0B">
        <w:rPr>
          <w:rFonts w:ascii="Arial" w:eastAsia="Calibri" w:hAnsi="Arial" w:cs="Arial"/>
          <w:sz w:val="24"/>
          <w:szCs w:val="24"/>
          <w:lang w:val="en-ZA"/>
        </w:rPr>
        <w:t xml:space="preserve"> – The reasons for the delay are not acceptable. </w:t>
      </w:r>
    </w:p>
    <w:p w:rsidR="008121D9" w:rsidRDefault="008121D9" w:rsidP="00843F88">
      <w:pPr>
        <w:spacing w:after="0" w:line="360" w:lineRule="auto"/>
        <w:jc w:val="both"/>
        <w:rPr>
          <w:rFonts w:ascii="Arial" w:eastAsia="Calibri" w:hAnsi="Arial" w:cs="Arial"/>
          <w:sz w:val="24"/>
          <w:szCs w:val="24"/>
          <w:lang w:val="en-ZA"/>
        </w:rPr>
      </w:pPr>
    </w:p>
    <w:p w:rsidR="008121D9" w:rsidRDefault="008121D9" w:rsidP="00843F88">
      <w:pPr>
        <w:spacing w:after="0" w:line="360" w:lineRule="auto"/>
        <w:jc w:val="both"/>
        <w:rPr>
          <w:rFonts w:ascii="Arial" w:eastAsia="Calibri" w:hAnsi="Arial" w:cs="Arial"/>
          <w:sz w:val="24"/>
          <w:szCs w:val="24"/>
          <w:lang w:val="en-ZA"/>
        </w:rPr>
      </w:pPr>
      <w:r w:rsidRPr="008121D9">
        <w:rPr>
          <w:rFonts w:ascii="Arial" w:eastAsia="Calibri" w:hAnsi="Arial" w:cs="Arial"/>
          <w:i/>
          <w:sz w:val="24"/>
          <w:szCs w:val="24"/>
          <w:lang w:val="en-ZA"/>
        </w:rPr>
        <w:lastRenderedPageBreak/>
        <w:t>Held further</w:t>
      </w:r>
      <w:r>
        <w:rPr>
          <w:rFonts w:ascii="Arial" w:eastAsia="Calibri" w:hAnsi="Arial" w:cs="Arial"/>
          <w:sz w:val="24"/>
          <w:szCs w:val="24"/>
          <w:lang w:val="en-ZA"/>
        </w:rPr>
        <w:t xml:space="preserve"> – There are no prospects of success</w:t>
      </w:r>
    </w:p>
    <w:p w:rsidR="00843F88" w:rsidRPr="005E3C7F" w:rsidRDefault="00843F88" w:rsidP="00843F88">
      <w:pPr>
        <w:spacing w:after="0" w:line="360" w:lineRule="auto"/>
        <w:jc w:val="both"/>
        <w:rPr>
          <w:rFonts w:ascii="Arial" w:eastAsia="Calibri" w:hAnsi="Arial" w:cs="Arial"/>
          <w:sz w:val="24"/>
          <w:szCs w:val="24"/>
          <w:lang w:val="en-ZA"/>
        </w:rPr>
      </w:pPr>
      <w:r w:rsidRPr="005E3C7F">
        <w:rPr>
          <w:rFonts w:ascii="Arial" w:eastAsia="Calibri" w:hAnsi="Arial" w:cs="Arial"/>
          <w:sz w:val="24"/>
          <w:szCs w:val="24"/>
          <w:lang w:val="en-ZA"/>
        </w:rPr>
        <w:t>______________________________________________________________________</w:t>
      </w:r>
    </w:p>
    <w:p w:rsidR="00843F88" w:rsidRPr="008C5CE2" w:rsidRDefault="00843F88" w:rsidP="00843F88">
      <w:pPr>
        <w:tabs>
          <w:tab w:val="left" w:pos="0"/>
        </w:tabs>
        <w:spacing w:before="240" w:after="0" w:line="360" w:lineRule="auto"/>
        <w:ind w:left="360"/>
        <w:jc w:val="both"/>
        <w:rPr>
          <w:rFonts w:ascii="Arial" w:eastAsia="Calibri" w:hAnsi="Arial" w:cs="Arial"/>
          <w:b/>
          <w:sz w:val="24"/>
          <w:szCs w:val="24"/>
        </w:rPr>
      </w:pPr>
      <w:r w:rsidRPr="008C5CE2">
        <w:rPr>
          <w:rFonts w:ascii="Arial" w:eastAsia="Calibri" w:hAnsi="Arial" w:cs="Arial"/>
          <w:b/>
          <w:sz w:val="24"/>
          <w:szCs w:val="24"/>
        </w:rPr>
        <w:t xml:space="preserve">                                                           ORDER</w:t>
      </w:r>
    </w:p>
    <w:p w:rsidR="00843F88" w:rsidRPr="005E3C7F" w:rsidRDefault="00843F88" w:rsidP="00843F88">
      <w:pPr>
        <w:tabs>
          <w:tab w:val="left" w:pos="0"/>
        </w:tabs>
        <w:spacing w:after="0" w:line="360" w:lineRule="auto"/>
        <w:jc w:val="both"/>
        <w:rPr>
          <w:rFonts w:ascii="Arial" w:eastAsia="Calibri" w:hAnsi="Arial" w:cs="Arial"/>
          <w:sz w:val="24"/>
          <w:szCs w:val="24"/>
        </w:rPr>
      </w:pPr>
      <w:r w:rsidRPr="005E3C7F">
        <w:rPr>
          <w:rFonts w:ascii="Arial" w:eastAsia="Calibri" w:hAnsi="Arial" w:cs="Arial"/>
          <w:sz w:val="24"/>
          <w:szCs w:val="24"/>
        </w:rPr>
        <w:t xml:space="preserve">______________________________________________________________________ </w:t>
      </w:r>
    </w:p>
    <w:p w:rsidR="00843F88" w:rsidRDefault="00DD5D29" w:rsidP="00DD5D29">
      <w:pPr>
        <w:pStyle w:val="ListParagraph"/>
        <w:numPr>
          <w:ilvl w:val="0"/>
          <w:numId w:val="4"/>
        </w:numPr>
        <w:spacing w:line="360" w:lineRule="auto"/>
        <w:jc w:val="both"/>
        <w:rPr>
          <w:rFonts w:ascii="Arial" w:eastAsia="Calibri" w:hAnsi="Arial" w:cs="Arial"/>
          <w:sz w:val="24"/>
          <w:szCs w:val="24"/>
        </w:rPr>
      </w:pPr>
      <w:r>
        <w:rPr>
          <w:rFonts w:ascii="Arial" w:eastAsia="Calibri" w:hAnsi="Arial" w:cs="Arial"/>
          <w:sz w:val="24"/>
          <w:szCs w:val="24"/>
        </w:rPr>
        <w:t>The application for condonation is refused.</w:t>
      </w:r>
    </w:p>
    <w:p w:rsidR="00DD5D29" w:rsidRPr="00DD5D29" w:rsidRDefault="00DD5D29" w:rsidP="00DD5D29">
      <w:pPr>
        <w:pStyle w:val="ListParagraph"/>
        <w:numPr>
          <w:ilvl w:val="0"/>
          <w:numId w:val="4"/>
        </w:numPr>
        <w:spacing w:line="360" w:lineRule="auto"/>
        <w:jc w:val="both"/>
        <w:rPr>
          <w:rFonts w:ascii="Arial" w:eastAsia="Calibri" w:hAnsi="Arial" w:cs="Arial"/>
          <w:sz w:val="24"/>
          <w:szCs w:val="24"/>
        </w:rPr>
      </w:pPr>
      <w:r>
        <w:rPr>
          <w:rFonts w:ascii="Arial" w:eastAsia="Calibri" w:hAnsi="Arial" w:cs="Arial"/>
          <w:sz w:val="24"/>
          <w:szCs w:val="24"/>
        </w:rPr>
        <w:t xml:space="preserve">The matter is struck from the roll and considered </w:t>
      </w:r>
      <w:proofErr w:type="spellStart"/>
      <w:r>
        <w:rPr>
          <w:rFonts w:ascii="Arial" w:eastAsia="Calibri" w:hAnsi="Arial" w:cs="Arial"/>
          <w:sz w:val="24"/>
          <w:szCs w:val="24"/>
        </w:rPr>
        <w:t>finalised</w:t>
      </w:r>
      <w:proofErr w:type="spellEnd"/>
      <w:r>
        <w:rPr>
          <w:rFonts w:ascii="Arial" w:eastAsia="Calibri" w:hAnsi="Arial" w:cs="Arial"/>
          <w:sz w:val="24"/>
          <w:szCs w:val="24"/>
        </w:rPr>
        <w:t>.</w:t>
      </w:r>
    </w:p>
    <w:p w:rsidR="00843F88" w:rsidRDefault="00843F88" w:rsidP="00843F88">
      <w:pPr>
        <w:pBdr>
          <w:top w:val="single" w:sz="12" w:space="21" w:color="auto"/>
          <w:bottom w:val="single" w:sz="12" w:space="1" w:color="auto"/>
        </w:pBdr>
        <w:spacing w:before="240" w:after="0" w:line="360" w:lineRule="auto"/>
        <w:jc w:val="both"/>
        <w:rPr>
          <w:rFonts w:ascii="Arial" w:eastAsia="Calibri" w:hAnsi="Arial" w:cs="Arial"/>
          <w:b/>
          <w:sz w:val="24"/>
          <w:szCs w:val="24"/>
        </w:rPr>
      </w:pP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t xml:space="preserve">       </w:t>
      </w:r>
      <w:r>
        <w:rPr>
          <w:rFonts w:ascii="Arial" w:eastAsia="Calibri" w:hAnsi="Arial" w:cs="Arial"/>
          <w:b/>
          <w:sz w:val="24"/>
          <w:szCs w:val="24"/>
        </w:rPr>
        <w:t>APPEAL JUDGMENT</w:t>
      </w:r>
    </w:p>
    <w:p w:rsidR="00843F88" w:rsidRPr="005E3C7F" w:rsidRDefault="00843F88" w:rsidP="00843F88">
      <w:pPr>
        <w:pBdr>
          <w:top w:val="single" w:sz="12" w:space="21" w:color="auto"/>
          <w:bottom w:val="single" w:sz="12" w:space="1" w:color="auto"/>
        </w:pBdr>
        <w:spacing w:after="0" w:line="240" w:lineRule="auto"/>
        <w:jc w:val="both"/>
        <w:rPr>
          <w:rFonts w:ascii="Arial" w:eastAsia="Calibri" w:hAnsi="Arial" w:cs="Arial"/>
          <w:b/>
          <w:sz w:val="24"/>
          <w:szCs w:val="24"/>
        </w:rPr>
      </w:pPr>
    </w:p>
    <w:p w:rsidR="00843F88" w:rsidRPr="00C96E61" w:rsidRDefault="00843F88" w:rsidP="00843F88">
      <w:pPr>
        <w:spacing w:after="0" w:line="360" w:lineRule="auto"/>
        <w:jc w:val="both"/>
        <w:rPr>
          <w:rFonts w:ascii="Arial" w:eastAsia="Calibri" w:hAnsi="Arial" w:cs="Arial"/>
          <w:b/>
          <w:sz w:val="24"/>
          <w:szCs w:val="24"/>
        </w:rPr>
      </w:pPr>
    </w:p>
    <w:p w:rsidR="00843F88" w:rsidRPr="005E3C7F" w:rsidRDefault="00843F88" w:rsidP="00843F88">
      <w:pPr>
        <w:spacing w:after="0" w:line="360" w:lineRule="auto"/>
        <w:jc w:val="both"/>
        <w:rPr>
          <w:rFonts w:ascii="Arial" w:eastAsia="Calibri" w:hAnsi="Arial" w:cs="Arial"/>
          <w:b/>
          <w:sz w:val="24"/>
          <w:szCs w:val="24"/>
        </w:rPr>
      </w:pPr>
      <w:r w:rsidRPr="00C57383">
        <w:rPr>
          <w:rFonts w:ascii="Arial" w:eastAsia="Calibri" w:hAnsi="Arial" w:cs="Arial"/>
          <w:sz w:val="24"/>
          <w:szCs w:val="24"/>
        </w:rPr>
        <w:t>JANUARY J (</w:t>
      </w:r>
      <w:r>
        <w:rPr>
          <w:rFonts w:ascii="Arial" w:eastAsia="Calibri" w:hAnsi="Arial" w:cs="Arial"/>
          <w:sz w:val="24"/>
          <w:szCs w:val="24"/>
        </w:rPr>
        <w:t xml:space="preserve">LIEBENBERG </w:t>
      </w:r>
      <w:r w:rsidR="002E1BFE">
        <w:rPr>
          <w:rFonts w:ascii="Arial" w:eastAsia="Calibri" w:hAnsi="Arial" w:cs="Arial"/>
          <w:sz w:val="24"/>
          <w:szCs w:val="24"/>
        </w:rPr>
        <w:t>J</w:t>
      </w:r>
      <w:r w:rsidRPr="00C57383">
        <w:rPr>
          <w:rFonts w:ascii="Arial" w:eastAsia="Calibri" w:hAnsi="Arial" w:cs="Arial"/>
          <w:sz w:val="24"/>
          <w:szCs w:val="24"/>
        </w:rPr>
        <w:t xml:space="preserve"> concurring</w:t>
      </w:r>
      <w:r w:rsidRPr="005E3C7F">
        <w:rPr>
          <w:rFonts w:ascii="Arial" w:eastAsia="Calibri" w:hAnsi="Arial" w:cs="Arial"/>
          <w:b/>
          <w:sz w:val="24"/>
          <w:szCs w:val="24"/>
        </w:rPr>
        <w:t>)</w:t>
      </w:r>
      <w:r>
        <w:rPr>
          <w:rFonts w:ascii="Arial" w:eastAsia="Calibri" w:hAnsi="Arial" w:cs="Arial"/>
          <w:b/>
          <w:sz w:val="24"/>
          <w:szCs w:val="24"/>
        </w:rPr>
        <w:t>:</w:t>
      </w:r>
    </w:p>
    <w:p w:rsidR="00843F88" w:rsidRPr="00C96E61" w:rsidRDefault="00843F88" w:rsidP="00843F88">
      <w:pPr>
        <w:spacing w:after="0" w:line="360" w:lineRule="auto"/>
        <w:jc w:val="both"/>
        <w:rPr>
          <w:rFonts w:ascii="Arial" w:eastAsia="Calibri" w:hAnsi="Arial" w:cs="Arial"/>
          <w:b/>
          <w:sz w:val="24"/>
          <w:szCs w:val="24"/>
        </w:rPr>
      </w:pPr>
    </w:p>
    <w:p w:rsidR="00843F88" w:rsidRDefault="00843F88" w:rsidP="00843F88">
      <w:pPr>
        <w:spacing w:after="0" w:line="360" w:lineRule="auto"/>
        <w:jc w:val="both"/>
        <w:rPr>
          <w:rFonts w:ascii="Arial" w:eastAsia="Calibri" w:hAnsi="Arial" w:cs="Arial"/>
          <w:sz w:val="24"/>
          <w:szCs w:val="24"/>
          <w:u w:val="single"/>
        </w:rPr>
      </w:pPr>
      <w:r w:rsidRPr="008C5CE2">
        <w:rPr>
          <w:rFonts w:ascii="Arial" w:eastAsia="Calibri" w:hAnsi="Arial" w:cs="Arial"/>
          <w:sz w:val="24"/>
          <w:szCs w:val="24"/>
          <w:u w:val="single"/>
        </w:rPr>
        <w:t>Introduction</w:t>
      </w:r>
    </w:p>
    <w:p w:rsidR="00843F88" w:rsidRDefault="00843F88" w:rsidP="00843F88">
      <w:pPr>
        <w:spacing w:line="360" w:lineRule="auto"/>
        <w:jc w:val="both"/>
        <w:rPr>
          <w:rFonts w:ascii="Arial" w:eastAsia="Calibri" w:hAnsi="Arial" w:cs="Arial"/>
          <w:sz w:val="24"/>
          <w:szCs w:val="24"/>
        </w:rPr>
      </w:pPr>
      <w:r w:rsidRPr="00C96E61">
        <w:rPr>
          <w:rFonts w:ascii="Arial" w:eastAsia="Calibri" w:hAnsi="Arial" w:cs="Arial"/>
          <w:sz w:val="24"/>
          <w:szCs w:val="24"/>
        </w:rPr>
        <w:t>[1]</w:t>
      </w:r>
      <w:r w:rsidRPr="00C96E61">
        <w:rPr>
          <w:rFonts w:ascii="Arial" w:eastAsia="Calibri" w:hAnsi="Arial" w:cs="Arial"/>
          <w:sz w:val="24"/>
          <w:szCs w:val="24"/>
        </w:rPr>
        <w:tab/>
      </w:r>
      <w:r>
        <w:rPr>
          <w:rFonts w:ascii="Arial" w:eastAsia="Calibri" w:hAnsi="Arial" w:cs="Arial"/>
          <w:sz w:val="24"/>
          <w:szCs w:val="24"/>
        </w:rPr>
        <w:t>The appellant appeared in the Regional Court</w:t>
      </w:r>
      <w:r w:rsidR="00510EC6">
        <w:rPr>
          <w:rFonts w:ascii="Arial" w:eastAsia="Calibri" w:hAnsi="Arial" w:cs="Arial"/>
          <w:sz w:val="24"/>
          <w:szCs w:val="24"/>
        </w:rPr>
        <w:t>, Katutura</w:t>
      </w:r>
      <w:r>
        <w:rPr>
          <w:rFonts w:ascii="Arial" w:eastAsia="Calibri" w:hAnsi="Arial" w:cs="Arial"/>
          <w:sz w:val="24"/>
          <w:szCs w:val="24"/>
        </w:rPr>
        <w:t xml:space="preserve"> for the district of Windhoek</w:t>
      </w:r>
      <w:r w:rsidR="00BC6AAE">
        <w:rPr>
          <w:rFonts w:ascii="Arial" w:eastAsia="Calibri" w:hAnsi="Arial" w:cs="Arial"/>
          <w:sz w:val="24"/>
          <w:szCs w:val="24"/>
        </w:rPr>
        <w:t xml:space="preserve"> on </w:t>
      </w:r>
      <w:r w:rsidR="0054101C">
        <w:rPr>
          <w:rFonts w:ascii="Arial" w:eastAsia="Calibri" w:hAnsi="Arial" w:cs="Arial"/>
          <w:sz w:val="24"/>
          <w:szCs w:val="24"/>
        </w:rPr>
        <w:t>charges of m</w:t>
      </w:r>
      <w:r w:rsidR="000E05A7">
        <w:rPr>
          <w:rFonts w:ascii="Arial" w:eastAsia="Calibri" w:hAnsi="Arial" w:cs="Arial"/>
          <w:sz w:val="24"/>
          <w:szCs w:val="24"/>
        </w:rPr>
        <w:t>urder</w:t>
      </w:r>
      <w:r>
        <w:rPr>
          <w:rFonts w:ascii="Arial" w:eastAsia="Calibri" w:hAnsi="Arial" w:cs="Arial"/>
          <w:sz w:val="24"/>
          <w:szCs w:val="24"/>
        </w:rPr>
        <w:t xml:space="preserve"> </w:t>
      </w:r>
      <w:r w:rsidR="00BC6AAE">
        <w:rPr>
          <w:rFonts w:ascii="Arial" w:eastAsia="Calibri" w:hAnsi="Arial" w:cs="Arial"/>
          <w:sz w:val="24"/>
          <w:szCs w:val="24"/>
        </w:rPr>
        <w:t>a</w:t>
      </w:r>
      <w:r w:rsidR="0054101C">
        <w:rPr>
          <w:rFonts w:ascii="Arial" w:eastAsia="Calibri" w:hAnsi="Arial" w:cs="Arial"/>
          <w:sz w:val="24"/>
          <w:szCs w:val="24"/>
        </w:rPr>
        <w:t>nd a</w:t>
      </w:r>
      <w:r w:rsidR="000E05A7">
        <w:rPr>
          <w:rFonts w:ascii="Arial" w:eastAsia="Calibri" w:hAnsi="Arial" w:cs="Arial"/>
          <w:sz w:val="24"/>
          <w:szCs w:val="24"/>
        </w:rPr>
        <w:t>ssault</w:t>
      </w:r>
      <w:r w:rsidR="00BC6AAE">
        <w:rPr>
          <w:rFonts w:ascii="Arial" w:eastAsia="Calibri" w:hAnsi="Arial" w:cs="Arial"/>
          <w:sz w:val="24"/>
          <w:szCs w:val="24"/>
        </w:rPr>
        <w:t xml:space="preserve"> with intent to do grievous bodily harm.</w:t>
      </w:r>
      <w:r>
        <w:rPr>
          <w:rFonts w:ascii="Arial" w:eastAsia="Calibri" w:hAnsi="Arial" w:cs="Arial"/>
          <w:sz w:val="24"/>
          <w:szCs w:val="24"/>
        </w:rPr>
        <w:t xml:space="preserve"> </w:t>
      </w:r>
      <w:r w:rsidR="00BC6AAE">
        <w:rPr>
          <w:rFonts w:ascii="Arial" w:eastAsia="Calibri" w:hAnsi="Arial" w:cs="Arial"/>
          <w:sz w:val="24"/>
          <w:szCs w:val="24"/>
        </w:rPr>
        <w:t xml:space="preserve">He pleaded not guilty on both counts. He was eventually convicted on both </w:t>
      </w:r>
      <w:r w:rsidR="002E1BFE">
        <w:rPr>
          <w:rFonts w:ascii="Arial" w:eastAsia="Calibri" w:hAnsi="Arial" w:cs="Arial"/>
          <w:sz w:val="24"/>
          <w:szCs w:val="24"/>
        </w:rPr>
        <w:t>counts</w:t>
      </w:r>
      <w:r w:rsidR="00BC6AAE">
        <w:rPr>
          <w:rFonts w:ascii="Arial" w:eastAsia="Calibri" w:hAnsi="Arial" w:cs="Arial"/>
          <w:sz w:val="24"/>
          <w:szCs w:val="24"/>
        </w:rPr>
        <w:t xml:space="preserve"> and sentenced on count one to 20 years’ imprisonment and on count </w:t>
      </w:r>
      <w:r w:rsidR="0054101C">
        <w:rPr>
          <w:rFonts w:ascii="Arial" w:eastAsia="Calibri" w:hAnsi="Arial" w:cs="Arial"/>
          <w:sz w:val="24"/>
          <w:szCs w:val="24"/>
        </w:rPr>
        <w:t xml:space="preserve">two </w:t>
      </w:r>
      <w:r w:rsidR="00BC6AAE">
        <w:rPr>
          <w:rFonts w:ascii="Arial" w:eastAsia="Calibri" w:hAnsi="Arial" w:cs="Arial"/>
          <w:sz w:val="24"/>
          <w:szCs w:val="24"/>
        </w:rPr>
        <w:t>to three years’ imprisonment</w:t>
      </w:r>
      <w:r>
        <w:rPr>
          <w:rFonts w:ascii="Arial" w:eastAsia="Calibri" w:hAnsi="Arial" w:cs="Arial"/>
          <w:sz w:val="24"/>
          <w:szCs w:val="24"/>
        </w:rPr>
        <w:t>. The a</w:t>
      </w:r>
      <w:r w:rsidRPr="00DF27A7">
        <w:rPr>
          <w:rFonts w:ascii="Arial" w:eastAsia="Calibri" w:hAnsi="Arial" w:cs="Arial"/>
          <w:sz w:val="24"/>
          <w:szCs w:val="24"/>
        </w:rPr>
        <w:t xml:space="preserve">ccused person </w:t>
      </w:r>
      <w:r w:rsidR="00BC6AAE">
        <w:rPr>
          <w:rFonts w:ascii="Arial" w:eastAsia="Calibri" w:hAnsi="Arial" w:cs="Arial"/>
          <w:sz w:val="24"/>
          <w:szCs w:val="24"/>
        </w:rPr>
        <w:t>was</w:t>
      </w:r>
      <w:r w:rsidRPr="00DF27A7">
        <w:rPr>
          <w:rFonts w:ascii="Arial" w:eastAsia="Calibri" w:hAnsi="Arial" w:cs="Arial"/>
          <w:sz w:val="24"/>
          <w:szCs w:val="24"/>
        </w:rPr>
        <w:t xml:space="preserve"> </w:t>
      </w:r>
      <w:r w:rsidR="00510EC6">
        <w:rPr>
          <w:rFonts w:ascii="Arial" w:eastAsia="Calibri" w:hAnsi="Arial" w:cs="Arial"/>
          <w:sz w:val="24"/>
          <w:szCs w:val="24"/>
        </w:rPr>
        <w:t>re</w:t>
      </w:r>
      <w:r w:rsidRPr="00DF27A7">
        <w:rPr>
          <w:rFonts w:ascii="Arial" w:eastAsia="Calibri" w:hAnsi="Arial" w:cs="Arial"/>
          <w:sz w:val="24"/>
          <w:szCs w:val="24"/>
        </w:rPr>
        <w:t>presented in</w:t>
      </w:r>
      <w:r>
        <w:rPr>
          <w:rFonts w:ascii="Arial" w:eastAsia="Calibri" w:hAnsi="Arial" w:cs="Arial"/>
          <w:sz w:val="24"/>
          <w:szCs w:val="24"/>
        </w:rPr>
        <w:t xml:space="preserve"> the</w:t>
      </w:r>
      <w:r w:rsidRPr="00DF27A7">
        <w:rPr>
          <w:rFonts w:ascii="Arial" w:eastAsia="Calibri" w:hAnsi="Arial" w:cs="Arial"/>
          <w:sz w:val="24"/>
          <w:szCs w:val="24"/>
        </w:rPr>
        <w:t xml:space="preserve"> court a quo.</w:t>
      </w:r>
    </w:p>
    <w:p w:rsidR="00843F88" w:rsidRDefault="00843F88" w:rsidP="00843F88">
      <w:pPr>
        <w:spacing w:after="0" w:line="360" w:lineRule="auto"/>
        <w:jc w:val="both"/>
        <w:rPr>
          <w:rFonts w:ascii="Arial" w:eastAsia="Calibri" w:hAnsi="Arial" w:cs="Arial"/>
          <w:sz w:val="24"/>
          <w:szCs w:val="24"/>
        </w:rPr>
      </w:pPr>
    </w:p>
    <w:p w:rsidR="00404461" w:rsidRDefault="00843F88" w:rsidP="00BC6AAE">
      <w:pPr>
        <w:spacing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510EC6">
        <w:rPr>
          <w:rFonts w:ascii="Arial" w:eastAsia="Calibri" w:hAnsi="Arial" w:cs="Arial"/>
          <w:sz w:val="24"/>
          <w:szCs w:val="24"/>
        </w:rPr>
        <w:t xml:space="preserve">The appeal is against the </w:t>
      </w:r>
      <w:r w:rsidR="0054101C">
        <w:rPr>
          <w:rFonts w:ascii="Arial" w:eastAsia="Calibri" w:hAnsi="Arial" w:cs="Arial"/>
          <w:sz w:val="24"/>
          <w:szCs w:val="24"/>
        </w:rPr>
        <w:t>sentencing</w:t>
      </w:r>
      <w:r w:rsidR="00510EC6">
        <w:rPr>
          <w:rFonts w:ascii="Arial" w:eastAsia="Calibri" w:hAnsi="Arial" w:cs="Arial"/>
          <w:sz w:val="24"/>
          <w:szCs w:val="24"/>
        </w:rPr>
        <w:t xml:space="preserve">. </w:t>
      </w:r>
      <w:r w:rsidR="00BC6AAE">
        <w:rPr>
          <w:rFonts w:ascii="Arial" w:eastAsia="Calibri" w:hAnsi="Arial" w:cs="Arial"/>
          <w:sz w:val="24"/>
          <w:szCs w:val="24"/>
        </w:rPr>
        <w:t xml:space="preserve">The appellant is represented </w:t>
      </w:r>
      <w:r w:rsidR="00081C10">
        <w:rPr>
          <w:rFonts w:ascii="Arial" w:eastAsia="Calibri" w:hAnsi="Arial" w:cs="Arial"/>
          <w:sz w:val="24"/>
          <w:szCs w:val="24"/>
        </w:rPr>
        <w:t xml:space="preserve">by Mr. </w:t>
      </w:r>
      <w:proofErr w:type="spellStart"/>
      <w:r w:rsidR="00081C10">
        <w:rPr>
          <w:rFonts w:ascii="Arial" w:eastAsia="Calibri" w:hAnsi="Arial" w:cs="Arial"/>
          <w:sz w:val="24"/>
          <w:szCs w:val="24"/>
        </w:rPr>
        <w:t>Veli</w:t>
      </w:r>
      <w:r w:rsidR="00510EC6">
        <w:rPr>
          <w:rFonts w:ascii="Arial" w:eastAsia="Calibri" w:hAnsi="Arial" w:cs="Arial"/>
          <w:sz w:val="24"/>
          <w:szCs w:val="24"/>
        </w:rPr>
        <w:t>koshi</w:t>
      </w:r>
      <w:proofErr w:type="spellEnd"/>
      <w:r w:rsidR="00510EC6">
        <w:rPr>
          <w:rFonts w:ascii="Arial" w:eastAsia="Calibri" w:hAnsi="Arial" w:cs="Arial"/>
          <w:sz w:val="24"/>
          <w:szCs w:val="24"/>
        </w:rPr>
        <w:t xml:space="preserve"> and the respondent is represented by Mr</w:t>
      </w:r>
      <w:r w:rsidR="0054101C">
        <w:rPr>
          <w:rFonts w:ascii="Arial" w:eastAsia="Calibri" w:hAnsi="Arial" w:cs="Arial"/>
          <w:sz w:val="24"/>
          <w:szCs w:val="24"/>
        </w:rPr>
        <w:t>.</w:t>
      </w:r>
      <w:r w:rsidR="00510EC6">
        <w:rPr>
          <w:rFonts w:ascii="Arial" w:eastAsia="Calibri" w:hAnsi="Arial" w:cs="Arial"/>
          <w:sz w:val="24"/>
          <w:szCs w:val="24"/>
        </w:rPr>
        <w:t xml:space="preserve"> </w:t>
      </w:r>
      <w:proofErr w:type="spellStart"/>
      <w:r w:rsidR="00510EC6">
        <w:rPr>
          <w:rFonts w:ascii="Arial" w:eastAsia="Calibri" w:hAnsi="Arial" w:cs="Arial"/>
          <w:sz w:val="24"/>
          <w:szCs w:val="24"/>
        </w:rPr>
        <w:t>Kalipi</w:t>
      </w:r>
      <w:proofErr w:type="spellEnd"/>
      <w:r w:rsidR="00C92939">
        <w:rPr>
          <w:rFonts w:ascii="Arial" w:eastAsia="Calibri" w:hAnsi="Arial" w:cs="Arial"/>
          <w:sz w:val="24"/>
          <w:szCs w:val="24"/>
        </w:rPr>
        <w:t>.</w:t>
      </w:r>
      <w:r w:rsidR="00404461" w:rsidRPr="00404461">
        <w:rPr>
          <w:rFonts w:ascii="Arial" w:eastAsia="Calibri" w:hAnsi="Arial" w:cs="Arial"/>
          <w:sz w:val="24"/>
          <w:szCs w:val="24"/>
        </w:rPr>
        <w:t xml:space="preserve"> </w:t>
      </w:r>
    </w:p>
    <w:p w:rsidR="0016645A" w:rsidRDefault="00404461" w:rsidP="00BC6AAE">
      <w:pPr>
        <w:spacing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We have reserved our ruling on the application for condonation and entertained the appeal on the merits relating to the sentencing.</w:t>
      </w:r>
      <w:r w:rsidR="0087498C">
        <w:rPr>
          <w:rFonts w:ascii="Arial" w:eastAsia="Calibri" w:hAnsi="Arial" w:cs="Arial"/>
          <w:sz w:val="24"/>
          <w:szCs w:val="24"/>
        </w:rPr>
        <w:t xml:space="preserve"> In any event, the merits are relevant in the adjudication of the application for condonation.</w:t>
      </w:r>
    </w:p>
    <w:p w:rsidR="00DF235C" w:rsidRPr="00DF235C" w:rsidRDefault="00DF235C" w:rsidP="00BC6AAE">
      <w:pPr>
        <w:spacing w:line="360" w:lineRule="auto"/>
        <w:jc w:val="both"/>
        <w:rPr>
          <w:rFonts w:ascii="Arial" w:eastAsia="Calibri" w:hAnsi="Arial" w:cs="Arial"/>
          <w:sz w:val="24"/>
          <w:szCs w:val="24"/>
          <w:u w:val="single"/>
        </w:rPr>
      </w:pPr>
      <w:r w:rsidRPr="00DF235C">
        <w:rPr>
          <w:rFonts w:ascii="Arial" w:eastAsia="Calibri" w:hAnsi="Arial" w:cs="Arial"/>
          <w:sz w:val="24"/>
          <w:szCs w:val="24"/>
          <w:u w:val="single"/>
        </w:rPr>
        <w:t>The background</w:t>
      </w:r>
      <w:r>
        <w:rPr>
          <w:rFonts w:ascii="Arial" w:eastAsia="Calibri" w:hAnsi="Arial" w:cs="Arial"/>
          <w:sz w:val="24"/>
          <w:szCs w:val="24"/>
          <w:u w:val="single"/>
        </w:rPr>
        <w:t xml:space="preserve"> </w:t>
      </w:r>
    </w:p>
    <w:p w:rsidR="00DF235C" w:rsidRDefault="00404461" w:rsidP="00BC6AAE">
      <w:pPr>
        <w:spacing w:line="360" w:lineRule="auto"/>
        <w:jc w:val="both"/>
        <w:rPr>
          <w:rFonts w:ascii="Arial" w:eastAsia="Calibri" w:hAnsi="Arial" w:cs="Arial"/>
          <w:sz w:val="24"/>
          <w:szCs w:val="24"/>
        </w:rPr>
      </w:pPr>
      <w:r>
        <w:rPr>
          <w:rFonts w:ascii="Arial" w:eastAsia="Calibri" w:hAnsi="Arial" w:cs="Arial"/>
          <w:sz w:val="24"/>
          <w:szCs w:val="24"/>
        </w:rPr>
        <w:t>[4</w:t>
      </w:r>
      <w:r w:rsidR="00DF235C">
        <w:rPr>
          <w:rFonts w:ascii="Arial" w:eastAsia="Calibri" w:hAnsi="Arial" w:cs="Arial"/>
          <w:sz w:val="24"/>
          <w:szCs w:val="24"/>
        </w:rPr>
        <w:t>]</w:t>
      </w:r>
      <w:r w:rsidR="00DF235C">
        <w:rPr>
          <w:rFonts w:ascii="Arial" w:eastAsia="Calibri" w:hAnsi="Arial" w:cs="Arial"/>
          <w:sz w:val="24"/>
          <w:szCs w:val="24"/>
        </w:rPr>
        <w:tab/>
        <w:t>On 22 February 2013,</w:t>
      </w:r>
      <w:r w:rsidR="002F4ADD">
        <w:rPr>
          <w:rFonts w:ascii="Arial" w:eastAsia="Calibri" w:hAnsi="Arial" w:cs="Arial"/>
          <w:sz w:val="24"/>
          <w:szCs w:val="24"/>
        </w:rPr>
        <w:t xml:space="preserve"> </w:t>
      </w:r>
      <w:r w:rsidR="00DF235C">
        <w:rPr>
          <w:rFonts w:ascii="Arial" w:eastAsia="Calibri" w:hAnsi="Arial" w:cs="Arial"/>
          <w:sz w:val="24"/>
          <w:szCs w:val="24"/>
        </w:rPr>
        <w:t xml:space="preserve">the deceased, the complainant in count </w:t>
      </w:r>
      <w:r w:rsidR="0054101C">
        <w:rPr>
          <w:rFonts w:ascii="Arial" w:eastAsia="Calibri" w:hAnsi="Arial" w:cs="Arial"/>
          <w:sz w:val="24"/>
          <w:szCs w:val="24"/>
        </w:rPr>
        <w:t>two</w:t>
      </w:r>
      <w:r w:rsidR="001D5DFC" w:rsidRPr="001D5DFC">
        <w:rPr>
          <w:rFonts w:ascii="Arial" w:eastAsia="Calibri" w:hAnsi="Arial" w:cs="Arial"/>
          <w:sz w:val="24"/>
          <w:szCs w:val="24"/>
        </w:rPr>
        <w:t xml:space="preserve"> </w:t>
      </w:r>
      <w:r w:rsidR="001D5DFC">
        <w:rPr>
          <w:rFonts w:ascii="Arial" w:eastAsia="Calibri" w:hAnsi="Arial" w:cs="Arial"/>
          <w:sz w:val="24"/>
          <w:szCs w:val="24"/>
        </w:rPr>
        <w:t xml:space="preserve">and another </w:t>
      </w:r>
      <w:r w:rsidR="002F4ADD">
        <w:rPr>
          <w:rFonts w:ascii="Arial" w:eastAsia="Calibri" w:hAnsi="Arial" w:cs="Arial"/>
          <w:sz w:val="24"/>
          <w:szCs w:val="24"/>
        </w:rPr>
        <w:t>person were</w:t>
      </w:r>
      <w:r w:rsidR="00DF235C">
        <w:rPr>
          <w:rFonts w:ascii="Arial" w:eastAsia="Calibri" w:hAnsi="Arial" w:cs="Arial"/>
          <w:sz w:val="24"/>
          <w:szCs w:val="24"/>
        </w:rPr>
        <w:t xml:space="preserve"> walking in a street</w:t>
      </w:r>
      <w:r w:rsidR="001D5DFC">
        <w:rPr>
          <w:rFonts w:ascii="Arial" w:eastAsia="Calibri" w:hAnsi="Arial" w:cs="Arial"/>
          <w:sz w:val="24"/>
          <w:szCs w:val="24"/>
        </w:rPr>
        <w:t xml:space="preserve"> in </w:t>
      </w:r>
      <w:proofErr w:type="spellStart"/>
      <w:r w:rsidR="001D5DFC">
        <w:rPr>
          <w:rFonts w:ascii="Arial" w:eastAsia="Calibri" w:hAnsi="Arial" w:cs="Arial"/>
          <w:sz w:val="24"/>
          <w:szCs w:val="24"/>
        </w:rPr>
        <w:t>Grysblock</w:t>
      </w:r>
      <w:proofErr w:type="spellEnd"/>
      <w:r w:rsidR="001D5DFC">
        <w:rPr>
          <w:rFonts w:ascii="Arial" w:eastAsia="Calibri" w:hAnsi="Arial" w:cs="Arial"/>
          <w:sz w:val="24"/>
          <w:szCs w:val="24"/>
        </w:rPr>
        <w:t>, Katutura</w:t>
      </w:r>
      <w:r w:rsidR="00DF235C">
        <w:rPr>
          <w:rFonts w:ascii="Arial" w:eastAsia="Calibri" w:hAnsi="Arial" w:cs="Arial"/>
          <w:sz w:val="24"/>
          <w:szCs w:val="24"/>
        </w:rPr>
        <w:t xml:space="preserve">. </w:t>
      </w:r>
      <w:r w:rsidR="001D5DFC">
        <w:rPr>
          <w:rFonts w:ascii="Arial" w:eastAsia="Calibri" w:hAnsi="Arial" w:cs="Arial"/>
          <w:sz w:val="24"/>
          <w:szCs w:val="24"/>
        </w:rPr>
        <w:t xml:space="preserve">The accused drove passed them with a motor vehicle, stopped and reversed. </w:t>
      </w:r>
      <w:r w:rsidR="002F4ADD">
        <w:rPr>
          <w:rFonts w:ascii="Arial" w:eastAsia="Calibri" w:hAnsi="Arial" w:cs="Arial"/>
          <w:sz w:val="24"/>
          <w:szCs w:val="24"/>
        </w:rPr>
        <w:t>He</w:t>
      </w:r>
      <w:r w:rsidR="001D5DFC">
        <w:rPr>
          <w:rFonts w:ascii="Arial" w:eastAsia="Calibri" w:hAnsi="Arial" w:cs="Arial"/>
          <w:sz w:val="24"/>
          <w:szCs w:val="24"/>
        </w:rPr>
        <w:t xml:space="preserve"> disembarked with a pistol in his hand. </w:t>
      </w:r>
      <w:r w:rsidR="001D5DFC">
        <w:rPr>
          <w:rFonts w:ascii="Arial" w:eastAsia="Calibri" w:hAnsi="Arial" w:cs="Arial"/>
          <w:sz w:val="24"/>
          <w:szCs w:val="24"/>
        </w:rPr>
        <w:lastRenderedPageBreak/>
        <w:t>He confronted the complainant in count two as to why the latter hit his motor vehicle. Complainant responded that no one hit the car. The accused hit the complainant in the face with the pistol, turned around, cocked the pistol</w:t>
      </w:r>
      <w:r w:rsidR="002F4ADD">
        <w:rPr>
          <w:rFonts w:ascii="Arial" w:eastAsia="Calibri" w:hAnsi="Arial" w:cs="Arial"/>
          <w:sz w:val="24"/>
          <w:szCs w:val="24"/>
        </w:rPr>
        <w:t xml:space="preserve"> and shot the deceased i</w:t>
      </w:r>
      <w:r w:rsidR="001D5DFC">
        <w:rPr>
          <w:rFonts w:ascii="Arial" w:eastAsia="Calibri" w:hAnsi="Arial" w:cs="Arial"/>
          <w:sz w:val="24"/>
          <w:szCs w:val="24"/>
        </w:rPr>
        <w:t>n the chest. Thereafter, the accused walked back to his motor vehicle and drove off.</w:t>
      </w:r>
      <w:r w:rsidR="002F4ADD">
        <w:rPr>
          <w:rFonts w:ascii="Arial" w:eastAsia="Calibri" w:hAnsi="Arial" w:cs="Arial"/>
          <w:sz w:val="24"/>
          <w:szCs w:val="24"/>
        </w:rPr>
        <w:t xml:space="preserve"> He did not report the incident to the police.</w:t>
      </w:r>
      <w:r w:rsidR="001D5DFC">
        <w:rPr>
          <w:rFonts w:ascii="Arial" w:eastAsia="Calibri" w:hAnsi="Arial" w:cs="Arial"/>
          <w:sz w:val="24"/>
          <w:szCs w:val="24"/>
        </w:rPr>
        <w:t xml:space="preserve"> </w:t>
      </w:r>
    </w:p>
    <w:p w:rsidR="007602E5" w:rsidRDefault="007602E5" w:rsidP="00BC6AAE">
      <w:pPr>
        <w:spacing w:line="360" w:lineRule="auto"/>
        <w:jc w:val="both"/>
        <w:rPr>
          <w:rFonts w:ascii="Arial" w:eastAsia="Calibri" w:hAnsi="Arial" w:cs="Arial"/>
          <w:sz w:val="24"/>
          <w:szCs w:val="24"/>
          <w:u w:val="single"/>
        </w:rPr>
      </w:pPr>
      <w:r w:rsidRPr="007602E5">
        <w:rPr>
          <w:rFonts w:ascii="Arial" w:eastAsia="Calibri" w:hAnsi="Arial" w:cs="Arial"/>
          <w:sz w:val="24"/>
          <w:szCs w:val="24"/>
          <w:u w:val="single"/>
        </w:rPr>
        <w:t>Grounds of appeal</w:t>
      </w:r>
      <w:r>
        <w:rPr>
          <w:rFonts w:ascii="Arial" w:eastAsia="Calibri" w:hAnsi="Arial" w:cs="Arial"/>
          <w:sz w:val="24"/>
          <w:szCs w:val="24"/>
          <w:u w:val="single"/>
        </w:rPr>
        <w:t xml:space="preserve"> </w:t>
      </w:r>
    </w:p>
    <w:p w:rsidR="007602E5" w:rsidRDefault="007602E5" w:rsidP="00BC6AAE">
      <w:pPr>
        <w:spacing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grounds of appeal are set out as follows:</w:t>
      </w:r>
    </w:p>
    <w:p w:rsidR="007602E5" w:rsidRPr="007602E5" w:rsidRDefault="007602E5" w:rsidP="00BC6AAE">
      <w:pPr>
        <w:spacing w:line="360" w:lineRule="auto"/>
        <w:jc w:val="both"/>
        <w:rPr>
          <w:rFonts w:ascii="Arial" w:eastAsia="Calibri" w:hAnsi="Arial" w:cs="Arial"/>
        </w:rPr>
      </w:pPr>
      <w:r>
        <w:rPr>
          <w:rFonts w:ascii="Arial" w:eastAsia="Calibri" w:hAnsi="Arial" w:cs="Arial"/>
          <w:sz w:val="24"/>
          <w:szCs w:val="24"/>
        </w:rPr>
        <w:tab/>
      </w:r>
      <w:r w:rsidRPr="007602E5">
        <w:rPr>
          <w:rFonts w:ascii="Arial" w:eastAsia="Calibri" w:hAnsi="Arial" w:cs="Arial"/>
        </w:rPr>
        <w:t>‘1.   The sentences imposed by the learned Regional Magistrate are so excessively severe as to generate sensations of shock, and therefore there is a strong likelihood that the High Court will interfere with it in that:</w:t>
      </w:r>
    </w:p>
    <w:p w:rsidR="007602E5" w:rsidRDefault="007602E5" w:rsidP="007602E5">
      <w:pPr>
        <w:pStyle w:val="ListParagraph"/>
        <w:numPr>
          <w:ilvl w:val="1"/>
          <w:numId w:val="2"/>
        </w:numPr>
        <w:spacing w:line="360" w:lineRule="auto"/>
        <w:jc w:val="both"/>
        <w:rPr>
          <w:rFonts w:ascii="Arial" w:eastAsia="Calibri" w:hAnsi="Arial" w:cs="Arial"/>
        </w:rPr>
      </w:pPr>
      <w:r w:rsidRPr="007602E5">
        <w:rPr>
          <w:rFonts w:ascii="Arial" w:eastAsia="Calibri" w:hAnsi="Arial" w:cs="Arial"/>
        </w:rPr>
        <w:t>The learned regional magistrate committed an error when she imposed the maximum 20 year sentence allowed under the Regional Court’s jurisdiction.</w:t>
      </w:r>
    </w:p>
    <w:p w:rsidR="007602E5" w:rsidRPr="007602E5" w:rsidRDefault="007602E5" w:rsidP="007602E5">
      <w:pPr>
        <w:pStyle w:val="ListParagraph"/>
        <w:spacing w:line="360" w:lineRule="auto"/>
        <w:ind w:left="540"/>
        <w:jc w:val="both"/>
        <w:rPr>
          <w:rFonts w:ascii="Arial" w:eastAsia="Calibri" w:hAnsi="Arial" w:cs="Arial"/>
        </w:rPr>
      </w:pPr>
    </w:p>
    <w:p w:rsid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t>The learned regional magistrate failed to use her discretion judiciously by failing to accurately examine the personal circumstances of the appellant.</w:t>
      </w:r>
    </w:p>
    <w:p w:rsidR="007602E5" w:rsidRPr="007602E5" w:rsidRDefault="007602E5" w:rsidP="007602E5">
      <w:pPr>
        <w:pStyle w:val="ListParagraph"/>
        <w:rPr>
          <w:rFonts w:ascii="Arial" w:eastAsia="Calibri" w:hAnsi="Arial" w:cs="Arial"/>
        </w:rPr>
      </w:pPr>
    </w:p>
    <w:p w:rsid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t>The learned regional magistrate failed to take into account that the offence was not premeditated, which is an unusual circumstance justifying a lesser sentence than the one imposed.</w:t>
      </w:r>
    </w:p>
    <w:p w:rsidR="007602E5" w:rsidRPr="007602E5" w:rsidRDefault="007602E5" w:rsidP="007602E5">
      <w:pPr>
        <w:pStyle w:val="ListParagraph"/>
        <w:rPr>
          <w:rFonts w:ascii="Arial" w:eastAsia="Calibri" w:hAnsi="Arial" w:cs="Arial"/>
        </w:rPr>
      </w:pPr>
    </w:p>
    <w:p w:rsid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t>That the 20-year imprisonment sentence that the regional magistrate had imposed on count 1 (murder), is shocking since it is inconsistent with sentences imposed in cases with comparable circumstances.</w:t>
      </w:r>
    </w:p>
    <w:p w:rsidR="007602E5" w:rsidRPr="007602E5" w:rsidRDefault="007602E5" w:rsidP="007602E5">
      <w:pPr>
        <w:pStyle w:val="ListParagraph"/>
        <w:rPr>
          <w:rFonts w:ascii="Arial" w:eastAsia="Calibri" w:hAnsi="Arial" w:cs="Arial"/>
        </w:rPr>
      </w:pPr>
    </w:p>
    <w:p w:rsid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t>The learned regional magistrate committed an error when she omitted to consider a sentence with an option of a fine for count 2 – Assault with intent to cause grievous bodily harm.</w:t>
      </w:r>
    </w:p>
    <w:p w:rsidR="007602E5" w:rsidRPr="007602E5" w:rsidRDefault="007602E5" w:rsidP="007602E5">
      <w:pPr>
        <w:pStyle w:val="ListParagraph"/>
        <w:rPr>
          <w:rFonts w:ascii="Arial" w:eastAsia="Calibri" w:hAnsi="Arial" w:cs="Arial"/>
        </w:rPr>
      </w:pPr>
    </w:p>
    <w:p w:rsid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t>The regional magistrate erred when she failed to take into account the period that the appellant had previously served as a trial awaiting prisoner.</w:t>
      </w:r>
    </w:p>
    <w:p w:rsidR="007602E5" w:rsidRPr="007602E5" w:rsidRDefault="007602E5" w:rsidP="007602E5">
      <w:pPr>
        <w:pStyle w:val="ListParagraph"/>
        <w:rPr>
          <w:rFonts w:ascii="Arial" w:eastAsia="Calibri" w:hAnsi="Arial" w:cs="Arial"/>
        </w:rPr>
      </w:pPr>
    </w:p>
    <w:p w:rsidR="007602E5" w:rsidRPr="007602E5" w:rsidRDefault="007602E5" w:rsidP="007602E5">
      <w:pPr>
        <w:pStyle w:val="ListParagraph"/>
        <w:numPr>
          <w:ilvl w:val="1"/>
          <w:numId w:val="2"/>
        </w:numPr>
        <w:spacing w:line="360" w:lineRule="auto"/>
        <w:jc w:val="both"/>
        <w:rPr>
          <w:rFonts w:ascii="Arial" w:eastAsia="Calibri" w:hAnsi="Arial" w:cs="Arial"/>
        </w:rPr>
      </w:pPr>
      <w:r>
        <w:rPr>
          <w:rFonts w:ascii="Arial" w:eastAsia="Calibri" w:hAnsi="Arial" w:cs="Arial"/>
        </w:rPr>
        <w:lastRenderedPageBreak/>
        <w:t>The learned magistrate committed a legal or factual error when she directed that the sentences for counts 1 and 2 be served consecutively.’</w:t>
      </w:r>
    </w:p>
    <w:p w:rsidR="00510EC6" w:rsidRDefault="00510EC6" w:rsidP="00BC6AAE">
      <w:pPr>
        <w:spacing w:line="360" w:lineRule="auto"/>
        <w:jc w:val="both"/>
        <w:rPr>
          <w:rFonts w:ascii="Arial" w:eastAsia="Calibri" w:hAnsi="Arial" w:cs="Arial"/>
          <w:sz w:val="24"/>
          <w:szCs w:val="24"/>
          <w:u w:val="single"/>
        </w:rPr>
      </w:pPr>
      <w:r w:rsidRPr="00510EC6">
        <w:rPr>
          <w:rFonts w:ascii="Arial" w:eastAsia="Calibri" w:hAnsi="Arial" w:cs="Arial"/>
          <w:sz w:val="24"/>
          <w:szCs w:val="24"/>
          <w:u w:val="single"/>
        </w:rPr>
        <w:t xml:space="preserve">Point in </w:t>
      </w:r>
      <w:proofErr w:type="spellStart"/>
      <w:r w:rsidRPr="00510EC6">
        <w:rPr>
          <w:rFonts w:ascii="Arial" w:eastAsia="Calibri" w:hAnsi="Arial" w:cs="Arial"/>
          <w:sz w:val="24"/>
          <w:szCs w:val="24"/>
          <w:u w:val="single"/>
        </w:rPr>
        <w:t>limine</w:t>
      </w:r>
      <w:proofErr w:type="spellEnd"/>
      <w:r>
        <w:rPr>
          <w:rFonts w:ascii="Arial" w:eastAsia="Calibri" w:hAnsi="Arial" w:cs="Arial"/>
          <w:sz w:val="24"/>
          <w:szCs w:val="24"/>
          <w:u w:val="single"/>
        </w:rPr>
        <w:t xml:space="preserve"> </w:t>
      </w:r>
    </w:p>
    <w:p w:rsidR="006C14A3" w:rsidRDefault="007602E5" w:rsidP="00BC6AAE">
      <w:pPr>
        <w:spacing w:line="360" w:lineRule="auto"/>
        <w:jc w:val="both"/>
        <w:rPr>
          <w:rFonts w:ascii="Arial" w:eastAsia="Calibri" w:hAnsi="Arial" w:cs="Arial"/>
          <w:sz w:val="24"/>
          <w:szCs w:val="24"/>
        </w:rPr>
      </w:pPr>
      <w:r>
        <w:rPr>
          <w:rFonts w:ascii="Arial" w:eastAsia="Calibri" w:hAnsi="Arial" w:cs="Arial"/>
          <w:sz w:val="24"/>
          <w:szCs w:val="24"/>
        </w:rPr>
        <w:t>[4</w:t>
      </w:r>
      <w:r w:rsidR="00510EC6" w:rsidRPr="00510EC6">
        <w:rPr>
          <w:rFonts w:ascii="Arial" w:eastAsia="Calibri" w:hAnsi="Arial" w:cs="Arial"/>
          <w:sz w:val="24"/>
          <w:szCs w:val="24"/>
        </w:rPr>
        <w:t>]</w:t>
      </w:r>
      <w:r w:rsidR="00510EC6">
        <w:rPr>
          <w:rFonts w:ascii="Arial" w:eastAsia="Calibri" w:hAnsi="Arial" w:cs="Arial"/>
          <w:sz w:val="24"/>
          <w:szCs w:val="24"/>
        </w:rPr>
        <w:tab/>
        <w:t xml:space="preserve">Mr. </w:t>
      </w:r>
      <w:proofErr w:type="spellStart"/>
      <w:r w:rsidR="00510EC6">
        <w:rPr>
          <w:rFonts w:ascii="Arial" w:eastAsia="Calibri" w:hAnsi="Arial" w:cs="Arial"/>
          <w:sz w:val="24"/>
          <w:szCs w:val="24"/>
        </w:rPr>
        <w:t>Kalipi</w:t>
      </w:r>
      <w:proofErr w:type="spellEnd"/>
      <w:r w:rsidR="00510EC6">
        <w:rPr>
          <w:rFonts w:ascii="Arial" w:eastAsia="Calibri" w:hAnsi="Arial" w:cs="Arial"/>
          <w:sz w:val="24"/>
          <w:szCs w:val="24"/>
        </w:rPr>
        <w:t xml:space="preserve"> raised a point in </w:t>
      </w:r>
      <w:proofErr w:type="spellStart"/>
      <w:r w:rsidR="00510EC6">
        <w:rPr>
          <w:rFonts w:ascii="Arial" w:eastAsia="Calibri" w:hAnsi="Arial" w:cs="Arial"/>
          <w:sz w:val="24"/>
          <w:szCs w:val="24"/>
        </w:rPr>
        <w:t>limine</w:t>
      </w:r>
      <w:proofErr w:type="spellEnd"/>
      <w:r w:rsidR="00510EC6">
        <w:rPr>
          <w:rFonts w:ascii="Arial" w:eastAsia="Calibri" w:hAnsi="Arial" w:cs="Arial"/>
          <w:sz w:val="24"/>
          <w:szCs w:val="24"/>
        </w:rPr>
        <w:t xml:space="preserve"> because there was a substantial delay in noting the appeal. The appellant was sentenced on 20 Se</w:t>
      </w:r>
      <w:r w:rsidR="00305DBA">
        <w:rPr>
          <w:rFonts w:ascii="Arial" w:eastAsia="Calibri" w:hAnsi="Arial" w:cs="Arial"/>
          <w:sz w:val="24"/>
          <w:szCs w:val="24"/>
        </w:rPr>
        <w:t>p</w:t>
      </w:r>
      <w:r w:rsidR="00510EC6">
        <w:rPr>
          <w:rFonts w:ascii="Arial" w:eastAsia="Calibri" w:hAnsi="Arial" w:cs="Arial"/>
          <w:sz w:val="24"/>
          <w:szCs w:val="24"/>
        </w:rPr>
        <w:t>tember 2016</w:t>
      </w:r>
      <w:r w:rsidR="00305DBA">
        <w:rPr>
          <w:rFonts w:ascii="Arial" w:eastAsia="Calibri" w:hAnsi="Arial" w:cs="Arial"/>
          <w:sz w:val="24"/>
          <w:szCs w:val="24"/>
        </w:rPr>
        <w:t>. The notice of appeal is dated the 31</w:t>
      </w:r>
      <w:r w:rsidR="00305DBA" w:rsidRPr="00305DBA">
        <w:rPr>
          <w:rFonts w:ascii="Arial" w:eastAsia="Calibri" w:hAnsi="Arial" w:cs="Arial"/>
          <w:sz w:val="24"/>
          <w:szCs w:val="24"/>
          <w:vertAlign w:val="superscript"/>
        </w:rPr>
        <w:t>st</w:t>
      </w:r>
      <w:r w:rsidR="00305DBA">
        <w:rPr>
          <w:rFonts w:ascii="Arial" w:eastAsia="Calibri" w:hAnsi="Arial" w:cs="Arial"/>
          <w:sz w:val="24"/>
          <w:szCs w:val="24"/>
        </w:rPr>
        <w:t xml:space="preserve"> May 2021 and </w:t>
      </w:r>
      <w:r w:rsidR="003A22E7">
        <w:rPr>
          <w:rFonts w:ascii="Arial" w:eastAsia="Calibri" w:hAnsi="Arial" w:cs="Arial"/>
          <w:sz w:val="24"/>
          <w:szCs w:val="24"/>
        </w:rPr>
        <w:t>filed</w:t>
      </w:r>
      <w:r w:rsidR="00305DBA">
        <w:rPr>
          <w:rFonts w:ascii="Arial" w:eastAsia="Calibri" w:hAnsi="Arial" w:cs="Arial"/>
          <w:sz w:val="24"/>
          <w:szCs w:val="24"/>
        </w:rPr>
        <w:t xml:space="preserve"> on</w:t>
      </w:r>
      <w:r w:rsidR="00C075AE">
        <w:rPr>
          <w:rFonts w:ascii="Arial" w:eastAsia="Calibri" w:hAnsi="Arial" w:cs="Arial"/>
          <w:sz w:val="24"/>
          <w:szCs w:val="24"/>
        </w:rPr>
        <w:t xml:space="preserve"> the</w:t>
      </w:r>
      <w:r w:rsidR="00305DBA">
        <w:rPr>
          <w:rFonts w:ascii="Arial" w:eastAsia="Calibri" w:hAnsi="Arial" w:cs="Arial"/>
          <w:sz w:val="24"/>
          <w:szCs w:val="24"/>
        </w:rPr>
        <w:t xml:space="preserve"> 08</w:t>
      </w:r>
      <w:r w:rsidR="00305DBA" w:rsidRPr="00305DBA">
        <w:rPr>
          <w:rFonts w:ascii="Arial" w:eastAsia="Calibri" w:hAnsi="Arial" w:cs="Arial"/>
          <w:sz w:val="24"/>
          <w:szCs w:val="24"/>
          <w:vertAlign w:val="superscript"/>
        </w:rPr>
        <w:t>th</w:t>
      </w:r>
      <w:r w:rsidR="00305DBA">
        <w:rPr>
          <w:rFonts w:ascii="Arial" w:eastAsia="Calibri" w:hAnsi="Arial" w:cs="Arial"/>
          <w:sz w:val="24"/>
          <w:szCs w:val="24"/>
        </w:rPr>
        <w:t xml:space="preserve"> of September 2021</w:t>
      </w:r>
      <w:r w:rsidR="00496995">
        <w:rPr>
          <w:rFonts w:ascii="Arial" w:eastAsia="Calibri" w:hAnsi="Arial" w:cs="Arial"/>
          <w:sz w:val="24"/>
          <w:szCs w:val="24"/>
        </w:rPr>
        <w:t>,</w:t>
      </w:r>
      <w:r w:rsidR="00305DBA">
        <w:rPr>
          <w:rFonts w:ascii="Arial" w:eastAsia="Calibri" w:hAnsi="Arial" w:cs="Arial"/>
          <w:sz w:val="24"/>
          <w:szCs w:val="24"/>
        </w:rPr>
        <w:t xml:space="preserve"> about </w:t>
      </w:r>
      <w:r w:rsidR="004C3246">
        <w:rPr>
          <w:rFonts w:ascii="Arial" w:eastAsia="Calibri" w:hAnsi="Arial" w:cs="Arial"/>
          <w:sz w:val="24"/>
          <w:szCs w:val="24"/>
        </w:rPr>
        <w:t>four</w:t>
      </w:r>
      <w:r w:rsidR="00305DBA">
        <w:rPr>
          <w:rFonts w:ascii="Arial" w:eastAsia="Calibri" w:hAnsi="Arial" w:cs="Arial"/>
          <w:sz w:val="24"/>
          <w:szCs w:val="24"/>
        </w:rPr>
        <w:t xml:space="preserve"> years and eight months out of time.</w:t>
      </w:r>
    </w:p>
    <w:p w:rsidR="006C14A3" w:rsidRDefault="007602E5" w:rsidP="00BC6AAE">
      <w:pPr>
        <w:spacing w:line="360" w:lineRule="auto"/>
        <w:jc w:val="both"/>
        <w:rPr>
          <w:rFonts w:ascii="Arial" w:eastAsia="Calibri" w:hAnsi="Arial" w:cs="Arial"/>
          <w:sz w:val="24"/>
          <w:szCs w:val="24"/>
        </w:rPr>
      </w:pPr>
      <w:r>
        <w:rPr>
          <w:rFonts w:ascii="Arial" w:eastAsia="Calibri" w:hAnsi="Arial" w:cs="Arial"/>
          <w:sz w:val="24"/>
          <w:szCs w:val="24"/>
        </w:rPr>
        <w:t>[5</w:t>
      </w:r>
      <w:r w:rsidR="006C14A3">
        <w:rPr>
          <w:rFonts w:ascii="Arial" w:eastAsia="Calibri" w:hAnsi="Arial" w:cs="Arial"/>
          <w:sz w:val="24"/>
          <w:szCs w:val="24"/>
        </w:rPr>
        <w:t>]</w:t>
      </w:r>
      <w:r w:rsidR="006C14A3">
        <w:rPr>
          <w:rFonts w:ascii="Arial" w:eastAsia="Calibri" w:hAnsi="Arial" w:cs="Arial"/>
          <w:sz w:val="24"/>
          <w:szCs w:val="24"/>
        </w:rPr>
        <w:tab/>
        <w:t>It was submitted by the respondent that the explanation</w:t>
      </w:r>
      <w:r w:rsidR="00C075AE">
        <w:rPr>
          <w:rFonts w:ascii="Arial" w:eastAsia="Calibri" w:hAnsi="Arial" w:cs="Arial"/>
          <w:sz w:val="24"/>
          <w:szCs w:val="24"/>
        </w:rPr>
        <w:t>s for th</w:t>
      </w:r>
      <w:r w:rsidR="00C92939">
        <w:rPr>
          <w:rFonts w:ascii="Arial" w:eastAsia="Calibri" w:hAnsi="Arial" w:cs="Arial"/>
          <w:sz w:val="24"/>
          <w:szCs w:val="24"/>
        </w:rPr>
        <w:t>e long delay are not reasonable and</w:t>
      </w:r>
      <w:r w:rsidR="00C075AE">
        <w:rPr>
          <w:rFonts w:ascii="Arial" w:eastAsia="Calibri" w:hAnsi="Arial" w:cs="Arial"/>
          <w:sz w:val="24"/>
          <w:szCs w:val="24"/>
        </w:rPr>
        <w:t xml:space="preserve"> not genuine</w:t>
      </w:r>
      <w:r w:rsidR="006C14A3">
        <w:rPr>
          <w:rFonts w:ascii="Arial" w:eastAsia="Calibri" w:hAnsi="Arial" w:cs="Arial"/>
          <w:sz w:val="24"/>
          <w:szCs w:val="24"/>
        </w:rPr>
        <w:t xml:space="preserve"> </w:t>
      </w:r>
      <w:r w:rsidR="00C92939">
        <w:rPr>
          <w:rFonts w:ascii="Arial" w:eastAsia="Calibri" w:hAnsi="Arial" w:cs="Arial"/>
          <w:sz w:val="24"/>
          <w:szCs w:val="24"/>
        </w:rPr>
        <w:t>(</w:t>
      </w:r>
      <w:r w:rsidR="006C14A3">
        <w:rPr>
          <w:rFonts w:ascii="Arial" w:eastAsia="Calibri" w:hAnsi="Arial" w:cs="Arial"/>
          <w:sz w:val="24"/>
          <w:szCs w:val="24"/>
        </w:rPr>
        <w:t>if not false altogether</w:t>
      </w:r>
      <w:r w:rsidR="00B739AF">
        <w:rPr>
          <w:rFonts w:ascii="Arial" w:eastAsia="Calibri" w:hAnsi="Arial" w:cs="Arial"/>
          <w:sz w:val="24"/>
          <w:szCs w:val="24"/>
        </w:rPr>
        <w:t>),</w:t>
      </w:r>
      <w:r w:rsidR="006C14A3">
        <w:rPr>
          <w:rFonts w:ascii="Arial" w:eastAsia="Calibri" w:hAnsi="Arial" w:cs="Arial"/>
          <w:sz w:val="24"/>
          <w:szCs w:val="24"/>
        </w:rPr>
        <w:t xml:space="preserve"> as the appellant was represented by a legal representative throughout the whole trial. Further</w:t>
      </w:r>
      <w:r w:rsidR="007028AB">
        <w:rPr>
          <w:rFonts w:ascii="Arial" w:eastAsia="Calibri" w:hAnsi="Arial" w:cs="Arial"/>
          <w:sz w:val="24"/>
          <w:szCs w:val="24"/>
        </w:rPr>
        <w:t>, it was submitted</w:t>
      </w:r>
      <w:r w:rsidR="006C14A3">
        <w:rPr>
          <w:rFonts w:ascii="Arial" w:eastAsia="Calibri" w:hAnsi="Arial" w:cs="Arial"/>
          <w:sz w:val="24"/>
          <w:szCs w:val="24"/>
        </w:rPr>
        <w:t xml:space="preserve"> that there is no explanation as to how he managed to file the notice of appeal</w:t>
      </w:r>
      <w:r w:rsidR="007028AB">
        <w:rPr>
          <w:rFonts w:ascii="Arial" w:eastAsia="Calibri" w:hAnsi="Arial" w:cs="Arial"/>
          <w:sz w:val="24"/>
          <w:szCs w:val="24"/>
        </w:rPr>
        <w:t xml:space="preserve"> only after a delay of four years and seven months.</w:t>
      </w:r>
      <w:r w:rsidR="006C14A3">
        <w:rPr>
          <w:rFonts w:ascii="Arial" w:eastAsia="Calibri" w:hAnsi="Arial" w:cs="Arial"/>
          <w:sz w:val="24"/>
          <w:szCs w:val="24"/>
        </w:rPr>
        <w:t xml:space="preserve"> Secondly</w:t>
      </w:r>
      <w:r w:rsidR="0054101C">
        <w:rPr>
          <w:rFonts w:ascii="Arial" w:eastAsia="Calibri" w:hAnsi="Arial" w:cs="Arial"/>
          <w:sz w:val="24"/>
          <w:szCs w:val="24"/>
        </w:rPr>
        <w:t>,</w:t>
      </w:r>
      <w:r w:rsidR="006C14A3">
        <w:rPr>
          <w:rFonts w:ascii="Arial" w:eastAsia="Calibri" w:hAnsi="Arial" w:cs="Arial"/>
          <w:sz w:val="24"/>
          <w:szCs w:val="24"/>
        </w:rPr>
        <w:t xml:space="preserve"> it was submitted that there are no prospects of success on appeal. </w:t>
      </w:r>
    </w:p>
    <w:p w:rsidR="00AC4428" w:rsidRDefault="00AD5B38" w:rsidP="00AC4428">
      <w:pPr>
        <w:spacing w:line="360" w:lineRule="auto"/>
        <w:jc w:val="both"/>
        <w:rPr>
          <w:rFonts w:ascii="Arial" w:eastAsia="Calibri" w:hAnsi="Arial" w:cs="Arial"/>
          <w:sz w:val="24"/>
          <w:szCs w:val="24"/>
        </w:rPr>
      </w:pPr>
      <w:r>
        <w:rPr>
          <w:rFonts w:ascii="Arial" w:eastAsia="Calibri" w:hAnsi="Arial" w:cs="Arial"/>
          <w:sz w:val="24"/>
          <w:szCs w:val="24"/>
        </w:rPr>
        <w:t>[</w:t>
      </w:r>
      <w:r w:rsidR="007602E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3A22E7">
        <w:rPr>
          <w:rFonts w:ascii="Arial" w:eastAsia="Calibri" w:hAnsi="Arial" w:cs="Arial"/>
          <w:sz w:val="24"/>
          <w:szCs w:val="24"/>
        </w:rPr>
        <w:t>It appears that the notice of appeal</w:t>
      </w:r>
      <w:r w:rsidR="007028AB">
        <w:rPr>
          <w:rFonts w:ascii="Arial" w:eastAsia="Calibri" w:hAnsi="Arial" w:cs="Arial"/>
          <w:sz w:val="24"/>
          <w:szCs w:val="24"/>
        </w:rPr>
        <w:t xml:space="preserve"> was filed by way of</w:t>
      </w:r>
      <w:r w:rsidR="003A22E7">
        <w:rPr>
          <w:rFonts w:ascii="Arial" w:eastAsia="Calibri" w:hAnsi="Arial" w:cs="Arial"/>
          <w:sz w:val="24"/>
          <w:szCs w:val="24"/>
        </w:rPr>
        <w:t xml:space="preserve"> a notice of motion with an application for condonation and a supporting affidavit</w:t>
      </w:r>
      <w:r w:rsidR="007028AB">
        <w:rPr>
          <w:rFonts w:ascii="Arial" w:eastAsia="Calibri" w:hAnsi="Arial" w:cs="Arial"/>
          <w:sz w:val="24"/>
          <w:szCs w:val="24"/>
        </w:rPr>
        <w:t xml:space="preserve"> </w:t>
      </w:r>
      <w:r w:rsidR="003A22E7">
        <w:rPr>
          <w:rFonts w:ascii="Arial" w:eastAsia="Calibri" w:hAnsi="Arial" w:cs="Arial"/>
          <w:sz w:val="24"/>
          <w:szCs w:val="24"/>
        </w:rPr>
        <w:t>in person by the appellant. The documents, however, clearly reflect that they were not drafted by a layperson and that the appellant must have been assisted by a</w:t>
      </w:r>
      <w:r w:rsidR="00621A1C">
        <w:rPr>
          <w:rFonts w:ascii="Arial" w:eastAsia="Calibri" w:hAnsi="Arial" w:cs="Arial"/>
          <w:sz w:val="24"/>
          <w:szCs w:val="24"/>
        </w:rPr>
        <w:t xml:space="preserve"> person</w:t>
      </w:r>
      <w:r w:rsidR="003A22E7">
        <w:rPr>
          <w:rFonts w:ascii="Arial" w:eastAsia="Calibri" w:hAnsi="Arial" w:cs="Arial"/>
          <w:sz w:val="24"/>
          <w:szCs w:val="24"/>
        </w:rPr>
        <w:t xml:space="preserve"> knowledgeable in law as </w:t>
      </w:r>
      <w:r w:rsidR="0054101C">
        <w:rPr>
          <w:rFonts w:ascii="Arial" w:eastAsia="Calibri" w:hAnsi="Arial" w:cs="Arial"/>
          <w:sz w:val="24"/>
          <w:szCs w:val="24"/>
        </w:rPr>
        <w:t>reference is made</w:t>
      </w:r>
      <w:r w:rsidR="003A22E7">
        <w:rPr>
          <w:rFonts w:ascii="Arial" w:eastAsia="Calibri" w:hAnsi="Arial" w:cs="Arial"/>
          <w:sz w:val="24"/>
          <w:szCs w:val="24"/>
        </w:rPr>
        <w:t xml:space="preserve"> to case law</w:t>
      </w:r>
      <w:r w:rsidR="00621A1C">
        <w:rPr>
          <w:rFonts w:ascii="Arial" w:eastAsia="Calibri" w:hAnsi="Arial" w:cs="Arial"/>
          <w:sz w:val="24"/>
          <w:szCs w:val="24"/>
        </w:rPr>
        <w:t xml:space="preserve"> and established principles</w:t>
      </w:r>
      <w:r w:rsidR="003A22E7">
        <w:rPr>
          <w:rFonts w:ascii="Arial" w:eastAsia="Calibri" w:hAnsi="Arial" w:cs="Arial"/>
          <w:sz w:val="24"/>
          <w:szCs w:val="24"/>
        </w:rPr>
        <w:t xml:space="preserve"> in support of submissions.</w:t>
      </w:r>
    </w:p>
    <w:p w:rsidR="00AC4428" w:rsidRPr="007602E5" w:rsidRDefault="00AC4428" w:rsidP="00AC4428">
      <w:pPr>
        <w:spacing w:line="360" w:lineRule="auto"/>
        <w:jc w:val="both"/>
        <w:rPr>
          <w:rFonts w:ascii="Arial" w:eastAsia="Calibri" w:hAnsi="Arial" w:cs="Arial"/>
          <w:sz w:val="24"/>
          <w:szCs w:val="24"/>
          <w:u w:val="single"/>
        </w:rPr>
      </w:pPr>
      <w:r w:rsidRPr="007602E5">
        <w:rPr>
          <w:rFonts w:ascii="Arial" w:eastAsia="Calibri" w:hAnsi="Arial" w:cs="Arial"/>
          <w:sz w:val="24"/>
          <w:szCs w:val="24"/>
          <w:u w:val="single"/>
        </w:rPr>
        <w:t>Condonation</w:t>
      </w:r>
    </w:p>
    <w:p w:rsidR="00AC4428" w:rsidRDefault="00AC4428" w:rsidP="00AC4428">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It is trite, </w:t>
      </w:r>
      <w:r w:rsidR="00540B1B" w:rsidRPr="005526E8">
        <w:rPr>
          <w:rFonts w:ascii="Arial" w:eastAsia="Calibri" w:hAnsi="Arial" w:cs="Arial"/>
          <w:sz w:val="24"/>
          <w:szCs w:val="24"/>
          <w:lang w:val="en-GB"/>
        </w:rPr>
        <w:t>considering</w:t>
      </w:r>
      <w:r w:rsidR="00540B1B">
        <w:rPr>
          <w:rFonts w:ascii="Arial" w:eastAsia="Calibri" w:hAnsi="Arial" w:cs="Arial"/>
          <w:sz w:val="24"/>
          <w:szCs w:val="24"/>
          <w:lang w:val="en-GB"/>
        </w:rPr>
        <w:t xml:space="preserve"> </w:t>
      </w:r>
      <w:r w:rsidR="00540B1B" w:rsidRPr="005526E8">
        <w:rPr>
          <w:rFonts w:ascii="Arial" w:eastAsia="Calibri" w:hAnsi="Arial" w:cs="Arial"/>
          <w:sz w:val="24"/>
          <w:szCs w:val="24"/>
          <w:lang w:val="en-GB"/>
        </w:rPr>
        <w:t>the</w:t>
      </w:r>
      <w:r w:rsidRPr="005526E8">
        <w:rPr>
          <w:rFonts w:ascii="Arial" w:eastAsia="Calibri" w:hAnsi="Arial" w:cs="Arial"/>
          <w:sz w:val="24"/>
          <w:szCs w:val="24"/>
          <w:lang w:val="en-GB"/>
        </w:rPr>
        <w:t xml:space="preserve"> application for the condonation of the late </w:t>
      </w:r>
      <w:proofErr w:type="gramStart"/>
      <w:r w:rsidRPr="005526E8">
        <w:rPr>
          <w:rFonts w:ascii="Arial" w:eastAsia="Calibri" w:hAnsi="Arial" w:cs="Arial"/>
          <w:sz w:val="24"/>
          <w:szCs w:val="24"/>
          <w:lang w:val="en-GB"/>
        </w:rPr>
        <w:t xml:space="preserve">filing, </w:t>
      </w:r>
      <w:r>
        <w:rPr>
          <w:rFonts w:ascii="Arial" w:eastAsia="Calibri" w:hAnsi="Arial" w:cs="Arial"/>
          <w:sz w:val="24"/>
          <w:szCs w:val="24"/>
          <w:lang w:val="en-GB"/>
        </w:rPr>
        <w:t>that</w:t>
      </w:r>
      <w:proofErr w:type="gramEnd"/>
      <w:r>
        <w:rPr>
          <w:rFonts w:ascii="Arial" w:eastAsia="Calibri" w:hAnsi="Arial" w:cs="Arial"/>
          <w:sz w:val="24"/>
          <w:szCs w:val="24"/>
          <w:lang w:val="en-GB"/>
        </w:rPr>
        <w:t xml:space="preserve"> </w:t>
      </w:r>
      <w:r w:rsidRPr="005526E8">
        <w:rPr>
          <w:rFonts w:ascii="Arial" w:eastAsia="Calibri" w:hAnsi="Arial" w:cs="Arial"/>
          <w:sz w:val="24"/>
          <w:szCs w:val="24"/>
          <w:lang w:val="en-GB"/>
        </w:rPr>
        <w:t>the requirements</w:t>
      </w:r>
      <w:r>
        <w:rPr>
          <w:rFonts w:ascii="Arial" w:eastAsia="Calibri" w:hAnsi="Arial" w:cs="Arial"/>
          <w:sz w:val="24"/>
          <w:szCs w:val="24"/>
          <w:lang w:val="en-GB"/>
        </w:rPr>
        <w:t xml:space="preserve">, </w:t>
      </w:r>
      <w:r w:rsidRPr="005526E8">
        <w:rPr>
          <w:rFonts w:ascii="Arial" w:eastAsia="Calibri" w:hAnsi="Arial" w:cs="Arial"/>
          <w:sz w:val="24"/>
          <w:szCs w:val="24"/>
          <w:lang w:val="en-GB"/>
        </w:rPr>
        <w:t>as</w:t>
      </w:r>
      <w:r w:rsidR="006F4658">
        <w:rPr>
          <w:rFonts w:ascii="Arial" w:eastAsia="Calibri" w:hAnsi="Arial" w:cs="Arial"/>
          <w:sz w:val="24"/>
          <w:szCs w:val="24"/>
          <w:lang w:val="en-GB"/>
        </w:rPr>
        <w:t xml:space="preserve"> correctly submitted by</w:t>
      </w:r>
      <w:r w:rsidR="0054101C">
        <w:rPr>
          <w:rFonts w:ascii="Arial" w:eastAsia="Calibri" w:hAnsi="Arial" w:cs="Arial"/>
          <w:sz w:val="24"/>
          <w:szCs w:val="24"/>
          <w:lang w:val="en-GB"/>
        </w:rPr>
        <w:t xml:space="preserve"> counsel are </w:t>
      </w:r>
      <w:r w:rsidRPr="005526E8">
        <w:rPr>
          <w:rFonts w:ascii="Arial" w:eastAsia="Calibri" w:hAnsi="Arial" w:cs="Arial"/>
          <w:sz w:val="24"/>
          <w:szCs w:val="24"/>
          <w:lang w:val="en-GB"/>
        </w:rPr>
        <w:t>twofold</w:t>
      </w:r>
      <w:r>
        <w:rPr>
          <w:rFonts w:ascii="Arial" w:eastAsia="Calibri" w:hAnsi="Arial" w:cs="Arial"/>
          <w:sz w:val="24"/>
          <w:szCs w:val="24"/>
          <w:lang w:val="en-GB"/>
        </w:rPr>
        <w:t>,</w:t>
      </w:r>
      <w:r w:rsidRPr="005526E8">
        <w:rPr>
          <w:rFonts w:ascii="Arial" w:eastAsia="Calibri" w:hAnsi="Arial" w:cs="Arial"/>
          <w:sz w:val="24"/>
          <w:szCs w:val="24"/>
          <w:lang w:val="en-GB"/>
        </w:rPr>
        <w:t xml:space="preserve"> consisting </w:t>
      </w:r>
      <w:r w:rsidR="006F4658">
        <w:rPr>
          <w:rFonts w:ascii="Arial" w:eastAsia="Calibri" w:hAnsi="Arial" w:cs="Arial"/>
          <w:sz w:val="24"/>
          <w:szCs w:val="24"/>
          <w:lang w:val="en-GB"/>
        </w:rPr>
        <w:t>of</w:t>
      </w:r>
      <w:r w:rsidRPr="005526E8">
        <w:rPr>
          <w:rFonts w:ascii="Arial" w:eastAsia="Calibri" w:hAnsi="Arial" w:cs="Arial"/>
          <w:sz w:val="24"/>
          <w:szCs w:val="24"/>
          <w:lang w:val="en-GB"/>
        </w:rPr>
        <w:t xml:space="preserve"> the reasonableness of the explanation and the prospects of success on </w:t>
      </w:r>
      <w:r>
        <w:rPr>
          <w:rFonts w:ascii="Arial" w:eastAsia="Calibri" w:hAnsi="Arial" w:cs="Arial"/>
          <w:sz w:val="24"/>
          <w:szCs w:val="24"/>
          <w:lang w:val="en-GB"/>
        </w:rPr>
        <w:t>appeal</w:t>
      </w:r>
      <w:r w:rsidRPr="005526E8">
        <w:rPr>
          <w:rFonts w:ascii="Arial" w:eastAsia="Calibri" w:hAnsi="Arial" w:cs="Arial"/>
          <w:sz w:val="24"/>
          <w:szCs w:val="24"/>
          <w:lang w:val="en-GB"/>
        </w:rPr>
        <w:t xml:space="preserve">. </w:t>
      </w:r>
      <w:r w:rsidRPr="0054101C">
        <w:rPr>
          <w:rFonts w:ascii="Arial" w:eastAsia="Calibri" w:hAnsi="Arial" w:cs="Arial"/>
          <w:sz w:val="24"/>
          <w:szCs w:val="24"/>
          <w:lang w:val="en-GB"/>
        </w:rPr>
        <w:t xml:space="preserve">In </w:t>
      </w:r>
      <w:proofErr w:type="spellStart"/>
      <w:r w:rsidRPr="0054101C">
        <w:rPr>
          <w:rFonts w:ascii="Arial" w:eastAsia="Calibri" w:hAnsi="Arial" w:cs="Arial"/>
          <w:i/>
          <w:sz w:val="24"/>
          <w:szCs w:val="24"/>
        </w:rPr>
        <w:t>Uixab</w:t>
      </w:r>
      <w:proofErr w:type="spellEnd"/>
      <w:r w:rsidRPr="0054101C">
        <w:rPr>
          <w:rFonts w:ascii="Arial" w:eastAsia="Calibri" w:hAnsi="Arial" w:cs="Arial"/>
          <w:i/>
          <w:sz w:val="24"/>
          <w:szCs w:val="24"/>
        </w:rPr>
        <w:t xml:space="preserve"> v S,</w:t>
      </w:r>
      <w:r w:rsidRPr="0054101C">
        <w:rPr>
          <w:rStyle w:val="FootnoteReference"/>
          <w:rFonts w:ascii="Arial" w:eastAsia="Calibri" w:hAnsi="Arial" w:cs="Arial"/>
          <w:sz w:val="24"/>
          <w:szCs w:val="24"/>
        </w:rPr>
        <w:footnoteReference w:id="1"/>
      </w:r>
      <w:r w:rsidRPr="0054101C">
        <w:rPr>
          <w:rFonts w:ascii="Arial" w:eastAsia="Calibri" w:hAnsi="Arial" w:cs="Arial"/>
          <w:sz w:val="24"/>
          <w:szCs w:val="24"/>
        </w:rPr>
        <w:t xml:space="preserve"> as referred to by Gibson J in </w:t>
      </w:r>
      <w:r w:rsidRPr="0054101C">
        <w:rPr>
          <w:rFonts w:ascii="Arial" w:eastAsia="Calibri" w:hAnsi="Arial" w:cs="Arial"/>
          <w:i/>
          <w:iCs/>
          <w:sz w:val="24"/>
          <w:szCs w:val="24"/>
        </w:rPr>
        <w:t xml:space="preserve">S v </w:t>
      </w:r>
      <w:proofErr w:type="spellStart"/>
      <w:r w:rsidRPr="0054101C">
        <w:rPr>
          <w:rFonts w:ascii="Arial" w:eastAsia="Calibri" w:hAnsi="Arial" w:cs="Arial"/>
          <w:i/>
          <w:iCs/>
          <w:sz w:val="24"/>
          <w:szCs w:val="24"/>
        </w:rPr>
        <w:t>Nakapela</w:t>
      </w:r>
      <w:proofErr w:type="spellEnd"/>
      <w:r w:rsidRPr="0054101C">
        <w:rPr>
          <w:rFonts w:ascii="Arial" w:eastAsia="Calibri" w:hAnsi="Arial" w:cs="Arial"/>
          <w:i/>
          <w:iCs/>
          <w:sz w:val="24"/>
          <w:szCs w:val="24"/>
        </w:rPr>
        <w:t xml:space="preserve"> and another</w:t>
      </w:r>
      <w:r w:rsidRPr="0054101C">
        <w:rPr>
          <w:rStyle w:val="FootnoteReference"/>
          <w:rFonts w:ascii="Arial" w:eastAsia="Calibri" w:hAnsi="Arial" w:cs="Arial"/>
          <w:i/>
          <w:iCs/>
          <w:sz w:val="24"/>
          <w:szCs w:val="24"/>
        </w:rPr>
        <w:footnoteReference w:id="2"/>
      </w:r>
      <w:r w:rsidRPr="0054101C">
        <w:rPr>
          <w:rFonts w:ascii="Arial" w:eastAsia="Calibri" w:hAnsi="Arial" w:cs="Arial"/>
          <w:i/>
          <w:iCs/>
          <w:sz w:val="24"/>
          <w:szCs w:val="24"/>
        </w:rPr>
        <w:t>,</w:t>
      </w:r>
      <w:r w:rsidRPr="0054101C">
        <w:rPr>
          <w:rFonts w:ascii="Arial" w:eastAsia="Calibri" w:hAnsi="Arial" w:cs="Arial"/>
          <w:sz w:val="24"/>
          <w:szCs w:val="24"/>
        </w:rPr>
        <w:t xml:space="preserve"> the following was stated:</w:t>
      </w:r>
      <w:r w:rsidRPr="005526E8">
        <w:rPr>
          <w:rFonts w:ascii="Arial" w:eastAsia="Calibri" w:hAnsi="Arial" w:cs="Arial"/>
          <w:sz w:val="24"/>
          <w:szCs w:val="24"/>
        </w:rPr>
        <w:t xml:space="preserve"> </w:t>
      </w:r>
    </w:p>
    <w:p w:rsidR="0054101C" w:rsidRPr="005526E8" w:rsidRDefault="0054101C" w:rsidP="00AC4428">
      <w:pPr>
        <w:spacing w:after="0" w:line="360" w:lineRule="auto"/>
        <w:jc w:val="both"/>
        <w:rPr>
          <w:rFonts w:ascii="Arial" w:eastAsia="Calibri" w:hAnsi="Arial" w:cs="Arial"/>
          <w:sz w:val="24"/>
          <w:szCs w:val="24"/>
        </w:rPr>
      </w:pPr>
    </w:p>
    <w:p w:rsidR="00AC4428" w:rsidRDefault="00AC4428" w:rsidP="00AC4428">
      <w:pPr>
        <w:spacing w:after="0" w:line="360" w:lineRule="auto"/>
        <w:jc w:val="both"/>
        <w:rPr>
          <w:rFonts w:ascii="Arial" w:eastAsia="Calibri" w:hAnsi="Arial" w:cs="Arial"/>
        </w:rPr>
      </w:pPr>
      <w:r w:rsidRPr="005526E8">
        <w:rPr>
          <w:rFonts w:ascii="Arial" w:eastAsia="Calibri" w:hAnsi="Arial" w:cs="Arial"/>
        </w:rPr>
        <w:t xml:space="preserve">          </w:t>
      </w:r>
      <w:r>
        <w:rPr>
          <w:rFonts w:ascii="Arial" w:eastAsia="Calibri" w:hAnsi="Arial" w:cs="Arial"/>
        </w:rPr>
        <w:t>‘</w:t>
      </w:r>
      <w:r w:rsidRPr="005526E8">
        <w:rPr>
          <w:rFonts w:ascii="Arial" w:eastAsia="Calibri" w:hAnsi="Arial" w:cs="Arial"/>
        </w:rPr>
        <w:t xml:space="preserve">ln my opinion, proper condonation will be granted if a reasonable and acceptable explanation for the failure to comply with the sub-rule is given; and where the appellant has shown that he has good prospects of success on the merits of the appeal. </w:t>
      </w:r>
      <w:r>
        <w:rPr>
          <w:rFonts w:ascii="Arial" w:eastAsia="Calibri" w:hAnsi="Arial" w:cs="Arial"/>
        </w:rPr>
        <w:t>I</w:t>
      </w:r>
      <w:r w:rsidRPr="005526E8">
        <w:rPr>
          <w:rFonts w:ascii="Arial" w:eastAsia="Calibri" w:hAnsi="Arial" w:cs="Arial"/>
        </w:rPr>
        <w:t xml:space="preserve">n my opinion, these </w:t>
      </w:r>
      <w:r w:rsidRPr="005526E8">
        <w:rPr>
          <w:rFonts w:ascii="Arial" w:eastAsia="Calibri" w:hAnsi="Arial" w:cs="Arial"/>
        </w:rPr>
        <w:lastRenderedPageBreak/>
        <w:t>requirements must be satisfied in turn. Thus if the appellant fails on the first requirement</w:t>
      </w:r>
      <w:r w:rsidRPr="00307CA4">
        <w:rPr>
          <w:rFonts w:ascii="Arial" w:eastAsia="Calibri" w:hAnsi="Arial" w:cs="Arial"/>
        </w:rPr>
        <w:t>, the appellant is out of court</w:t>
      </w:r>
      <w:r>
        <w:rPr>
          <w:rFonts w:ascii="Arial" w:eastAsia="Calibri" w:hAnsi="Arial" w:cs="Arial"/>
        </w:rPr>
        <w:t>’</w:t>
      </w:r>
      <w:r w:rsidRPr="00307CA4">
        <w:rPr>
          <w:rFonts w:ascii="Arial" w:eastAsia="Calibri" w:hAnsi="Arial" w:cs="Arial"/>
        </w:rPr>
        <w:t xml:space="preserve">. </w:t>
      </w:r>
    </w:p>
    <w:p w:rsidR="0054101C" w:rsidRPr="00090098" w:rsidRDefault="0054101C" w:rsidP="00AC4428">
      <w:pPr>
        <w:spacing w:after="0" w:line="360" w:lineRule="auto"/>
        <w:jc w:val="both"/>
        <w:rPr>
          <w:rFonts w:ascii="Arial" w:eastAsia="Calibri" w:hAnsi="Arial" w:cs="Arial"/>
        </w:rPr>
      </w:pPr>
    </w:p>
    <w:p w:rsidR="00AC4428" w:rsidRDefault="00AC4428" w:rsidP="00AC4428">
      <w:pPr>
        <w:spacing w:after="0" w:line="400" w:lineRule="atLeast"/>
        <w:jc w:val="both"/>
        <w:rPr>
          <w:rFonts w:ascii="Arial" w:eastAsia="Times New Roman" w:hAnsi="Arial" w:cs="Arial"/>
          <w:sz w:val="24"/>
          <w:szCs w:val="24"/>
        </w:rPr>
      </w:pPr>
      <w:r>
        <w:rPr>
          <w:rFonts w:ascii="Arial" w:eastAsia="Times New Roman" w:hAnsi="Arial" w:cs="Arial"/>
          <w:sz w:val="24"/>
          <w:szCs w:val="24"/>
          <w:lang w:val="en-GB" w:eastAsia="en-GB"/>
        </w:rPr>
        <w:t xml:space="preserve">Furthermore, in </w:t>
      </w:r>
      <w:r w:rsidRPr="00BE6A5B">
        <w:rPr>
          <w:rFonts w:ascii="Arial" w:eastAsia="Times New Roman" w:hAnsi="Arial" w:cs="Arial"/>
          <w:i/>
          <w:sz w:val="24"/>
          <w:szCs w:val="24"/>
        </w:rPr>
        <w:t xml:space="preserve">S v </w:t>
      </w:r>
      <w:proofErr w:type="spellStart"/>
      <w:r w:rsidRPr="00BE6A5B">
        <w:rPr>
          <w:rFonts w:ascii="Arial" w:eastAsia="Times New Roman" w:hAnsi="Arial" w:cs="Arial"/>
          <w:i/>
          <w:sz w:val="24"/>
          <w:szCs w:val="24"/>
        </w:rPr>
        <w:t>Kashire</w:t>
      </w:r>
      <w:proofErr w:type="spellEnd"/>
      <w:r w:rsidR="0054101C">
        <w:rPr>
          <w:rFonts w:ascii="Arial" w:eastAsia="Times New Roman" w:hAnsi="Arial" w:cs="Arial"/>
          <w:i/>
          <w:sz w:val="24"/>
          <w:szCs w:val="24"/>
        </w:rPr>
        <w:t>,</w:t>
      </w:r>
      <w:r w:rsidR="0054101C">
        <w:rPr>
          <w:rStyle w:val="FootnoteReference"/>
          <w:rFonts w:ascii="Arial" w:eastAsia="Times New Roman" w:hAnsi="Arial" w:cs="Arial"/>
          <w:i/>
          <w:sz w:val="24"/>
          <w:szCs w:val="24"/>
        </w:rPr>
        <w:footnoteReference w:id="3"/>
      </w:r>
      <w:r w:rsidRPr="00BE6A5B">
        <w:rPr>
          <w:rFonts w:ascii="Arial" w:eastAsia="Times New Roman" w:hAnsi="Arial" w:cs="Arial"/>
          <w:sz w:val="24"/>
          <w:szCs w:val="24"/>
        </w:rPr>
        <w:t xml:space="preserve"> Lichtenberg AJ said the following at page 167 H:</w:t>
      </w:r>
    </w:p>
    <w:p w:rsidR="0054101C" w:rsidRPr="00BE6A5B" w:rsidRDefault="0054101C" w:rsidP="00AC4428">
      <w:pPr>
        <w:spacing w:after="0" w:line="400" w:lineRule="atLeast"/>
        <w:jc w:val="both"/>
        <w:rPr>
          <w:rFonts w:ascii="Arial" w:eastAsia="Times New Roman" w:hAnsi="Arial" w:cs="Arial"/>
          <w:sz w:val="24"/>
          <w:szCs w:val="24"/>
        </w:rPr>
      </w:pPr>
    </w:p>
    <w:p w:rsidR="00AC4428" w:rsidRDefault="00AC4428" w:rsidP="00AC4428">
      <w:pPr>
        <w:spacing w:after="0" w:line="400" w:lineRule="atLeast"/>
        <w:ind w:left="90" w:firstLine="630"/>
        <w:jc w:val="both"/>
        <w:rPr>
          <w:rFonts w:ascii="Arial" w:eastAsia="Times New Roman" w:hAnsi="Arial" w:cs="Arial"/>
        </w:rPr>
      </w:pPr>
      <w:r>
        <w:rPr>
          <w:rFonts w:ascii="Arial" w:eastAsia="Times New Roman" w:hAnsi="Arial" w:cs="Arial"/>
        </w:rPr>
        <w:t>‘</w:t>
      </w:r>
      <w:r w:rsidRPr="00BE6A5B">
        <w:rPr>
          <w:rFonts w:ascii="Arial" w:eastAsia="Times New Roman" w:hAnsi="Arial" w:cs="Arial"/>
        </w:rPr>
        <w:t xml:space="preserve">The proper procedure for the obtaining of condonation of the late filling of a notice of appeal is by way of an application, supported by an affidavit made by the accused.’ In such application it is required of an appellant to give a reasonable and satisfactory explanation for his or her delay in filing the notice of appeal and such explanation must also be </w:t>
      </w:r>
      <w:r w:rsidRPr="00BE6A5B">
        <w:rPr>
          <w:rFonts w:ascii="Arial" w:eastAsia="Times New Roman" w:hAnsi="Arial" w:cs="Arial"/>
          <w:i/>
        </w:rPr>
        <w:t>bona fide,</w:t>
      </w:r>
      <w:r w:rsidRPr="00BE6A5B">
        <w:rPr>
          <w:rFonts w:ascii="Arial" w:eastAsia="Times New Roman" w:hAnsi="Arial" w:cs="Arial"/>
        </w:rPr>
        <w:t xml:space="preserve"> meaning in good faith</w:t>
      </w:r>
      <w:r>
        <w:rPr>
          <w:rFonts w:ascii="Arial" w:eastAsia="Times New Roman" w:hAnsi="Arial" w:cs="Arial"/>
        </w:rPr>
        <w:t>’</w:t>
      </w:r>
      <w:r w:rsidRPr="00307CA4">
        <w:rPr>
          <w:rFonts w:ascii="Arial" w:eastAsia="Times New Roman" w:hAnsi="Arial" w:cs="Arial"/>
        </w:rPr>
        <w:t>.</w:t>
      </w:r>
    </w:p>
    <w:p w:rsidR="00AC4428" w:rsidRDefault="00AC4428" w:rsidP="00BC6AAE">
      <w:pPr>
        <w:spacing w:line="360" w:lineRule="auto"/>
        <w:jc w:val="both"/>
        <w:rPr>
          <w:rFonts w:ascii="Arial" w:eastAsia="Calibri" w:hAnsi="Arial" w:cs="Arial"/>
          <w:sz w:val="24"/>
          <w:szCs w:val="24"/>
        </w:rPr>
      </w:pPr>
    </w:p>
    <w:p w:rsidR="007602E5" w:rsidRPr="007602E5" w:rsidRDefault="00404461" w:rsidP="00BC6AAE">
      <w:pPr>
        <w:spacing w:line="360" w:lineRule="auto"/>
        <w:jc w:val="both"/>
        <w:rPr>
          <w:rFonts w:ascii="Arial" w:eastAsia="Calibri" w:hAnsi="Arial" w:cs="Arial"/>
          <w:sz w:val="24"/>
          <w:szCs w:val="24"/>
          <w:u w:val="single"/>
        </w:rPr>
      </w:pPr>
      <w:r>
        <w:rPr>
          <w:rFonts w:ascii="Arial" w:eastAsia="Calibri" w:hAnsi="Arial" w:cs="Arial"/>
          <w:sz w:val="24"/>
          <w:szCs w:val="24"/>
          <w:u w:val="single"/>
        </w:rPr>
        <w:t>Exp</w:t>
      </w:r>
      <w:r w:rsidR="006F4658">
        <w:rPr>
          <w:rFonts w:ascii="Arial" w:eastAsia="Calibri" w:hAnsi="Arial" w:cs="Arial"/>
          <w:sz w:val="24"/>
          <w:szCs w:val="24"/>
          <w:u w:val="single"/>
        </w:rPr>
        <w:t>lanation</w:t>
      </w:r>
      <w:r w:rsidR="007602E5" w:rsidRPr="007602E5">
        <w:rPr>
          <w:rFonts w:ascii="Arial" w:eastAsia="Calibri" w:hAnsi="Arial" w:cs="Arial"/>
          <w:sz w:val="24"/>
          <w:szCs w:val="24"/>
          <w:u w:val="single"/>
        </w:rPr>
        <w:t xml:space="preserve"> for the delay </w:t>
      </w:r>
    </w:p>
    <w:p w:rsidR="00404461" w:rsidRDefault="00AC4428" w:rsidP="00BC6AAE">
      <w:pPr>
        <w:spacing w:line="360" w:lineRule="auto"/>
        <w:jc w:val="both"/>
        <w:rPr>
          <w:rFonts w:ascii="Arial" w:eastAsia="Calibri" w:hAnsi="Arial" w:cs="Arial"/>
          <w:sz w:val="24"/>
          <w:szCs w:val="24"/>
        </w:rPr>
      </w:pPr>
      <w:r>
        <w:rPr>
          <w:rFonts w:ascii="Arial" w:eastAsia="Calibri" w:hAnsi="Arial" w:cs="Arial"/>
          <w:sz w:val="24"/>
          <w:szCs w:val="24"/>
        </w:rPr>
        <w:t>[8</w:t>
      </w:r>
      <w:r w:rsidR="006B22AB">
        <w:rPr>
          <w:rFonts w:ascii="Arial" w:eastAsia="Calibri" w:hAnsi="Arial" w:cs="Arial"/>
          <w:sz w:val="24"/>
          <w:szCs w:val="24"/>
        </w:rPr>
        <w:t>]</w:t>
      </w:r>
      <w:r w:rsidR="006B22AB">
        <w:rPr>
          <w:rFonts w:ascii="Arial" w:eastAsia="Calibri" w:hAnsi="Arial" w:cs="Arial"/>
          <w:sz w:val="24"/>
          <w:szCs w:val="24"/>
        </w:rPr>
        <w:tab/>
      </w:r>
      <w:r>
        <w:rPr>
          <w:rFonts w:ascii="Arial" w:eastAsia="Calibri" w:hAnsi="Arial" w:cs="Arial"/>
          <w:sz w:val="24"/>
          <w:szCs w:val="24"/>
        </w:rPr>
        <w:t>T</w:t>
      </w:r>
      <w:r w:rsidR="006B22AB">
        <w:rPr>
          <w:rFonts w:ascii="Arial" w:eastAsia="Calibri" w:hAnsi="Arial" w:cs="Arial"/>
          <w:sz w:val="24"/>
          <w:szCs w:val="24"/>
        </w:rPr>
        <w:t>he appellant stated in his</w:t>
      </w:r>
      <w:r>
        <w:rPr>
          <w:rFonts w:ascii="Arial" w:eastAsia="Calibri" w:hAnsi="Arial" w:cs="Arial"/>
          <w:sz w:val="24"/>
          <w:szCs w:val="24"/>
        </w:rPr>
        <w:t xml:space="preserve"> first</w:t>
      </w:r>
      <w:r w:rsidR="006B22AB">
        <w:rPr>
          <w:rFonts w:ascii="Arial" w:eastAsia="Calibri" w:hAnsi="Arial" w:cs="Arial"/>
          <w:sz w:val="24"/>
          <w:szCs w:val="24"/>
        </w:rPr>
        <w:t xml:space="preserve"> suppo</w:t>
      </w:r>
      <w:r w:rsidR="00994F8B">
        <w:rPr>
          <w:rFonts w:ascii="Arial" w:eastAsia="Calibri" w:hAnsi="Arial" w:cs="Arial"/>
          <w:sz w:val="24"/>
          <w:szCs w:val="24"/>
        </w:rPr>
        <w:t>r</w:t>
      </w:r>
      <w:r w:rsidR="006B22AB">
        <w:rPr>
          <w:rFonts w:ascii="Arial" w:eastAsia="Calibri" w:hAnsi="Arial" w:cs="Arial"/>
          <w:sz w:val="24"/>
          <w:szCs w:val="24"/>
        </w:rPr>
        <w:t xml:space="preserve">ting affidavit </w:t>
      </w:r>
      <w:r w:rsidR="00994F8B">
        <w:rPr>
          <w:rFonts w:ascii="Arial" w:eastAsia="Calibri" w:hAnsi="Arial" w:cs="Arial"/>
          <w:sz w:val="24"/>
          <w:szCs w:val="24"/>
        </w:rPr>
        <w:t>that</w:t>
      </w:r>
      <w:r w:rsidR="00094339">
        <w:rPr>
          <w:rFonts w:ascii="Arial" w:eastAsia="Calibri" w:hAnsi="Arial" w:cs="Arial"/>
          <w:sz w:val="24"/>
          <w:szCs w:val="24"/>
        </w:rPr>
        <w:t xml:space="preserve"> he is a layperson.</w:t>
      </w:r>
      <w:r w:rsidR="00994F8B">
        <w:rPr>
          <w:rFonts w:ascii="Arial" w:eastAsia="Calibri" w:hAnsi="Arial" w:cs="Arial"/>
          <w:sz w:val="24"/>
          <w:szCs w:val="24"/>
        </w:rPr>
        <w:t xml:space="preserve"> </w:t>
      </w:r>
      <w:r w:rsidR="00FF7272">
        <w:rPr>
          <w:rFonts w:ascii="Arial" w:eastAsia="Calibri" w:hAnsi="Arial" w:cs="Arial"/>
          <w:sz w:val="24"/>
          <w:szCs w:val="24"/>
        </w:rPr>
        <w:t xml:space="preserve"> Further, h</w:t>
      </w:r>
      <w:r w:rsidR="00994F8B">
        <w:rPr>
          <w:rFonts w:ascii="Arial" w:eastAsia="Calibri" w:hAnsi="Arial" w:cs="Arial"/>
          <w:sz w:val="24"/>
          <w:szCs w:val="24"/>
        </w:rPr>
        <w:t>is rights were never explained to him during sentencing</w:t>
      </w:r>
      <w:r w:rsidR="00C075AE">
        <w:rPr>
          <w:rFonts w:ascii="Arial" w:eastAsia="Calibri" w:hAnsi="Arial" w:cs="Arial"/>
          <w:sz w:val="24"/>
          <w:szCs w:val="24"/>
        </w:rPr>
        <w:t xml:space="preserve"> or thereafter</w:t>
      </w:r>
      <w:r w:rsidR="00994F8B">
        <w:rPr>
          <w:rFonts w:ascii="Arial" w:eastAsia="Calibri" w:hAnsi="Arial" w:cs="Arial"/>
          <w:sz w:val="24"/>
          <w:szCs w:val="24"/>
        </w:rPr>
        <w:t xml:space="preserve"> </w:t>
      </w:r>
      <w:r w:rsidR="002F6BC4">
        <w:rPr>
          <w:rFonts w:ascii="Arial" w:eastAsia="Calibri" w:hAnsi="Arial" w:cs="Arial"/>
          <w:sz w:val="24"/>
          <w:szCs w:val="24"/>
        </w:rPr>
        <w:t xml:space="preserve">as borne out by </w:t>
      </w:r>
      <w:r w:rsidR="00994F8B">
        <w:rPr>
          <w:rFonts w:ascii="Arial" w:eastAsia="Calibri" w:hAnsi="Arial" w:cs="Arial"/>
          <w:sz w:val="24"/>
          <w:szCs w:val="24"/>
        </w:rPr>
        <w:t xml:space="preserve">the record of proceedings. </w:t>
      </w:r>
      <w:r w:rsidR="002F6BC4">
        <w:rPr>
          <w:rFonts w:ascii="Arial" w:eastAsia="Calibri" w:hAnsi="Arial" w:cs="Arial"/>
          <w:sz w:val="24"/>
          <w:szCs w:val="24"/>
        </w:rPr>
        <w:t>Consequently,</w:t>
      </w:r>
      <w:r w:rsidR="00994F8B">
        <w:rPr>
          <w:rFonts w:ascii="Arial" w:eastAsia="Calibri" w:hAnsi="Arial" w:cs="Arial"/>
          <w:sz w:val="24"/>
          <w:szCs w:val="24"/>
        </w:rPr>
        <w:t xml:space="preserve"> he was not aware that he should have noted the appeal within fourteen days from the date of sentence. In addition, he stated that such failure was</w:t>
      </w:r>
      <w:r w:rsidR="00AD5B38">
        <w:rPr>
          <w:rFonts w:ascii="Arial" w:eastAsia="Calibri" w:hAnsi="Arial" w:cs="Arial"/>
          <w:sz w:val="24"/>
          <w:szCs w:val="24"/>
        </w:rPr>
        <w:t xml:space="preserve"> not</w:t>
      </w:r>
      <w:r w:rsidR="00994F8B">
        <w:rPr>
          <w:rFonts w:ascii="Arial" w:eastAsia="Calibri" w:hAnsi="Arial" w:cs="Arial"/>
          <w:sz w:val="24"/>
          <w:szCs w:val="24"/>
        </w:rPr>
        <w:t xml:space="preserve"> due to any negligence or error on his side as he did not appreciate the legal procedures as prescribe</w:t>
      </w:r>
      <w:r w:rsidR="003501CB">
        <w:rPr>
          <w:rFonts w:ascii="Arial" w:eastAsia="Calibri" w:hAnsi="Arial" w:cs="Arial"/>
          <w:sz w:val="24"/>
          <w:szCs w:val="24"/>
        </w:rPr>
        <w:t>d</w:t>
      </w:r>
      <w:r w:rsidR="00994F8B">
        <w:rPr>
          <w:rFonts w:ascii="Arial" w:eastAsia="Calibri" w:hAnsi="Arial" w:cs="Arial"/>
          <w:sz w:val="24"/>
          <w:szCs w:val="24"/>
        </w:rPr>
        <w:t xml:space="preserve"> by th</w:t>
      </w:r>
      <w:r w:rsidR="003501CB">
        <w:rPr>
          <w:rFonts w:ascii="Arial" w:eastAsia="Calibri" w:hAnsi="Arial" w:cs="Arial"/>
          <w:sz w:val="24"/>
          <w:szCs w:val="24"/>
        </w:rPr>
        <w:t>e</w:t>
      </w:r>
      <w:r w:rsidR="00994F8B">
        <w:rPr>
          <w:rFonts w:ascii="Arial" w:eastAsia="Calibri" w:hAnsi="Arial" w:cs="Arial"/>
          <w:sz w:val="24"/>
          <w:szCs w:val="24"/>
        </w:rPr>
        <w:t xml:space="preserve"> High Court Rules. </w:t>
      </w:r>
      <w:r w:rsidR="003A22E7">
        <w:rPr>
          <w:rFonts w:ascii="Arial" w:eastAsia="Calibri" w:hAnsi="Arial" w:cs="Arial"/>
          <w:sz w:val="24"/>
          <w:szCs w:val="24"/>
        </w:rPr>
        <w:t xml:space="preserve"> </w:t>
      </w:r>
      <w:r w:rsidR="003501CB">
        <w:rPr>
          <w:rFonts w:ascii="Arial" w:eastAsia="Calibri" w:hAnsi="Arial" w:cs="Arial"/>
          <w:sz w:val="24"/>
          <w:szCs w:val="24"/>
        </w:rPr>
        <w:t>The appellant further referred to cases and articles dealing with the independence of the judiciary, the legal profession, their duty</w:t>
      </w:r>
      <w:r w:rsidR="00D006FB">
        <w:rPr>
          <w:rFonts w:ascii="Arial" w:eastAsia="Calibri" w:hAnsi="Arial" w:cs="Arial"/>
          <w:sz w:val="24"/>
          <w:szCs w:val="24"/>
        </w:rPr>
        <w:t>, freedom</w:t>
      </w:r>
      <w:r w:rsidR="003501CB">
        <w:rPr>
          <w:rFonts w:ascii="Arial" w:eastAsia="Calibri" w:hAnsi="Arial" w:cs="Arial"/>
          <w:sz w:val="24"/>
          <w:szCs w:val="24"/>
        </w:rPr>
        <w:t xml:space="preserve"> from bias and criticism of members of the Legal Aid Centre on reprehensible conduct</w:t>
      </w:r>
      <w:r w:rsidR="002F6BC4">
        <w:rPr>
          <w:rFonts w:ascii="Arial" w:eastAsia="Calibri" w:hAnsi="Arial" w:cs="Arial"/>
          <w:sz w:val="24"/>
          <w:szCs w:val="24"/>
        </w:rPr>
        <w:t xml:space="preserve"> when</w:t>
      </w:r>
      <w:r w:rsidR="003501CB">
        <w:rPr>
          <w:rFonts w:ascii="Arial" w:eastAsia="Calibri" w:hAnsi="Arial" w:cs="Arial"/>
          <w:sz w:val="24"/>
          <w:szCs w:val="24"/>
        </w:rPr>
        <w:t xml:space="preserve"> handling </w:t>
      </w:r>
      <w:r w:rsidR="002F6BC4">
        <w:rPr>
          <w:rFonts w:ascii="Arial" w:eastAsia="Calibri" w:hAnsi="Arial" w:cs="Arial"/>
          <w:sz w:val="24"/>
          <w:szCs w:val="24"/>
        </w:rPr>
        <w:t>matters</w:t>
      </w:r>
      <w:r w:rsidR="003501CB">
        <w:rPr>
          <w:rFonts w:ascii="Arial" w:eastAsia="Calibri" w:hAnsi="Arial" w:cs="Arial"/>
          <w:sz w:val="24"/>
          <w:szCs w:val="24"/>
        </w:rPr>
        <w:t xml:space="preserve"> of clients.</w:t>
      </w:r>
      <w:r w:rsidR="00D006FB">
        <w:rPr>
          <w:rFonts w:ascii="Arial" w:eastAsia="Calibri" w:hAnsi="Arial" w:cs="Arial"/>
          <w:sz w:val="24"/>
          <w:szCs w:val="24"/>
        </w:rPr>
        <w:t xml:space="preserve"> The appellant, however</w:t>
      </w:r>
      <w:r w:rsidR="002F6BC4">
        <w:rPr>
          <w:rFonts w:ascii="Arial" w:eastAsia="Calibri" w:hAnsi="Arial" w:cs="Arial"/>
          <w:sz w:val="24"/>
          <w:szCs w:val="24"/>
        </w:rPr>
        <w:t>,</w:t>
      </w:r>
      <w:r w:rsidR="00D006FB">
        <w:rPr>
          <w:rFonts w:ascii="Arial" w:eastAsia="Calibri" w:hAnsi="Arial" w:cs="Arial"/>
          <w:sz w:val="24"/>
          <w:szCs w:val="24"/>
        </w:rPr>
        <w:t xml:space="preserve"> did not anywhere state that he was subjected to any reprehensible conduct apart from stating that he was not informed about his rights to appeal. </w:t>
      </w:r>
    </w:p>
    <w:p w:rsidR="00510EC6" w:rsidRDefault="00AC4428" w:rsidP="00BC6AAE">
      <w:pPr>
        <w:spacing w:line="360" w:lineRule="auto"/>
        <w:jc w:val="both"/>
        <w:rPr>
          <w:rFonts w:ascii="Arial" w:eastAsia="Calibri" w:hAnsi="Arial" w:cs="Arial"/>
          <w:sz w:val="24"/>
          <w:szCs w:val="24"/>
        </w:rPr>
      </w:pPr>
      <w:r>
        <w:rPr>
          <w:rFonts w:ascii="Arial" w:eastAsia="Calibri" w:hAnsi="Arial" w:cs="Arial"/>
          <w:sz w:val="24"/>
          <w:szCs w:val="24"/>
        </w:rPr>
        <w:t>[9</w:t>
      </w:r>
      <w:r w:rsidR="007602E5">
        <w:rPr>
          <w:rFonts w:ascii="Arial" w:eastAsia="Calibri" w:hAnsi="Arial" w:cs="Arial"/>
          <w:sz w:val="24"/>
          <w:szCs w:val="24"/>
        </w:rPr>
        <w:t>]</w:t>
      </w:r>
      <w:r w:rsidR="007602E5">
        <w:rPr>
          <w:rFonts w:ascii="Arial" w:eastAsia="Calibri" w:hAnsi="Arial" w:cs="Arial"/>
          <w:sz w:val="24"/>
          <w:szCs w:val="24"/>
        </w:rPr>
        <w:tab/>
        <w:t>In a supplementary affidavit, the appellant stated that he was represented by a legal practitioner whom he instructed privately. After sentencing he started serving</w:t>
      </w:r>
      <w:r w:rsidR="002F6BC4">
        <w:rPr>
          <w:rFonts w:ascii="Arial" w:eastAsia="Calibri" w:hAnsi="Arial" w:cs="Arial"/>
          <w:sz w:val="24"/>
          <w:szCs w:val="24"/>
        </w:rPr>
        <w:t xml:space="preserve"> his sentence</w:t>
      </w:r>
      <w:r w:rsidR="00D006FB">
        <w:rPr>
          <w:rFonts w:ascii="Arial" w:eastAsia="Calibri" w:hAnsi="Arial" w:cs="Arial"/>
          <w:sz w:val="24"/>
          <w:szCs w:val="24"/>
        </w:rPr>
        <w:t xml:space="preserve"> </w:t>
      </w:r>
      <w:r w:rsidR="007602E5">
        <w:rPr>
          <w:rFonts w:ascii="Arial" w:eastAsia="Calibri" w:hAnsi="Arial" w:cs="Arial"/>
          <w:sz w:val="24"/>
          <w:szCs w:val="24"/>
        </w:rPr>
        <w:t>and as</w:t>
      </w:r>
      <w:r w:rsidR="007D0E09">
        <w:rPr>
          <w:rFonts w:ascii="Arial" w:eastAsia="Calibri" w:hAnsi="Arial" w:cs="Arial"/>
          <w:sz w:val="24"/>
          <w:szCs w:val="24"/>
        </w:rPr>
        <w:t xml:space="preserve"> a</w:t>
      </w:r>
      <w:r w:rsidR="007602E5">
        <w:rPr>
          <w:rFonts w:ascii="Arial" w:eastAsia="Calibri" w:hAnsi="Arial" w:cs="Arial"/>
          <w:sz w:val="24"/>
          <w:szCs w:val="24"/>
        </w:rPr>
        <w:t xml:space="preserve"> result lost his source of income. Consequently, he could no longer afford the services of his privately instructed legal representative. The Legal Aid Directorate denied </w:t>
      </w:r>
      <w:proofErr w:type="gramStart"/>
      <w:r w:rsidR="007602E5">
        <w:rPr>
          <w:rFonts w:ascii="Arial" w:eastAsia="Calibri" w:hAnsi="Arial" w:cs="Arial"/>
          <w:sz w:val="24"/>
          <w:szCs w:val="24"/>
        </w:rPr>
        <w:t>to grant</w:t>
      </w:r>
      <w:proofErr w:type="gramEnd"/>
      <w:r w:rsidR="007602E5">
        <w:rPr>
          <w:rFonts w:ascii="Arial" w:eastAsia="Calibri" w:hAnsi="Arial" w:cs="Arial"/>
          <w:sz w:val="24"/>
          <w:szCs w:val="24"/>
        </w:rPr>
        <w:t xml:space="preserve"> him legal aid previously</w:t>
      </w:r>
      <w:r w:rsidR="00293A2C">
        <w:rPr>
          <w:rFonts w:ascii="Arial" w:eastAsia="Calibri" w:hAnsi="Arial" w:cs="Arial"/>
          <w:sz w:val="24"/>
          <w:szCs w:val="24"/>
        </w:rPr>
        <w:t>,</w:t>
      </w:r>
      <w:r w:rsidR="007602E5">
        <w:rPr>
          <w:rFonts w:ascii="Arial" w:eastAsia="Calibri" w:hAnsi="Arial" w:cs="Arial"/>
          <w:sz w:val="24"/>
          <w:szCs w:val="24"/>
        </w:rPr>
        <w:t xml:space="preserve"> due to his income. After he was sentenced</w:t>
      </w:r>
      <w:r w:rsidR="00293A2C">
        <w:rPr>
          <w:rFonts w:ascii="Arial" w:eastAsia="Calibri" w:hAnsi="Arial" w:cs="Arial"/>
          <w:sz w:val="24"/>
          <w:szCs w:val="24"/>
        </w:rPr>
        <w:t>,</w:t>
      </w:r>
      <w:r w:rsidR="007602E5">
        <w:rPr>
          <w:rFonts w:ascii="Arial" w:eastAsia="Calibri" w:hAnsi="Arial" w:cs="Arial"/>
          <w:sz w:val="24"/>
          <w:szCs w:val="24"/>
        </w:rPr>
        <w:t xml:space="preserve"> he mista</w:t>
      </w:r>
      <w:r w:rsidR="002F6BC4">
        <w:rPr>
          <w:rFonts w:ascii="Arial" w:eastAsia="Calibri" w:hAnsi="Arial" w:cs="Arial"/>
          <w:sz w:val="24"/>
          <w:szCs w:val="24"/>
        </w:rPr>
        <w:t>kenly held the belief that the D</w:t>
      </w:r>
      <w:r w:rsidR="007602E5">
        <w:rPr>
          <w:rFonts w:ascii="Arial" w:eastAsia="Calibri" w:hAnsi="Arial" w:cs="Arial"/>
          <w:sz w:val="24"/>
          <w:szCs w:val="24"/>
        </w:rPr>
        <w:t xml:space="preserve">irectorate of </w:t>
      </w:r>
      <w:r w:rsidR="002F6BC4">
        <w:rPr>
          <w:rFonts w:ascii="Arial" w:eastAsia="Calibri" w:hAnsi="Arial" w:cs="Arial"/>
          <w:sz w:val="24"/>
          <w:szCs w:val="24"/>
        </w:rPr>
        <w:t>L</w:t>
      </w:r>
      <w:r w:rsidR="007602E5">
        <w:rPr>
          <w:rFonts w:ascii="Arial" w:eastAsia="Calibri" w:hAnsi="Arial" w:cs="Arial"/>
          <w:sz w:val="24"/>
          <w:szCs w:val="24"/>
        </w:rPr>
        <w:t xml:space="preserve">egal </w:t>
      </w:r>
      <w:r w:rsidR="002F6BC4">
        <w:rPr>
          <w:rFonts w:ascii="Arial" w:eastAsia="Calibri" w:hAnsi="Arial" w:cs="Arial"/>
          <w:sz w:val="24"/>
          <w:szCs w:val="24"/>
        </w:rPr>
        <w:t>A</w:t>
      </w:r>
      <w:r w:rsidR="007602E5">
        <w:rPr>
          <w:rFonts w:ascii="Arial" w:eastAsia="Calibri" w:hAnsi="Arial" w:cs="Arial"/>
          <w:sz w:val="24"/>
          <w:szCs w:val="24"/>
        </w:rPr>
        <w:t xml:space="preserve">id would still not </w:t>
      </w:r>
      <w:r w:rsidR="007602E5">
        <w:rPr>
          <w:rFonts w:ascii="Arial" w:eastAsia="Calibri" w:hAnsi="Arial" w:cs="Arial"/>
          <w:sz w:val="24"/>
          <w:szCs w:val="24"/>
        </w:rPr>
        <w:lastRenderedPageBreak/>
        <w:t>assist him and thus, did not apply</w:t>
      </w:r>
      <w:r w:rsidR="008363F9">
        <w:rPr>
          <w:rFonts w:ascii="Arial" w:eastAsia="Calibri" w:hAnsi="Arial" w:cs="Arial"/>
          <w:sz w:val="24"/>
          <w:szCs w:val="24"/>
        </w:rPr>
        <w:t>.</w:t>
      </w:r>
      <w:r w:rsidR="007602E5">
        <w:rPr>
          <w:rFonts w:ascii="Arial" w:eastAsia="Calibri" w:hAnsi="Arial" w:cs="Arial"/>
          <w:sz w:val="24"/>
          <w:szCs w:val="24"/>
        </w:rPr>
        <w:t xml:space="preserve"> Instead he relied on his family to raise funds to instruct a private lawyer to pursue an appeal. The relatives were unable to raise funds and as a result</w:t>
      </w:r>
      <w:r w:rsidR="008363F9">
        <w:rPr>
          <w:rFonts w:ascii="Arial" w:eastAsia="Calibri" w:hAnsi="Arial" w:cs="Arial"/>
          <w:sz w:val="24"/>
          <w:szCs w:val="24"/>
        </w:rPr>
        <w:t xml:space="preserve"> </w:t>
      </w:r>
      <w:r>
        <w:rPr>
          <w:rFonts w:ascii="Arial" w:eastAsia="Calibri" w:hAnsi="Arial" w:cs="Arial"/>
          <w:sz w:val="24"/>
          <w:szCs w:val="24"/>
        </w:rPr>
        <w:t>it delayed the</w:t>
      </w:r>
      <w:r w:rsidR="007602E5">
        <w:rPr>
          <w:rFonts w:ascii="Arial" w:eastAsia="Calibri" w:hAnsi="Arial" w:cs="Arial"/>
          <w:sz w:val="24"/>
          <w:szCs w:val="24"/>
        </w:rPr>
        <w:t xml:space="preserve"> noting of the appeal</w:t>
      </w:r>
      <w:r w:rsidR="008363F9">
        <w:rPr>
          <w:rFonts w:ascii="Arial" w:eastAsia="Calibri" w:hAnsi="Arial" w:cs="Arial"/>
          <w:sz w:val="24"/>
          <w:szCs w:val="24"/>
        </w:rPr>
        <w:t xml:space="preserve"> even further</w:t>
      </w:r>
      <w:r w:rsidR="007602E5">
        <w:rPr>
          <w:rFonts w:ascii="Arial" w:eastAsia="Calibri" w:hAnsi="Arial" w:cs="Arial"/>
          <w:sz w:val="24"/>
          <w:szCs w:val="24"/>
        </w:rPr>
        <w:t>.</w:t>
      </w:r>
    </w:p>
    <w:p w:rsidR="007602E5" w:rsidRDefault="00AC4428" w:rsidP="00BC6AAE">
      <w:pPr>
        <w:spacing w:line="360" w:lineRule="auto"/>
        <w:jc w:val="both"/>
        <w:rPr>
          <w:rFonts w:ascii="Arial" w:eastAsia="Calibri" w:hAnsi="Arial" w:cs="Arial"/>
          <w:sz w:val="24"/>
          <w:szCs w:val="24"/>
        </w:rPr>
      </w:pPr>
      <w:r>
        <w:rPr>
          <w:rFonts w:ascii="Arial" w:eastAsia="Calibri" w:hAnsi="Arial" w:cs="Arial"/>
          <w:sz w:val="24"/>
          <w:szCs w:val="24"/>
        </w:rPr>
        <w:t>[10</w:t>
      </w:r>
      <w:r w:rsidR="007602E5">
        <w:rPr>
          <w:rFonts w:ascii="Arial" w:eastAsia="Calibri" w:hAnsi="Arial" w:cs="Arial"/>
          <w:sz w:val="24"/>
          <w:szCs w:val="24"/>
        </w:rPr>
        <w:t>]</w:t>
      </w:r>
      <w:r w:rsidR="007602E5">
        <w:rPr>
          <w:rFonts w:ascii="Arial" w:eastAsia="Calibri" w:hAnsi="Arial" w:cs="Arial"/>
          <w:sz w:val="24"/>
          <w:szCs w:val="24"/>
        </w:rPr>
        <w:tab/>
        <w:t xml:space="preserve">Eventually, the appellant re-applied for legal aid during 2017. That application was apparently not received by the </w:t>
      </w:r>
      <w:r w:rsidR="002F6BC4">
        <w:rPr>
          <w:rFonts w:ascii="Arial" w:eastAsia="Calibri" w:hAnsi="Arial" w:cs="Arial"/>
          <w:sz w:val="24"/>
          <w:szCs w:val="24"/>
        </w:rPr>
        <w:t>D</w:t>
      </w:r>
      <w:r w:rsidR="007602E5">
        <w:rPr>
          <w:rFonts w:ascii="Arial" w:eastAsia="Calibri" w:hAnsi="Arial" w:cs="Arial"/>
          <w:sz w:val="24"/>
          <w:szCs w:val="24"/>
        </w:rPr>
        <w:t xml:space="preserve">irectorate of </w:t>
      </w:r>
      <w:r w:rsidR="002F6BC4">
        <w:rPr>
          <w:rFonts w:ascii="Arial" w:eastAsia="Calibri" w:hAnsi="Arial" w:cs="Arial"/>
          <w:sz w:val="24"/>
          <w:szCs w:val="24"/>
        </w:rPr>
        <w:t>L</w:t>
      </w:r>
      <w:r w:rsidR="007602E5">
        <w:rPr>
          <w:rFonts w:ascii="Arial" w:eastAsia="Calibri" w:hAnsi="Arial" w:cs="Arial"/>
          <w:sz w:val="24"/>
          <w:szCs w:val="24"/>
        </w:rPr>
        <w:t xml:space="preserve">egal </w:t>
      </w:r>
      <w:r w:rsidR="002F6BC4">
        <w:rPr>
          <w:rFonts w:ascii="Arial" w:eastAsia="Calibri" w:hAnsi="Arial" w:cs="Arial"/>
          <w:sz w:val="24"/>
          <w:szCs w:val="24"/>
        </w:rPr>
        <w:t>A</w:t>
      </w:r>
      <w:r w:rsidR="007602E5">
        <w:rPr>
          <w:rFonts w:ascii="Arial" w:eastAsia="Calibri" w:hAnsi="Arial" w:cs="Arial"/>
          <w:sz w:val="24"/>
          <w:szCs w:val="24"/>
        </w:rPr>
        <w:t>id causing him to again apply. It allegedly took time to review his new application. He further stated that since he was incarcerated serving his sentence</w:t>
      </w:r>
      <w:r w:rsidR="008363F9">
        <w:rPr>
          <w:rFonts w:ascii="Arial" w:eastAsia="Calibri" w:hAnsi="Arial" w:cs="Arial"/>
          <w:sz w:val="24"/>
          <w:szCs w:val="24"/>
        </w:rPr>
        <w:t>,</w:t>
      </w:r>
      <w:r w:rsidR="007602E5">
        <w:rPr>
          <w:rFonts w:ascii="Arial" w:eastAsia="Calibri" w:hAnsi="Arial" w:cs="Arial"/>
          <w:sz w:val="24"/>
          <w:szCs w:val="24"/>
        </w:rPr>
        <w:t xml:space="preserve"> he could not follow up</w:t>
      </w:r>
      <w:r w:rsidR="008363F9">
        <w:rPr>
          <w:rFonts w:ascii="Arial" w:eastAsia="Calibri" w:hAnsi="Arial" w:cs="Arial"/>
          <w:sz w:val="24"/>
          <w:szCs w:val="24"/>
        </w:rPr>
        <w:t xml:space="preserve"> on</w:t>
      </w:r>
      <w:r w:rsidR="007602E5">
        <w:rPr>
          <w:rFonts w:ascii="Arial" w:eastAsia="Calibri" w:hAnsi="Arial" w:cs="Arial"/>
          <w:sz w:val="24"/>
          <w:szCs w:val="24"/>
        </w:rPr>
        <w:t xml:space="preserve"> the application. Months passed without any response which caused him to submit a third application for legal aid during 2018. Eventually his application was approved on condition that he had to contribute N$350. </w:t>
      </w:r>
    </w:p>
    <w:p w:rsidR="00AC4428" w:rsidRDefault="00AC4428" w:rsidP="00BC6AAE">
      <w:pPr>
        <w:spacing w:line="360" w:lineRule="auto"/>
        <w:jc w:val="both"/>
        <w:rPr>
          <w:rFonts w:ascii="Arial" w:eastAsia="Calibri" w:hAnsi="Arial" w:cs="Arial"/>
          <w:sz w:val="24"/>
          <w:szCs w:val="24"/>
        </w:rPr>
      </w:pPr>
      <w:r>
        <w:rPr>
          <w:rFonts w:ascii="Arial" w:eastAsia="Calibri" w:hAnsi="Arial" w:cs="Arial"/>
          <w:sz w:val="24"/>
          <w:szCs w:val="24"/>
        </w:rPr>
        <w:t>[11</w:t>
      </w:r>
      <w:r w:rsidR="007602E5">
        <w:rPr>
          <w:rFonts w:ascii="Arial" w:eastAsia="Calibri" w:hAnsi="Arial" w:cs="Arial"/>
          <w:sz w:val="24"/>
          <w:szCs w:val="24"/>
        </w:rPr>
        <w:t>]</w:t>
      </w:r>
      <w:r w:rsidR="007602E5">
        <w:rPr>
          <w:rFonts w:ascii="Arial" w:eastAsia="Calibri" w:hAnsi="Arial" w:cs="Arial"/>
          <w:sz w:val="24"/>
          <w:szCs w:val="24"/>
        </w:rPr>
        <w:tab/>
        <w:t xml:space="preserve">He was unable to raise the money due to him relying on his family for financial aid. He could </w:t>
      </w:r>
      <w:r w:rsidR="00293A2C">
        <w:rPr>
          <w:rFonts w:ascii="Arial" w:eastAsia="Calibri" w:hAnsi="Arial" w:cs="Arial"/>
          <w:sz w:val="24"/>
          <w:szCs w:val="24"/>
        </w:rPr>
        <w:t xml:space="preserve">only </w:t>
      </w:r>
      <w:r w:rsidR="007602E5">
        <w:rPr>
          <w:rFonts w:ascii="Arial" w:eastAsia="Calibri" w:hAnsi="Arial" w:cs="Arial"/>
          <w:sz w:val="24"/>
          <w:szCs w:val="24"/>
        </w:rPr>
        <w:t xml:space="preserve">raise the N$350 at the beginning of 2021 </w:t>
      </w:r>
      <w:r w:rsidR="008363F9">
        <w:rPr>
          <w:rFonts w:ascii="Arial" w:eastAsia="Calibri" w:hAnsi="Arial" w:cs="Arial"/>
          <w:sz w:val="24"/>
          <w:szCs w:val="24"/>
        </w:rPr>
        <w:t>where after</w:t>
      </w:r>
      <w:r w:rsidR="007602E5">
        <w:rPr>
          <w:rFonts w:ascii="Arial" w:eastAsia="Calibri" w:hAnsi="Arial" w:cs="Arial"/>
          <w:sz w:val="24"/>
          <w:szCs w:val="24"/>
        </w:rPr>
        <w:t xml:space="preserve"> he paid the contribution. It took a few months before the </w:t>
      </w:r>
      <w:r w:rsidR="008363F9">
        <w:rPr>
          <w:rFonts w:ascii="Arial" w:eastAsia="Calibri" w:hAnsi="Arial" w:cs="Arial"/>
          <w:sz w:val="24"/>
          <w:szCs w:val="24"/>
        </w:rPr>
        <w:t>D</w:t>
      </w:r>
      <w:r w:rsidR="007602E5">
        <w:rPr>
          <w:rFonts w:ascii="Arial" w:eastAsia="Calibri" w:hAnsi="Arial" w:cs="Arial"/>
          <w:sz w:val="24"/>
          <w:szCs w:val="24"/>
        </w:rPr>
        <w:t>irectorate</w:t>
      </w:r>
      <w:r w:rsidR="00293A2C">
        <w:rPr>
          <w:rFonts w:ascii="Arial" w:eastAsia="Calibri" w:hAnsi="Arial" w:cs="Arial"/>
          <w:sz w:val="24"/>
          <w:szCs w:val="24"/>
        </w:rPr>
        <w:t xml:space="preserve"> of</w:t>
      </w:r>
      <w:r w:rsidR="007602E5">
        <w:rPr>
          <w:rFonts w:ascii="Arial" w:eastAsia="Calibri" w:hAnsi="Arial" w:cs="Arial"/>
          <w:sz w:val="24"/>
          <w:szCs w:val="24"/>
        </w:rPr>
        <w:t xml:space="preserve"> </w:t>
      </w:r>
      <w:r w:rsidR="008363F9">
        <w:rPr>
          <w:rFonts w:ascii="Arial" w:eastAsia="Calibri" w:hAnsi="Arial" w:cs="Arial"/>
          <w:sz w:val="24"/>
          <w:szCs w:val="24"/>
        </w:rPr>
        <w:t>Legal A</w:t>
      </w:r>
      <w:r w:rsidR="007602E5">
        <w:rPr>
          <w:rFonts w:ascii="Arial" w:eastAsia="Calibri" w:hAnsi="Arial" w:cs="Arial"/>
          <w:sz w:val="24"/>
          <w:szCs w:val="24"/>
        </w:rPr>
        <w:t>id appointed a lawyer. The process was also influenced by the COVID-19 pandemic. In the meantime, the appellant was assisted by a fellow inmate with legal background to draft the Notice of Appeal which he submitted on 28 May 2021.</w:t>
      </w:r>
    </w:p>
    <w:p w:rsidR="00404461" w:rsidRDefault="00404461" w:rsidP="00404461">
      <w:pPr>
        <w:spacing w:after="0" w:line="400" w:lineRule="atLeast"/>
        <w:jc w:val="both"/>
        <w:rPr>
          <w:rFonts w:ascii="Arial" w:eastAsia="Times New Roman" w:hAnsi="Arial" w:cs="Arial"/>
          <w:sz w:val="24"/>
          <w:szCs w:val="24"/>
        </w:rPr>
      </w:pPr>
      <w:r>
        <w:rPr>
          <w:rFonts w:ascii="Arial" w:eastAsia="Times New Roman" w:hAnsi="Arial" w:cs="Arial"/>
          <w:sz w:val="24"/>
          <w:szCs w:val="24"/>
        </w:rPr>
        <w:t>[12</w:t>
      </w:r>
      <w:r w:rsidRPr="00F22355">
        <w:rPr>
          <w:rFonts w:ascii="Arial" w:eastAsia="Times New Roman" w:hAnsi="Arial" w:cs="Arial"/>
          <w:sz w:val="24"/>
          <w:szCs w:val="24"/>
        </w:rPr>
        <w:t>]</w:t>
      </w:r>
      <w:r w:rsidRPr="00F22355">
        <w:rPr>
          <w:rFonts w:ascii="Arial" w:eastAsia="Times New Roman" w:hAnsi="Arial" w:cs="Arial"/>
          <w:b/>
          <w:sz w:val="24"/>
          <w:szCs w:val="24"/>
        </w:rPr>
        <w:t xml:space="preserve"> </w:t>
      </w:r>
      <w:r>
        <w:rPr>
          <w:rFonts w:ascii="Arial" w:eastAsia="Times New Roman" w:hAnsi="Arial" w:cs="Arial"/>
          <w:b/>
          <w:sz w:val="24"/>
          <w:szCs w:val="24"/>
        </w:rPr>
        <w:tab/>
      </w:r>
      <w:r w:rsidRPr="001F2F1C">
        <w:rPr>
          <w:rFonts w:ascii="Arial" w:eastAsia="Times New Roman" w:hAnsi="Arial" w:cs="Arial"/>
          <w:sz w:val="24"/>
          <w:szCs w:val="24"/>
        </w:rPr>
        <w:t>The appellant’s</w:t>
      </w:r>
      <w:r>
        <w:rPr>
          <w:rFonts w:ascii="Arial" w:eastAsia="Times New Roman" w:hAnsi="Arial" w:cs="Arial"/>
          <w:sz w:val="24"/>
          <w:szCs w:val="24"/>
        </w:rPr>
        <w:t xml:space="preserve"> amended notice of appeal with a supplementary affidavit reflect  that he was apparently</w:t>
      </w:r>
      <w:r w:rsidR="00FF7272">
        <w:rPr>
          <w:rFonts w:ascii="Arial" w:eastAsia="Times New Roman" w:hAnsi="Arial" w:cs="Arial"/>
          <w:sz w:val="24"/>
          <w:szCs w:val="24"/>
        </w:rPr>
        <w:t xml:space="preserve"> only</w:t>
      </w:r>
      <w:r>
        <w:rPr>
          <w:rFonts w:ascii="Arial" w:eastAsia="Times New Roman" w:hAnsi="Arial" w:cs="Arial"/>
          <w:sz w:val="24"/>
          <w:szCs w:val="24"/>
        </w:rPr>
        <w:t xml:space="preserve"> advised by his new legal representative that he needs to apply for condonation, to provide an acceptable and credible explanation for the delay and demonstrate that he has good prospects of success on appeal.</w:t>
      </w:r>
      <w:r w:rsidR="00FF7272">
        <w:rPr>
          <w:rFonts w:ascii="Arial" w:eastAsia="Times New Roman" w:hAnsi="Arial" w:cs="Arial"/>
          <w:sz w:val="24"/>
          <w:szCs w:val="24"/>
        </w:rPr>
        <w:t xml:space="preserve"> Thereby, he creates the impression that he did not have this knowledge before. </w:t>
      </w:r>
      <w:r>
        <w:rPr>
          <w:rFonts w:ascii="Arial" w:eastAsia="Times New Roman" w:hAnsi="Arial" w:cs="Arial"/>
          <w:sz w:val="24"/>
          <w:szCs w:val="24"/>
        </w:rPr>
        <w:t xml:space="preserve"> It </w:t>
      </w:r>
      <w:r w:rsidR="00293A2C">
        <w:rPr>
          <w:rFonts w:ascii="Arial" w:eastAsia="Times New Roman" w:hAnsi="Arial" w:cs="Arial"/>
          <w:sz w:val="24"/>
          <w:szCs w:val="24"/>
        </w:rPr>
        <w:t>is</w:t>
      </w:r>
      <w:r>
        <w:rPr>
          <w:rFonts w:ascii="Arial" w:eastAsia="Times New Roman" w:hAnsi="Arial" w:cs="Arial"/>
          <w:sz w:val="24"/>
          <w:szCs w:val="24"/>
        </w:rPr>
        <w:t xml:space="preserve"> however evident</w:t>
      </w:r>
      <w:r w:rsidR="00293A2C">
        <w:rPr>
          <w:rFonts w:ascii="Arial" w:eastAsia="Times New Roman" w:hAnsi="Arial" w:cs="Arial"/>
          <w:sz w:val="24"/>
          <w:szCs w:val="24"/>
        </w:rPr>
        <w:t>,</w:t>
      </w:r>
      <w:r>
        <w:rPr>
          <w:rFonts w:ascii="Arial" w:eastAsia="Times New Roman" w:hAnsi="Arial" w:cs="Arial"/>
          <w:sz w:val="24"/>
          <w:szCs w:val="24"/>
        </w:rPr>
        <w:t xml:space="preserve"> that he was aware of these requirements even at the time that he initiated the appeal</w:t>
      </w:r>
      <w:r w:rsidR="002E1BFE">
        <w:rPr>
          <w:rFonts w:ascii="Arial" w:eastAsia="Times New Roman" w:hAnsi="Arial" w:cs="Arial"/>
          <w:sz w:val="24"/>
          <w:szCs w:val="24"/>
        </w:rPr>
        <w:t xml:space="preserve"> in person</w:t>
      </w:r>
      <w:r>
        <w:rPr>
          <w:rFonts w:ascii="Arial" w:eastAsia="Times New Roman" w:hAnsi="Arial" w:cs="Arial"/>
          <w:sz w:val="24"/>
          <w:szCs w:val="24"/>
        </w:rPr>
        <w:t>.</w:t>
      </w:r>
    </w:p>
    <w:p w:rsidR="009E6D1E" w:rsidRPr="00F22355" w:rsidRDefault="009E6D1E" w:rsidP="00F22355">
      <w:pPr>
        <w:spacing w:after="0" w:line="400" w:lineRule="atLeast"/>
        <w:jc w:val="both"/>
        <w:rPr>
          <w:rFonts w:ascii="Arial" w:eastAsia="Times New Roman" w:hAnsi="Arial" w:cs="Arial"/>
          <w:sz w:val="24"/>
          <w:szCs w:val="24"/>
          <w:u w:val="single"/>
        </w:rPr>
      </w:pPr>
    </w:p>
    <w:p w:rsidR="00EB7BFB" w:rsidRDefault="009E6D1E" w:rsidP="001F2F1C">
      <w:pPr>
        <w:spacing w:after="0" w:line="400" w:lineRule="atLeast"/>
        <w:jc w:val="both"/>
        <w:rPr>
          <w:rFonts w:ascii="Arial" w:eastAsia="Times New Roman" w:hAnsi="Arial" w:cs="Arial"/>
          <w:sz w:val="24"/>
          <w:szCs w:val="24"/>
        </w:rPr>
      </w:pPr>
      <w:r>
        <w:rPr>
          <w:rFonts w:ascii="Arial" w:eastAsia="Times New Roman" w:hAnsi="Arial" w:cs="Arial"/>
          <w:sz w:val="24"/>
          <w:szCs w:val="24"/>
        </w:rPr>
        <w:t>[13</w:t>
      </w:r>
      <w:r w:rsidR="00810A30">
        <w:rPr>
          <w:rFonts w:ascii="Arial" w:eastAsia="Times New Roman" w:hAnsi="Arial" w:cs="Arial"/>
          <w:sz w:val="24"/>
          <w:szCs w:val="24"/>
        </w:rPr>
        <w:t>]</w:t>
      </w:r>
      <w:r w:rsidR="00810A30">
        <w:rPr>
          <w:rFonts w:ascii="Arial" w:eastAsia="Times New Roman" w:hAnsi="Arial" w:cs="Arial"/>
          <w:sz w:val="24"/>
          <w:szCs w:val="24"/>
        </w:rPr>
        <w:tab/>
      </w:r>
      <w:r w:rsidR="005D4C9D">
        <w:rPr>
          <w:rFonts w:ascii="Arial" w:eastAsia="Times New Roman" w:hAnsi="Arial" w:cs="Arial"/>
          <w:sz w:val="24"/>
          <w:szCs w:val="24"/>
        </w:rPr>
        <w:t xml:space="preserve">It is trite that an appellant must be frank and </w:t>
      </w:r>
      <w:r w:rsidR="005D4C9D" w:rsidRPr="00760807">
        <w:rPr>
          <w:rFonts w:ascii="Arial" w:eastAsia="Times New Roman" w:hAnsi="Arial" w:cs="Arial"/>
          <w:i/>
          <w:sz w:val="24"/>
          <w:szCs w:val="24"/>
        </w:rPr>
        <w:t>bona fide</w:t>
      </w:r>
      <w:r w:rsidR="005D4C9D">
        <w:rPr>
          <w:rFonts w:ascii="Arial" w:eastAsia="Times New Roman" w:hAnsi="Arial" w:cs="Arial"/>
          <w:sz w:val="24"/>
          <w:szCs w:val="24"/>
        </w:rPr>
        <w:t xml:space="preserve"> when he give</w:t>
      </w:r>
      <w:r w:rsidR="002E1BFE">
        <w:rPr>
          <w:rFonts w:ascii="Arial" w:eastAsia="Times New Roman" w:hAnsi="Arial" w:cs="Arial"/>
          <w:sz w:val="24"/>
          <w:szCs w:val="24"/>
        </w:rPr>
        <w:t>s</w:t>
      </w:r>
      <w:r w:rsidR="00293A2C">
        <w:rPr>
          <w:rFonts w:ascii="Arial" w:eastAsia="Times New Roman" w:hAnsi="Arial" w:cs="Arial"/>
          <w:sz w:val="24"/>
          <w:szCs w:val="24"/>
        </w:rPr>
        <w:t xml:space="preserve"> </w:t>
      </w:r>
      <w:r w:rsidR="005D4C9D">
        <w:rPr>
          <w:rFonts w:ascii="Arial" w:eastAsia="Times New Roman" w:hAnsi="Arial" w:cs="Arial"/>
          <w:sz w:val="24"/>
          <w:szCs w:val="24"/>
        </w:rPr>
        <w:t xml:space="preserve">an explanation for his failure to file a notice of appeal on time. </w:t>
      </w:r>
      <w:r w:rsidR="00EB7BFB">
        <w:rPr>
          <w:rFonts w:ascii="Arial" w:eastAsia="Times New Roman" w:hAnsi="Arial" w:cs="Arial"/>
          <w:sz w:val="24"/>
          <w:szCs w:val="24"/>
        </w:rPr>
        <w:t>I agree with Hoff J (as he then was)</w:t>
      </w:r>
      <w:r w:rsidR="004C3246">
        <w:rPr>
          <w:rFonts w:ascii="Arial" w:eastAsia="Times New Roman" w:hAnsi="Arial" w:cs="Arial"/>
          <w:sz w:val="24"/>
          <w:szCs w:val="24"/>
        </w:rPr>
        <w:t xml:space="preserve"> </w:t>
      </w:r>
      <w:r w:rsidR="00EB7BFB">
        <w:rPr>
          <w:rFonts w:ascii="Arial" w:eastAsia="Times New Roman" w:hAnsi="Arial" w:cs="Arial"/>
          <w:sz w:val="24"/>
          <w:szCs w:val="24"/>
        </w:rPr>
        <w:t>when he stated:</w:t>
      </w:r>
    </w:p>
    <w:p w:rsidR="00EB7BFB" w:rsidRDefault="00EB7BFB" w:rsidP="005D4C9D">
      <w:pPr>
        <w:spacing w:after="0" w:line="360" w:lineRule="auto"/>
        <w:jc w:val="both"/>
        <w:rPr>
          <w:rFonts w:ascii="Arial" w:eastAsia="Times New Roman" w:hAnsi="Arial" w:cs="Arial"/>
          <w:sz w:val="24"/>
          <w:szCs w:val="24"/>
        </w:rPr>
      </w:pPr>
    </w:p>
    <w:p w:rsidR="005D4C9D" w:rsidRPr="00EB7BFB" w:rsidRDefault="005D4C9D" w:rsidP="00EB7BFB">
      <w:pPr>
        <w:spacing w:after="0" w:line="360" w:lineRule="auto"/>
        <w:ind w:firstLine="720"/>
        <w:jc w:val="both"/>
        <w:rPr>
          <w:rFonts w:ascii="Arial" w:hAnsi="Arial" w:cs="Arial"/>
        </w:rPr>
      </w:pPr>
      <w:r w:rsidRPr="00EB7BFB">
        <w:rPr>
          <w:rFonts w:ascii="Arial" w:eastAsia="Times New Roman" w:hAnsi="Arial" w:cs="Arial"/>
        </w:rPr>
        <w:t>‘</w:t>
      </w:r>
      <w:r w:rsidRPr="00EB7BFB">
        <w:rPr>
          <w:rFonts w:ascii="Arial" w:hAnsi="Arial" w:cs="Arial"/>
        </w:rPr>
        <w:t xml:space="preserve">Where an applicant in an application for condonation is not frank or </w:t>
      </w:r>
      <w:r w:rsidRPr="00EB7BFB">
        <w:rPr>
          <w:rFonts w:ascii="Arial" w:hAnsi="Arial" w:cs="Arial"/>
          <w:i/>
        </w:rPr>
        <w:t>bona fide</w:t>
      </w:r>
      <w:r w:rsidRPr="00EB7BFB">
        <w:rPr>
          <w:rFonts w:ascii="Arial" w:hAnsi="Arial" w:cs="Arial"/>
        </w:rPr>
        <w:t xml:space="preserve"> the court may for that reason refuse condonation. The court would normally consider whether the </w:t>
      </w:r>
      <w:r w:rsidRPr="00EB7BFB">
        <w:rPr>
          <w:rFonts w:ascii="Arial" w:hAnsi="Arial" w:cs="Arial"/>
        </w:rPr>
        <w:lastRenderedPageBreak/>
        <w:t>explanation given was a reasonable and acceptable explanation and if so</w:t>
      </w:r>
      <w:r w:rsidR="00293A2C">
        <w:rPr>
          <w:rFonts w:ascii="Arial" w:hAnsi="Arial" w:cs="Arial"/>
        </w:rPr>
        <w:t>,</w:t>
      </w:r>
      <w:r w:rsidRPr="00EB7BFB">
        <w:rPr>
          <w:rFonts w:ascii="Arial" w:hAnsi="Arial" w:cs="Arial"/>
        </w:rPr>
        <w:t xml:space="preserve"> would then thereafter look at the prospects of success on appeal.’ </w:t>
      </w:r>
      <w:r w:rsidRPr="00EB7BFB">
        <w:rPr>
          <w:rStyle w:val="FootnoteReference"/>
          <w:rFonts w:ascii="Arial" w:hAnsi="Arial" w:cs="Arial"/>
        </w:rPr>
        <w:footnoteReference w:id="4"/>
      </w:r>
      <w:r w:rsidR="00EB7BFB" w:rsidRPr="00EB7BFB">
        <w:rPr>
          <w:rFonts w:ascii="Arial" w:hAnsi="Arial" w:cs="Arial"/>
        </w:rPr>
        <w:t xml:space="preserve"> </w:t>
      </w:r>
    </w:p>
    <w:p w:rsidR="00655B64" w:rsidRDefault="00655B64" w:rsidP="005D4C9D">
      <w:pPr>
        <w:spacing w:after="0" w:line="360" w:lineRule="auto"/>
        <w:jc w:val="both"/>
        <w:rPr>
          <w:rFonts w:ascii="Arial" w:hAnsi="Arial" w:cs="Arial"/>
          <w:sz w:val="24"/>
          <w:szCs w:val="24"/>
        </w:rPr>
      </w:pPr>
    </w:p>
    <w:p w:rsidR="00090098" w:rsidRDefault="00404461" w:rsidP="00BC6AAE">
      <w:pPr>
        <w:spacing w:line="360" w:lineRule="auto"/>
        <w:jc w:val="both"/>
        <w:rPr>
          <w:rFonts w:ascii="Arial" w:eastAsia="Calibri" w:hAnsi="Arial" w:cs="Arial"/>
          <w:sz w:val="24"/>
          <w:szCs w:val="24"/>
        </w:rPr>
      </w:pPr>
      <w:r>
        <w:rPr>
          <w:rFonts w:ascii="Arial" w:eastAsia="Calibri" w:hAnsi="Arial" w:cs="Arial"/>
          <w:sz w:val="24"/>
          <w:szCs w:val="24"/>
        </w:rPr>
        <w:t>[1</w:t>
      </w:r>
      <w:r w:rsidR="009E6D1E">
        <w:rPr>
          <w:rFonts w:ascii="Arial" w:eastAsia="Calibri" w:hAnsi="Arial" w:cs="Arial"/>
          <w:sz w:val="24"/>
          <w:szCs w:val="24"/>
        </w:rPr>
        <w:t>4</w:t>
      </w:r>
      <w:r w:rsidR="00760807">
        <w:rPr>
          <w:rFonts w:ascii="Arial" w:eastAsia="Calibri" w:hAnsi="Arial" w:cs="Arial"/>
          <w:sz w:val="24"/>
          <w:szCs w:val="24"/>
        </w:rPr>
        <w:t xml:space="preserve">] </w:t>
      </w:r>
      <w:r w:rsidR="00760807">
        <w:rPr>
          <w:rFonts w:ascii="Arial" w:eastAsia="Calibri" w:hAnsi="Arial" w:cs="Arial"/>
          <w:sz w:val="24"/>
          <w:szCs w:val="24"/>
        </w:rPr>
        <w:tab/>
        <w:t>Considering that the appellant in his initial supporting affidavit stated that the crux of the delay was that his rights of appeal w</w:t>
      </w:r>
      <w:r w:rsidR="00293A2C">
        <w:rPr>
          <w:rFonts w:ascii="Arial" w:eastAsia="Calibri" w:hAnsi="Arial" w:cs="Arial"/>
          <w:sz w:val="24"/>
          <w:szCs w:val="24"/>
        </w:rPr>
        <w:t>ere</w:t>
      </w:r>
      <w:r w:rsidR="00760807">
        <w:rPr>
          <w:rFonts w:ascii="Arial" w:eastAsia="Calibri" w:hAnsi="Arial" w:cs="Arial"/>
          <w:sz w:val="24"/>
          <w:szCs w:val="24"/>
        </w:rPr>
        <w:t xml:space="preserve"> not explained</w:t>
      </w:r>
      <w:r w:rsidR="00B61FA6">
        <w:rPr>
          <w:rFonts w:ascii="Arial" w:eastAsia="Calibri" w:hAnsi="Arial" w:cs="Arial"/>
          <w:sz w:val="24"/>
          <w:szCs w:val="24"/>
        </w:rPr>
        <w:t xml:space="preserve">, that </w:t>
      </w:r>
      <w:r w:rsidR="00760807">
        <w:rPr>
          <w:rFonts w:ascii="Arial" w:eastAsia="Calibri" w:hAnsi="Arial" w:cs="Arial"/>
          <w:sz w:val="24"/>
          <w:szCs w:val="24"/>
        </w:rPr>
        <w:t>it does not appear on</w:t>
      </w:r>
      <w:r w:rsidR="00EB7BFB">
        <w:rPr>
          <w:rFonts w:ascii="Arial" w:eastAsia="Calibri" w:hAnsi="Arial" w:cs="Arial"/>
          <w:sz w:val="24"/>
          <w:szCs w:val="24"/>
        </w:rPr>
        <w:t xml:space="preserve"> the </w:t>
      </w:r>
      <w:r w:rsidR="00760807">
        <w:rPr>
          <w:rFonts w:ascii="Arial" w:eastAsia="Calibri" w:hAnsi="Arial" w:cs="Arial"/>
          <w:sz w:val="24"/>
          <w:szCs w:val="24"/>
        </w:rPr>
        <w:t>record</w:t>
      </w:r>
      <w:r w:rsidR="00EB7BFB">
        <w:rPr>
          <w:rFonts w:ascii="Arial" w:eastAsia="Calibri" w:hAnsi="Arial" w:cs="Arial"/>
          <w:sz w:val="24"/>
          <w:szCs w:val="24"/>
        </w:rPr>
        <w:t xml:space="preserve"> of proceedings</w:t>
      </w:r>
      <w:r w:rsidR="0006153D">
        <w:rPr>
          <w:rFonts w:ascii="Arial" w:eastAsia="Calibri" w:hAnsi="Arial" w:cs="Arial"/>
          <w:sz w:val="24"/>
          <w:szCs w:val="24"/>
        </w:rPr>
        <w:t xml:space="preserve"> and that he was a lay</w:t>
      </w:r>
      <w:r w:rsidR="00760807">
        <w:rPr>
          <w:rFonts w:ascii="Arial" w:eastAsia="Calibri" w:hAnsi="Arial" w:cs="Arial"/>
          <w:sz w:val="24"/>
          <w:szCs w:val="24"/>
        </w:rPr>
        <w:t xml:space="preserve">person, compared to the supplementary </w:t>
      </w:r>
      <w:r w:rsidR="00B61FA6">
        <w:rPr>
          <w:rFonts w:ascii="Arial" w:eastAsia="Calibri" w:hAnsi="Arial" w:cs="Arial"/>
          <w:sz w:val="24"/>
          <w:szCs w:val="24"/>
        </w:rPr>
        <w:t>affidavit wherein</w:t>
      </w:r>
      <w:r w:rsidR="00760807">
        <w:rPr>
          <w:rFonts w:ascii="Arial" w:eastAsia="Calibri" w:hAnsi="Arial" w:cs="Arial"/>
          <w:sz w:val="24"/>
          <w:szCs w:val="24"/>
        </w:rPr>
        <w:t xml:space="preserve"> the</w:t>
      </w:r>
      <w:r w:rsidR="00B61FA6">
        <w:rPr>
          <w:rFonts w:ascii="Arial" w:eastAsia="Calibri" w:hAnsi="Arial" w:cs="Arial"/>
          <w:sz w:val="24"/>
          <w:szCs w:val="24"/>
        </w:rPr>
        <w:t xml:space="preserve"> reason for the delay was that he</w:t>
      </w:r>
      <w:r w:rsidR="00760807">
        <w:rPr>
          <w:rFonts w:ascii="Arial" w:eastAsia="Calibri" w:hAnsi="Arial" w:cs="Arial"/>
          <w:sz w:val="24"/>
          <w:szCs w:val="24"/>
        </w:rPr>
        <w:t xml:space="preserve"> lack</w:t>
      </w:r>
      <w:r w:rsidR="00B61FA6">
        <w:rPr>
          <w:rFonts w:ascii="Arial" w:eastAsia="Calibri" w:hAnsi="Arial" w:cs="Arial"/>
          <w:sz w:val="24"/>
          <w:szCs w:val="24"/>
        </w:rPr>
        <w:t>ed</w:t>
      </w:r>
      <w:r w:rsidR="00760807">
        <w:rPr>
          <w:rFonts w:ascii="Arial" w:eastAsia="Calibri" w:hAnsi="Arial" w:cs="Arial"/>
          <w:sz w:val="24"/>
          <w:szCs w:val="24"/>
        </w:rPr>
        <w:t xml:space="preserve"> funds and a delay</w:t>
      </w:r>
      <w:r w:rsidR="00B61FA6">
        <w:rPr>
          <w:rFonts w:ascii="Arial" w:eastAsia="Calibri" w:hAnsi="Arial" w:cs="Arial"/>
          <w:sz w:val="24"/>
          <w:szCs w:val="24"/>
        </w:rPr>
        <w:t xml:space="preserve"> by the Legal Aid Directorate</w:t>
      </w:r>
      <w:r w:rsidR="00EB7BFB">
        <w:rPr>
          <w:rFonts w:ascii="Arial" w:eastAsia="Calibri" w:hAnsi="Arial" w:cs="Arial"/>
          <w:sz w:val="24"/>
          <w:szCs w:val="24"/>
        </w:rPr>
        <w:t xml:space="preserve"> on his applications for legal aid</w:t>
      </w:r>
      <w:r w:rsidR="00B61FA6">
        <w:rPr>
          <w:rFonts w:ascii="Arial" w:eastAsia="Calibri" w:hAnsi="Arial" w:cs="Arial"/>
          <w:sz w:val="24"/>
          <w:szCs w:val="24"/>
        </w:rPr>
        <w:t>, the explanations</w:t>
      </w:r>
      <w:r w:rsidR="00C075AE">
        <w:rPr>
          <w:rFonts w:ascii="Arial" w:eastAsia="Calibri" w:hAnsi="Arial" w:cs="Arial"/>
          <w:sz w:val="24"/>
          <w:szCs w:val="24"/>
        </w:rPr>
        <w:t xml:space="preserve"> are</w:t>
      </w:r>
      <w:r w:rsidR="00B61FA6">
        <w:rPr>
          <w:rFonts w:ascii="Arial" w:eastAsia="Calibri" w:hAnsi="Arial" w:cs="Arial"/>
          <w:sz w:val="24"/>
          <w:szCs w:val="24"/>
        </w:rPr>
        <w:t xml:space="preserve"> </w:t>
      </w:r>
      <w:r w:rsidR="002E1BFE">
        <w:rPr>
          <w:rFonts w:ascii="Arial" w:eastAsia="Calibri" w:hAnsi="Arial" w:cs="Arial"/>
          <w:sz w:val="24"/>
          <w:szCs w:val="24"/>
        </w:rPr>
        <w:t>contradicting</w:t>
      </w:r>
      <w:r w:rsidR="00B76746">
        <w:rPr>
          <w:rFonts w:ascii="Arial" w:eastAsia="Calibri" w:hAnsi="Arial" w:cs="Arial"/>
          <w:sz w:val="24"/>
          <w:szCs w:val="24"/>
        </w:rPr>
        <w:t xml:space="preserve"> and </w:t>
      </w:r>
      <w:r w:rsidR="002E1BFE">
        <w:rPr>
          <w:rFonts w:ascii="Arial" w:eastAsia="Calibri" w:hAnsi="Arial" w:cs="Arial"/>
          <w:sz w:val="24"/>
          <w:szCs w:val="24"/>
        </w:rPr>
        <w:t>un</w:t>
      </w:r>
      <w:r w:rsidR="00B76746">
        <w:rPr>
          <w:rFonts w:ascii="Arial" w:eastAsia="Calibri" w:hAnsi="Arial" w:cs="Arial"/>
          <w:sz w:val="24"/>
          <w:szCs w:val="24"/>
        </w:rPr>
        <w:t>convincing</w:t>
      </w:r>
      <w:r w:rsidR="00B61FA6">
        <w:rPr>
          <w:rFonts w:ascii="Arial" w:eastAsia="Calibri" w:hAnsi="Arial" w:cs="Arial"/>
          <w:sz w:val="24"/>
          <w:szCs w:val="24"/>
        </w:rPr>
        <w:t>. It appears that he was aware of his rights to appeal and to apply for condonation</w:t>
      </w:r>
      <w:r w:rsidR="005E4F4B">
        <w:rPr>
          <w:rFonts w:ascii="Arial" w:eastAsia="Calibri" w:hAnsi="Arial" w:cs="Arial"/>
          <w:sz w:val="24"/>
          <w:szCs w:val="24"/>
        </w:rPr>
        <w:t xml:space="preserve"> even</w:t>
      </w:r>
      <w:r w:rsidR="00B61FA6">
        <w:rPr>
          <w:rFonts w:ascii="Arial" w:eastAsia="Calibri" w:hAnsi="Arial" w:cs="Arial"/>
          <w:sz w:val="24"/>
          <w:szCs w:val="24"/>
        </w:rPr>
        <w:t xml:space="preserve"> before he was advised</w:t>
      </w:r>
      <w:r w:rsidR="00293A2C">
        <w:rPr>
          <w:rFonts w:ascii="Arial" w:eastAsia="Calibri" w:hAnsi="Arial" w:cs="Arial"/>
          <w:sz w:val="24"/>
          <w:szCs w:val="24"/>
        </w:rPr>
        <w:t xml:space="preserve"> by</w:t>
      </w:r>
      <w:r w:rsidR="00B61FA6">
        <w:rPr>
          <w:rFonts w:ascii="Arial" w:eastAsia="Calibri" w:hAnsi="Arial" w:cs="Arial"/>
          <w:sz w:val="24"/>
          <w:szCs w:val="24"/>
        </w:rPr>
        <w:t xml:space="preserve"> </w:t>
      </w:r>
      <w:r w:rsidR="002E1BFE">
        <w:rPr>
          <w:rFonts w:ascii="Arial" w:eastAsia="Calibri" w:hAnsi="Arial" w:cs="Arial"/>
          <w:sz w:val="24"/>
          <w:szCs w:val="24"/>
        </w:rPr>
        <w:t>his current</w:t>
      </w:r>
      <w:r w:rsidR="00B61FA6">
        <w:rPr>
          <w:rFonts w:ascii="Arial" w:eastAsia="Calibri" w:hAnsi="Arial" w:cs="Arial"/>
          <w:sz w:val="24"/>
          <w:szCs w:val="24"/>
        </w:rPr>
        <w:t xml:space="preserve"> legal representative in September 2022.</w:t>
      </w:r>
      <w:r w:rsidR="001C422A">
        <w:rPr>
          <w:rFonts w:ascii="Arial" w:eastAsia="Calibri" w:hAnsi="Arial" w:cs="Arial"/>
          <w:sz w:val="24"/>
          <w:szCs w:val="24"/>
        </w:rPr>
        <w:t xml:space="preserve"> The reasons advanced in the supplementary </w:t>
      </w:r>
      <w:r w:rsidR="00293A2C">
        <w:rPr>
          <w:rFonts w:ascii="Arial" w:eastAsia="Calibri" w:hAnsi="Arial" w:cs="Arial"/>
          <w:sz w:val="24"/>
          <w:szCs w:val="24"/>
        </w:rPr>
        <w:t>affidavit</w:t>
      </w:r>
      <w:r w:rsidR="001F2F1C">
        <w:rPr>
          <w:rFonts w:ascii="Arial" w:eastAsia="Calibri" w:hAnsi="Arial" w:cs="Arial"/>
          <w:sz w:val="24"/>
          <w:szCs w:val="24"/>
        </w:rPr>
        <w:t xml:space="preserve"> therefore</w:t>
      </w:r>
      <w:r w:rsidR="001C422A">
        <w:rPr>
          <w:rFonts w:ascii="Arial" w:eastAsia="Calibri" w:hAnsi="Arial" w:cs="Arial"/>
          <w:sz w:val="24"/>
          <w:szCs w:val="24"/>
        </w:rPr>
        <w:t xml:space="preserve"> appear to be afterthoughts.</w:t>
      </w:r>
    </w:p>
    <w:p w:rsidR="00DD5D29" w:rsidRDefault="009E6D1E" w:rsidP="001A6A0C">
      <w:pPr>
        <w:spacing w:after="0" w:line="360" w:lineRule="auto"/>
        <w:jc w:val="both"/>
        <w:rPr>
          <w:rFonts w:ascii="Arial" w:eastAsia="Calibri" w:hAnsi="Arial" w:cs="Arial"/>
          <w:sz w:val="24"/>
          <w:szCs w:val="24"/>
        </w:rPr>
      </w:pPr>
      <w:r>
        <w:rPr>
          <w:rFonts w:ascii="Arial" w:eastAsia="Calibri" w:hAnsi="Arial" w:cs="Arial"/>
          <w:sz w:val="24"/>
          <w:szCs w:val="24"/>
        </w:rPr>
        <w:t>[15</w:t>
      </w:r>
      <w:r w:rsidR="00404461">
        <w:rPr>
          <w:rFonts w:ascii="Arial" w:eastAsia="Calibri" w:hAnsi="Arial" w:cs="Arial"/>
          <w:sz w:val="24"/>
          <w:szCs w:val="24"/>
        </w:rPr>
        <w:t>]</w:t>
      </w:r>
      <w:r w:rsidR="00404461">
        <w:rPr>
          <w:rFonts w:ascii="Arial" w:eastAsia="Calibri" w:hAnsi="Arial" w:cs="Arial"/>
          <w:sz w:val="24"/>
          <w:szCs w:val="24"/>
        </w:rPr>
        <w:tab/>
      </w:r>
      <w:r w:rsidR="00B76746">
        <w:rPr>
          <w:rFonts w:ascii="Arial" w:eastAsia="Calibri" w:hAnsi="Arial" w:cs="Arial"/>
          <w:sz w:val="24"/>
          <w:szCs w:val="24"/>
        </w:rPr>
        <w:t>In the circumstances, the appellant has failed on the first leg of his application to provide a reasonable and acceptable explanation.</w:t>
      </w:r>
      <w:r w:rsidR="00CB521E">
        <w:rPr>
          <w:rFonts w:ascii="Arial" w:hAnsi="Arial" w:cs="Arial"/>
          <w:sz w:val="24"/>
          <w:szCs w:val="24"/>
        </w:rPr>
        <w:t xml:space="preserve"> In an application for condonation the court will not sympathize with an untruthful applicant, and </w:t>
      </w:r>
      <w:r w:rsidR="00293A2C">
        <w:rPr>
          <w:rFonts w:ascii="Arial" w:hAnsi="Arial" w:cs="Arial"/>
          <w:sz w:val="24"/>
          <w:szCs w:val="24"/>
        </w:rPr>
        <w:t>the</w:t>
      </w:r>
      <w:r w:rsidR="00CB521E">
        <w:rPr>
          <w:rFonts w:ascii="Arial" w:hAnsi="Arial" w:cs="Arial"/>
          <w:sz w:val="24"/>
          <w:szCs w:val="24"/>
        </w:rPr>
        <w:t xml:space="preserve"> applicant bears the onus of providing a reasonable and satisfactory explanation.</w:t>
      </w:r>
      <w:r w:rsidR="00CB521E">
        <w:rPr>
          <w:rFonts w:ascii="Arial" w:eastAsia="Calibri" w:hAnsi="Arial" w:cs="Arial"/>
          <w:sz w:val="24"/>
          <w:szCs w:val="24"/>
        </w:rPr>
        <w:t xml:space="preserve"> </w:t>
      </w:r>
      <w:r w:rsidR="00293A2C">
        <w:rPr>
          <w:rFonts w:ascii="Arial" w:hAnsi="Arial" w:cs="Arial"/>
          <w:sz w:val="24"/>
          <w:szCs w:val="24"/>
        </w:rPr>
        <w:t xml:space="preserve">We are </w:t>
      </w:r>
      <w:r w:rsidR="00B76746">
        <w:rPr>
          <w:rFonts w:ascii="Arial" w:hAnsi="Arial" w:cs="Arial"/>
          <w:sz w:val="24"/>
          <w:szCs w:val="24"/>
        </w:rPr>
        <w:t>of the view that</w:t>
      </w:r>
      <w:r w:rsidR="00293A2C">
        <w:rPr>
          <w:rFonts w:ascii="Arial" w:hAnsi="Arial" w:cs="Arial"/>
          <w:sz w:val="24"/>
          <w:szCs w:val="24"/>
        </w:rPr>
        <w:t>,</w:t>
      </w:r>
      <w:r w:rsidR="00B76746">
        <w:rPr>
          <w:rFonts w:ascii="Arial" w:hAnsi="Arial" w:cs="Arial"/>
          <w:sz w:val="24"/>
          <w:szCs w:val="24"/>
        </w:rPr>
        <w:t xml:space="preserve"> in this particular application for condonation</w:t>
      </w:r>
      <w:r w:rsidR="00293A2C">
        <w:rPr>
          <w:rFonts w:ascii="Arial" w:hAnsi="Arial" w:cs="Arial"/>
          <w:sz w:val="24"/>
          <w:szCs w:val="24"/>
        </w:rPr>
        <w:t>,</w:t>
      </w:r>
      <w:r w:rsidR="00B76746">
        <w:rPr>
          <w:rFonts w:ascii="Arial" w:hAnsi="Arial" w:cs="Arial"/>
          <w:sz w:val="24"/>
          <w:szCs w:val="24"/>
        </w:rPr>
        <w:t xml:space="preserve"> the appellant was not </w:t>
      </w:r>
      <w:r w:rsidR="00B76746">
        <w:rPr>
          <w:rFonts w:ascii="Arial" w:hAnsi="Arial" w:cs="Arial"/>
          <w:i/>
          <w:sz w:val="24"/>
          <w:szCs w:val="24"/>
        </w:rPr>
        <w:t xml:space="preserve">bona fide </w:t>
      </w:r>
      <w:r w:rsidR="00293A2C">
        <w:rPr>
          <w:rFonts w:ascii="Arial" w:hAnsi="Arial" w:cs="Arial"/>
          <w:sz w:val="24"/>
          <w:szCs w:val="24"/>
        </w:rPr>
        <w:t>i</w:t>
      </w:r>
      <w:r w:rsidR="00B76746" w:rsidRPr="00B76746">
        <w:rPr>
          <w:rFonts w:ascii="Arial" w:hAnsi="Arial" w:cs="Arial"/>
          <w:sz w:val="24"/>
          <w:szCs w:val="24"/>
        </w:rPr>
        <w:t>n his explanation for the delay</w:t>
      </w:r>
      <w:r w:rsidR="009C5EB1">
        <w:rPr>
          <w:rFonts w:ascii="Arial" w:hAnsi="Arial" w:cs="Arial"/>
          <w:sz w:val="24"/>
          <w:szCs w:val="24"/>
        </w:rPr>
        <w:t>.</w:t>
      </w:r>
      <w:r w:rsidR="00B76746">
        <w:rPr>
          <w:rFonts w:ascii="Arial" w:hAnsi="Arial" w:cs="Arial"/>
          <w:sz w:val="24"/>
          <w:szCs w:val="24"/>
        </w:rPr>
        <w:t xml:space="preserve"> </w:t>
      </w:r>
      <w:r w:rsidR="002E1BFE">
        <w:rPr>
          <w:rFonts w:ascii="Arial" w:hAnsi="Arial" w:cs="Arial"/>
          <w:sz w:val="24"/>
          <w:szCs w:val="24"/>
        </w:rPr>
        <w:t>I</w:t>
      </w:r>
      <w:r w:rsidR="009C5EB1">
        <w:rPr>
          <w:rFonts w:ascii="Arial" w:hAnsi="Arial" w:cs="Arial"/>
          <w:sz w:val="24"/>
          <w:szCs w:val="24"/>
        </w:rPr>
        <w:t xml:space="preserve">n view of what was stated in </w:t>
      </w:r>
      <w:r w:rsidR="009C5EB1" w:rsidRPr="005526E8">
        <w:rPr>
          <w:rFonts w:ascii="Arial" w:eastAsia="Calibri" w:hAnsi="Arial" w:cs="Arial"/>
          <w:i/>
          <w:iCs/>
          <w:sz w:val="24"/>
          <w:szCs w:val="24"/>
        </w:rPr>
        <w:t xml:space="preserve">S v </w:t>
      </w:r>
      <w:proofErr w:type="spellStart"/>
      <w:r w:rsidR="009C5EB1" w:rsidRPr="005526E8">
        <w:rPr>
          <w:rFonts w:ascii="Arial" w:eastAsia="Calibri" w:hAnsi="Arial" w:cs="Arial"/>
          <w:i/>
          <w:iCs/>
          <w:sz w:val="24"/>
          <w:szCs w:val="24"/>
        </w:rPr>
        <w:t>Nakapela</w:t>
      </w:r>
      <w:proofErr w:type="spellEnd"/>
      <w:r w:rsidR="009C5EB1" w:rsidRPr="005526E8">
        <w:rPr>
          <w:rFonts w:ascii="Arial" w:eastAsia="Calibri" w:hAnsi="Arial" w:cs="Arial"/>
          <w:i/>
          <w:iCs/>
          <w:sz w:val="24"/>
          <w:szCs w:val="24"/>
        </w:rPr>
        <w:t xml:space="preserve"> and another</w:t>
      </w:r>
      <w:r w:rsidR="0006153D">
        <w:rPr>
          <w:rFonts w:ascii="Arial" w:eastAsia="Calibri" w:hAnsi="Arial" w:cs="Arial"/>
          <w:i/>
          <w:iCs/>
          <w:sz w:val="24"/>
          <w:szCs w:val="24"/>
        </w:rPr>
        <w:t>,</w:t>
      </w:r>
      <w:r w:rsidR="009C5EB1">
        <w:rPr>
          <w:rStyle w:val="FootnoteReference"/>
          <w:rFonts w:ascii="Arial" w:eastAsia="Calibri" w:hAnsi="Arial" w:cs="Arial"/>
          <w:i/>
          <w:iCs/>
          <w:sz w:val="24"/>
          <w:szCs w:val="24"/>
        </w:rPr>
        <w:footnoteReference w:id="5"/>
      </w:r>
      <w:r w:rsidR="0006153D">
        <w:rPr>
          <w:rFonts w:ascii="Arial" w:eastAsia="Calibri" w:hAnsi="Arial" w:cs="Arial"/>
          <w:i/>
          <w:iCs/>
          <w:sz w:val="24"/>
          <w:szCs w:val="24"/>
        </w:rPr>
        <w:t xml:space="preserve"> </w:t>
      </w:r>
      <w:r w:rsidR="00FE351A">
        <w:rPr>
          <w:rFonts w:ascii="Arial" w:eastAsia="Calibri" w:hAnsi="Arial" w:cs="Arial"/>
          <w:iCs/>
          <w:sz w:val="24"/>
          <w:szCs w:val="24"/>
        </w:rPr>
        <w:t>the</w:t>
      </w:r>
      <w:r w:rsidR="001A6A0C" w:rsidRPr="00DD5D29">
        <w:rPr>
          <w:rFonts w:ascii="Arial" w:eastAsia="Calibri" w:hAnsi="Arial" w:cs="Arial"/>
          <w:sz w:val="24"/>
          <w:szCs w:val="24"/>
        </w:rPr>
        <w:t xml:space="preserve"> </w:t>
      </w:r>
      <w:r w:rsidR="00FE351A">
        <w:rPr>
          <w:rFonts w:ascii="Arial" w:eastAsia="Calibri" w:hAnsi="Arial" w:cs="Arial"/>
          <w:sz w:val="24"/>
          <w:szCs w:val="24"/>
        </w:rPr>
        <w:t>condonation application is bound to fail.</w:t>
      </w:r>
    </w:p>
    <w:p w:rsidR="008B3D67" w:rsidRDefault="008B3D67" w:rsidP="001A6A0C">
      <w:pPr>
        <w:spacing w:after="0" w:line="360" w:lineRule="auto"/>
        <w:jc w:val="both"/>
        <w:rPr>
          <w:rFonts w:ascii="Arial" w:eastAsia="Calibri" w:hAnsi="Arial" w:cs="Arial"/>
          <w:sz w:val="24"/>
          <w:szCs w:val="24"/>
        </w:rPr>
      </w:pPr>
    </w:p>
    <w:p w:rsidR="008B3D67" w:rsidRDefault="008B3D67" w:rsidP="001A6A0C">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proofErr w:type="gramStart"/>
      <w:r w:rsidR="00FE351A">
        <w:rPr>
          <w:rFonts w:ascii="Arial" w:eastAsia="Calibri" w:hAnsi="Arial" w:cs="Arial"/>
          <w:sz w:val="24"/>
          <w:szCs w:val="24"/>
        </w:rPr>
        <w:t>Notwithstanding</w:t>
      </w:r>
      <w:proofErr w:type="gramEnd"/>
      <w:r w:rsidR="00FE351A">
        <w:rPr>
          <w:rFonts w:ascii="Arial" w:eastAsia="Calibri" w:hAnsi="Arial" w:cs="Arial"/>
          <w:sz w:val="24"/>
          <w:szCs w:val="24"/>
        </w:rPr>
        <w:t>, t</w:t>
      </w:r>
      <w:r>
        <w:rPr>
          <w:rFonts w:ascii="Arial" w:eastAsia="Calibri" w:hAnsi="Arial" w:cs="Arial"/>
          <w:sz w:val="24"/>
          <w:szCs w:val="24"/>
        </w:rPr>
        <w:t xml:space="preserve">he Supreme Court stated </w:t>
      </w:r>
      <w:r w:rsidR="003D0A7C">
        <w:rPr>
          <w:rFonts w:ascii="Arial" w:eastAsia="Calibri" w:hAnsi="Arial" w:cs="Arial"/>
          <w:sz w:val="24"/>
          <w:szCs w:val="24"/>
        </w:rPr>
        <w:t xml:space="preserve">amongst others </w:t>
      </w:r>
      <w:r>
        <w:rPr>
          <w:rFonts w:ascii="Arial" w:eastAsia="Calibri" w:hAnsi="Arial" w:cs="Arial"/>
          <w:sz w:val="24"/>
          <w:szCs w:val="24"/>
        </w:rPr>
        <w:t xml:space="preserve">the following in </w:t>
      </w:r>
      <w:r w:rsidRPr="008B3D67">
        <w:rPr>
          <w:rFonts w:ascii="Arial" w:eastAsia="Calibri" w:hAnsi="Arial" w:cs="Arial"/>
          <w:i/>
          <w:sz w:val="24"/>
          <w:szCs w:val="24"/>
        </w:rPr>
        <w:t xml:space="preserve">S v </w:t>
      </w:r>
      <w:proofErr w:type="spellStart"/>
      <w:r w:rsidRPr="008B3D67">
        <w:rPr>
          <w:rFonts w:ascii="Arial" w:eastAsia="Calibri" w:hAnsi="Arial" w:cs="Arial"/>
          <w:i/>
          <w:sz w:val="24"/>
          <w:szCs w:val="24"/>
        </w:rPr>
        <w:t>Likoro</w:t>
      </w:r>
      <w:proofErr w:type="spellEnd"/>
      <w:r w:rsidR="00293A2C">
        <w:rPr>
          <w:rStyle w:val="FootnoteReference"/>
          <w:rFonts w:ascii="Arial" w:eastAsia="Calibri" w:hAnsi="Arial" w:cs="Arial"/>
          <w:i/>
          <w:sz w:val="24"/>
          <w:szCs w:val="24"/>
        </w:rPr>
        <w:footnoteReference w:id="6"/>
      </w:r>
      <w:r w:rsidR="00293A2C">
        <w:rPr>
          <w:rFonts w:ascii="Arial" w:eastAsia="Calibri" w:hAnsi="Arial" w:cs="Arial"/>
          <w:sz w:val="24"/>
          <w:szCs w:val="24"/>
        </w:rPr>
        <w:t>:</w:t>
      </w:r>
    </w:p>
    <w:p w:rsidR="008B3D67" w:rsidRDefault="008B3D67" w:rsidP="001A6A0C">
      <w:pPr>
        <w:spacing w:after="0" w:line="360" w:lineRule="auto"/>
        <w:jc w:val="both"/>
        <w:rPr>
          <w:rFonts w:ascii="Arial" w:eastAsia="Calibri" w:hAnsi="Arial" w:cs="Arial"/>
          <w:sz w:val="24"/>
          <w:szCs w:val="24"/>
        </w:rPr>
      </w:pPr>
    </w:p>
    <w:p w:rsidR="00293A2C" w:rsidRDefault="003D0A7C" w:rsidP="00293A2C">
      <w:pPr>
        <w:pStyle w:val="NoSpacing"/>
        <w:spacing w:line="480" w:lineRule="auto"/>
        <w:ind w:firstLine="720"/>
        <w:jc w:val="both"/>
        <w:rPr>
          <w:rFonts w:ascii="Arial" w:hAnsi="Arial" w:cs="Arial"/>
        </w:rPr>
      </w:pPr>
      <w:r>
        <w:rPr>
          <w:rFonts w:ascii="Arial" w:hAnsi="Arial" w:cs="Arial"/>
        </w:rPr>
        <w:t>‘</w:t>
      </w:r>
      <w:r w:rsidR="008B3D67" w:rsidRPr="008B3D67">
        <w:rPr>
          <w:rFonts w:ascii="Arial" w:hAnsi="Arial" w:cs="Arial"/>
        </w:rPr>
        <w:t xml:space="preserve">Considering the prospects of success on the merits is part of an overarching exercise to determine whether the court will exercise its discretion in favour of the applicant or not, and, as </w:t>
      </w:r>
      <w:r w:rsidR="008B3D67" w:rsidRPr="008B3D67">
        <w:rPr>
          <w:rFonts w:ascii="Arial" w:hAnsi="Arial" w:cs="Arial"/>
        </w:rPr>
        <w:lastRenderedPageBreak/>
        <w:t xml:space="preserve">was stated in </w:t>
      </w:r>
      <w:proofErr w:type="spellStart"/>
      <w:r w:rsidR="008B3D67" w:rsidRPr="008B3D67">
        <w:rPr>
          <w:rFonts w:ascii="Arial" w:hAnsi="Arial" w:cs="Arial"/>
          <w:i/>
        </w:rPr>
        <w:t>Arubertus</w:t>
      </w:r>
      <w:proofErr w:type="spellEnd"/>
      <w:r w:rsidR="008B3D67" w:rsidRPr="008B3D67">
        <w:rPr>
          <w:rFonts w:ascii="Arial" w:hAnsi="Arial" w:cs="Arial"/>
        </w:rPr>
        <w:t xml:space="preserve"> (</w:t>
      </w:r>
      <w:r w:rsidR="008B3D67" w:rsidRPr="008B3D67">
        <w:rPr>
          <w:rFonts w:ascii="Arial" w:hAnsi="Arial" w:cs="Arial"/>
          <w:i/>
        </w:rPr>
        <w:t>supra</w:t>
      </w:r>
      <w:r w:rsidR="008B3D67" w:rsidRPr="008B3D67">
        <w:rPr>
          <w:rFonts w:ascii="Arial" w:hAnsi="Arial" w:cs="Arial"/>
        </w:rPr>
        <w:t>), prospects of success on appeal always form part of the consideration whether to grant condonation or to refuse it.</w:t>
      </w:r>
      <w:r>
        <w:rPr>
          <w:rFonts w:ascii="Arial" w:hAnsi="Arial" w:cs="Arial"/>
        </w:rPr>
        <w:t>’</w:t>
      </w:r>
    </w:p>
    <w:p w:rsidR="008B3D67" w:rsidRPr="003D0A7C" w:rsidRDefault="00FB7A13" w:rsidP="003D0A7C">
      <w:pPr>
        <w:pStyle w:val="NoSpacing"/>
        <w:spacing w:line="480" w:lineRule="auto"/>
        <w:jc w:val="both"/>
        <w:rPr>
          <w:rFonts w:ascii="Arial" w:hAnsi="Arial" w:cs="Arial"/>
          <w:sz w:val="24"/>
          <w:szCs w:val="24"/>
        </w:rPr>
      </w:pPr>
      <w:r>
        <w:rPr>
          <w:rFonts w:ascii="Arial" w:hAnsi="Arial" w:cs="Arial"/>
          <w:sz w:val="24"/>
          <w:szCs w:val="24"/>
        </w:rPr>
        <w:t xml:space="preserve">Consequently, </w:t>
      </w:r>
      <w:r w:rsidR="00FE351A">
        <w:rPr>
          <w:rFonts w:ascii="Arial" w:hAnsi="Arial" w:cs="Arial"/>
          <w:sz w:val="24"/>
          <w:szCs w:val="24"/>
        </w:rPr>
        <w:t>I turn to consider</w:t>
      </w:r>
      <w:r w:rsidR="003D0A7C" w:rsidRPr="003D0A7C">
        <w:rPr>
          <w:rFonts w:ascii="Arial" w:hAnsi="Arial" w:cs="Arial"/>
          <w:sz w:val="24"/>
          <w:szCs w:val="24"/>
        </w:rPr>
        <w:t xml:space="preserve"> the prospects of success </w:t>
      </w:r>
      <w:r w:rsidR="00FE351A">
        <w:rPr>
          <w:rFonts w:ascii="Arial" w:hAnsi="Arial" w:cs="Arial"/>
          <w:sz w:val="24"/>
          <w:szCs w:val="24"/>
        </w:rPr>
        <w:t>on</w:t>
      </w:r>
      <w:r w:rsidR="003D0A7C" w:rsidRPr="003D0A7C">
        <w:rPr>
          <w:rFonts w:ascii="Arial" w:hAnsi="Arial" w:cs="Arial"/>
          <w:sz w:val="24"/>
          <w:szCs w:val="24"/>
        </w:rPr>
        <w:t xml:space="preserve"> appeal</w:t>
      </w:r>
      <w:r w:rsidR="00FE351A">
        <w:rPr>
          <w:rFonts w:ascii="Arial" w:hAnsi="Arial" w:cs="Arial"/>
          <w:sz w:val="24"/>
          <w:szCs w:val="24"/>
        </w:rPr>
        <w:t>.</w:t>
      </w:r>
      <w:r w:rsidR="002F24BE">
        <w:rPr>
          <w:rFonts w:ascii="Arial" w:hAnsi="Arial" w:cs="Arial"/>
          <w:sz w:val="24"/>
          <w:szCs w:val="24"/>
        </w:rPr>
        <w:t xml:space="preserve"> </w:t>
      </w:r>
    </w:p>
    <w:p w:rsidR="009E6D1E" w:rsidRPr="00AC4428" w:rsidRDefault="009E6D1E" w:rsidP="009E6D1E">
      <w:pPr>
        <w:spacing w:line="360" w:lineRule="auto"/>
        <w:jc w:val="both"/>
        <w:rPr>
          <w:rFonts w:ascii="Arial" w:eastAsia="Calibri" w:hAnsi="Arial" w:cs="Arial"/>
          <w:sz w:val="24"/>
          <w:szCs w:val="24"/>
          <w:u w:val="single"/>
        </w:rPr>
      </w:pPr>
      <w:r w:rsidRPr="00AC4428">
        <w:rPr>
          <w:rFonts w:ascii="Arial" w:eastAsia="Calibri" w:hAnsi="Arial" w:cs="Arial"/>
          <w:sz w:val="24"/>
          <w:szCs w:val="24"/>
          <w:u w:val="single"/>
        </w:rPr>
        <w:t xml:space="preserve">Prospects of success </w:t>
      </w:r>
    </w:p>
    <w:p w:rsidR="009E6D1E" w:rsidRDefault="004260FC" w:rsidP="009E6D1E">
      <w:pPr>
        <w:spacing w:line="360" w:lineRule="auto"/>
        <w:jc w:val="both"/>
        <w:rPr>
          <w:rFonts w:ascii="Arial" w:eastAsia="Calibri" w:hAnsi="Arial" w:cs="Arial"/>
          <w:sz w:val="24"/>
          <w:szCs w:val="24"/>
        </w:rPr>
      </w:pPr>
      <w:r>
        <w:rPr>
          <w:rFonts w:ascii="Arial" w:eastAsia="Calibri" w:hAnsi="Arial" w:cs="Arial"/>
          <w:sz w:val="24"/>
          <w:szCs w:val="24"/>
        </w:rPr>
        <w:t>[17</w:t>
      </w:r>
      <w:r w:rsidR="009E6D1E">
        <w:rPr>
          <w:rFonts w:ascii="Arial" w:eastAsia="Calibri" w:hAnsi="Arial" w:cs="Arial"/>
          <w:sz w:val="24"/>
          <w:szCs w:val="24"/>
        </w:rPr>
        <w:t>]</w:t>
      </w:r>
      <w:r w:rsidR="009E6D1E">
        <w:rPr>
          <w:rFonts w:ascii="Arial" w:eastAsia="Calibri" w:hAnsi="Arial" w:cs="Arial"/>
          <w:sz w:val="24"/>
          <w:szCs w:val="24"/>
        </w:rPr>
        <w:tab/>
        <w:t xml:space="preserve"> The appellant submitted that he has good prospects of success on appeal b</w:t>
      </w:r>
      <w:r w:rsidR="00293A2C">
        <w:rPr>
          <w:rFonts w:ascii="Arial" w:eastAsia="Calibri" w:hAnsi="Arial" w:cs="Arial"/>
          <w:sz w:val="24"/>
          <w:szCs w:val="24"/>
        </w:rPr>
        <w:t xml:space="preserve">ecause the sentences are harsh and </w:t>
      </w:r>
      <w:r w:rsidR="009E6D1E">
        <w:rPr>
          <w:rFonts w:ascii="Arial" w:eastAsia="Calibri" w:hAnsi="Arial" w:cs="Arial"/>
          <w:sz w:val="24"/>
          <w:szCs w:val="24"/>
        </w:rPr>
        <w:t>inconsistent with sentences in comparable</w:t>
      </w:r>
      <w:r w:rsidR="009378D7">
        <w:rPr>
          <w:rFonts w:ascii="Arial" w:eastAsia="Calibri" w:hAnsi="Arial" w:cs="Arial"/>
          <w:sz w:val="24"/>
          <w:szCs w:val="24"/>
        </w:rPr>
        <w:t xml:space="preserve"> cases</w:t>
      </w:r>
      <w:r w:rsidR="009E6D1E">
        <w:rPr>
          <w:rFonts w:ascii="Arial" w:eastAsia="Calibri" w:hAnsi="Arial" w:cs="Arial"/>
          <w:sz w:val="24"/>
          <w:szCs w:val="24"/>
        </w:rPr>
        <w:t xml:space="preserve"> and in similar circumstances. In addition, he stated that th</w:t>
      </w:r>
      <w:r w:rsidR="00FE351A">
        <w:rPr>
          <w:rFonts w:ascii="Arial" w:eastAsia="Calibri" w:hAnsi="Arial" w:cs="Arial"/>
          <w:sz w:val="24"/>
          <w:szCs w:val="24"/>
        </w:rPr>
        <w:t>e Magistrate did not consider imposing</w:t>
      </w:r>
      <w:r w:rsidR="009E6D1E">
        <w:rPr>
          <w:rFonts w:ascii="Arial" w:eastAsia="Calibri" w:hAnsi="Arial" w:cs="Arial"/>
          <w:sz w:val="24"/>
          <w:szCs w:val="24"/>
        </w:rPr>
        <w:t xml:space="preserve"> a fine in relation to the conviction of assault with intent to cause grievous bodily harm as was suggested by the defense and the prosecution.</w:t>
      </w:r>
    </w:p>
    <w:p w:rsidR="009E6D1E" w:rsidRDefault="004260FC" w:rsidP="009E6D1E">
      <w:pPr>
        <w:spacing w:line="360" w:lineRule="auto"/>
        <w:jc w:val="both"/>
        <w:rPr>
          <w:rFonts w:ascii="Arial" w:eastAsia="Calibri" w:hAnsi="Arial" w:cs="Arial"/>
          <w:sz w:val="24"/>
          <w:szCs w:val="24"/>
        </w:rPr>
      </w:pPr>
      <w:r>
        <w:rPr>
          <w:rFonts w:ascii="Arial" w:eastAsia="Calibri" w:hAnsi="Arial" w:cs="Arial"/>
          <w:sz w:val="24"/>
          <w:szCs w:val="24"/>
        </w:rPr>
        <w:t>[18</w:t>
      </w:r>
      <w:r w:rsidR="009E6D1E">
        <w:rPr>
          <w:rFonts w:ascii="Arial" w:eastAsia="Calibri" w:hAnsi="Arial" w:cs="Arial"/>
          <w:sz w:val="24"/>
          <w:szCs w:val="24"/>
        </w:rPr>
        <w:t>]</w:t>
      </w:r>
      <w:r w:rsidR="009E6D1E">
        <w:rPr>
          <w:rFonts w:ascii="Arial" w:eastAsia="Calibri" w:hAnsi="Arial" w:cs="Arial"/>
          <w:sz w:val="24"/>
          <w:szCs w:val="24"/>
        </w:rPr>
        <w:tab/>
        <w:t>The judgment on sentencing reflects that the Magistrate properly considered the evidence tendered in mitigatio</w:t>
      </w:r>
      <w:r w:rsidR="00FE351A">
        <w:rPr>
          <w:rFonts w:ascii="Arial" w:eastAsia="Calibri" w:hAnsi="Arial" w:cs="Arial"/>
          <w:sz w:val="24"/>
          <w:szCs w:val="24"/>
        </w:rPr>
        <w:t xml:space="preserve">n, </w:t>
      </w:r>
      <w:r w:rsidR="009E6D1E">
        <w:rPr>
          <w:rFonts w:ascii="Arial" w:eastAsia="Calibri" w:hAnsi="Arial" w:cs="Arial"/>
          <w:sz w:val="24"/>
          <w:szCs w:val="24"/>
        </w:rPr>
        <w:t xml:space="preserve">aggravation </w:t>
      </w:r>
      <w:r w:rsidR="00FE351A">
        <w:rPr>
          <w:rFonts w:ascii="Arial" w:eastAsia="Calibri" w:hAnsi="Arial" w:cs="Arial"/>
          <w:sz w:val="24"/>
          <w:szCs w:val="24"/>
        </w:rPr>
        <w:t>as well as</w:t>
      </w:r>
      <w:r w:rsidR="009E6D1E">
        <w:rPr>
          <w:rFonts w:ascii="Arial" w:eastAsia="Calibri" w:hAnsi="Arial" w:cs="Arial"/>
          <w:sz w:val="24"/>
          <w:szCs w:val="24"/>
        </w:rPr>
        <w:t xml:space="preserve"> submissions by both the legal representative of the appellant and the public prosecutor</w:t>
      </w:r>
      <w:r w:rsidR="00FE351A">
        <w:rPr>
          <w:rFonts w:ascii="Arial" w:eastAsia="Calibri" w:hAnsi="Arial" w:cs="Arial"/>
          <w:sz w:val="24"/>
          <w:szCs w:val="24"/>
        </w:rPr>
        <w:t>.</w:t>
      </w:r>
      <w:r w:rsidR="009E6D1E">
        <w:rPr>
          <w:rFonts w:ascii="Arial" w:eastAsia="Calibri" w:hAnsi="Arial" w:cs="Arial"/>
          <w:sz w:val="24"/>
          <w:szCs w:val="24"/>
        </w:rPr>
        <w:t xml:space="preserve"> Further, in a well-reasoned judgment, the principles and factors were properly considered</w:t>
      </w:r>
      <w:r w:rsidR="00FE351A">
        <w:rPr>
          <w:rFonts w:ascii="Arial" w:eastAsia="Calibri" w:hAnsi="Arial" w:cs="Arial"/>
          <w:sz w:val="24"/>
          <w:szCs w:val="24"/>
        </w:rPr>
        <w:t xml:space="preserve"> and applied</w:t>
      </w:r>
      <w:r w:rsidR="009E6D1E">
        <w:rPr>
          <w:rFonts w:ascii="Arial" w:eastAsia="Calibri" w:hAnsi="Arial" w:cs="Arial"/>
          <w:sz w:val="24"/>
          <w:szCs w:val="24"/>
        </w:rPr>
        <w:t>.</w:t>
      </w:r>
      <w:r w:rsidR="003D0A7C">
        <w:rPr>
          <w:rFonts w:ascii="Arial" w:eastAsia="Calibri" w:hAnsi="Arial" w:cs="Arial"/>
          <w:sz w:val="24"/>
          <w:szCs w:val="24"/>
        </w:rPr>
        <w:t xml:space="preserve"> We do not find any misdirection </w:t>
      </w:r>
      <w:r w:rsidR="00FE351A">
        <w:rPr>
          <w:rFonts w:ascii="Arial" w:eastAsia="Calibri" w:hAnsi="Arial" w:cs="Arial"/>
          <w:sz w:val="24"/>
          <w:szCs w:val="24"/>
        </w:rPr>
        <w:t>by the court a quo in its</w:t>
      </w:r>
      <w:r w:rsidR="003D0A7C">
        <w:rPr>
          <w:rFonts w:ascii="Arial" w:eastAsia="Calibri" w:hAnsi="Arial" w:cs="Arial"/>
          <w:sz w:val="24"/>
          <w:szCs w:val="24"/>
        </w:rPr>
        <w:t xml:space="preserve"> evaluation of the evidence</w:t>
      </w:r>
      <w:r w:rsidR="00893309">
        <w:rPr>
          <w:rFonts w:ascii="Arial" w:eastAsia="Calibri" w:hAnsi="Arial" w:cs="Arial"/>
          <w:sz w:val="24"/>
          <w:szCs w:val="24"/>
        </w:rPr>
        <w:t xml:space="preserve"> and application of sentencing principles</w:t>
      </w:r>
      <w:r w:rsidR="00FE351A">
        <w:rPr>
          <w:rFonts w:ascii="Arial" w:eastAsia="Calibri" w:hAnsi="Arial" w:cs="Arial"/>
          <w:sz w:val="24"/>
          <w:szCs w:val="24"/>
        </w:rPr>
        <w:t>.</w:t>
      </w:r>
      <w:r w:rsidR="00893309">
        <w:rPr>
          <w:rFonts w:ascii="Arial" w:eastAsia="Calibri" w:hAnsi="Arial" w:cs="Arial"/>
          <w:sz w:val="24"/>
          <w:szCs w:val="24"/>
        </w:rPr>
        <w:t xml:space="preserve"> </w:t>
      </w:r>
    </w:p>
    <w:p w:rsidR="009E6D1E" w:rsidRDefault="004260FC" w:rsidP="009E6D1E">
      <w:pPr>
        <w:spacing w:line="360" w:lineRule="auto"/>
        <w:jc w:val="both"/>
        <w:rPr>
          <w:rFonts w:ascii="Arial" w:eastAsia="Calibri" w:hAnsi="Arial" w:cs="Arial"/>
          <w:sz w:val="24"/>
          <w:szCs w:val="24"/>
        </w:rPr>
      </w:pPr>
      <w:r>
        <w:rPr>
          <w:rFonts w:ascii="Arial" w:eastAsia="Calibri" w:hAnsi="Arial" w:cs="Arial"/>
          <w:sz w:val="24"/>
          <w:szCs w:val="24"/>
        </w:rPr>
        <w:t>[19</w:t>
      </w:r>
      <w:r w:rsidR="009E6D1E">
        <w:rPr>
          <w:rFonts w:ascii="Arial" w:eastAsia="Calibri" w:hAnsi="Arial" w:cs="Arial"/>
          <w:sz w:val="24"/>
          <w:szCs w:val="24"/>
        </w:rPr>
        <w:t>]</w:t>
      </w:r>
      <w:r w:rsidR="009E6D1E">
        <w:rPr>
          <w:rFonts w:ascii="Arial" w:eastAsia="Calibri" w:hAnsi="Arial" w:cs="Arial"/>
          <w:sz w:val="24"/>
          <w:szCs w:val="24"/>
        </w:rPr>
        <w:tab/>
        <w:t>The evidence reflects that the murder was committed in cold blood</w:t>
      </w:r>
      <w:r w:rsidR="002914EA">
        <w:rPr>
          <w:rFonts w:ascii="Arial" w:eastAsia="Calibri" w:hAnsi="Arial" w:cs="Arial"/>
          <w:sz w:val="24"/>
          <w:szCs w:val="24"/>
        </w:rPr>
        <w:t>, that</w:t>
      </w:r>
      <w:r w:rsidR="009E6D1E">
        <w:rPr>
          <w:rFonts w:ascii="Arial" w:eastAsia="Calibri" w:hAnsi="Arial" w:cs="Arial"/>
          <w:sz w:val="24"/>
          <w:szCs w:val="24"/>
        </w:rPr>
        <w:t xml:space="preserve"> both crimes</w:t>
      </w:r>
      <w:r w:rsidR="002914EA">
        <w:rPr>
          <w:rFonts w:ascii="Arial" w:eastAsia="Calibri" w:hAnsi="Arial" w:cs="Arial"/>
          <w:sz w:val="24"/>
          <w:szCs w:val="24"/>
        </w:rPr>
        <w:t xml:space="preserve"> are</w:t>
      </w:r>
      <w:r w:rsidR="009E6D1E">
        <w:rPr>
          <w:rFonts w:ascii="Arial" w:eastAsia="Calibri" w:hAnsi="Arial" w:cs="Arial"/>
          <w:sz w:val="24"/>
          <w:szCs w:val="24"/>
        </w:rPr>
        <w:t xml:space="preserve"> senseless and without any provocation or reason. In addition, the appellant afterwards simply drove away from the scene and the police had to search for him. He did not report the matter.</w:t>
      </w:r>
      <w:r w:rsidR="002914EA">
        <w:rPr>
          <w:rFonts w:ascii="Arial" w:eastAsia="Calibri" w:hAnsi="Arial" w:cs="Arial"/>
          <w:sz w:val="24"/>
          <w:szCs w:val="24"/>
        </w:rPr>
        <w:t xml:space="preserve"> A family member testified that the accused laughed at court when they crossed paths.</w:t>
      </w:r>
      <w:r w:rsidR="003D0A7C">
        <w:rPr>
          <w:rFonts w:ascii="Arial" w:eastAsia="Calibri" w:hAnsi="Arial" w:cs="Arial"/>
          <w:sz w:val="24"/>
          <w:szCs w:val="24"/>
        </w:rPr>
        <w:t xml:space="preserve"> </w:t>
      </w:r>
      <w:r w:rsidR="002914EA">
        <w:rPr>
          <w:rFonts w:ascii="Arial" w:eastAsia="Calibri" w:hAnsi="Arial" w:cs="Arial"/>
          <w:sz w:val="24"/>
          <w:szCs w:val="24"/>
        </w:rPr>
        <w:t>It points to what type of character the appellant displayed. He never showed any remorse.</w:t>
      </w:r>
      <w:r w:rsidR="00384DD9">
        <w:rPr>
          <w:rFonts w:ascii="Arial" w:eastAsia="Calibri" w:hAnsi="Arial" w:cs="Arial"/>
          <w:sz w:val="24"/>
          <w:szCs w:val="24"/>
        </w:rPr>
        <w:t xml:space="preserve"> A fine on the second count would be trivializing the crime in relation to count two in these circumstances</w:t>
      </w:r>
      <w:r w:rsidR="009378D7">
        <w:rPr>
          <w:rFonts w:ascii="Arial" w:eastAsia="Calibri" w:hAnsi="Arial" w:cs="Arial"/>
          <w:sz w:val="24"/>
          <w:szCs w:val="24"/>
        </w:rPr>
        <w:t>.</w:t>
      </w:r>
      <w:r w:rsidR="00384DD9">
        <w:rPr>
          <w:rFonts w:ascii="Arial" w:eastAsia="Calibri" w:hAnsi="Arial" w:cs="Arial"/>
          <w:sz w:val="24"/>
          <w:szCs w:val="24"/>
        </w:rPr>
        <w:t xml:space="preserve"> </w:t>
      </w:r>
    </w:p>
    <w:p w:rsidR="00B76746" w:rsidRDefault="004260FC" w:rsidP="00B76746">
      <w:pPr>
        <w:spacing w:after="0" w:line="400" w:lineRule="atLeast"/>
        <w:jc w:val="both"/>
        <w:rPr>
          <w:rFonts w:ascii="Arial" w:hAnsi="Arial" w:cs="Arial"/>
          <w:sz w:val="24"/>
          <w:szCs w:val="24"/>
        </w:rPr>
      </w:pPr>
      <w:r>
        <w:rPr>
          <w:rFonts w:ascii="Arial" w:hAnsi="Arial" w:cs="Arial"/>
          <w:sz w:val="24"/>
          <w:szCs w:val="24"/>
        </w:rPr>
        <w:t>[20</w:t>
      </w:r>
      <w:r w:rsidR="00DD5D29">
        <w:rPr>
          <w:rFonts w:ascii="Arial" w:hAnsi="Arial" w:cs="Arial"/>
          <w:sz w:val="24"/>
          <w:szCs w:val="24"/>
        </w:rPr>
        <w:t>]</w:t>
      </w:r>
      <w:r w:rsidR="00DD5D29">
        <w:rPr>
          <w:rFonts w:ascii="Arial" w:hAnsi="Arial" w:cs="Arial"/>
          <w:sz w:val="24"/>
          <w:szCs w:val="24"/>
        </w:rPr>
        <w:tab/>
      </w:r>
      <w:r w:rsidR="009C5EB1">
        <w:rPr>
          <w:rFonts w:ascii="Arial" w:hAnsi="Arial" w:cs="Arial"/>
          <w:sz w:val="24"/>
          <w:szCs w:val="24"/>
        </w:rPr>
        <w:t xml:space="preserve"> </w:t>
      </w:r>
      <w:r w:rsidR="00384DD9">
        <w:rPr>
          <w:rFonts w:ascii="Arial" w:hAnsi="Arial" w:cs="Arial"/>
          <w:sz w:val="24"/>
          <w:szCs w:val="24"/>
        </w:rPr>
        <w:t xml:space="preserve">Consequently, </w:t>
      </w:r>
      <w:r w:rsidR="00B76746">
        <w:rPr>
          <w:rFonts w:ascii="Arial" w:hAnsi="Arial" w:cs="Arial"/>
          <w:sz w:val="24"/>
          <w:szCs w:val="24"/>
        </w:rPr>
        <w:t xml:space="preserve">this court cannot exercise its discretion in favor of condoning the non-compliance with Rule 67(1) of the Magistrate’s Court Act. </w:t>
      </w:r>
    </w:p>
    <w:p w:rsidR="00B76746" w:rsidRDefault="00B76746" w:rsidP="00B76746">
      <w:pPr>
        <w:spacing w:after="0" w:line="400" w:lineRule="atLeast"/>
        <w:jc w:val="both"/>
        <w:rPr>
          <w:rFonts w:ascii="Arial" w:hAnsi="Arial" w:cs="Arial"/>
          <w:sz w:val="24"/>
          <w:szCs w:val="24"/>
        </w:rPr>
      </w:pPr>
    </w:p>
    <w:p w:rsidR="00B76746" w:rsidRDefault="00CB521E" w:rsidP="00B76746">
      <w:pPr>
        <w:spacing w:after="0" w:line="400" w:lineRule="atLeast"/>
        <w:jc w:val="both"/>
        <w:rPr>
          <w:rFonts w:ascii="Arial" w:hAnsi="Arial" w:cs="Arial"/>
          <w:sz w:val="24"/>
          <w:szCs w:val="24"/>
        </w:rPr>
      </w:pPr>
      <w:r>
        <w:rPr>
          <w:rFonts w:ascii="Arial" w:hAnsi="Arial" w:cs="Arial"/>
          <w:sz w:val="24"/>
          <w:szCs w:val="24"/>
        </w:rPr>
        <w:t>[</w:t>
      </w:r>
      <w:r w:rsidR="004260FC">
        <w:rPr>
          <w:rFonts w:ascii="Arial" w:hAnsi="Arial" w:cs="Arial"/>
          <w:sz w:val="24"/>
          <w:szCs w:val="24"/>
        </w:rPr>
        <w:t>21</w:t>
      </w:r>
      <w:r w:rsidR="00B76746">
        <w:rPr>
          <w:rFonts w:ascii="Arial" w:hAnsi="Arial" w:cs="Arial"/>
          <w:sz w:val="24"/>
          <w:szCs w:val="24"/>
        </w:rPr>
        <w:t>]</w:t>
      </w:r>
      <w:r w:rsidR="00B76746">
        <w:rPr>
          <w:rFonts w:ascii="Arial" w:hAnsi="Arial" w:cs="Arial"/>
          <w:sz w:val="24"/>
          <w:szCs w:val="24"/>
        </w:rPr>
        <w:tab/>
        <w:t>In the result</w:t>
      </w:r>
      <w:r w:rsidR="009378D7">
        <w:rPr>
          <w:rFonts w:ascii="Arial" w:hAnsi="Arial" w:cs="Arial"/>
          <w:sz w:val="24"/>
          <w:szCs w:val="24"/>
        </w:rPr>
        <w:t>,</w:t>
      </w:r>
      <w:r w:rsidR="00B76746">
        <w:rPr>
          <w:rFonts w:ascii="Arial" w:hAnsi="Arial" w:cs="Arial"/>
          <w:sz w:val="24"/>
          <w:szCs w:val="24"/>
        </w:rPr>
        <w:t xml:space="preserve"> the following orders are made:</w:t>
      </w:r>
    </w:p>
    <w:p w:rsidR="00B76746" w:rsidRDefault="00B76746" w:rsidP="00B76746">
      <w:pPr>
        <w:spacing w:after="0" w:line="400" w:lineRule="atLeast"/>
        <w:jc w:val="both"/>
        <w:rPr>
          <w:rFonts w:ascii="Arial" w:hAnsi="Arial" w:cs="Arial"/>
          <w:sz w:val="24"/>
          <w:szCs w:val="24"/>
        </w:rPr>
      </w:pPr>
    </w:p>
    <w:p w:rsidR="00B76746" w:rsidRDefault="00B76746" w:rsidP="00DD5D29">
      <w:pPr>
        <w:pStyle w:val="ListParagraph"/>
        <w:numPr>
          <w:ilvl w:val="3"/>
          <w:numId w:val="3"/>
        </w:numPr>
        <w:spacing w:after="0" w:line="400" w:lineRule="atLeast"/>
        <w:ind w:left="1170" w:hanging="450"/>
        <w:jc w:val="both"/>
        <w:rPr>
          <w:rFonts w:ascii="Arial" w:hAnsi="Arial" w:cs="Arial"/>
          <w:sz w:val="24"/>
          <w:szCs w:val="24"/>
        </w:rPr>
      </w:pPr>
      <w:r w:rsidRPr="00DD5D29">
        <w:rPr>
          <w:rFonts w:ascii="Arial" w:hAnsi="Arial" w:cs="Arial"/>
          <w:sz w:val="24"/>
          <w:szCs w:val="24"/>
        </w:rPr>
        <w:t>The application for condonation is refused.</w:t>
      </w:r>
    </w:p>
    <w:p w:rsidR="00DD5D29" w:rsidRDefault="00DD5D29" w:rsidP="00DD5D29">
      <w:pPr>
        <w:pStyle w:val="ListParagraph"/>
        <w:spacing w:after="0" w:line="400" w:lineRule="atLeast"/>
        <w:ind w:left="1170"/>
        <w:jc w:val="both"/>
        <w:rPr>
          <w:rFonts w:ascii="Arial" w:hAnsi="Arial" w:cs="Arial"/>
          <w:sz w:val="24"/>
          <w:szCs w:val="24"/>
        </w:rPr>
      </w:pPr>
    </w:p>
    <w:p w:rsidR="00B76746" w:rsidRPr="00DD5D29" w:rsidRDefault="00B76746" w:rsidP="00DD5D29">
      <w:pPr>
        <w:pStyle w:val="ListParagraph"/>
        <w:numPr>
          <w:ilvl w:val="3"/>
          <w:numId w:val="3"/>
        </w:numPr>
        <w:spacing w:after="0" w:line="400" w:lineRule="atLeast"/>
        <w:ind w:left="1170" w:hanging="450"/>
        <w:jc w:val="both"/>
        <w:rPr>
          <w:rFonts w:ascii="Arial" w:hAnsi="Arial" w:cs="Arial"/>
          <w:sz w:val="24"/>
          <w:szCs w:val="24"/>
        </w:rPr>
      </w:pPr>
      <w:r w:rsidRPr="00DD5D29">
        <w:rPr>
          <w:rFonts w:ascii="Arial" w:hAnsi="Arial" w:cs="Arial"/>
          <w:sz w:val="24"/>
          <w:szCs w:val="24"/>
        </w:rPr>
        <w:t>The appeal is struck from the roll</w:t>
      </w:r>
      <w:r w:rsidR="00DD5D29">
        <w:rPr>
          <w:rFonts w:ascii="Arial" w:hAnsi="Arial" w:cs="Arial"/>
          <w:sz w:val="24"/>
          <w:szCs w:val="24"/>
        </w:rPr>
        <w:t xml:space="preserve"> and considered </w:t>
      </w:r>
      <w:proofErr w:type="spellStart"/>
      <w:r w:rsidR="00DD5D29">
        <w:rPr>
          <w:rFonts w:ascii="Arial" w:hAnsi="Arial" w:cs="Arial"/>
          <w:sz w:val="24"/>
          <w:szCs w:val="24"/>
        </w:rPr>
        <w:t>finalised</w:t>
      </w:r>
      <w:proofErr w:type="spellEnd"/>
      <w:r w:rsidRPr="00DD5D29">
        <w:rPr>
          <w:rFonts w:ascii="Arial" w:hAnsi="Arial" w:cs="Arial"/>
          <w:sz w:val="24"/>
          <w:szCs w:val="24"/>
        </w:rPr>
        <w:t>.</w:t>
      </w:r>
    </w:p>
    <w:p w:rsidR="00B76746" w:rsidRDefault="00B76746" w:rsidP="00BC6AAE">
      <w:pPr>
        <w:spacing w:line="360" w:lineRule="auto"/>
        <w:jc w:val="both"/>
        <w:rPr>
          <w:rFonts w:ascii="Arial" w:eastAsia="Calibri" w:hAnsi="Arial" w:cs="Arial"/>
          <w:sz w:val="24"/>
          <w:szCs w:val="24"/>
        </w:rPr>
      </w:pPr>
    </w:p>
    <w:p w:rsidR="009378D7" w:rsidRPr="00F22355" w:rsidRDefault="009378D7" w:rsidP="00BC6AAE">
      <w:pPr>
        <w:spacing w:line="360" w:lineRule="auto"/>
        <w:jc w:val="both"/>
        <w:rPr>
          <w:rFonts w:ascii="Arial" w:eastAsia="Calibri" w:hAnsi="Arial" w:cs="Arial"/>
          <w:sz w:val="24"/>
          <w:szCs w:val="24"/>
        </w:rPr>
      </w:pPr>
    </w:p>
    <w:p w:rsidR="006D7BC5" w:rsidRDefault="006D7BC5" w:rsidP="006D7BC5">
      <w:pPr>
        <w:spacing w:line="360" w:lineRule="auto"/>
        <w:ind w:left="5040" w:firstLine="720"/>
        <w:jc w:val="both"/>
        <w:rPr>
          <w:rFonts w:ascii="Arial" w:hAnsi="Arial" w:cs="Arial"/>
          <w:sz w:val="24"/>
          <w:szCs w:val="24"/>
        </w:rPr>
      </w:pPr>
      <w:r>
        <w:rPr>
          <w:rFonts w:ascii="Arial" w:hAnsi="Arial" w:cs="Arial"/>
          <w:sz w:val="24"/>
          <w:szCs w:val="24"/>
        </w:rPr>
        <w:t>_____________________</w:t>
      </w:r>
    </w:p>
    <w:p w:rsidR="006D7BC5" w:rsidRDefault="006D7BC5" w:rsidP="006D7BC5">
      <w:pPr>
        <w:spacing w:line="360" w:lineRule="auto"/>
        <w:jc w:val="both"/>
        <w:rPr>
          <w:rFonts w:ascii="Arial" w:hAnsi="Arial" w:cs="Arial"/>
          <w:b/>
          <w:sz w:val="24"/>
          <w:szCs w:val="24"/>
        </w:rPr>
      </w:pP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t>JANUARY J</w:t>
      </w:r>
    </w:p>
    <w:p w:rsidR="006D7BC5" w:rsidRDefault="006D7BC5" w:rsidP="006D7BC5">
      <w:pPr>
        <w:spacing w:line="360" w:lineRule="auto"/>
        <w:jc w:val="both"/>
        <w:rPr>
          <w:rFonts w:ascii="Arial" w:hAnsi="Arial" w:cs="Arial"/>
          <w:b/>
          <w:sz w:val="24"/>
          <w:szCs w:val="24"/>
        </w:rPr>
      </w:pPr>
    </w:p>
    <w:p w:rsidR="006D7BC5" w:rsidRDefault="006D7BC5" w:rsidP="006D7BC5">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w:t>
      </w:r>
    </w:p>
    <w:p w:rsidR="006D7BC5" w:rsidRPr="00321E89" w:rsidRDefault="006D7BC5" w:rsidP="006D7BC5">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4F4B">
        <w:rPr>
          <w:rFonts w:ascii="Arial" w:hAnsi="Arial" w:cs="Arial"/>
          <w:b/>
          <w:sz w:val="24"/>
          <w:szCs w:val="24"/>
        </w:rPr>
        <w:t>LIEBENBERG</w:t>
      </w:r>
      <w:r>
        <w:rPr>
          <w:rFonts w:ascii="Arial" w:hAnsi="Arial" w:cs="Arial"/>
          <w:b/>
          <w:sz w:val="24"/>
          <w:szCs w:val="24"/>
        </w:rPr>
        <w:t xml:space="preserve"> J</w:t>
      </w:r>
    </w:p>
    <w:p w:rsidR="006D7BC5" w:rsidRDefault="006D7BC5" w:rsidP="00BC6AAE">
      <w:pPr>
        <w:spacing w:line="360" w:lineRule="auto"/>
        <w:jc w:val="both"/>
      </w:pPr>
    </w:p>
    <w:p w:rsidR="0095782B" w:rsidRDefault="0095782B" w:rsidP="00BC6AAE">
      <w:pPr>
        <w:spacing w:line="360" w:lineRule="auto"/>
        <w:jc w:val="both"/>
      </w:pPr>
    </w:p>
    <w:p w:rsidR="0095782B" w:rsidRDefault="0095782B" w:rsidP="00BC6AAE">
      <w:pPr>
        <w:spacing w:line="360" w:lineRule="auto"/>
        <w:jc w:val="both"/>
      </w:pPr>
    </w:p>
    <w:p w:rsidR="0095782B" w:rsidRDefault="0095782B" w:rsidP="00BC6AAE">
      <w:pPr>
        <w:spacing w:line="360" w:lineRule="auto"/>
        <w:jc w:val="both"/>
      </w:pPr>
    </w:p>
    <w:p w:rsidR="0095782B" w:rsidRDefault="0095782B" w:rsidP="00BC6AAE">
      <w:pPr>
        <w:spacing w:line="360" w:lineRule="auto"/>
        <w:jc w:val="both"/>
      </w:pPr>
    </w:p>
    <w:p w:rsidR="0095782B" w:rsidRDefault="0095782B" w:rsidP="00BC6AAE">
      <w:pPr>
        <w:spacing w:line="360" w:lineRule="auto"/>
        <w:jc w:val="both"/>
      </w:pPr>
    </w:p>
    <w:p w:rsidR="0095782B" w:rsidRDefault="0095782B" w:rsidP="00BC6AAE">
      <w:pPr>
        <w:spacing w:line="360" w:lineRule="auto"/>
        <w:jc w:val="both"/>
      </w:pPr>
    </w:p>
    <w:p w:rsidR="009378D7" w:rsidRDefault="009378D7" w:rsidP="00BC6AAE">
      <w:pPr>
        <w:spacing w:line="360" w:lineRule="auto"/>
        <w:jc w:val="both"/>
      </w:pPr>
    </w:p>
    <w:p w:rsidR="009378D7" w:rsidRDefault="009378D7" w:rsidP="00BC6AAE">
      <w:pPr>
        <w:spacing w:line="360" w:lineRule="auto"/>
        <w:jc w:val="both"/>
      </w:pPr>
    </w:p>
    <w:p w:rsidR="009378D7" w:rsidRDefault="009378D7" w:rsidP="00BC6AAE">
      <w:pPr>
        <w:spacing w:line="360" w:lineRule="auto"/>
        <w:jc w:val="both"/>
      </w:pPr>
    </w:p>
    <w:p w:rsidR="009378D7" w:rsidRDefault="009378D7" w:rsidP="00BC6AAE">
      <w:pPr>
        <w:spacing w:line="360" w:lineRule="auto"/>
        <w:jc w:val="both"/>
      </w:pPr>
    </w:p>
    <w:p w:rsidR="009378D7" w:rsidRDefault="009378D7" w:rsidP="00BC6AAE">
      <w:pPr>
        <w:spacing w:line="360" w:lineRule="auto"/>
        <w:jc w:val="both"/>
      </w:pPr>
    </w:p>
    <w:p w:rsidR="0095782B" w:rsidRDefault="0095782B" w:rsidP="00BC6AAE">
      <w:pPr>
        <w:spacing w:line="360" w:lineRule="auto"/>
        <w:jc w:val="both"/>
      </w:pPr>
    </w:p>
    <w:p w:rsidR="0095782B" w:rsidRPr="003A7D75" w:rsidRDefault="0095782B" w:rsidP="0095782B">
      <w:pPr>
        <w:spacing w:after="0" w:line="360" w:lineRule="auto"/>
        <w:rPr>
          <w:rFonts w:ascii="Arial" w:hAnsi="Arial"/>
          <w:sz w:val="24"/>
          <w:szCs w:val="24"/>
        </w:rPr>
      </w:pPr>
      <w:r w:rsidRPr="003A7D75">
        <w:rPr>
          <w:rFonts w:ascii="Arial" w:hAnsi="Arial"/>
          <w:sz w:val="24"/>
          <w:szCs w:val="24"/>
        </w:rPr>
        <w:lastRenderedPageBreak/>
        <w:t>APPEARANCES</w:t>
      </w:r>
    </w:p>
    <w:p w:rsidR="0095782B" w:rsidRPr="003A7D75" w:rsidRDefault="0095782B" w:rsidP="0095782B">
      <w:pPr>
        <w:spacing w:after="0" w:line="360" w:lineRule="auto"/>
        <w:jc w:val="both"/>
        <w:rPr>
          <w:rFonts w:ascii="Arial" w:hAnsi="Arial"/>
          <w:sz w:val="24"/>
          <w:szCs w:val="24"/>
        </w:rPr>
      </w:pPr>
    </w:p>
    <w:p w:rsidR="009378D7" w:rsidRDefault="009378D7" w:rsidP="0095782B">
      <w:pPr>
        <w:spacing w:after="0" w:line="360" w:lineRule="auto"/>
        <w:jc w:val="both"/>
        <w:rPr>
          <w:rFonts w:ascii="Arial" w:hAnsi="Arial"/>
          <w:sz w:val="24"/>
          <w:szCs w:val="24"/>
        </w:rPr>
      </w:pPr>
      <w:r>
        <w:rPr>
          <w:rFonts w:ascii="Arial" w:hAnsi="Arial"/>
          <w:sz w:val="24"/>
          <w:szCs w:val="24"/>
        </w:rPr>
        <w:t>APPELLANT: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81C10">
        <w:rPr>
          <w:rFonts w:ascii="Arial" w:hAnsi="Arial"/>
          <w:sz w:val="24"/>
          <w:szCs w:val="24"/>
        </w:rPr>
        <w:t>I VELI</w:t>
      </w:r>
      <w:r>
        <w:rPr>
          <w:rFonts w:ascii="Arial" w:hAnsi="Arial"/>
          <w:sz w:val="24"/>
          <w:szCs w:val="24"/>
        </w:rPr>
        <w:t>KOSHI</w:t>
      </w:r>
    </w:p>
    <w:p w:rsidR="0095782B" w:rsidRDefault="009378D7" w:rsidP="009378D7">
      <w:pPr>
        <w:spacing w:after="0" w:line="360" w:lineRule="auto"/>
        <w:ind w:left="3600" w:firstLine="720"/>
        <w:jc w:val="both"/>
        <w:rPr>
          <w:rFonts w:ascii="Arial" w:hAnsi="Arial"/>
          <w:sz w:val="24"/>
          <w:szCs w:val="24"/>
        </w:rPr>
      </w:pPr>
      <w:proofErr w:type="gramStart"/>
      <w:r>
        <w:rPr>
          <w:rFonts w:ascii="Arial" w:hAnsi="Arial"/>
          <w:sz w:val="24"/>
          <w:szCs w:val="24"/>
        </w:rPr>
        <w:t>of</w:t>
      </w:r>
      <w:proofErr w:type="gramEnd"/>
      <w:r>
        <w:rPr>
          <w:rFonts w:ascii="Arial" w:hAnsi="Arial"/>
          <w:sz w:val="24"/>
          <w:szCs w:val="24"/>
        </w:rPr>
        <w:t xml:space="preserve"> </w:t>
      </w:r>
      <w:proofErr w:type="spellStart"/>
      <w:r>
        <w:rPr>
          <w:rFonts w:ascii="Arial" w:hAnsi="Arial"/>
          <w:sz w:val="24"/>
          <w:szCs w:val="24"/>
        </w:rPr>
        <w:t>Ileni</w:t>
      </w:r>
      <w:proofErr w:type="spellEnd"/>
      <w:r>
        <w:rPr>
          <w:rFonts w:ascii="Arial" w:hAnsi="Arial"/>
          <w:sz w:val="24"/>
          <w:szCs w:val="24"/>
        </w:rPr>
        <w:t xml:space="preserve"> </w:t>
      </w:r>
      <w:proofErr w:type="spellStart"/>
      <w:r>
        <w:rPr>
          <w:rFonts w:ascii="Arial" w:hAnsi="Arial"/>
          <w:sz w:val="24"/>
          <w:szCs w:val="24"/>
        </w:rPr>
        <w:t>Velekoshi</w:t>
      </w:r>
      <w:proofErr w:type="spellEnd"/>
      <w:r>
        <w:rPr>
          <w:rFonts w:ascii="Arial" w:hAnsi="Arial"/>
          <w:sz w:val="24"/>
          <w:szCs w:val="24"/>
        </w:rPr>
        <w:t xml:space="preserve"> </w:t>
      </w:r>
      <w:proofErr w:type="spellStart"/>
      <w:r>
        <w:rPr>
          <w:rFonts w:ascii="Arial" w:hAnsi="Arial"/>
          <w:sz w:val="24"/>
          <w:szCs w:val="24"/>
        </w:rPr>
        <w:t>Inc</w:t>
      </w:r>
      <w:proofErr w:type="spellEnd"/>
      <w:r>
        <w:rPr>
          <w:rFonts w:ascii="Arial" w:hAnsi="Arial"/>
          <w:sz w:val="24"/>
          <w:szCs w:val="24"/>
        </w:rPr>
        <w:t>, Windhoek</w:t>
      </w:r>
      <w:r w:rsidR="0095782B">
        <w:rPr>
          <w:rFonts w:ascii="Arial" w:hAnsi="Arial"/>
          <w:sz w:val="24"/>
          <w:szCs w:val="24"/>
        </w:rPr>
        <w:tab/>
      </w:r>
      <w:bookmarkStart w:id="0" w:name="_GoBack"/>
      <w:bookmarkEnd w:id="0"/>
    </w:p>
    <w:p w:rsidR="0095782B" w:rsidRPr="003A7D75" w:rsidRDefault="0095782B" w:rsidP="0095782B">
      <w:pPr>
        <w:spacing w:after="0" w:line="360" w:lineRule="auto"/>
        <w:ind w:left="2160" w:firstLine="720"/>
        <w:jc w:val="both"/>
        <w:rPr>
          <w:rFonts w:ascii="Arial" w:hAnsi="Arial"/>
          <w:sz w:val="24"/>
          <w:szCs w:val="24"/>
        </w:rPr>
      </w:pPr>
    </w:p>
    <w:p w:rsidR="0095782B" w:rsidRPr="003A7D75" w:rsidRDefault="0095782B" w:rsidP="0095782B">
      <w:pPr>
        <w:spacing w:after="0" w:line="360" w:lineRule="auto"/>
        <w:ind w:left="2160" w:firstLine="720"/>
        <w:jc w:val="both"/>
        <w:rPr>
          <w:rFonts w:ascii="Arial" w:hAnsi="Arial"/>
          <w:sz w:val="24"/>
          <w:szCs w:val="24"/>
        </w:rPr>
      </w:pPr>
    </w:p>
    <w:p w:rsidR="0095782B" w:rsidRDefault="0095782B" w:rsidP="0095782B">
      <w:pPr>
        <w:spacing w:after="0" w:line="360" w:lineRule="auto"/>
        <w:jc w:val="both"/>
        <w:rPr>
          <w:rFonts w:ascii="Arial" w:hAnsi="Arial"/>
          <w:sz w:val="24"/>
          <w:szCs w:val="24"/>
        </w:rPr>
      </w:pPr>
      <w:r w:rsidRPr="003A7D75">
        <w:rPr>
          <w:rFonts w:ascii="Arial" w:hAnsi="Arial"/>
          <w:sz w:val="24"/>
          <w:szCs w:val="24"/>
        </w:rPr>
        <w:t>RESPONDENT:</w:t>
      </w:r>
      <w:r w:rsidRPr="003A7D75">
        <w:rPr>
          <w:rFonts w:ascii="Arial" w:hAnsi="Arial"/>
          <w:sz w:val="24"/>
          <w:szCs w:val="24"/>
        </w:rPr>
        <w:tab/>
      </w:r>
      <w:r w:rsidRPr="003A7D75">
        <w:rPr>
          <w:rFonts w:ascii="Arial" w:hAnsi="Arial"/>
          <w:sz w:val="24"/>
          <w:szCs w:val="24"/>
        </w:rPr>
        <w:tab/>
      </w:r>
      <w:r w:rsidRPr="003A7D75">
        <w:rPr>
          <w:rFonts w:ascii="Arial" w:hAnsi="Arial"/>
          <w:sz w:val="24"/>
          <w:szCs w:val="24"/>
        </w:rPr>
        <w:tab/>
      </w:r>
      <w:r w:rsidRPr="003A7D75">
        <w:rPr>
          <w:rFonts w:ascii="Arial" w:hAnsi="Arial"/>
          <w:sz w:val="24"/>
          <w:szCs w:val="24"/>
        </w:rPr>
        <w:tab/>
      </w:r>
      <w:r w:rsidR="009378D7">
        <w:rPr>
          <w:rFonts w:ascii="Arial" w:hAnsi="Arial"/>
          <w:sz w:val="24"/>
          <w:szCs w:val="24"/>
        </w:rPr>
        <w:t>J M</w:t>
      </w:r>
      <w:r>
        <w:rPr>
          <w:rFonts w:ascii="Arial" w:hAnsi="Arial"/>
          <w:sz w:val="24"/>
          <w:szCs w:val="24"/>
        </w:rPr>
        <w:t xml:space="preserve"> </w:t>
      </w:r>
      <w:r w:rsidR="009378D7">
        <w:rPr>
          <w:rFonts w:ascii="Arial" w:hAnsi="Arial"/>
          <w:sz w:val="24"/>
          <w:szCs w:val="24"/>
        </w:rPr>
        <w:t>KALIPI</w:t>
      </w:r>
    </w:p>
    <w:p w:rsidR="0095782B" w:rsidRPr="0083228E" w:rsidRDefault="0095782B" w:rsidP="0095782B">
      <w:pPr>
        <w:spacing w:after="0" w:line="36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Office of the Prosecutor-General, Windhoek</w:t>
      </w:r>
    </w:p>
    <w:p w:rsidR="0095782B" w:rsidRPr="003A7D75" w:rsidRDefault="0095782B" w:rsidP="0095782B">
      <w:pPr>
        <w:spacing w:after="0" w:line="360" w:lineRule="auto"/>
        <w:jc w:val="both"/>
        <w:rPr>
          <w:rFonts w:ascii="Arial" w:hAnsi="Arial"/>
          <w:sz w:val="24"/>
          <w:szCs w:val="24"/>
        </w:rPr>
      </w:pPr>
    </w:p>
    <w:p w:rsidR="0095782B" w:rsidRPr="00510EC6" w:rsidRDefault="0095782B" w:rsidP="00BC6AAE">
      <w:pPr>
        <w:spacing w:line="360" w:lineRule="auto"/>
        <w:jc w:val="both"/>
      </w:pPr>
    </w:p>
    <w:sectPr w:rsidR="0095782B" w:rsidRPr="00510EC6" w:rsidSect="00917B1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9A" w:rsidRDefault="00AD6D9A" w:rsidP="00090098">
      <w:pPr>
        <w:spacing w:after="0" w:line="240" w:lineRule="auto"/>
      </w:pPr>
      <w:r>
        <w:separator/>
      </w:r>
    </w:p>
  </w:endnote>
  <w:endnote w:type="continuationSeparator" w:id="0">
    <w:p w:rsidR="00AD6D9A" w:rsidRDefault="00AD6D9A" w:rsidP="0009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9A" w:rsidRDefault="00AD6D9A" w:rsidP="00090098">
      <w:pPr>
        <w:spacing w:after="0" w:line="240" w:lineRule="auto"/>
      </w:pPr>
      <w:r>
        <w:separator/>
      </w:r>
    </w:p>
  </w:footnote>
  <w:footnote w:type="continuationSeparator" w:id="0">
    <w:p w:rsidR="00AD6D9A" w:rsidRDefault="00AD6D9A" w:rsidP="00090098">
      <w:pPr>
        <w:spacing w:after="0" w:line="240" w:lineRule="auto"/>
      </w:pPr>
      <w:r>
        <w:continuationSeparator/>
      </w:r>
    </w:p>
  </w:footnote>
  <w:footnote w:id="1">
    <w:p w:rsidR="00AC4428" w:rsidRPr="00307CA4" w:rsidRDefault="00AC4428" w:rsidP="00AC4428">
      <w:pPr>
        <w:pStyle w:val="FootnoteText"/>
        <w:rPr>
          <w:lang w:val="en-ZA"/>
        </w:rPr>
      </w:pPr>
      <w:r>
        <w:rPr>
          <w:rStyle w:val="FootnoteReference"/>
        </w:rPr>
        <w:footnoteRef/>
      </w:r>
      <w:r>
        <w:t xml:space="preserve"> </w:t>
      </w:r>
      <w:proofErr w:type="spellStart"/>
      <w:proofErr w:type="gramStart"/>
      <w:r w:rsidRPr="009C5EB1">
        <w:rPr>
          <w:rFonts w:ascii="Arial" w:eastAsia="Calibri" w:hAnsi="Arial" w:cs="Arial"/>
          <w:i/>
        </w:rPr>
        <w:t>Uixab</w:t>
      </w:r>
      <w:proofErr w:type="spellEnd"/>
      <w:r>
        <w:rPr>
          <w:rFonts w:ascii="Arial" w:eastAsia="Calibri" w:hAnsi="Arial" w:cs="Arial"/>
        </w:rPr>
        <w:t xml:space="preserve"> </w:t>
      </w:r>
      <w:r w:rsidRPr="0054101C">
        <w:rPr>
          <w:rFonts w:ascii="Arial" w:eastAsia="Calibri" w:hAnsi="Arial" w:cs="Arial"/>
          <w:i/>
        </w:rPr>
        <w:t>v S</w:t>
      </w:r>
      <w:r>
        <w:rPr>
          <w:rFonts w:ascii="Arial" w:eastAsia="Calibri" w:hAnsi="Arial" w:cs="Arial"/>
        </w:rPr>
        <w:t xml:space="preserve"> 2021/00024</w:t>
      </w:r>
      <w:r w:rsidRPr="00307CA4">
        <w:rPr>
          <w:rFonts w:ascii="Arial" w:eastAsia="Calibri" w:hAnsi="Arial" w:cs="Arial"/>
        </w:rPr>
        <w:t xml:space="preserve"> [2022] NAHCNLD 33 (01 April 2022) at 6</w:t>
      </w:r>
      <w:r>
        <w:rPr>
          <w:rFonts w:ascii="Arial" w:eastAsia="Calibri" w:hAnsi="Arial" w:cs="Arial"/>
        </w:rPr>
        <w:t>.</w:t>
      </w:r>
      <w:proofErr w:type="gramEnd"/>
    </w:p>
  </w:footnote>
  <w:footnote w:id="2">
    <w:p w:rsidR="00AC4428" w:rsidRPr="00DD5D29" w:rsidRDefault="00AC4428" w:rsidP="00AC4428">
      <w:pPr>
        <w:pStyle w:val="FootnoteText"/>
        <w:rPr>
          <w:rFonts w:ascii="Arial" w:hAnsi="Arial" w:cs="Arial"/>
          <w:lang w:val="en-US"/>
        </w:rPr>
      </w:pPr>
      <w:r w:rsidRPr="00DD5D29">
        <w:rPr>
          <w:rStyle w:val="FootnoteReference"/>
          <w:rFonts w:ascii="Arial" w:hAnsi="Arial" w:cs="Arial"/>
        </w:rPr>
        <w:footnoteRef/>
      </w:r>
      <w:r w:rsidRPr="00DD5D29">
        <w:rPr>
          <w:rFonts w:ascii="Arial" w:hAnsi="Arial" w:cs="Arial"/>
        </w:rPr>
        <w:t xml:space="preserve">  </w:t>
      </w:r>
      <w:proofErr w:type="gramStart"/>
      <w:r w:rsidRPr="00DD5D29">
        <w:rPr>
          <w:rFonts w:ascii="Arial" w:eastAsia="Calibri" w:hAnsi="Arial" w:cs="Arial"/>
          <w:i/>
          <w:iCs/>
        </w:rPr>
        <w:t xml:space="preserve">S v </w:t>
      </w:r>
      <w:proofErr w:type="spellStart"/>
      <w:r w:rsidRPr="00DD5D29">
        <w:rPr>
          <w:rFonts w:ascii="Arial" w:eastAsia="Calibri" w:hAnsi="Arial" w:cs="Arial"/>
          <w:i/>
          <w:iCs/>
        </w:rPr>
        <w:t>Nakapela</w:t>
      </w:r>
      <w:proofErr w:type="spellEnd"/>
      <w:r w:rsidRPr="00DD5D29">
        <w:rPr>
          <w:rFonts w:ascii="Arial" w:eastAsia="Calibri" w:hAnsi="Arial" w:cs="Arial"/>
          <w:i/>
          <w:iCs/>
        </w:rPr>
        <w:t xml:space="preserve"> and another </w:t>
      </w:r>
      <w:r w:rsidRPr="00DD5D29">
        <w:rPr>
          <w:rFonts w:ascii="Arial" w:hAnsi="Arial" w:cs="Arial"/>
        </w:rPr>
        <w:t>1997 NR 184 (HC)</w:t>
      </w:r>
      <w:r>
        <w:rPr>
          <w:rFonts w:ascii="Arial" w:hAnsi="Arial" w:cs="Arial"/>
        </w:rPr>
        <w:t>.</w:t>
      </w:r>
      <w:proofErr w:type="gramEnd"/>
    </w:p>
  </w:footnote>
  <w:footnote w:id="3">
    <w:p w:rsidR="0054101C" w:rsidRPr="0054101C" w:rsidRDefault="0054101C">
      <w:pPr>
        <w:pStyle w:val="FootnoteText"/>
        <w:rPr>
          <w:lang w:val="en-US"/>
        </w:rPr>
      </w:pPr>
      <w:r>
        <w:rPr>
          <w:rStyle w:val="FootnoteReference"/>
        </w:rPr>
        <w:footnoteRef/>
      </w:r>
      <w:r>
        <w:t xml:space="preserve"> </w:t>
      </w:r>
      <w:proofErr w:type="gramStart"/>
      <w:r w:rsidRPr="0054101C">
        <w:rPr>
          <w:rFonts w:ascii="Arial" w:hAnsi="Arial" w:cs="Arial"/>
          <w:i/>
        </w:rPr>
        <w:t xml:space="preserve">S v </w:t>
      </w:r>
      <w:proofErr w:type="spellStart"/>
      <w:r w:rsidRPr="0054101C">
        <w:rPr>
          <w:rFonts w:ascii="Arial" w:hAnsi="Arial" w:cs="Arial"/>
          <w:i/>
        </w:rPr>
        <w:t>Kashire</w:t>
      </w:r>
      <w:proofErr w:type="spellEnd"/>
      <w:r w:rsidRPr="0054101C">
        <w:rPr>
          <w:rFonts w:ascii="Arial" w:hAnsi="Arial" w:cs="Arial"/>
        </w:rPr>
        <w:t xml:space="preserve"> 1978 (4) SA 166 (SWA)</w:t>
      </w:r>
      <w:r>
        <w:rPr>
          <w:rFonts w:ascii="Arial" w:hAnsi="Arial" w:cs="Arial"/>
        </w:rPr>
        <w:t>.</w:t>
      </w:r>
      <w:proofErr w:type="gramEnd"/>
    </w:p>
  </w:footnote>
  <w:footnote w:id="4">
    <w:p w:rsidR="005D4C9D" w:rsidRPr="00293A2C" w:rsidRDefault="005D4C9D" w:rsidP="00293A2C">
      <w:pPr>
        <w:spacing w:after="0" w:line="360" w:lineRule="auto"/>
        <w:ind w:hanging="33"/>
        <w:jc w:val="both"/>
        <w:rPr>
          <w:rFonts w:ascii="Arial" w:hAnsi="Arial" w:cs="Arial"/>
          <w:sz w:val="20"/>
          <w:szCs w:val="20"/>
        </w:rPr>
      </w:pPr>
      <w:r w:rsidRPr="00655B64">
        <w:rPr>
          <w:rStyle w:val="FootnoteReference"/>
          <w:rFonts w:ascii="Arial" w:hAnsi="Arial" w:cs="Arial"/>
          <w:sz w:val="20"/>
          <w:szCs w:val="20"/>
        </w:rPr>
        <w:footnoteRef/>
      </w:r>
      <w:r w:rsidRPr="00655B64">
        <w:rPr>
          <w:rFonts w:ascii="Arial" w:hAnsi="Arial" w:cs="Arial"/>
          <w:sz w:val="20"/>
          <w:szCs w:val="20"/>
        </w:rPr>
        <w:t xml:space="preserve"> </w:t>
      </w:r>
      <w:r w:rsidR="00293A2C">
        <w:rPr>
          <w:rFonts w:ascii="Arial" w:hAnsi="Arial" w:cs="Arial"/>
          <w:sz w:val="20"/>
          <w:szCs w:val="20"/>
        </w:rPr>
        <w:t xml:space="preserve">See: </w:t>
      </w:r>
      <w:proofErr w:type="spellStart"/>
      <w:r w:rsidRPr="00655B64">
        <w:rPr>
          <w:rFonts w:ascii="Arial" w:hAnsi="Arial" w:cs="Arial"/>
          <w:i/>
          <w:sz w:val="20"/>
          <w:szCs w:val="20"/>
        </w:rPr>
        <w:t>Kambinda</w:t>
      </w:r>
      <w:proofErr w:type="spellEnd"/>
      <w:r w:rsidRPr="00655B64">
        <w:rPr>
          <w:rFonts w:ascii="Arial" w:hAnsi="Arial" w:cs="Arial"/>
          <w:i/>
          <w:sz w:val="20"/>
          <w:szCs w:val="20"/>
        </w:rPr>
        <w:t xml:space="preserve"> v State </w:t>
      </w:r>
      <w:r w:rsidRPr="00655B64">
        <w:rPr>
          <w:rFonts w:ascii="Arial" w:hAnsi="Arial" w:cs="Arial"/>
          <w:sz w:val="20"/>
          <w:szCs w:val="20"/>
        </w:rPr>
        <w:t>(CA 68/2014) [2014] NAHCMD 337 (24 October 2014)</w:t>
      </w:r>
      <w:r w:rsidR="00DD5D29">
        <w:rPr>
          <w:rFonts w:ascii="Arial" w:hAnsi="Arial" w:cs="Arial"/>
          <w:sz w:val="20"/>
          <w:szCs w:val="20"/>
        </w:rPr>
        <w:t>.</w:t>
      </w:r>
      <w:r w:rsidR="00293A2C">
        <w:rPr>
          <w:rFonts w:ascii="Arial" w:hAnsi="Arial" w:cs="Arial"/>
          <w:sz w:val="20"/>
          <w:szCs w:val="20"/>
        </w:rPr>
        <w:t xml:space="preserve"> </w:t>
      </w:r>
      <w:r w:rsidR="00EB7BFB">
        <w:rPr>
          <w:rFonts w:ascii="Arial" w:hAnsi="Arial" w:cs="Arial"/>
          <w:sz w:val="20"/>
          <w:szCs w:val="20"/>
        </w:rPr>
        <w:t>See also:</w:t>
      </w:r>
      <w:r w:rsidR="00655B64" w:rsidRPr="00655B64">
        <w:rPr>
          <w:rFonts w:ascii="Arial" w:hAnsi="Arial" w:cs="Arial"/>
          <w:sz w:val="20"/>
          <w:szCs w:val="20"/>
        </w:rPr>
        <w:t xml:space="preserve"> </w:t>
      </w:r>
      <w:proofErr w:type="spellStart"/>
      <w:r w:rsidR="00655B64" w:rsidRPr="00655B64">
        <w:rPr>
          <w:rFonts w:ascii="Arial" w:hAnsi="Arial" w:cs="Arial"/>
          <w:i/>
          <w:sz w:val="20"/>
          <w:szCs w:val="20"/>
        </w:rPr>
        <w:t>Shekutumba</w:t>
      </w:r>
      <w:proofErr w:type="spellEnd"/>
      <w:r w:rsidR="00655B64" w:rsidRPr="00655B64">
        <w:rPr>
          <w:rFonts w:ascii="Arial" w:hAnsi="Arial" w:cs="Arial"/>
          <w:i/>
          <w:sz w:val="20"/>
          <w:szCs w:val="20"/>
        </w:rPr>
        <w:t xml:space="preserve"> v S </w:t>
      </w:r>
      <w:r w:rsidR="00655B64" w:rsidRPr="00655B64">
        <w:rPr>
          <w:rFonts w:ascii="Arial" w:hAnsi="Arial" w:cs="Arial"/>
          <w:sz w:val="20"/>
          <w:szCs w:val="20"/>
        </w:rPr>
        <w:t>(HC-NLD-CRI</w:t>
      </w:r>
      <w:r w:rsidR="00655B64">
        <w:rPr>
          <w:rFonts w:ascii="Arial" w:hAnsi="Arial" w:cs="Arial"/>
          <w:sz w:val="20"/>
          <w:szCs w:val="20"/>
        </w:rPr>
        <w:t>-</w:t>
      </w:r>
      <w:r w:rsidR="00655B64" w:rsidRPr="00655B64">
        <w:rPr>
          <w:rFonts w:ascii="Arial" w:hAnsi="Arial" w:cs="Arial"/>
          <w:sz w:val="20"/>
          <w:szCs w:val="20"/>
        </w:rPr>
        <w:t xml:space="preserve">APP-CAL- 2018/00059) [2019] NAHCNLD 76 (14 May 2019); </w:t>
      </w:r>
      <w:proofErr w:type="spellStart"/>
      <w:r w:rsidR="00655B64" w:rsidRPr="00655B64">
        <w:rPr>
          <w:rFonts w:ascii="Arial" w:hAnsi="Arial" w:cs="Arial"/>
          <w:i/>
          <w:sz w:val="20"/>
          <w:szCs w:val="20"/>
        </w:rPr>
        <w:t>Relito</w:t>
      </w:r>
      <w:proofErr w:type="spellEnd"/>
      <w:r w:rsidR="00655B64" w:rsidRPr="00655B64">
        <w:rPr>
          <w:rFonts w:ascii="Arial" w:hAnsi="Arial" w:cs="Arial"/>
          <w:i/>
          <w:sz w:val="20"/>
          <w:szCs w:val="20"/>
        </w:rPr>
        <w:t xml:space="preserve"> v State </w:t>
      </w:r>
      <w:r w:rsidR="00655B64" w:rsidRPr="00655B64">
        <w:rPr>
          <w:rFonts w:ascii="Arial" w:hAnsi="Arial" w:cs="Arial"/>
          <w:sz w:val="20"/>
          <w:szCs w:val="20"/>
        </w:rPr>
        <w:t xml:space="preserve">(CA 127/2013) [2014] NAHCMD 64 (14 February 2014); </w:t>
      </w:r>
      <w:proofErr w:type="spellStart"/>
      <w:r w:rsidR="00655B64" w:rsidRPr="00655B64">
        <w:rPr>
          <w:rFonts w:ascii="Arial" w:hAnsi="Arial" w:cs="Arial"/>
          <w:i/>
          <w:sz w:val="20"/>
          <w:szCs w:val="20"/>
        </w:rPr>
        <w:t>Fillemon</w:t>
      </w:r>
      <w:proofErr w:type="spellEnd"/>
      <w:r w:rsidR="00655B64" w:rsidRPr="00655B64">
        <w:rPr>
          <w:rFonts w:ascii="Arial" w:hAnsi="Arial" w:cs="Arial"/>
          <w:i/>
          <w:sz w:val="20"/>
          <w:szCs w:val="20"/>
        </w:rPr>
        <w:t xml:space="preserve"> v State </w:t>
      </w:r>
      <w:r w:rsidR="00655B64" w:rsidRPr="00655B64">
        <w:rPr>
          <w:rFonts w:ascii="Arial" w:hAnsi="Arial" w:cs="Arial"/>
          <w:sz w:val="20"/>
          <w:szCs w:val="20"/>
        </w:rPr>
        <w:t>(CA 80/2013) [2014] NAHCMD 58 (14 February 2014)</w:t>
      </w:r>
      <w:r w:rsidR="00655B64">
        <w:rPr>
          <w:rFonts w:ascii="Arial" w:hAnsi="Arial" w:cs="Arial"/>
          <w:sz w:val="20"/>
          <w:szCs w:val="20"/>
        </w:rPr>
        <w:t>.</w:t>
      </w:r>
    </w:p>
  </w:footnote>
  <w:footnote w:id="5">
    <w:p w:rsidR="009C5EB1" w:rsidRPr="008000E5" w:rsidRDefault="009C5EB1" w:rsidP="009C5EB1">
      <w:pPr>
        <w:pStyle w:val="FootnoteText"/>
        <w:rPr>
          <w:rFonts w:ascii="Arial" w:hAnsi="Arial" w:cs="Arial"/>
          <w:lang w:val="en-US"/>
        </w:rPr>
      </w:pPr>
      <w:r w:rsidRPr="008000E5">
        <w:rPr>
          <w:rStyle w:val="FootnoteReference"/>
          <w:rFonts w:ascii="Arial" w:hAnsi="Arial" w:cs="Arial"/>
        </w:rPr>
        <w:footnoteRef/>
      </w:r>
      <w:r w:rsidRPr="008000E5">
        <w:rPr>
          <w:rFonts w:ascii="Arial" w:hAnsi="Arial" w:cs="Arial"/>
        </w:rPr>
        <w:t xml:space="preserve"> </w:t>
      </w:r>
      <w:proofErr w:type="gramStart"/>
      <w:r w:rsidR="00DD5D29" w:rsidRPr="00DD5D29">
        <w:rPr>
          <w:rFonts w:ascii="Arial" w:eastAsia="Calibri" w:hAnsi="Arial" w:cs="Arial"/>
          <w:i/>
          <w:iCs/>
        </w:rPr>
        <w:t xml:space="preserve">S v </w:t>
      </w:r>
      <w:proofErr w:type="spellStart"/>
      <w:r w:rsidR="00DD5D29" w:rsidRPr="00DD5D29">
        <w:rPr>
          <w:rFonts w:ascii="Arial" w:eastAsia="Calibri" w:hAnsi="Arial" w:cs="Arial"/>
          <w:i/>
          <w:iCs/>
        </w:rPr>
        <w:t>Nakapela</w:t>
      </w:r>
      <w:proofErr w:type="spellEnd"/>
      <w:r w:rsidR="00DD5D29" w:rsidRPr="00DD5D29">
        <w:rPr>
          <w:rFonts w:ascii="Arial" w:eastAsia="Calibri" w:hAnsi="Arial" w:cs="Arial"/>
          <w:i/>
          <w:iCs/>
        </w:rPr>
        <w:t xml:space="preserve"> and another</w:t>
      </w:r>
      <w:r w:rsidR="00DD5D29">
        <w:rPr>
          <w:rFonts w:ascii="Arial" w:eastAsia="Calibri" w:hAnsi="Arial" w:cs="Arial"/>
          <w:i/>
          <w:iCs/>
        </w:rPr>
        <w:t xml:space="preserve"> (supra).</w:t>
      </w:r>
      <w:proofErr w:type="gramEnd"/>
    </w:p>
  </w:footnote>
  <w:footnote w:id="6">
    <w:p w:rsidR="00293A2C" w:rsidRPr="00293A2C" w:rsidRDefault="00293A2C">
      <w:pPr>
        <w:pStyle w:val="FootnoteText"/>
        <w:rPr>
          <w:lang w:val="en-US"/>
        </w:rPr>
      </w:pPr>
      <w:r>
        <w:rPr>
          <w:rStyle w:val="FootnoteReference"/>
        </w:rPr>
        <w:footnoteRef/>
      </w:r>
      <w:r>
        <w:t xml:space="preserve"> </w:t>
      </w:r>
      <w:proofErr w:type="gramStart"/>
      <w:r w:rsidRPr="00293A2C">
        <w:rPr>
          <w:rFonts w:ascii="Arial" w:eastAsia="Calibri" w:hAnsi="Arial" w:cs="Arial"/>
          <w:i/>
        </w:rPr>
        <w:t xml:space="preserve">S v </w:t>
      </w:r>
      <w:proofErr w:type="spellStart"/>
      <w:r w:rsidRPr="00293A2C">
        <w:rPr>
          <w:rFonts w:ascii="Arial" w:eastAsia="Calibri" w:hAnsi="Arial" w:cs="Arial"/>
          <w:i/>
        </w:rPr>
        <w:t>Likoro</w:t>
      </w:r>
      <w:proofErr w:type="spellEnd"/>
      <w:r>
        <w:rPr>
          <w:rStyle w:val="FootnoteReference"/>
          <w:rFonts w:ascii="Arial" w:eastAsia="Calibri" w:hAnsi="Arial" w:cs="Arial"/>
          <w:i/>
        </w:rPr>
        <w:t xml:space="preserve"> </w:t>
      </w:r>
      <w:r w:rsidRPr="00293A2C">
        <w:rPr>
          <w:rFonts w:ascii="Arial" w:eastAsia="Calibri" w:hAnsi="Arial" w:cs="Arial"/>
        </w:rPr>
        <w:t>2022 (2) NR 443 (SC)</w:t>
      </w:r>
      <w:r>
        <w:rPr>
          <w:rFonts w:ascii="Arial" w:eastAsia="Calibri"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011"/>
      <w:docPartObj>
        <w:docPartGallery w:val="Page Numbers (Top of Page)"/>
        <w:docPartUnique/>
      </w:docPartObj>
    </w:sdtPr>
    <w:sdtEndPr>
      <w:rPr>
        <w:noProof/>
      </w:rPr>
    </w:sdtEndPr>
    <w:sdtContent>
      <w:p w:rsidR="006D7BC5" w:rsidRDefault="006D7BC5">
        <w:pPr>
          <w:pStyle w:val="Header"/>
          <w:jc w:val="right"/>
        </w:pPr>
        <w:r>
          <w:fldChar w:fldCharType="begin"/>
        </w:r>
        <w:r>
          <w:instrText xml:space="preserve"> PAGE   \* MERGEFORMAT </w:instrText>
        </w:r>
        <w:r>
          <w:fldChar w:fldCharType="separate"/>
        </w:r>
        <w:r w:rsidR="00540B1B">
          <w:rPr>
            <w:noProof/>
          </w:rPr>
          <w:t>11</w:t>
        </w:r>
        <w:r>
          <w:rPr>
            <w:noProof/>
          </w:rPr>
          <w:fldChar w:fldCharType="end"/>
        </w:r>
      </w:p>
    </w:sdtContent>
  </w:sdt>
  <w:p w:rsidR="006D7BC5" w:rsidRDefault="006D7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088"/>
    <w:multiLevelType w:val="hybridMultilevel"/>
    <w:tmpl w:val="E21003DE"/>
    <w:lvl w:ilvl="0" w:tplc="419C6E1E">
      <w:start w:val="1"/>
      <w:numFmt w:val="lowerLetter"/>
      <w:lvlText w:val="(%1)"/>
      <w:lvlJc w:val="left"/>
      <w:pPr>
        <w:ind w:left="1170" w:hanging="360"/>
      </w:pPr>
    </w:lvl>
    <w:lvl w:ilvl="1" w:tplc="1C090019">
      <w:start w:val="1"/>
      <w:numFmt w:val="lowerLetter"/>
      <w:lvlText w:val="%2."/>
      <w:lvlJc w:val="left"/>
      <w:pPr>
        <w:ind w:left="1890" w:hanging="360"/>
      </w:pPr>
    </w:lvl>
    <w:lvl w:ilvl="2" w:tplc="1C09001B">
      <w:start w:val="1"/>
      <w:numFmt w:val="lowerRoman"/>
      <w:lvlText w:val="%3."/>
      <w:lvlJc w:val="right"/>
      <w:pPr>
        <w:ind w:left="2610" w:hanging="180"/>
      </w:pPr>
    </w:lvl>
    <w:lvl w:ilvl="3" w:tplc="1C09000F">
      <w:start w:val="1"/>
      <w:numFmt w:val="decimal"/>
      <w:lvlText w:val="%4."/>
      <w:lvlJc w:val="left"/>
      <w:pPr>
        <w:ind w:left="3330" w:hanging="360"/>
      </w:pPr>
    </w:lvl>
    <w:lvl w:ilvl="4" w:tplc="1C090019">
      <w:start w:val="1"/>
      <w:numFmt w:val="lowerLetter"/>
      <w:lvlText w:val="%5."/>
      <w:lvlJc w:val="left"/>
      <w:pPr>
        <w:ind w:left="4050" w:hanging="360"/>
      </w:pPr>
    </w:lvl>
    <w:lvl w:ilvl="5" w:tplc="1C09001B">
      <w:start w:val="1"/>
      <w:numFmt w:val="lowerRoman"/>
      <w:lvlText w:val="%6."/>
      <w:lvlJc w:val="right"/>
      <w:pPr>
        <w:ind w:left="4770" w:hanging="180"/>
      </w:pPr>
    </w:lvl>
    <w:lvl w:ilvl="6" w:tplc="1C09000F">
      <w:start w:val="1"/>
      <w:numFmt w:val="decimal"/>
      <w:lvlText w:val="%7."/>
      <w:lvlJc w:val="left"/>
      <w:pPr>
        <w:ind w:left="5490" w:hanging="360"/>
      </w:pPr>
    </w:lvl>
    <w:lvl w:ilvl="7" w:tplc="1C090019">
      <w:start w:val="1"/>
      <w:numFmt w:val="lowerLetter"/>
      <w:lvlText w:val="%8."/>
      <w:lvlJc w:val="left"/>
      <w:pPr>
        <w:ind w:left="6210" w:hanging="360"/>
      </w:pPr>
    </w:lvl>
    <w:lvl w:ilvl="8" w:tplc="1C09001B">
      <w:start w:val="1"/>
      <w:numFmt w:val="lowerRoman"/>
      <w:lvlText w:val="%9."/>
      <w:lvlJc w:val="right"/>
      <w:pPr>
        <w:ind w:left="6930" w:hanging="180"/>
      </w:pPr>
    </w:lvl>
  </w:abstractNum>
  <w:abstractNum w:abstractNumId="1">
    <w:nsid w:val="32581D3E"/>
    <w:multiLevelType w:val="hybridMultilevel"/>
    <w:tmpl w:val="34FE5F26"/>
    <w:lvl w:ilvl="0" w:tplc="C08651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5E2F6D25"/>
    <w:multiLevelType w:val="hybridMultilevel"/>
    <w:tmpl w:val="71322634"/>
    <w:lvl w:ilvl="0" w:tplc="73C494DA">
      <w:start w:val="1"/>
      <w:numFmt w:val="decimal"/>
      <w:lvlText w:val="%1."/>
      <w:lvlJc w:val="left"/>
      <w:pPr>
        <w:ind w:left="1095" w:hanging="360"/>
      </w:pPr>
      <w:rPr>
        <w:rFonts w:eastAsiaTheme="minorHAnsi" w:hint="default"/>
        <w:b w:val="0"/>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639E654F"/>
    <w:multiLevelType w:val="hybridMultilevel"/>
    <w:tmpl w:val="9C481218"/>
    <w:lvl w:ilvl="0" w:tplc="C228F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5D41D6"/>
    <w:multiLevelType w:val="multilevel"/>
    <w:tmpl w:val="D5C0E7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88"/>
    <w:rsid w:val="00011CC8"/>
    <w:rsid w:val="0006153D"/>
    <w:rsid w:val="00081C10"/>
    <w:rsid w:val="00090098"/>
    <w:rsid w:val="00094339"/>
    <w:rsid w:val="000E05A7"/>
    <w:rsid w:val="001456EA"/>
    <w:rsid w:val="0016645A"/>
    <w:rsid w:val="001A6A0C"/>
    <w:rsid w:val="001C422A"/>
    <w:rsid w:val="001D4B12"/>
    <w:rsid w:val="001D5DFC"/>
    <w:rsid w:val="001F2F1C"/>
    <w:rsid w:val="00281C67"/>
    <w:rsid w:val="002914EA"/>
    <w:rsid w:val="00293A2C"/>
    <w:rsid w:val="002E1BFE"/>
    <w:rsid w:val="002F24BE"/>
    <w:rsid w:val="002F4ADD"/>
    <w:rsid w:val="002F6BC4"/>
    <w:rsid w:val="003048E8"/>
    <w:rsid w:val="00305DBA"/>
    <w:rsid w:val="003501CB"/>
    <w:rsid w:val="00351434"/>
    <w:rsid w:val="003667E0"/>
    <w:rsid w:val="00384DD9"/>
    <w:rsid w:val="003A22E7"/>
    <w:rsid w:val="003D0A7C"/>
    <w:rsid w:val="00404461"/>
    <w:rsid w:val="004260FC"/>
    <w:rsid w:val="0044129D"/>
    <w:rsid w:val="00470086"/>
    <w:rsid w:val="00471713"/>
    <w:rsid w:val="00496995"/>
    <w:rsid w:val="004C3246"/>
    <w:rsid w:val="00510EC6"/>
    <w:rsid w:val="00517FE9"/>
    <w:rsid w:val="00540B1B"/>
    <w:rsid w:val="0054101C"/>
    <w:rsid w:val="00542CC1"/>
    <w:rsid w:val="005567CA"/>
    <w:rsid w:val="005D4B0C"/>
    <w:rsid w:val="005D4C9D"/>
    <w:rsid w:val="005E4F4B"/>
    <w:rsid w:val="00621A1C"/>
    <w:rsid w:val="00633A0B"/>
    <w:rsid w:val="00655B64"/>
    <w:rsid w:val="006B22AB"/>
    <w:rsid w:val="006C14A3"/>
    <w:rsid w:val="006D7BC5"/>
    <w:rsid w:val="006F4658"/>
    <w:rsid w:val="007028AB"/>
    <w:rsid w:val="00705CBF"/>
    <w:rsid w:val="007602E5"/>
    <w:rsid w:val="00760807"/>
    <w:rsid w:val="00795332"/>
    <w:rsid w:val="007C1972"/>
    <w:rsid w:val="007D0E09"/>
    <w:rsid w:val="007E1A21"/>
    <w:rsid w:val="00810A30"/>
    <w:rsid w:val="008121D9"/>
    <w:rsid w:val="008176DA"/>
    <w:rsid w:val="008363F9"/>
    <w:rsid w:val="00843F88"/>
    <w:rsid w:val="0087498C"/>
    <w:rsid w:val="00893309"/>
    <w:rsid w:val="008B3D67"/>
    <w:rsid w:val="00917B16"/>
    <w:rsid w:val="009378D7"/>
    <w:rsid w:val="0095782B"/>
    <w:rsid w:val="00994F8B"/>
    <w:rsid w:val="009C125E"/>
    <w:rsid w:val="009C5EB1"/>
    <w:rsid w:val="009E6D1E"/>
    <w:rsid w:val="00A56740"/>
    <w:rsid w:val="00AC4428"/>
    <w:rsid w:val="00AD4394"/>
    <w:rsid w:val="00AD5B38"/>
    <w:rsid w:val="00AD6D9A"/>
    <w:rsid w:val="00AF31E3"/>
    <w:rsid w:val="00AF743B"/>
    <w:rsid w:val="00B61FA6"/>
    <w:rsid w:val="00B739AF"/>
    <w:rsid w:val="00B7647D"/>
    <w:rsid w:val="00B76746"/>
    <w:rsid w:val="00BA5EB0"/>
    <w:rsid w:val="00BC6AAE"/>
    <w:rsid w:val="00BD6F28"/>
    <w:rsid w:val="00BE311E"/>
    <w:rsid w:val="00BE4877"/>
    <w:rsid w:val="00BE7C05"/>
    <w:rsid w:val="00C00D3E"/>
    <w:rsid w:val="00C075AE"/>
    <w:rsid w:val="00C92939"/>
    <w:rsid w:val="00CB521E"/>
    <w:rsid w:val="00CE6CB7"/>
    <w:rsid w:val="00D006FB"/>
    <w:rsid w:val="00D57DC2"/>
    <w:rsid w:val="00DD5D29"/>
    <w:rsid w:val="00DE132C"/>
    <w:rsid w:val="00DF235C"/>
    <w:rsid w:val="00EB067B"/>
    <w:rsid w:val="00EB7BFB"/>
    <w:rsid w:val="00EF2B80"/>
    <w:rsid w:val="00F22355"/>
    <w:rsid w:val="00F86C30"/>
    <w:rsid w:val="00FB7A13"/>
    <w:rsid w:val="00FC00A1"/>
    <w:rsid w:val="00FE351A"/>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88"/>
    <w:pPr>
      <w:ind w:left="720"/>
      <w:contextualSpacing/>
    </w:pPr>
  </w:style>
  <w:style w:type="paragraph" w:styleId="FootnoteText">
    <w:name w:val="footnote text"/>
    <w:basedOn w:val="Normal"/>
    <w:link w:val="FootnoteTextChar"/>
    <w:uiPriority w:val="99"/>
    <w:unhideWhenUsed/>
    <w:rsid w:val="0009009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090098"/>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090098"/>
    <w:rPr>
      <w:vertAlign w:val="superscript"/>
    </w:rPr>
  </w:style>
  <w:style w:type="paragraph" w:styleId="Header">
    <w:name w:val="header"/>
    <w:basedOn w:val="Normal"/>
    <w:link w:val="HeaderChar"/>
    <w:uiPriority w:val="99"/>
    <w:unhideWhenUsed/>
    <w:rsid w:val="006D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C5"/>
  </w:style>
  <w:style w:type="paragraph" w:styleId="Footer">
    <w:name w:val="footer"/>
    <w:basedOn w:val="Normal"/>
    <w:link w:val="FooterChar"/>
    <w:uiPriority w:val="99"/>
    <w:unhideWhenUsed/>
    <w:rsid w:val="006D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C5"/>
  </w:style>
  <w:style w:type="paragraph" w:styleId="NoSpacing">
    <w:name w:val="No Spacing"/>
    <w:uiPriority w:val="1"/>
    <w:qFormat/>
    <w:rsid w:val="008B3D67"/>
    <w:pPr>
      <w:spacing w:after="0" w:line="240" w:lineRule="auto"/>
    </w:pPr>
    <w:rPr>
      <w:lang w:val="en-ZA"/>
    </w:rPr>
  </w:style>
  <w:style w:type="paragraph" w:styleId="BalloonText">
    <w:name w:val="Balloon Text"/>
    <w:basedOn w:val="Normal"/>
    <w:link w:val="BalloonTextChar"/>
    <w:uiPriority w:val="99"/>
    <w:semiHidden/>
    <w:unhideWhenUsed/>
    <w:rsid w:val="007D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88"/>
    <w:pPr>
      <w:ind w:left="720"/>
      <w:contextualSpacing/>
    </w:pPr>
  </w:style>
  <w:style w:type="paragraph" w:styleId="FootnoteText">
    <w:name w:val="footnote text"/>
    <w:basedOn w:val="Normal"/>
    <w:link w:val="FootnoteTextChar"/>
    <w:uiPriority w:val="99"/>
    <w:unhideWhenUsed/>
    <w:rsid w:val="0009009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090098"/>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090098"/>
    <w:rPr>
      <w:vertAlign w:val="superscript"/>
    </w:rPr>
  </w:style>
  <w:style w:type="paragraph" w:styleId="Header">
    <w:name w:val="header"/>
    <w:basedOn w:val="Normal"/>
    <w:link w:val="HeaderChar"/>
    <w:uiPriority w:val="99"/>
    <w:unhideWhenUsed/>
    <w:rsid w:val="006D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C5"/>
  </w:style>
  <w:style w:type="paragraph" w:styleId="Footer">
    <w:name w:val="footer"/>
    <w:basedOn w:val="Normal"/>
    <w:link w:val="FooterChar"/>
    <w:uiPriority w:val="99"/>
    <w:unhideWhenUsed/>
    <w:rsid w:val="006D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C5"/>
  </w:style>
  <w:style w:type="paragraph" w:styleId="NoSpacing">
    <w:name w:val="No Spacing"/>
    <w:uiPriority w:val="1"/>
    <w:qFormat/>
    <w:rsid w:val="008B3D67"/>
    <w:pPr>
      <w:spacing w:after="0" w:line="240" w:lineRule="auto"/>
    </w:pPr>
    <w:rPr>
      <w:lang w:val="en-ZA"/>
    </w:rPr>
  </w:style>
  <w:style w:type="paragraph" w:styleId="BalloonText">
    <w:name w:val="Balloon Text"/>
    <w:basedOn w:val="Normal"/>
    <w:link w:val="BalloonTextChar"/>
    <w:uiPriority w:val="99"/>
    <w:semiHidden/>
    <w:unhideWhenUsed/>
    <w:rsid w:val="007D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0731">
      <w:bodyDiv w:val="1"/>
      <w:marLeft w:val="0"/>
      <w:marRight w:val="0"/>
      <w:marTop w:val="0"/>
      <w:marBottom w:val="0"/>
      <w:divBdr>
        <w:top w:val="none" w:sz="0" w:space="0" w:color="auto"/>
        <w:left w:val="none" w:sz="0" w:space="0" w:color="auto"/>
        <w:bottom w:val="none" w:sz="0" w:space="0" w:color="auto"/>
        <w:right w:val="none" w:sz="0" w:space="0" w:color="auto"/>
      </w:divBdr>
    </w:div>
    <w:div w:id="652218655">
      <w:bodyDiv w:val="1"/>
      <w:marLeft w:val="0"/>
      <w:marRight w:val="0"/>
      <w:marTop w:val="0"/>
      <w:marBottom w:val="0"/>
      <w:divBdr>
        <w:top w:val="none" w:sz="0" w:space="0" w:color="auto"/>
        <w:left w:val="none" w:sz="0" w:space="0" w:color="auto"/>
        <w:bottom w:val="none" w:sz="0" w:space="0" w:color="auto"/>
        <w:right w:val="none" w:sz="0" w:space="0" w:color="auto"/>
      </w:divBdr>
    </w:div>
    <w:div w:id="825098613">
      <w:bodyDiv w:val="1"/>
      <w:marLeft w:val="0"/>
      <w:marRight w:val="0"/>
      <w:marTop w:val="0"/>
      <w:marBottom w:val="0"/>
      <w:divBdr>
        <w:top w:val="none" w:sz="0" w:space="0" w:color="auto"/>
        <w:left w:val="none" w:sz="0" w:space="0" w:color="auto"/>
        <w:bottom w:val="none" w:sz="0" w:space="0" w:color="auto"/>
        <w:right w:val="none" w:sz="0" w:space="0" w:color="auto"/>
      </w:divBdr>
    </w:div>
    <w:div w:id="865405813">
      <w:bodyDiv w:val="1"/>
      <w:marLeft w:val="0"/>
      <w:marRight w:val="0"/>
      <w:marTop w:val="0"/>
      <w:marBottom w:val="0"/>
      <w:divBdr>
        <w:top w:val="none" w:sz="0" w:space="0" w:color="auto"/>
        <w:left w:val="none" w:sz="0" w:space="0" w:color="auto"/>
        <w:bottom w:val="none" w:sz="0" w:space="0" w:color="auto"/>
        <w:right w:val="none" w:sz="0" w:space="0" w:color="auto"/>
      </w:divBdr>
    </w:div>
    <w:div w:id="1308631412">
      <w:bodyDiv w:val="1"/>
      <w:marLeft w:val="0"/>
      <w:marRight w:val="0"/>
      <w:marTop w:val="0"/>
      <w:marBottom w:val="0"/>
      <w:divBdr>
        <w:top w:val="none" w:sz="0" w:space="0" w:color="auto"/>
        <w:left w:val="none" w:sz="0" w:space="0" w:color="auto"/>
        <w:bottom w:val="none" w:sz="0" w:space="0" w:color="auto"/>
        <w:right w:val="none" w:sz="0" w:space="0" w:color="auto"/>
      </w:divBdr>
    </w:div>
    <w:div w:id="1364136713">
      <w:bodyDiv w:val="1"/>
      <w:marLeft w:val="0"/>
      <w:marRight w:val="0"/>
      <w:marTop w:val="0"/>
      <w:marBottom w:val="0"/>
      <w:divBdr>
        <w:top w:val="none" w:sz="0" w:space="0" w:color="auto"/>
        <w:left w:val="none" w:sz="0" w:space="0" w:color="auto"/>
        <w:bottom w:val="none" w:sz="0" w:space="0" w:color="auto"/>
        <w:right w:val="none" w:sz="0" w:space="0" w:color="auto"/>
      </w:divBdr>
    </w:div>
    <w:div w:id="1690063381">
      <w:bodyDiv w:val="1"/>
      <w:marLeft w:val="0"/>
      <w:marRight w:val="0"/>
      <w:marTop w:val="0"/>
      <w:marBottom w:val="0"/>
      <w:divBdr>
        <w:top w:val="none" w:sz="0" w:space="0" w:color="auto"/>
        <w:left w:val="none" w:sz="0" w:space="0" w:color="auto"/>
        <w:bottom w:val="none" w:sz="0" w:space="0" w:color="auto"/>
        <w:right w:val="none" w:sz="0" w:space="0" w:color="auto"/>
      </w:divBdr>
    </w:div>
    <w:div w:id="1728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2023-05-07T18:30:00+00:00</Judgment_x0020_Date>
  </documentManagement>
</p:properties>
</file>

<file path=customXml/itemProps1.xml><?xml version="1.0" encoding="utf-8"?>
<ds:datastoreItem xmlns:ds="http://schemas.openxmlformats.org/officeDocument/2006/customXml" ds:itemID="{9BF7BB75-A0C5-462F-BC1C-A00E892E6CBD}"/>
</file>

<file path=customXml/itemProps2.xml><?xml version="1.0" encoding="utf-8"?>
<ds:datastoreItem xmlns:ds="http://schemas.openxmlformats.org/officeDocument/2006/customXml" ds:itemID="{4FC9F32A-50FA-464A-A7C2-E9E452E037BA}"/>
</file>

<file path=customXml/itemProps3.xml><?xml version="1.0" encoding="utf-8"?>
<ds:datastoreItem xmlns:ds="http://schemas.openxmlformats.org/officeDocument/2006/customXml" ds:itemID="{E9EAC194-F882-4438-B566-1450D4E7C44E}"/>
</file>

<file path=customXml/itemProps4.xml><?xml version="1.0" encoding="utf-8"?>
<ds:datastoreItem xmlns:ds="http://schemas.openxmlformats.org/officeDocument/2006/customXml" ds:itemID="{AE90FE9D-914E-4F17-9503-DD379350E50E}"/>
</file>

<file path=docProps/app.xml><?xml version="1.0" encoding="utf-8"?>
<Properties xmlns="http://schemas.openxmlformats.org/officeDocument/2006/extended-properties" xmlns:vt="http://schemas.openxmlformats.org/officeDocument/2006/docPropsVTypes">
  <Template>Normal</Template>
  <TotalTime>25</TotalTime>
  <Pages>11</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v S (HC-MD-CRI-APP-CAL-2021-00068) [2023] NAHCMD 230 (08 May 2023)</dc:title>
  <dc:creator>Herman C. January</dc:creator>
  <cp:lastModifiedBy>Michelle N. Ullrich</cp:lastModifiedBy>
  <cp:revision>6</cp:revision>
  <cp:lastPrinted>2023-05-08T06:27:00Z</cp:lastPrinted>
  <dcterms:created xsi:type="dcterms:W3CDTF">2023-05-08T05:45:00Z</dcterms:created>
  <dcterms:modified xsi:type="dcterms:W3CDTF">2023-05-08T07:33:00Z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