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7C" w:rsidRPr="00D76605" w:rsidRDefault="00A82F7C" w:rsidP="00A82F7C">
      <w:pPr>
        <w:spacing w:after="0" w:line="24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REPUBLIC OF NAMIBIA</w:t>
      </w:r>
    </w:p>
    <w:p w:rsidR="00A82F7C" w:rsidRPr="00D76605" w:rsidRDefault="00A82F7C" w:rsidP="00A82F7C">
      <w:pPr>
        <w:spacing w:after="0" w:line="240" w:lineRule="auto"/>
        <w:jc w:val="center"/>
        <w:rPr>
          <w:rFonts w:ascii="Arial" w:eastAsia="Times New Roman" w:hAnsi="Arial" w:cs="Arial"/>
          <w:sz w:val="24"/>
          <w:szCs w:val="24"/>
          <w:lang w:val="en-GB"/>
        </w:rPr>
      </w:pPr>
      <w:r w:rsidRPr="00D76605">
        <w:rPr>
          <w:rFonts w:ascii="Arial" w:eastAsia="Times New Roman" w:hAnsi="Arial" w:cs="Arial"/>
          <w:noProof/>
          <w:sz w:val="24"/>
          <w:szCs w:val="24"/>
        </w:rPr>
        <w:drawing>
          <wp:inline distT="0" distB="0" distL="0" distR="0" wp14:anchorId="0E2241B9" wp14:editId="53400FAD">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A82F7C" w:rsidRPr="00D76605" w:rsidRDefault="00A82F7C" w:rsidP="00A82F7C">
      <w:pPr>
        <w:spacing w:after="0" w:line="240" w:lineRule="auto"/>
        <w:jc w:val="center"/>
        <w:rPr>
          <w:rFonts w:ascii="Arial" w:eastAsia="Times New Roman" w:hAnsi="Arial" w:cs="Arial"/>
          <w:sz w:val="24"/>
          <w:szCs w:val="24"/>
          <w:lang w:val="en-GB"/>
        </w:rPr>
      </w:pPr>
    </w:p>
    <w:p w:rsidR="00A82F7C" w:rsidRPr="00D76605" w:rsidRDefault="00A82F7C" w:rsidP="00A82F7C">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IN THE HIGH COURT OF NAMIBIA, MAIN DIVISION, WINDHOEK</w:t>
      </w:r>
    </w:p>
    <w:p w:rsidR="00A82F7C" w:rsidRPr="00D76605" w:rsidRDefault="00A82F7C" w:rsidP="00A82F7C">
      <w:pPr>
        <w:spacing w:after="0" w:line="360" w:lineRule="auto"/>
        <w:jc w:val="center"/>
        <w:rPr>
          <w:rFonts w:ascii="Arial" w:eastAsia="Times New Roman" w:hAnsi="Arial" w:cs="Arial"/>
          <w:sz w:val="24"/>
          <w:szCs w:val="24"/>
          <w:lang w:val="en-GB"/>
        </w:rPr>
      </w:pPr>
      <w:r w:rsidRPr="00D76605">
        <w:rPr>
          <w:rFonts w:ascii="Arial" w:eastAsia="Times New Roman" w:hAnsi="Arial" w:cs="Arial"/>
          <w:b/>
          <w:sz w:val="24"/>
          <w:szCs w:val="24"/>
          <w:lang w:val="en-GB"/>
        </w:rPr>
        <w:t>REVIEW JUDGMENT</w:t>
      </w:r>
    </w:p>
    <w:p w:rsidR="00A82F7C" w:rsidRPr="00D76605" w:rsidRDefault="00A82F7C" w:rsidP="00A82F7C">
      <w:pPr>
        <w:spacing w:line="256" w:lineRule="auto"/>
        <w:rPr>
          <w:rFonts w:ascii="Arial" w:hAnsi="Arial" w:cs="Arial"/>
          <w:sz w:val="24"/>
          <w:szCs w:val="24"/>
          <w:lang w:val="en-ZA"/>
        </w:rPr>
      </w:pPr>
    </w:p>
    <w:tbl>
      <w:tblPr>
        <w:tblStyle w:val="TableGrid"/>
        <w:tblW w:w="9630" w:type="dxa"/>
        <w:tblInd w:w="-185" w:type="dxa"/>
        <w:tblLook w:val="04A0" w:firstRow="1" w:lastRow="0" w:firstColumn="1" w:lastColumn="0" w:noHBand="0" w:noVBand="1"/>
      </w:tblPr>
      <w:tblGrid>
        <w:gridCol w:w="4680"/>
        <w:gridCol w:w="627"/>
        <w:gridCol w:w="4323"/>
      </w:tblGrid>
      <w:tr w:rsidR="00FD7904" w:rsidRPr="00FD7904" w:rsidTr="008910B1">
        <w:trPr>
          <w:trHeight w:val="744"/>
        </w:trPr>
        <w:tc>
          <w:tcPr>
            <w:tcW w:w="5307" w:type="dxa"/>
            <w:gridSpan w:val="2"/>
            <w:tcBorders>
              <w:top w:val="single" w:sz="4" w:space="0" w:color="auto"/>
              <w:left w:val="single" w:sz="4" w:space="0" w:color="auto"/>
              <w:bottom w:val="single" w:sz="4" w:space="0" w:color="auto"/>
              <w:right w:val="single" w:sz="4" w:space="0" w:color="auto"/>
            </w:tcBorders>
            <w:hideMark/>
          </w:tcPr>
          <w:p w:rsidR="00FD7904" w:rsidRPr="00FD7904" w:rsidRDefault="00053E00" w:rsidP="00FD7904">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00FD7904" w:rsidRPr="00FD7904">
              <w:rPr>
                <w:rFonts w:ascii="Arial" w:hAnsi="Arial" w:cs="Arial"/>
                <w:b/>
                <w:color w:val="171717" w:themeColor="background2" w:themeShade="1A"/>
                <w:sz w:val="24"/>
                <w:szCs w:val="24"/>
              </w:rPr>
              <w:t>ase Title:</w:t>
            </w:r>
          </w:p>
          <w:p w:rsidR="00FD7904" w:rsidRPr="00053E00" w:rsidRDefault="00FD7904" w:rsidP="00A103C3">
            <w:pPr>
              <w:spacing w:line="360" w:lineRule="auto"/>
              <w:jc w:val="both"/>
              <w:rPr>
                <w:rFonts w:ascii="Arial" w:hAnsi="Arial" w:cs="Arial"/>
                <w:color w:val="171717" w:themeColor="background2" w:themeShade="1A"/>
                <w:sz w:val="24"/>
                <w:szCs w:val="24"/>
              </w:rPr>
            </w:pPr>
            <w:r w:rsidRPr="00053E00">
              <w:rPr>
                <w:rFonts w:ascii="Arial" w:hAnsi="Arial" w:cs="Arial"/>
                <w:color w:val="171717" w:themeColor="background2" w:themeShade="1A"/>
                <w:sz w:val="24"/>
                <w:szCs w:val="24"/>
              </w:rPr>
              <w:t xml:space="preserve">The State v </w:t>
            </w:r>
            <w:r w:rsidR="00A103C3" w:rsidRPr="00053E00">
              <w:rPr>
                <w:rFonts w:ascii="Arial" w:hAnsi="Arial" w:cs="Arial"/>
                <w:color w:val="171717" w:themeColor="background2" w:themeShade="1A"/>
                <w:sz w:val="24"/>
                <w:szCs w:val="24"/>
              </w:rPr>
              <w:t xml:space="preserve">Stephanus </w:t>
            </w:r>
            <w:proofErr w:type="spellStart"/>
            <w:r w:rsidR="00A103C3" w:rsidRPr="00053E00">
              <w:rPr>
                <w:rFonts w:ascii="Arial" w:hAnsi="Arial" w:cs="Arial"/>
                <w:color w:val="171717" w:themeColor="background2" w:themeShade="1A"/>
                <w:sz w:val="24"/>
                <w:szCs w:val="24"/>
              </w:rPr>
              <w:t>Christiaans</w:t>
            </w:r>
            <w:proofErr w:type="spellEnd"/>
          </w:p>
        </w:tc>
        <w:tc>
          <w:tcPr>
            <w:tcW w:w="4323" w:type="dxa"/>
            <w:tcBorders>
              <w:top w:val="single" w:sz="4" w:space="0" w:color="auto"/>
              <w:left w:val="single" w:sz="4" w:space="0" w:color="auto"/>
              <w:bottom w:val="single" w:sz="4" w:space="0" w:color="auto"/>
              <w:right w:val="single" w:sz="4" w:space="0" w:color="auto"/>
            </w:tcBorders>
            <w:hideMark/>
          </w:tcPr>
          <w:p w:rsidR="00FD7904" w:rsidRPr="00FD7904" w:rsidRDefault="00FD7904" w:rsidP="00FD7904">
            <w:pPr>
              <w:spacing w:line="360" w:lineRule="auto"/>
              <w:jc w:val="both"/>
              <w:rPr>
                <w:rFonts w:ascii="Arial" w:hAnsi="Arial" w:cs="Arial"/>
                <w:b/>
                <w:color w:val="171717" w:themeColor="background2" w:themeShade="1A"/>
                <w:sz w:val="24"/>
                <w:szCs w:val="24"/>
              </w:rPr>
            </w:pPr>
            <w:r w:rsidRPr="00FD7904">
              <w:rPr>
                <w:rFonts w:ascii="Arial" w:hAnsi="Arial" w:cs="Arial"/>
                <w:b/>
                <w:color w:val="171717" w:themeColor="background2" w:themeShade="1A"/>
                <w:sz w:val="24"/>
                <w:szCs w:val="24"/>
              </w:rPr>
              <w:t>Case No:</w:t>
            </w:r>
          </w:p>
          <w:p w:rsidR="00FD7904" w:rsidRPr="00FD7904" w:rsidRDefault="00FD7904" w:rsidP="00A515EF">
            <w:pPr>
              <w:spacing w:line="360" w:lineRule="auto"/>
              <w:jc w:val="both"/>
              <w:rPr>
                <w:rFonts w:ascii="Arial" w:hAnsi="Arial" w:cs="Arial"/>
                <w:color w:val="171717" w:themeColor="background2" w:themeShade="1A"/>
                <w:sz w:val="24"/>
                <w:szCs w:val="24"/>
              </w:rPr>
            </w:pPr>
            <w:r w:rsidRPr="00FD7904">
              <w:rPr>
                <w:rFonts w:ascii="Arial" w:hAnsi="Arial" w:cs="Arial"/>
                <w:color w:val="171717" w:themeColor="background2" w:themeShade="1A"/>
                <w:sz w:val="24"/>
                <w:szCs w:val="24"/>
              </w:rPr>
              <w:t xml:space="preserve">CR </w:t>
            </w:r>
            <w:r w:rsidR="00A515EF">
              <w:rPr>
                <w:rFonts w:ascii="Arial" w:hAnsi="Arial" w:cs="Arial"/>
                <w:color w:val="171717" w:themeColor="background2" w:themeShade="1A"/>
                <w:sz w:val="24"/>
                <w:szCs w:val="24"/>
              </w:rPr>
              <w:t>53</w:t>
            </w:r>
            <w:r w:rsidRPr="00FD7904">
              <w:rPr>
                <w:rFonts w:ascii="Arial" w:hAnsi="Arial" w:cs="Arial"/>
                <w:color w:val="171717" w:themeColor="background2" w:themeShade="1A"/>
                <w:sz w:val="24"/>
                <w:szCs w:val="24"/>
              </w:rPr>
              <w:t>/2022</w:t>
            </w:r>
          </w:p>
        </w:tc>
      </w:tr>
      <w:tr w:rsidR="00FD7904" w:rsidRPr="00FD7904" w:rsidTr="008910B1">
        <w:trPr>
          <w:trHeight w:val="844"/>
        </w:trPr>
        <w:tc>
          <w:tcPr>
            <w:tcW w:w="5307" w:type="dxa"/>
            <w:gridSpan w:val="2"/>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jc w:val="both"/>
              <w:rPr>
                <w:rFonts w:ascii="Arial" w:hAnsi="Arial" w:cs="Arial"/>
                <w:b/>
                <w:sz w:val="24"/>
                <w:szCs w:val="24"/>
              </w:rPr>
            </w:pPr>
            <w:r w:rsidRPr="00FD7904">
              <w:rPr>
                <w:rFonts w:ascii="Arial" w:hAnsi="Arial" w:cs="Arial"/>
                <w:b/>
                <w:sz w:val="24"/>
                <w:szCs w:val="24"/>
              </w:rPr>
              <w:t>High Court MD Review No:</w:t>
            </w:r>
          </w:p>
          <w:p w:rsidR="00FD7904" w:rsidRPr="00FD7904" w:rsidRDefault="00A103C3" w:rsidP="00FD7904">
            <w:pPr>
              <w:spacing w:line="360" w:lineRule="auto"/>
              <w:jc w:val="both"/>
              <w:rPr>
                <w:rFonts w:ascii="Arial" w:hAnsi="Arial" w:cs="Arial"/>
                <w:sz w:val="24"/>
                <w:szCs w:val="24"/>
              </w:rPr>
            </w:pPr>
            <w:r>
              <w:rPr>
                <w:rFonts w:ascii="Arial" w:hAnsi="Arial" w:cs="Arial"/>
                <w:sz w:val="24"/>
                <w:szCs w:val="24"/>
              </w:rPr>
              <w:t>1868</w:t>
            </w:r>
            <w:r w:rsidR="00FD7904" w:rsidRPr="00FD7904">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FD7904" w:rsidRPr="00FD7904" w:rsidRDefault="00FD7904" w:rsidP="00FD7904">
            <w:pPr>
              <w:spacing w:line="360" w:lineRule="auto"/>
              <w:jc w:val="both"/>
              <w:rPr>
                <w:rFonts w:ascii="Arial" w:hAnsi="Arial" w:cs="Arial"/>
                <w:sz w:val="24"/>
                <w:szCs w:val="24"/>
              </w:rPr>
            </w:pPr>
            <w:r w:rsidRPr="00FD7904">
              <w:rPr>
                <w:rFonts w:ascii="Arial" w:hAnsi="Arial" w:cs="Arial"/>
                <w:b/>
                <w:sz w:val="24"/>
                <w:szCs w:val="24"/>
              </w:rPr>
              <w:t>Division of Court:</w:t>
            </w:r>
          </w:p>
          <w:p w:rsidR="00FD7904" w:rsidRPr="00FD7904" w:rsidRDefault="00FD7904" w:rsidP="00FD7904">
            <w:pPr>
              <w:spacing w:line="360" w:lineRule="auto"/>
              <w:jc w:val="both"/>
              <w:rPr>
                <w:rFonts w:ascii="Arial" w:hAnsi="Arial" w:cs="Arial"/>
                <w:sz w:val="24"/>
                <w:szCs w:val="24"/>
              </w:rPr>
            </w:pPr>
            <w:r w:rsidRPr="00FD7904">
              <w:rPr>
                <w:rFonts w:ascii="Arial" w:hAnsi="Arial" w:cs="Arial"/>
                <w:sz w:val="24"/>
                <w:szCs w:val="24"/>
              </w:rPr>
              <w:t>Main Division</w:t>
            </w:r>
          </w:p>
        </w:tc>
      </w:tr>
      <w:tr w:rsidR="00FD7904" w:rsidRPr="00FD7904" w:rsidTr="008910B1">
        <w:trPr>
          <w:trHeight w:val="796"/>
        </w:trPr>
        <w:tc>
          <w:tcPr>
            <w:tcW w:w="5307" w:type="dxa"/>
            <w:gridSpan w:val="2"/>
            <w:tcBorders>
              <w:top w:val="single" w:sz="4" w:space="0" w:color="auto"/>
              <w:left w:val="single" w:sz="4" w:space="0" w:color="auto"/>
              <w:bottom w:val="single" w:sz="4" w:space="0" w:color="auto"/>
              <w:right w:val="single" w:sz="4" w:space="0" w:color="auto"/>
            </w:tcBorders>
            <w:hideMark/>
          </w:tcPr>
          <w:p w:rsidR="00FD7904" w:rsidRPr="00FD7904" w:rsidRDefault="00FD7904" w:rsidP="00FD7904">
            <w:pPr>
              <w:spacing w:line="276" w:lineRule="auto"/>
              <w:contextualSpacing/>
              <w:jc w:val="both"/>
              <w:rPr>
                <w:rFonts w:ascii="Arial" w:hAnsi="Arial" w:cs="Arial"/>
                <w:b/>
                <w:sz w:val="24"/>
                <w:szCs w:val="24"/>
              </w:rPr>
            </w:pPr>
            <w:r w:rsidRPr="00FD7904">
              <w:rPr>
                <w:rFonts w:ascii="Arial" w:hAnsi="Arial" w:cs="Arial"/>
                <w:b/>
                <w:sz w:val="24"/>
                <w:szCs w:val="24"/>
              </w:rPr>
              <w:t>Heard before:</w:t>
            </w:r>
          </w:p>
          <w:p w:rsidR="00FD7904" w:rsidRPr="00FD7904" w:rsidRDefault="00053E00" w:rsidP="00FD7904">
            <w:pPr>
              <w:spacing w:line="276" w:lineRule="auto"/>
              <w:contextualSpacing/>
              <w:jc w:val="both"/>
              <w:rPr>
                <w:rFonts w:ascii="Arial" w:hAnsi="Arial" w:cs="Arial"/>
                <w:sz w:val="24"/>
                <w:szCs w:val="24"/>
              </w:rPr>
            </w:pPr>
            <w:r>
              <w:rPr>
                <w:rFonts w:ascii="Arial" w:hAnsi="Arial" w:cs="Arial"/>
                <w:sz w:val="24"/>
                <w:szCs w:val="24"/>
              </w:rPr>
              <w:t>Judge</w:t>
            </w:r>
            <w:r w:rsidR="00FD7904" w:rsidRPr="00FD7904">
              <w:rPr>
                <w:rFonts w:ascii="Arial" w:hAnsi="Arial" w:cs="Arial"/>
                <w:sz w:val="24"/>
                <w:szCs w:val="24"/>
              </w:rPr>
              <w:t xml:space="preserve"> January </w:t>
            </w:r>
            <w:r w:rsidR="00FD7904" w:rsidRPr="00FD7904">
              <w:rPr>
                <w:rFonts w:ascii="Arial" w:hAnsi="Arial" w:cs="Arial"/>
                <w:i/>
                <w:sz w:val="24"/>
                <w:szCs w:val="24"/>
              </w:rPr>
              <w:t xml:space="preserve">et </w:t>
            </w:r>
            <w:r w:rsidR="00FD7904" w:rsidRPr="00FD7904">
              <w:rPr>
                <w:rFonts w:ascii="Arial" w:hAnsi="Arial" w:cs="Arial"/>
                <w:sz w:val="24"/>
                <w:szCs w:val="24"/>
              </w:rPr>
              <w:t>Judge Claasen</w:t>
            </w:r>
          </w:p>
        </w:tc>
        <w:tc>
          <w:tcPr>
            <w:tcW w:w="4323" w:type="dxa"/>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276" w:lineRule="auto"/>
              <w:contextualSpacing/>
              <w:jc w:val="both"/>
              <w:rPr>
                <w:rFonts w:ascii="Arial" w:hAnsi="Arial" w:cs="Arial"/>
                <w:b/>
                <w:sz w:val="24"/>
                <w:szCs w:val="24"/>
              </w:rPr>
            </w:pPr>
            <w:r w:rsidRPr="00FD7904">
              <w:rPr>
                <w:rFonts w:ascii="Arial" w:hAnsi="Arial" w:cs="Arial"/>
                <w:b/>
                <w:sz w:val="24"/>
                <w:szCs w:val="24"/>
              </w:rPr>
              <w:t>Delivered on:</w:t>
            </w:r>
          </w:p>
          <w:p w:rsidR="00FD7904" w:rsidRPr="00FD7904" w:rsidRDefault="00A515EF" w:rsidP="00FD7904">
            <w:pPr>
              <w:spacing w:line="276" w:lineRule="auto"/>
              <w:contextualSpacing/>
              <w:jc w:val="both"/>
              <w:rPr>
                <w:rFonts w:ascii="Arial" w:hAnsi="Arial" w:cs="Arial"/>
                <w:sz w:val="24"/>
                <w:szCs w:val="24"/>
              </w:rPr>
            </w:pPr>
            <w:r>
              <w:rPr>
                <w:rFonts w:ascii="Arial" w:hAnsi="Arial" w:cs="Arial"/>
                <w:sz w:val="24"/>
                <w:szCs w:val="24"/>
              </w:rPr>
              <w:t>08 May</w:t>
            </w:r>
            <w:r w:rsidR="00FD7904" w:rsidRPr="00FD7904">
              <w:rPr>
                <w:rFonts w:ascii="Arial" w:hAnsi="Arial" w:cs="Arial"/>
                <w:sz w:val="24"/>
                <w:szCs w:val="24"/>
              </w:rPr>
              <w:t xml:space="preserve"> 2023</w:t>
            </w:r>
          </w:p>
          <w:p w:rsidR="00FD7904" w:rsidRPr="00FD7904" w:rsidRDefault="00FD7904" w:rsidP="00FD7904">
            <w:pPr>
              <w:spacing w:line="276" w:lineRule="auto"/>
              <w:contextualSpacing/>
              <w:jc w:val="both"/>
              <w:rPr>
                <w:rFonts w:ascii="Arial" w:hAnsi="Arial" w:cs="Arial"/>
                <w:sz w:val="24"/>
                <w:szCs w:val="24"/>
              </w:rPr>
            </w:pPr>
          </w:p>
        </w:tc>
      </w:tr>
      <w:tr w:rsidR="00FD7904" w:rsidRPr="00FD7904" w:rsidTr="008910B1">
        <w:tc>
          <w:tcPr>
            <w:tcW w:w="9630" w:type="dxa"/>
            <w:gridSpan w:val="3"/>
            <w:tcBorders>
              <w:top w:val="single" w:sz="4" w:space="0" w:color="auto"/>
              <w:left w:val="single" w:sz="4" w:space="0" w:color="auto"/>
              <w:bottom w:val="single" w:sz="4" w:space="0" w:color="auto"/>
              <w:right w:val="single" w:sz="4" w:space="0" w:color="auto"/>
            </w:tcBorders>
            <w:hideMark/>
          </w:tcPr>
          <w:p w:rsidR="00FD7904" w:rsidRPr="00FD7904" w:rsidRDefault="00FD7904" w:rsidP="00FD7904">
            <w:pPr>
              <w:spacing w:line="360" w:lineRule="auto"/>
              <w:jc w:val="both"/>
              <w:rPr>
                <w:rFonts w:ascii="Arial" w:hAnsi="Arial" w:cs="Arial"/>
                <w:color w:val="0D0D0D" w:themeColor="text1" w:themeTint="F2"/>
                <w:sz w:val="24"/>
                <w:szCs w:val="24"/>
              </w:rPr>
            </w:pPr>
            <w:r w:rsidRPr="00FD7904">
              <w:rPr>
                <w:rFonts w:ascii="Arial" w:hAnsi="Arial" w:cs="Arial"/>
                <w:b/>
                <w:color w:val="0D0D0D" w:themeColor="text1" w:themeTint="F2"/>
                <w:sz w:val="24"/>
                <w:szCs w:val="24"/>
              </w:rPr>
              <w:t xml:space="preserve">Neutral citation: </w:t>
            </w:r>
            <w:bookmarkStart w:id="0" w:name="_GoBack"/>
            <w:r w:rsidRPr="00FD7904">
              <w:rPr>
                <w:rFonts w:ascii="Arial" w:hAnsi="Arial" w:cs="Arial"/>
                <w:i/>
                <w:color w:val="0D0D0D" w:themeColor="text1" w:themeTint="F2"/>
                <w:sz w:val="24"/>
                <w:szCs w:val="24"/>
              </w:rPr>
              <w:t>S v</w:t>
            </w:r>
            <w:r w:rsidRPr="00FD7904">
              <w:rPr>
                <w:rFonts w:ascii="Arial" w:hAnsi="Arial" w:cs="Arial"/>
                <w:b/>
                <w:color w:val="0D0D0D" w:themeColor="text1" w:themeTint="F2"/>
                <w:sz w:val="24"/>
                <w:szCs w:val="24"/>
              </w:rPr>
              <w:t xml:space="preserve"> </w:t>
            </w:r>
            <w:proofErr w:type="spellStart"/>
            <w:r w:rsidR="00A103C3">
              <w:rPr>
                <w:rFonts w:ascii="Arial" w:hAnsi="Arial" w:cs="Arial"/>
                <w:i/>
                <w:color w:val="0D0D0D" w:themeColor="text1" w:themeTint="F2"/>
                <w:sz w:val="24"/>
                <w:szCs w:val="24"/>
              </w:rPr>
              <w:t>Christiaans</w:t>
            </w:r>
            <w:proofErr w:type="spellEnd"/>
            <w:r w:rsidRPr="00FD7904">
              <w:rPr>
                <w:rFonts w:ascii="Arial" w:hAnsi="Arial" w:cs="Arial"/>
                <w:i/>
                <w:color w:val="0D0D0D" w:themeColor="text1" w:themeTint="F2"/>
                <w:sz w:val="24"/>
                <w:szCs w:val="24"/>
              </w:rPr>
              <w:t xml:space="preserve"> </w:t>
            </w:r>
            <w:r w:rsidRPr="00FD7904">
              <w:rPr>
                <w:rFonts w:ascii="Arial" w:hAnsi="Arial" w:cs="Arial"/>
                <w:color w:val="0D0D0D" w:themeColor="text1" w:themeTint="F2"/>
                <w:sz w:val="24"/>
                <w:szCs w:val="24"/>
              </w:rPr>
              <w:t xml:space="preserve">(CR </w:t>
            </w:r>
            <w:r w:rsidR="00A515EF">
              <w:rPr>
                <w:rFonts w:ascii="Arial" w:hAnsi="Arial" w:cs="Arial"/>
                <w:color w:val="0D0D0D" w:themeColor="text1" w:themeTint="F2"/>
                <w:sz w:val="24"/>
                <w:szCs w:val="24"/>
              </w:rPr>
              <w:t>53</w:t>
            </w:r>
            <w:r w:rsidRPr="00FD7904">
              <w:rPr>
                <w:rFonts w:ascii="Arial" w:hAnsi="Arial" w:cs="Arial"/>
                <w:color w:val="0D0D0D" w:themeColor="text1" w:themeTint="F2"/>
                <w:sz w:val="24"/>
                <w:szCs w:val="24"/>
              </w:rPr>
              <w:t xml:space="preserve">/2023) [2023] NAHCMD </w:t>
            </w:r>
            <w:r w:rsidR="00A515EF">
              <w:rPr>
                <w:rFonts w:ascii="Arial" w:hAnsi="Arial" w:cs="Arial"/>
                <w:color w:val="0D0D0D" w:themeColor="text1" w:themeTint="F2"/>
                <w:sz w:val="24"/>
                <w:szCs w:val="24"/>
              </w:rPr>
              <w:t>242</w:t>
            </w:r>
            <w:r w:rsidRPr="00FD7904">
              <w:rPr>
                <w:rFonts w:ascii="Arial" w:hAnsi="Arial" w:cs="Arial"/>
                <w:color w:val="0D0D0D" w:themeColor="text1" w:themeTint="F2"/>
                <w:sz w:val="24"/>
                <w:szCs w:val="24"/>
              </w:rPr>
              <w:t xml:space="preserve"> (</w:t>
            </w:r>
            <w:r w:rsidR="00A515EF">
              <w:rPr>
                <w:rFonts w:ascii="Arial" w:hAnsi="Arial" w:cs="Arial"/>
                <w:color w:val="0D0D0D" w:themeColor="text1" w:themeTint="F2"/>
                <w:sz w:val="24"/>
                <w:szCs w:val="24"/>
              </w:rPr>
              <w:t>08 May</w:t>
            </w:r>
            <w:r w:rsidRPr="00FD7904">
              <w:rPr>
                <w:rFonts w:ascii="Arial" w:hAnsi="Arial" w:cs="Arial"/>
                <w:color w:val="0D0D0D" w:themeColor="text1" w:themeTint="F2"/>
                <w:sz w:val="24"/>
                <w:szCs w:val="24"/>
              </w:rPr>
              <w:t xml:space="preserve"> 2023)</w:t>
            </w:r>
            <w:bookmarkEnd w:id="0"/>
          </w:p>
          <w:p w:rsidR="00FD7904" w:rsidRPr="00FD7904" w:rsidRDefault="00FD7904" w:rsidP="00FD7904">
            <w:pPr>
              <w:spacing w:line="360" w:lineRule="auto"/>
              <w:jc w:val="both"/>
              <w:rPr>
                <w:rFonts w:ascii="Arial" w:hAnsi="Arial" w:cs="Arial"/>
                <w:color w:val="0D0D0D" w:themeColor="text1" w:themeTint="F2"/>
                <w:sz w:val="24"/>
                <w:szCs w:val="24"/>
              </w:rPr>
            </w:pPr>
          </w:p>
        </w:tc>
      </w:tr>
      <w:tr w:rsidR="00FD7904" w:rsidRPr="00FD7904" w:rsidTr="008910B1">
        <w:tc>
          <w:tcPr>
            <w:tcW w:w="9630" w:type="dxa"/>
            <w:gridSpan w:val="3"/>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jc w:val="both"/>
              <w:rPr>
                <w:rFonts w:ascii="Arial" w:hAnsi="Arial" w:cs="Arial"/>
                <w:b/>
                <w:sz w:val="24"/>
                <w:szCs w:val="24"/>
              </w:rPr>
            </w:pPr>
          </w:p>
          <w:p w:rsidR="00FD7904" w:rsidRPr="00FD7904" w:rsidRDefault="00FD7904" w:rsidP="00FD7904">
            <w:pPr>
              <w:spacing w:line="360" w:lineRule="auto"/>
              <w:jc w:val="both"/>
              <w:rPr>
                <w:rFonts w:ascii="Arial" w:hAnsi="Arial" w:cs="Arial"/>
                <w:b/>
                <w:sz w:val="24"/>
                <w:szCs w:val="24"/>
              </w:rPr>
            </w:pPr>
            <w:r w:rsidRPr="00FD7904">
              <w:rPr>
                <w:rFonts w:ascii="Arial" w:hAnsi="Arial" w:cs="Arial"/>
                <w:b/>
                <w:sz w:val="24"/>
                <w:szCs w:val="24"/>
              </w:rPr>
              <w:t>The order:</w:t>
            </w:r>
          </w:p>
          <w:p w:rsidR="00EB1AF2" w:rsidRDefault="00EB1AF2" w:rsidP="00EB1AF2">
            <w:pPr>
              <w:pStyle w:val="ListParagraph"/>
              <w:numPr>
                <w:ilvl w:val="0"/>
                <w:numId w:val="6"/>
              </w:numPr>
              <w:tabs>
                <w:tab w:val="left" w:pos="851"/>
              </w:tabs>
              <w:spacing w:before="240" w:line="360" w:lineRule="auto"/>
              <w:jc w:val="both"/>
              <w:rPr>
                <w:rFonts w:ascii="Arial" w:hAnsi="Arial" w:cs="Arial"/>
                <w:sz w:val="24"/>
                <w:szCs w:val="24"/>
              </w:rPr>
            </w:pPr>
            <w:r w:rsidRPr="008910B1">
              <w:rPr>
                <w:rFonts w:ascii="Arial" w:hAnsi="Arial" w:cs="Arial"/>
                <w:sz w:val="24"/>
                <w:szCs w:val="24"/>
              </w:rPr>
              <w:t xml:space="preserve">The conviction and sentence on </w:t>
            </w:r>
            <w:r>
              <w:rPr>
                <w:rFonts w:ascii="Arial" w:hAnsi="Arial" w:cs="Arial"/>
                <w:sz w:val="24"/>
                <w:szCs w:val="24"/>
              </w:rPr>
              <w:t xml:space="preserve">the charge of possession of cannabis </w:t>
            </w:r>
            <w:r w:rsidRPr="008910B1">
              <w:rPr>
                <w:rFonts w:ascii="Arial" w:hAnsi="Arial" w:cs="Arial"/>
                <w:sz w:val="24"/>
                <w:szCs w:val="24"/>
              </w:rPr>
              <w:t>are confirmed.</w:t>
            </w:r>
          </w:p>
          <w:p w:rsidR="00EB1AF2" w:rsidRDefault="00EB1AF2" w:rsidP="00EB1AF2">
            <w:pPr>
              <w:pStyle w:val="ListParagraph"/>
              <w:numPr>
                <w:ilvl w:val="0"/>
                <w:numId w:val="6"/>
              </w:numPr>
              <w:tabs>
                <w:tab w:val="left" w:pos="851"/>
              </w:tabs>
              <w:spacing w:before="240" w:line="360" w:lineRule="auto"/>
              <w:jc w:val="both"/>
              <w:rPr>
                <w:rFonts w:ascii="Arial" w:hAnsi="Arial" w:cs="Arial"/>
                <w:sz w:val="24"/>
                <w:szCs w:val="24"/>
              </w:rPr>
            </w:pPr>
            <w:r w:rsidRPr="008910B1">
              <w:rPr>
                <w:rFonts w:ascii="Arial" w:hAnsi="Arial" w:cs="Arial"/>
                <w:sz w:val="24"/>
                <w:szCs w:val="24"/>
              </w:rPr>
              <w:t>The closing of the State</w:t>
            </w:r>
            <w:r w:rsidR="00D3170D">
              <w:rPr>
                <w:rFonts w:ascii="Arial" w:hAnsi="Arial" w:cs="Arial"/>
                <w:sz w:val="24"/>
                <w:szCs w:val="24"/>
              </w:rPr>
              <w:t>`s</w:t>
            </w:r>
            <w:r w:rsidRPr="008910B1">
              <w:rPr>
                <w:rFonts w:ascii="Arial" w:hAnsi="Arial" w:cs="Arial"/>
                <w:sz w:val="24"/>
                <w:szCs w:val="24"/>
              </w:rPr>
              <w:t xml:space="preserve"> case</w:t>
            </w:r>
            <w:r>
              <w:rPr>
                <w:rFonts w:ascii="Arial" w:hAnsi="Arial" w:cs="Arial"/>
                <w:sz w:val="24"/>
                <w:szCs w:val="24"/>
              </w:rPr>
              <w:t xml:space="preserve"> in respect of the charge of resisting a member of the police</w:t>
            </w:r>
            <w:r w:rsidRPr="008910B1">
              <w:rPr>
                <w:rFonts w:ascii="Arial" w:hAnsi="Arial" w:cs="Arial"/>
                <w:sz w:val="24"/>
                <w:szCs w:val="24"/>
              </w:rPr>
              <w:t xml:space="preserve"> is set aside.</w:t>
            </w:r>
            <w:r w:rsidR="005973E1">
              <w:rPr>
                <w:rFonts w:ascii="Arial" w:hAnsi="Arial" w:cs="Arial"/>
                <w:sz w:val="24"/>
                <w:szCs w:val="24"/>
              </w:rPr>
              <w:t xml:space="preserve"> </w:t>
            </w:r>
          </w:p>
          <w:p w:rsidR="00FD7904" w:rsidRPr="00EB1AF2" w:rsidRDefault="00EB1AF2" w:rsidP="00EB1AF2">
            <w:pPr>
              <w:pStyle w:val="ListParagraph"/>
              <w:numPr>
                <w:ilvl w:val="0"/>
                <w:numId w:val="6"/>
              </w:numPr>
              <w:tabs>
                <w:tab w:val="left" w:pos="851"/>
              </w:tabs>
              <w:spacing w:before="240" w:line="360" w:lineRule="auto"/>
              <w:jc w:val="both"/>
              <w:rPr>
                <w:rFonts w:ascii="Arial" w:hAnsi="Arial" w:cs="Arial"/>
                <w:sz w:val="24"/>
                <w:szCs w:val="24"/>
              </w:rPr>
            </w:pPr>
            <w:r w:rsidRPr="00EB1AF2">
              <w:rPr>
                <w:rFonts w:ascii="Arial" w:hAnsi="Arial" w:cs="Arial"/>
                <w:sz w:val="24"/>
                <w:szCs w:val="24"/>
              </w:rPr>
              <w:t xml:space="preserve">The matter is remitted to the trial court with the direction to proceed to trial in respect of the charge of resisting a member of the police and bring the matter to its natural conclusion if the prosecutor is unable to obtain the consent of the Prosecutor-General to stop prosecution.   </w:t>
            </w:r>
          </w:p>
        </w:tc>
      </w:tr>
      <w:tr w:rsidR="00FD7904" w:rsidRPr="00FD7904" w:rsidTr="008910B1">
        <w:tc>
          <w:tcPr>
            <w:tcW w:w="9630" w:type="dxa"/>
            <w:gridSpan w:val="3"/>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jc w:val="both"/>
              <w:rPr>
                <w:rFonts w:ascii="Arial" w:hAnsi="Arial" w:cs="Arial"/>
                <w:b/>
                <w:sz w:val="24"/>
                <w:szCs w:val="24"/>
              </w:rPr>
            </w:pPr>
          </w:p>
          <w:p w:rsidR="00FD7904" w:rsidRPr="00FD7904" w:rsidRDefault="00FD7904" w:rsidP="00FD7904">
            <w:pPr>
              <w:spacing w:line="360" w:lineRule="auto"/>
              <w:jc w:val="both"/>
              <w:rPr>
                <w:rFonts w:ascii="Arial" w:hAnsi="Arial" w:cs="Arial"/>
                <w:b/>
                <w:sz w:val="24"/>
                <w:szCs w:val="24"/>
              </w:rPr>
            </w:pPr>
            <w:r w:rsidRPr="00FD7904">
              <w:rPr>
                <w:rFonts w:ascii="Arial" w:hAnsi="Arial" w:cs="Arial"/>
                <w:b/>
                <w:sz w:val="24"/>
                <w:szCs w:val="24"/>
              </w:rPr>
              <w:t>Reasons for order:</w:t>
            </w:r>
          </w:p>
        </w:tc>
      </w:tr>
      <w:tr w:rsidR="00FD7904" w:rsidRPr="00FD7904" w:rsidTr="008910B1">
        <w:tc>
          <w:tcPr>
            <w:tcW w:w="9630" w:type="dxa"/>
            <w:gridSpan w:val="3"/>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jc w:val="both"/>
              <w:rPr>
                <w:rFonts w:ascii="Arial" w:hAnsi="Arial" w:cs="Arial"/>
                <w:sz w:val="24"/>
                <w:szCs w:val="24"/>
              </w:rPr>
            </w:pPr>
          </w:p>
          <w:p w:rsidR="00FD7904" w:rsidRPr="00FD7904" w:rsidRDefault="00FD7904" w:rsidP="00FD7904">
            <w:pPr>
              <w:spacing w:line="360" w:lineRule="auto"/>
              <w:jc w:val="both"/>
              <w:rPr>
                <w:rFonts w:ascii="Arial" w:hAnsi="Arial" w:cs="Arial"/>
                <w:sz w:val="24"/>
                <w:szCs w:val="24"/>
              </w:rPr>
            </w:pPr>
            <w:r w:rsidRPr="00FD7904">
              <w:rPr>
                <w:rFonts w:ascii="Arial" w:hAnsi="Arial" w:cs="Arial"/>
                <w:sz w:val="24"/>
                <w:szCs w:val="24"/>
              </w:rPr>
              <w:t>January J (concurring Claasen J)</w:t>
            </w:r>
          </w:p>
          <w:p w:rsidR="00FD7904" w:rsidRPr="00FD7904" w:rsidRDefault="00FD7904" w:rsidP="00FD7904">
            <w:pPr>
              <w:spacing w:line="360" w:lineRule="auto"/>
              <w:jc w:val="both"/>
              <w:rPr>
                <w:rFonts w:ascii="Arial" w:hAnsi="Arial" w:cs="Arial"/>
                <w:sz w:val="24"/>
                <w:szCs w:val="24"/>
              </w:rPr>
            </w:pPr>
          </w:p>
          <w:p w:rsidR="00FD7904" w:rsidRPr="00FD7904" w:rsidRDefault="00FD7904" w:rsidP="00FD7904">
            <w:pPr>
              <w:spacing w:line="360" w:lineRule="auto"/>
              <w:jc w:val="both"/>
              <w:rPr>
                <w:rFonts w:ascii="Arial" w:hAnsi="Arial" w:cs="Arial"/>
                <w:b/>
                <w:sz w:val="24"/>
                <w:szCs w:val="24"/>
              </w:rPr>
            </w:pPr>
            <w:r w:rsidRPr="00FD7904">
              <w:rPr>
                <w:rFonts w:ascii="Arial" w:hAnsi="Arial" w:cs="Arial"/>
                <w:sz w:val="24"/>
                <w:szCs w:val="24"/>
              </w:rPr>
              <w:t xml:space="preserve">[1]      The case was submitted from the </w:t>
            </w:r>
            <w:proofErr w:type="spellStart"/>
            <w:r w:rsidR="00A103C3">
              <w:rPr>
                <w:rFonts w:ascii="Arial" w:hAnsi="Arial" w:cs="Arial"/>
                <w:sz w:val="24"/>
                <w:szCs w:val="24"/>
              </w:rPr>
              <w:t>Keetmanshoop</w:t>
            </w:r>
            <w:proofErr w:type="spellEnd"/>
            <w:r w:rsidRPr="00FD7904">
              <w:rPr>
                <w:rFonts w:ascii="Arial" w:hAnsi="Arial" w:cs="Arial"/>
                <w:sz w:val="24"/>
                <w:szCs w:val="24"/>
              </w:rPr>
              <w:t xml:space="preserve"> Magistrate’s Court for automatic review pursuant to s 302(1) of the Criminal Procedure Act 51 of 1977 (the CPA). </w:t>
            </w:r>
          </w:p>
          <w:p w:rsidR="00402DC1" w:rsidRDefault="00FD7904" w:rsidP="00FD7904">
            <w:pPr>
              <w:tabs>
                <w:tab w:val="left" w:pos="851"/>
              </w:tabs>
              <w:spacing w:before="240" w:line="360" w:lineRule="auto"/>
              <w:jc w:val="both"/>
              <w:rPr>
                <w:rFonts w:ascii="Arial" w:hAnsi="Arial" w:cs="Arial"/>
                <w:sz w:val="24"/>
                <w:szCs w:val="24"/>
              </w:rPr>
            </w:pPr>
            <w:r w:rsidRPr="00FD7904">
              <w:rPr>
                <w:rFonts w:ascii="Arial" w:hAnsi="Arial" w:cs="Arial"/>
                <w:sz w:val="24"/>
                <w:szCs w:val="24"/>
              </w:rPr>
              <w:t xml:space="preserve">[2]    </w:t>
            </w:r>
            <w:r w:rsidR="00A103C3">
              <w:rPr>
                <w:rFonts w:ascii="Arial" w:hAnsi="Arial" w:cs="Arial"/>
                <w:sz w:val="24"/>
                <w:szCs w:val="24"/>
              </w:rPr>
              <w:t>The record of proceedings consis</w:t>
            </w:r>
            <w:r w:rsidR="00DE55E9">
              <w:rPr>
                <w:rFonts w:ascii="Arial" w:hAnsi="Arial" w:cs="Arial"/>
                <w:sz w:val="24"/>
                <w:szCs w:val="24"/>
              </w:rPr>
              <w:t>ts of the review coversheet, a t</w:t>
            </w:r>
            <w:r w:rsidR="00A103C3">
              <w:rPr>
                <w:rFonts w:ascii="Arial" w:hAnsi="Arial" w:cs="Arial"/>
                <w:sz w:val="24"/>
                <w:szCs w:val="24"/>
              </w:rPr>
              <w:t xml:space="preserve">yped J15 charge sheet and a handwritten J15 charge sheet without any annexures reflecting the charges. The handwritten J15 charge sheet reflects a charge of </w:t>
            </w:r>
            <w:r w:rsidR="00402DC1">
              <w:rPr>
                <w:rFonts w:ascii="Arial" w:hAnsi="Arial" w:cs="Arial"/>
                <w:sz w:val="24"/>
                <w:szCs w:val="24"/>
              </w:rPr>
              <w:t>resisting a member of the Namibian Police without any reference to the particular section of any Act or section alleged. On the first appearance the public prosecutor informed the court that the accused was appearing on a charge of possession of 15 grams of cannabis valued at N$750 and resisting a member of the police. The omission of the record containing any annexures with the charges is irregular as the effect is that an incomplete record is submitted for review. It is again emphasised that it is ultimately the responsibility of the magistrate to submit a complete record for review.</w:t>
            </w:r>
            <w:r w:rsidR="00A103C3">
              <w:rPr>
                <w:rFonts w:ascii="Arial" w:hAnsi="Arial" w:cs="Arial"/>
                <w:sz w:val="24"/>
                <w:szCs w:val="24"/>
              </w:rPr>
              <w:t xml:space="preserve"> </w:t>
            </w:r>
          </w:p>
          <w:p w:rsidR="00DE55E9" w:rsidRDefault="00DE55E9" w:rsidP="00FD7904">
            <w:pPr>
              <w:tabs>
                <w:tab w:val="left" w:pos="851"/>
              </w:tabs>
              <w:spacing w:before="240" w:line="360" w:lineRule="auto"/>
              <w:jc w:val="both"/>
              <w:rPr>
                <w:rFonts w:ascii="Arial" w:hAnsi="Arial" w:cs="Arial"/>
                <w:sz w:val="24"/>
                <w:szCs w:val="24"/>
              </w:rPr>
            </w:pPr>
            <w:r>
              <w:rPr>
                <w:rFonts w:ascii="Arial" w:hAnsi="Arial" w:cs="Arial"/>
                <w:sz w:val="24"/>
                <w:szCs w:val="24"/>
              </w:rPr>
              <w:t xml:space="preserve">[3]      It appears that when the charges </w:t>
            </w:r>
            <w:r w:rsidR="00053E00">
              <w:rPr>
                <w:rFonts w:ascii="Arial" w:hAnsi="Arial" w:cs="Arial"/>
                <w:sz w:val="24"/>
                <w:szCs w:val="24"/>
              </w:rPr>
              <w:t>were</w:t>
            </w:r>
            <w:r>
              <w:rPr>
                <w:rFonts w:ascii="Arial" w:hAnsi="Arial" w:cs="Arial"/>
                <w:sz w:val="24"/>
                <w:szCs w:val="24"/>
              </w:rPr>
              <w:t xml:space="preserve"> put, the accused pleaded guilty to </w:t>
            </w:r>
            <w:r w:rsidR="00BF5B80">
              <w:rPr>
                <w:rFonts w:ascii="Arial" w:hAnsi="Arial" w:cs="Arial"/>
                <w:sz w:val="24"/>
                <w:szCs w:val="24"/>
              </w:rPr>
              <w:t xml:space="preserve">both </w:t>
            </w:r>
            <w:r>
              <w:rPr>
                <w:rFonts w:ascii="Arial" w:hAnsi="Arial" w:cs="Arial"/>
                <w:sz w:val="24"/>
                <w:szCs w:val="24"/>
              </w:rPr>
              <w:t>possession of cannabis and resisting a member of the police. The magistrate applied section 112(1</w:t>
            </w:r>
            <w:proofErr w:type="gramStart"/>
            <w:r>
              <w:rPr>
                <w:rFonts w:ascii="Arial" w:hAnsi="Arial" w:cs="Arial"/>
                <w:sz w:val="24"/>
                <w:szCs w:val="24"/>
              </w:rPr>
              <w:t>)</w:t>
            </w:r>
            <w:r w:rsidRPr="00DE55E9">
              <w:rPr>
                <w:rFonts w:ascii="Arial" w:hAnsi="Arial" w:cs="Arial"/>
                <w:i/>
                <w:sz w:val="24"/>
                <w:szCs w:val="24"/>
              </w:rPr>
              <w:t>(</w:t>
            </w:r>
            <w:proofErr w:type="gramEnd"/>
            <w:r w:rsidRPr="00DE55E9">
              <w:rPr>
                <w:rFonts w:ascii="Arial" w:hAnsi="Arial" w:cs="Arial"/>
                <w:i/>
                <w:sz w:val="24"/>
                <w:szCs w:val="24"/>
              </w:rPr>
              <w:t>b)</w:t>
            </w:r>
            <w:r>
              <w:rPr>
                <w:rFonts w:ascii="Arial" w:hAnsi="Arial" w:cs="Arial"/>
                <w:sz w:val="24"/>
                <w:szCs w:val="24"/>
              </w:rPr>
              <w:t xml:space="preserve"> of the CPA in relation to the possession of cannabis and convicted the accused. When the magistrate wanted to question the accused in terms of section 112(1</w:t>
            </w:r>
            <w:proofErr w:type="gramStart"/>
            <w:r>
              <w:rPr>
                <w:rFonts w:ascii="Arial" w:hAnsi="Arial" w:cs="Arial"/>
                <w:sz w:val="24"/>
                <w:szCs w:val="24"/>
              </w:rPr>
              <w:t>)</w:t>
            </w:r>
            <w:r w:rsidRPr="00DE55E9">
              <w:rPr>
                <w:rFonts w:ascii="Arial" w:hAnsi="Arial" w:cs="Arial"/>
                <w:i/>
                <w:sz w:val="24"/>
                <w:szCs w:val="24"/>
              </w:rPr>
              <w:t>(</w:t>
            </w:r>
            <w:proofErr w:type="gramEnd"/>
            <w:r w:rsidRPr="00DE55E9">
              <w:rPr>
                <w:rFonts w:ascii="Arial" w:hAnsi="Arial" w:cs="Arial"/>
                <w:i/>
                <w:sz w:val="24"/>
                <w:szCs w:val="24"/>
              </w:rPr>
              <w:t xml:space="preserve">b) </w:t>
            </w:r>
            <w:r>
              <w:rPr>
                <w:rFonts w:ascii="Arial" w:hAnsi="Arial" w:cs="Arial"/>
                <w:sz w:val="24"/>
                <w:szCs w:val="24"/>
              </w:rPr>
              <w:t>of the CPA</w:t>
            </w:r>
            <w:r w:rsidR="00BF5B80">
              <w:rPr>
                <w:rFonts w:ascii="Arial" w:hAnsi="Arial" w:cs="Arial"/>
                <w:sz w:val="24"/>
                <w:szCs w:val="24"/>
              </w:rPr>
              <w:t xml:space="preserve"> on the second charge</w:t>
            </w:r>
            <w:r>
              <w:rPr>
                <w:rFonts w:ascii="Arial" w:hAnsi="Arial" w:cs="Arial"/>
                <w:sz w:val="24"/>
                <w:szCs w:val="24"/>
              </w:rPr>
              <w:t>, the accused indicated that he pleaded not guilty to the charge of resisting a member of the police. The magistrate then applied s 115 of the CPA</w:t>
            </w:r>
            <w:r w:rsidR="00F71F9D">
              <w:rPr>
                <w:rFonts w:ascii="Arial" w:hAnsi="Arial" w:cs="Arial"/>
                <w:sz w:val="24"/>
                <w:szCs w:val="24"/>
              </w:rPr>
              <w:t xml:space="preserve"> and the accused gave a plea explanation. When the magistrate asked for a date for trial, the public prosecutor closed the case in relation to the second charge</w:t>
            </w:r>
            <w:r w:rsidR="00053E00">
              <w:rPr>
                <w:rFonts w:ascii="Arial" w:hAnsi="Arial" w:cs="Arial"/>
                <w:sz w:val="24"/>
                <w:szCs w:val="24"/>
              </w:rPr>
              <w:t xml:space="preserve"> of resisting a member of the police</w:t>
            </w:r>
            <w:r w:rsidR="00F71F9D">
              <w:rPr>
                <w:rFonts w:ascii="Arial" w:hAnsi="Arial" w:cs="Arial"/>
                <w:sz w:val="24"/>
                <w:szCs w:val="24"/>
              </w:rPr>
              <w:t>. The case was then finalised and the accused was sentenced to 30 months</w:t>
            </w:r>
            <w:r w:rsidR="00053E00">
              <w:rPr>
                <w:rFonts w:ascii="Arial" w:hAnsi="Arial" w:cs="Arial"/>
                <w:sz w:val="24"/>
                <w:szCs w:val="24"/>
              </w:rPr>
              <w:t>’</w:t>
            </w:r>
            <w:r w:rsidR="00F71F9D">
              <w:rPr>
                <w:rFonts w:ascii="Arial" w:hAnsi="Arial" w:cs="Arial"/>
                <w:sz w:val="24"/>
                <w:szCs w:val="24"/>
              </w:rPr>
              <w:t xml:space="preserve"> imprisonment of which four months are suspended for a period of five years on condition that the accused is not convicted of</w:t>
            </w:r>
            <w:r w:rsidR="00053E00">
              <w:rPr>
                <w:rFonts w:ascii="Arial" w:hAnsi="Arial" w:cs="Arial"/>
                <w:sz w:val="24"/>
                <w:szCs w:val="24"/>
              </w:rPr>
              <w:t xml:space="preserve"> possession of</w:t>
            </w:r>
            <w:r w:rsidR="00F71F9D">
              <w:rPr>
                <w:rFonts w:ascii="Arial" w:hAnsi="Arial" w:cs="Arial"/>
                <w:sz w:val="24"/>
                <w:szCs w:val="24"/>
              </w:rPr>
              <w:t xml:space="preserve"> cannabis committed during the period of suspension. </w:t>
            </w:r>
            <w:r w:rsidR="00BF5B80">
              <w:rPr>
                <w:rFonts w:ascii="Arial" w:hAnsi="Arial" w:cs="Arial"/>
                <w:sz w:val="24"/>
                <w:szCs w:val="24"/>
              </w:rPr>
              <w:t>The accused had three previous c</w:t>
            </w:r>
            <w:r w:rsidR="00F71F9D">
              <w:rPr>
                <w:rFonts w:ascii="Arial" w:hAnsi="Arial" w:cs="Arial"/>
                <w:sz w:val="24"/>
                <w:szCs w:val="24"/>
              </w:rPr>
              <w:t>onviction</w:t>
            </w:r>
            <w:r w:rsidR="00BF5B80">
              <w:rPr>
                <w:rFonts w:ascii="Arial" w:hAnsi="Arial" w:cs="Arial"/>
                <w:sz w:val="24"/>
                <w:szCs w:val="24"/>
              </w:rPr>
              <w:t>s</w:t>
            </w:r>
            <w:r w:rsidR="00F71F9D">
              <w:rPr>
                <w:rFonts w:ascii="Arial" w:hAnsi="Arial" w:cs="Arial"/>
                <w:sz w:val="24"/>
                <w:szCs w:val="24"/>
              </w:rPr>
              <w:t xml:space="preserve"> for possession of cannabis and one for assault with intent to do grievous bodily harm read with the provisions of the Combating of Domestic Violence Act 4 of 2003.</w:t>
            </w:r>
          </w:p>
          <w:p w:rsidR="00053E00" w:rsidRDefault="00F71F9D" w:rsidP="00FD7904">
            <w:pPr>
              <w:tabs>
                <w:tab w:val="left" w:pos="851"/>
              </w:tabs>
              <w:spacing w:before="240" w:line="360" w:lineRule="auto"/>
              <w:jc w:val="both"/>
              <w:rPr>
                <w:rFonts w:ascii="Arial" w:hAnsi="Arial" w:cs="Arial"/>
                <w:sz w:val="24"/>
                <w:szCs w:val="24"/>
              </w:rPr>
            </w:pPr>
            <w:r>
              <w:rPr>
                <w:rFonts w:ascii="Arial" w:hAnsi="Arial" w:cs="Arial"/>
                <w:sz w:val="24"/>
                <w:szCs w:val="24"/>
              </w:rPr>
              <w:t>[4]     The conviction and sentence</w:t>
            </w:r>
            <w:r w:rsidR="008910B1">
              <w:rPr>
                <w:rFonts w:ascii="Arial" w:hAnsi="Arial" w:cs="Arial"/>
                <w:sz w:val="24"/>
                <w:szCs w:val="24"/>
              </w:rPr>
              <w:t xml:space="preserve"> of possession of cannabis</w:t>
            </w:r>
            <w:r>
              <w:rPr>
                <w:rFonts w:ascii="Arial" w:hAnsi="Arial" w:cs="Arial"/>
                <w:sz w:val="24"/>
                <w:szCs w:val="24"/>
              </w:rPr>
              <w:t xml:space="preserve"> are in accordance with justice and will be confirmed. </w:t>
            </w:r>
            <w:r w:rsidR="006B23B7">
              <w:rPr>
                <w:rFonts w:ascii="Arial" w:hAnsi="Arial" w:cs="Arial"/>
                <w:sz w:val="24"/>
                <w:szCs w:val="24"/>
              </w:rPr>
              <w:t xml:space="preserve">We, however have qualms with the proceedings in relation </w:t>
            </w:r>
            <w:r w:rsidR="006B23B7">
              <w:rPr>
                <w:rFonts w:ascii="Arial" w:hAnsi="Arial" w:cs="Arial"/>
                <w:sz w:val="24"/>
                <w:szCs w:val="24"/>
              </w:rPr>
              <w:lastRenderedPageBreak/>
              <w:t>to the charge of resisting a member of the police. It is clear that the accused pleaded to the charge and gave a plea explanation thereto. In the circumstances the accused was entitled to a verdict thereto.</w:t>
            </w:r>
          </w:p>
          <w:p w:rsidR="00504378" w:rsidRPr="00D01AC8" w:rsidRDefault="006B23B7" w:rsidP="0035161C">
            <w:pPr>
              <w:tabs>
                <w:tab w:val="left" w:pos="851"/>
              </w:tabs>
              <w:spacing w:before="240" w:line="360" w:lineRule="auto"/>
              <w:jc w:val="both"/>
              <w:rPr>
                <w:rFonts w:ascii="Arial" w:hAnsi="Arial" w:cs="Arial"/>
                <w:sz w:val="24"/>
                <w:szCs w:val="24"/>
                <w:lang w:val="en-US"/>
              </w:rPr>
            </w:pPr>
            <w:r>
              <w:rPr>
                <w:rFonts w:ascii="Arial" w:hAnsi="Arial" w:cs="Arial"/>
                <w:sz w:val="24"/>
                <w:szCs w:val="24"/>
              </w:rPr>
              <w:t xml:space="preserve"> </w:t>
            </w:r>
            <w:r w:rsidR="00016E63">
              <w:rPr>
                <w:rFonts w:ascii="Arial" w:hAnsi="Arial" w:cs="Arial"/>
                <w:color w:val="000000" w:themeColor="text1"/>
                <w:sz w:val="24"/>
                <w:szCs w:val="24"/>
              </w:rPr>
              <w:t>[5</w:t>
            </w:r>
            <w:r w:rsidR="00D01AC8" w:rsidRPr="00D01AC8">
              <w:rPr>
                <w:rFonts w:ascii="Arial" w:hAnsi="Arial" w:cs="Arial"/>
                <w:color w:val="000000" w:themeColor="text1"/>
                <w:sz w:val="24"/>
                <w:szCs w:val="24"/>
              </w:rPr>
              <w:t xml:space="preserve">]     </w:t>
            </w:r>
            <w:r w:rsidR="00D01AC8" w:rsidRPr="00D01AC8">
              <w:rPr>
                <w:rFonts w:ascii="Arial" w:hAnsi="Arial" w:cs="Arial"/>
                <w:sz w:val="24"/>
                <w:szCs w:val="24"/>
                <w:lang w:val="en-US"/>
              </w:rPr>
              <w:t xml:space="preserve">The issue whether the action of the public prosecutor intended or not to stop the prosecution in terms of s 6(b) of the CPA was elaborately dealt with in </w:t>
            </w:r>
            <w:r w:rsidR="00B246D2">
              <w:rPr>
                <w:rFonts w:ascii="Arial" w:hAnsi="Arial" w:cs="Arial"/>
                <w:i/>
                <w:sz w:val="24"/>
                <w:szCs w:val="24"/>
                <w:lang w:val="en-US"/>
              </w:rPr>
              <w:t>S</w:t>
            </w:r>
            <w:r w:rsidR="00D01AC8" w:rsidRPr="00D01AC8">
              <w:rPr>
                <w:rFonts w:ascii="Arial" w:hAnsi="Arial" w:cs="Arial"/>
                <w:i/>
                <w:sz w:val="24"/>
                <w:szCs w:val="24"/>
                <w:lang w:val="en-US"/>
              </w:rPr>
              <w:t xml:space="preserve"> v </w:t>
            </w:r>
            <w:proofErr w:type="spellStart"/>
            <w:r w:rsidR="00D01AC8" w:rsidRPr="00D01AC8">
              <w:rPr>
                <w:rFonts w:ascii="Arial" w:hAnsi="Arial" w:cs="Arial"/>
                <w:i/>
                <w:sz w:val="24"/>
                <w:szCs w:val="24"/>
                <w:lang w:val="en-US"/>
              </w:rPr>
              <w:t>Fourie</w:t>
            </w:r>
            <w:proofErr w:type="spellEnd"/>
            <w:r w:rsidR="00D01AC8" w:rsidRPr="00D01AC8">
              <w:rPr>
                <w:rFonts w:ascii="Arial" w:hAnsi="Arial" w:cs="Arial"/>
                <w:i/>
                <w:sz w:val="24"/>
                <w:szCs w:val="24"/>
                <w:vertAlign w:val="superscript"/>
                <w:lang w:val="en-US"/>
              </w:rPr>
              <w:footnoteReference w:id="1"/>
            </w:r>
            <w:r w:rsidR="00D01AC8" w:rsidRPr="00D01AC8">
              <w:rPr>
                <w:rFonts w:ascii="Arial" w:hAnsi="Arial" w:cs="Arial"/>
                <w:i/>
                <w:sz w:val="24"/>
                <w:szCs w:val="24"/>
                <w:lang w:val="en-US"/>
              </w:rPr>
              <w:t>.</w:t>
            </w:r>
            <w:r w:rsidR="00D01AC8" w:rsidRPr="00D01AC8">
              <w:rPr>
                <w:rFonts w:ascii="Arial" w:hAnsi="Arial" w:cs="Arial"/>
                <w:sz w:val="24"/>
                <w:szCs w:val="24"/>
                <w:lang w:val="en-US"/>
              </w:rPr>
              <w:t xml:space="preserve"> The court referred to </w:t>
            </w:r>
            <w:r w:rsidR="00B246D2">
              <w:rPr>
                <w:rFonts w:ascii="Arial" w:hAnsi="Arial" w:cs="Arial"/>
                <w:i/>
                <w:sz w:val="24"/>
                <w:szCs w:val="24"/>
                <w:lang w:val="en-US"/>
              </w:rPr>
              <w:t>S</w:t>
            </w:r>
            <w:r w:rsidR="00D01AC8" w:rsidRPr="00D01AC8">
              <w:rPr>
                <w:rFonts w:ascii="Arial" w:hAnsi="Arial" w:cs="Arial"/>
                <w:i/>
                <w:sz w:val="24"/>
                <w:szCs w:val="24"/>
                <w:lang w:val="en-US"/>
              </w:rPr>
              <w:t xml:space="preserve"> v Samuel </w:t>
            </w:r>
            <w:proofErr w:type="spellStart"/>
            <w:r w:rsidR="00D01AC8" w:rsidRPr="00D01AC8">
              <w:rPr>
                <w:rFonts w:ascii="Arial" w:hAnsi="Arial" w:cs="Arial"/>
                <w:i/>
                <w:sz w:val="24"/>
                <w:szCs w:val="24"/>
                <w:lang w:val="en-US"/>
              </w:rPr>
              <w:t>Ekandjo</w:t>
            </w:r>
            <w:proofErr w:type="spellEnd"/>
            <w:r w:rsidR="00D01AC8" w:rsidRPr="00D01AC8">
              <w:rPr>
                <w:rFonts w:ascii="Arial" w:hAnsi="Arial" w:cs="Arial"/>
                <w:i/>
                <w:sz w:val="24"/>
                <w:szCs w:val="24"/>
                <w:lang w:val="en-US"/>
              </w:rPr>
              <w:t xml:space="preserve"> </w:t>
            </w:r>
            <w:r w:rsidR="00D01AC8" w:rsidRPr="00D01AC8">
              <w:rPr>
                <w:rFonts w:ascii="Arial" w:hAnsi="Arial" w:cs="Arial"/>
                <w:i/>
                <w:sz w:val="24"/>
                <w:szCs w:val="24"/>
                <w:vertAlign w:val="superscript"/>
                <w:lang w:val="en-US"/>
              </w:rPr>
              <w:footnoteReference w:id="2"/>
            </w:r>
            <w:r w:rsidR="00D01AC8" w:rsidRPr="00D01AC8">
              <w:rPr>
                <w:rFonts w:ascii="Arial" w:hAnsi="Arial" w:cs="Arial"/>
                <w:i/>
                <w:sz w:val="24"/>
                <w:szCs w:val="24"/>
                <w:lang w:val="en-US"/>
              </w:rPr>
              <w:t xml:space="preserve">, </w:t>
            </w:r>
            <w:r w:rsidR="00D01AC8" w:rsidRPr="00D01AC8">
              <w:rPr>
                <w:rFonts w:ascii="Arial" w:hAnsi="Arial" w:cs="Arial"/>
                <w:sz w:val="24"/>
                <w:szCs w:val="24"/>
                <w:lang w:val="en-US"/>
              </w:rPr>
              <w:t>delivered in the Northern Local Division of this Court on 23 April 2010</w:t>
            </w:r>
            <w:r w:rsidR="00531006">
              <w:rPr>
                <w:rFonts w:ascii="Arial" w:hAnsi="Arial" w:cs="Arial"/>
                <w:sz w:val="24"/>
                <w:szCs w:val="24"/>
                <w:lang w:val="en-US"/>
              </w:rPr>
              <w:t xml:space="preserve"> and </w:t>
            </w:r>
            <w:r w:rsidR="00B246D2">
              <w:rPr>
                <w:rFonts w:ascii="Arial" w:hAnsi="Arial" w:cs="Arial"/>
                <w:i/>
                <w:sz w:val="24"/>
                <w:szCs w:val="24"/>
              </w:rPr>
              <w:t>S</w:t>
            </w:r>
            <w:r w:rsidR="00531006" w:rsidRPr="00531006">
              <w:rPr>
                <w:rFonts w:ascii="Arial" w:hAnsi="Arial" w:cs="Arial"/>
                <w:i/>
                <w:sz w:val="24"/>
                <w:szCs w:val="24"/>
              </w:rPr>
              <w:t xml:space="preserve"> v </w:t>
            </w:r>
            <w:proofErr w:type="spellStart"/>
            <w:r w:rsidR="00531006" w:rsidRPr="00531006">
              <w:rPr>
                <w:rFonts w:ascii="Arial" w:hAnsi="Arial" w:cs="Arial"/>
                <w:i/>
                <w:sz w:val="24"/>
                <w:szCs w:val="24"/>
              </w:rPr>
              <w:t>Katemo</w:t>
            </w:r>
            <w:proofErr w:type="spellEnd"/>
            <w:r w:rsidR="00B246D2">
              <w:rPr>
                <w:rStyle w:val="FootnoteReference"/>
                <w:rFonts w:ascii="Arial" w:hAnsi="Arial" w:cs="Arial"/>
                <w:i/>
                <w:sz w:val="24"/>
                <w:szCs w:val="24"/>
              </w:rPr>
              <w:footnoteReference w:id="3"/>
            </w:r>
            <w:r w:rsidR="00531006">
              <w:rPr>
                <w:rFonts w:ascii="Arial" w:hAnsi="Arial" w:cs="Arial"/>
                <w:i/>
              </w:rPr>
              <w:t xml:space="preserve"> </w:t>
            </w:r>
            <w:r w:rsidR="00D01AC8" w:rsidRPr="00D01AC8">
              <w:rPr>
                <w:rFonts w:ascii="Arial" w:hAnsi="Arial" w:cs="Arial"/>
                <w:sz w:val="24"/>
                <w:szCs w:val="24"/>
                <w:lang w:val="en-US"/>
              </w:rPr>
              <w:t xml:space="preserve">where the court </w:t>
            </w:r>
            <w:r w:rsidR="00531006">
              <w:rPr>
                <w:rFonts w:ascii="Arial" w:hAnsi="Arial" w:cs="Arial"/>
                <w:sz w:val="24"/>
                <w:szCs w:val="24"/>
                <w:lang w:val="en-US"/>
              </w:rPr>
              <w:t>endorsed what was stated as follows</w:t>
            </w:r>
            <w:r w:rsidR="00D01AC8" w:rsidRPr="00D01AC8">
              <w:rPr>
                <w:rFonts w:ascii="Arial" w:hAnsi="Arial" w:cs="Arial"/>
                <w:sz w:val="24"/>
                <w:szCs w:val="24"/>
                <w:lang w:val="en-US"/>
              </w:rPr>
              <w:t>:</w:t>
            </w:r>
          </w:p>
          <w:p w:rsidR="00D01AC8" w:rsidRPr="00D01AC8" w:rsidRDefault="00D01AC8" w:rsidP="00D01AC8">
            <w:pPr>
              <w:spacing w:after="160" w:line="360" w:lineRule="auto"/>
              <w:jc w:val="both"/>
              <w:rPr>
                <w:rFonts w:ascii="Arial" w:hAnsi="Arial" w:cs="Arial"/>
                <w:lang w:val="en-US"/>
              </w:rPr>
            </w:pPr>
            <w:r w:rsidRPr="00D01AC8">
              <w:rPr>
                <w:rFonts w:ascii="Arial" w:hAnsi="Arial" w:cs="Arial"/>
                <w:sz w:val="24"/>
                <w:szCs w:val="24"/>
                <w:lang w:val="en-US"/>
              </w:rPr>
              <w:tab/>
            </w:r>
            <w:r w:rsidRPr="00D01AC8">
              <w:rPr>
                <w:rFonts w:ascii="Arial" w:hAnsi="Arial" w:cs="Arial"/>
                <w:lang w:val="en-US"/>
              </w:rPr>
              <w:tab/>
              <w:t xml:space="preserve">‘It is clear from s. 6 (b) of the Act that when an accused had pleaded, the proceedings may only be stopped if the Prosecutor-General or any person, authorized thereto by the Prosecutor-General has consented thereto. Once an accused has pleaded, the prosecutor no longer has control over the case and the Court then takes control. The only way to take the case out of the court’s hands is for the Prosecutor-General to act in terms of s. 6 (b) thereby terminating (“stopping”) the prosecution. The accused is then entitled to be acquitted. Where the prosecutor no longer wishes to proceed with a charge against the accused is incumbent upon the magistrate to enquire of the prosecutor whether the Prosecutor-General has consented thereto because without such consent the stopping is void. </w:t>
            </w:r>
            <w:r w:rsidR="003F1829">
              <w:rPr>
                <w:rFonts w:ascii="Arial" w:hAnsi="Arial" w:cs="Arial"/>
              </w:rPr>
              <w:t xml:space="preserve">The unauthorised stopping of prosecution would amount to a nullity </w:t>
            </w:r>
            <w:r w:rsidRPr="00D01AC8">
              <w:rPr>
                <w:rFonts w:ascii="Arial" w:hAnsi="Arial" w:cs="Arial"/>
                <w:lang w:val="en-US"/>
              </w:rPr>
              <w:t>(</w:t>
            </w:r>
            <w:r w:rsidRPr="00D01AC8">
              <w:rPr>
                <w:rFonts w:ascii="Arial" w:hAnsi="Arial" w:cs="Arial"/>
                <w:i/>
                <w:lang w:val="en-US"/>
              </w:rPr>
              <w:t xml:space="preserve">S v van </w:t>
            </w:r>
            <w:proofErr w:type="spellStart"/>
            <w:r w:rsidRPr="00D01AC8">
              <w:rPr>
                <w:rFonts w:ascii="Arial" w:hAnsi="Arial" w:cs="Arial"/>
                <w:i/>
                <w:lang w:val="en-US"/>
              </w:rPr>
              <w:t>Niekerk</w:t>
            </w:r>
            <w:proofErr w:type="spellEnd"/>
            <w:r w:rsidRPr="00D01AC8">
              <w:rPr>
                <w:rFonts w:ascii="Arial" w:hAnsi="Arial" w:cs="Arial"/>
                <w:b/>
                <w:lang w:val="en-US"/>
              </w:rPr>
              <w:t xml:space="preserve"> </w:t>
            </w:r>
            <w:r w:rsidRPr="00D01AC8">
              <w:rPr>
                <w:rFonts w:ascii="Arial" w:hAnsi="Arial" w:cs="Arial"/>
                <w:lang w:val="en-US"/>
              </w:rPr>
              <w:t xml:space="preserve">1985 (4) SA 550 (BG); </w:t>
            </w:r>
            <w:r w:rsidRPr="00D01AC8">
              <w:rPr>
                <w:rFonts w:ascii="Arial" w:hAnsi="Arial" w:cs="Arial"/>
                <w:i/>
                <w:lang w:val="en-US"/>
              </w:rPr>
              <w:t xml:space="preserve">du </w:t>
            </w:r>
            <w:proofErr w:type="spellStart"/>
            <w:r w:rsidRPr="00D01AC8">
              <w:rPr>
                <w:rFonts w:ascii="Arial" w:hAnsi="Arial" w:cs="Arial"/>
                <w:i/>
                <w:lang w:val="en-US"/>
              </w:rPr>
              <w:t>Toit</w:t>
            </w:r>
            <w:proofErr w:type="spellEnd"/>
            <w:r w:rsidRPr="00D01AC8">
              <w:rPr>
                <w:rFonts w:ascii="Arial" w:hAnsi="Arial" w:cs="Arial"/>
                <w:lang w:val="en-US"/>
              </w:rPr>
              <w:t xml:space="preserve"> et al. Commentary on the Criminal Procedure Act at 1-5.’</w:t>
            </w:r>
          </w:p>
          <w:p w:rsidR="00D01AC8" w:rsidRPr="00D01AC8" w:rsidRDefault="00016E63" w:rsidP="00D01AC8">
            <w:pPr>
              <w:spacing w:after="160" w:line="360" w:lineRule="auto"/>
              <w:jc w:val="both"/>
              <w:rPr>
                <w:rFonts w:ascii="Arial" w:hAnsi="Arial" w:cs="Arial"/>
                <w:sz w:val="24"/>
                <w:szCs w:val="24"/>
                <w:lang w:val="en-US"/>
              </w:rPr>
            </w:pPr>
            <w:r>
              <w:rPr>
                <w:rFonts w:ascii="Arial" w:hAnsi="Arial" w:cs="Arial"/>
                <w:sz w:val="24"/>
                <w:szCs w:val="24"/>
                <w:lang w:val="en-US"/>
              </w:rPr>
              <w:t>[6</w:t>
            </w:r>
            <w:r w:rsidR="00D01AC8" w:rsidRPr="00D01AC8">
              <w:rPr>
                <w:rFonts w:ascii="Arial" w:hAnsi="Arial" w:cs="Arial"/>
                <w:sz w:val="24"/>
                <w:szCs w:val="24"/>
                <w:lang w:val="en-US"/>
              </w:rPr>
              <w:t>]     The stopping of a prosecution is a question of fact to be decided with reference to all the facts.</w:t>
            </w:r>
            <w:r w:rsidR="00D01AC8" w:rsidRPr="00D01AC8">
              <w:rPr>
                <w:rFonts w:ascii="Arial" w:hAnsi="Arial" w:cs="Arial"/>
                <w:sz w:val="24"/>
                <w:szCs w:val="24"/>
                <w:vertAlign w:val="superscript"/>
                <w:lang w:val="en-US"/>
              </w:rPr>
              <w:footnoteReference w:id="4"/>
            </w:r>
            <w:r w:rsidR="00D01AC8" w:rsidRPr="00D01AC8">
              <w:rPr>
                <w:rFonts w:ascii="Arial" w:hAnsi="Arial" w:cs="Arial"/>
                <w:sz w:val="24"/>
                <w:szCs w:val="24"/>
                <w:lang w:val="en-US"/>
              </w:rPr>
              <w:t xml:space="preserve"> We agree that there are three possible attitudes a prosecutor may adopt towards a prosecution. He may press for a conviction, or he may stop the prosecution, or he may adopt an intermediate neutral attitude whereby he neither asks for a conviction nor stops the prosecution but leaves it to the Court to carry out the function of deciding the is</w:t>
            </w:r>
            <w:r w:rsidR="00B246D2">
              <w:rPr>
                <w:rFonts w:ascii="Arial" w:hAnsi="Arial" w:cs="Arial"/>
                <w:sz w:val="24"/>
                <w:szCs w:val="24"/>
                <w:lang w:val="en-US"/>
              </w:rPr>
              <w:t>sues raised by the prosecution.</w:t>
            </w:r>
            <w:r w:rsidR="00D01AC8" w:rsidRPr="00D01AC8">
              <w:rPr>
                <w:rFonts w:ascii="Arial" w:hAnsi="Arial" w:cs="Arial"/>
                <w:sz w:val="24"/>
                <w:szCs w:val="24"/>
                <w:vertAlign w:val="superscript"/>
                <w:lang w:val="en-US"/>
              </w:rPr>
              <w:footnoteReference w:id="5"/>
            </w:r>
          </w:p>
          <w:p w:rsidR="00E03EB5" w:rsidRDefault="00016E63" w:rsidP="00D01AC8">
            <w:pPr>
              <w:spacing w:after="160" w:line="360" w:lineRule="auto"/>
              <w:jc w:val="both"/>
              <w:rPr>
                <w:rFonts w:ascii="Arial" w:hAnsi="Arial" w:cs="Arial"/>
                <w:sz w:val="24"/>
                <w:szCs w:val="24"/>
                <w:lang w:val="en-US"/>
              </w:rPr>
            </w:pPr>
            <w:r>
              <w:rPr>
                <w:rFonts w:ascii="Arial" w:hAnsi="Arial" w:cs="Arial"/>
                <w:sz w:val="24"/>
                <w:szCs w:val="24"/>
                <w:lang w:val="en-US"/>
              </w:rPr>
              <w:t>[7</w:t>
            </w:r>
            <w:r w:rsidR="00D01AC8" w:rsidRPr="00D01AC8">
              <w:rPr>
                <w:rFonts w:ascii="Arial" w:hAnsi="Arial" w:cs="Arial"/>
                <w:sz w:val="24"/>
                <w:szCs w:val="24"/>
                <w:lang w:val="en-US"/>
              </w:rPr>
              <w:t xml:space="preserve">]     In the matter at hand, the prosecutor stopped the prosecution in no </w:t>
            </w:r>
            <w:r>
              <w:rPr>
                <w:rFonts w:ascii="Arial" w:hAnsi="Arial" w:cs="Arial"/>
                <w:sz w:val="24"/>
                <w:szCs w:val="24"/>
                <w:lang w:val="en-US"/>
              </w:rPr>
              <w:t>uncertain</w:t>
            </w:r>
            <w:r w:rsidR="00D01AC8" w:rsidRPr="00D01AC8">
              <w:rPr>
                <w:rFonts w:ascii="Arial" w:hAnsi="Arial" w:cs="Arial"/>
                <w:sz w:val="24"/>
                <w:szCs w:val="24"/>
                <w:lang w:val="en-US"/>
              </w:rPr>
              <w:t xml:space="preserve"> terms perceivably in terms of s 6(b) of the CPA</w:t>
            </w:r>
            <w:r>
              <w:rPr>
                <w:rFonts w:ascii="Arial" w:hAnsi="Arial" w:cs="Arial"/>
                <w:sz w:val="24"/>
                <w:szCs w:val="24"/>
                <w:lang w:val="en-US"/>
              </w:rPr>
              <w:t>.</w:t>
            </w:r>
            <w:r w:rsidR="00D01AC8" w:rsidRPr="00D01AC8">
              <w:rPr>
                <w:rFonts w:ascii="Arial" w:hAnsi="Arial" w:cs="Arial"/>
                <w:sz w:val="24"/>
                <w:szCs w:val="24"/>
                <w:lang w:val="en-US"/>
              </w:rPr>
              <w:t xml:space="preserve">  The magistrate did not enquire if it was </w:t>
            </w:r>
            <w:r w:rsidR="00D01AC8" w:rsidRPr="00D01AC8">
              <w:rPr>
                <w:rFonts w:ascii="Arial" w:hAnsi="Arial" w:cs="Arial"/>
                <w:sz w:val="24"/>
                <w:szCs w:val="24"/>
                <w:lang w:val="en-US"/>
              </w:rPr>
              <w:lastRenderedPageBreak/>
              <w:t xml:space="preserve">done with the consent of the PG. This case is further distinguishable from the facts in </w:t>
            </w:r>
            <w:r w:rsidR="00D01AC8" w:rsidRPr="00D01AC8">
              <w:rPr>
                <w:rFonts w:ascii="Arial" w:hAnsi="Arial" w:cs="Arial"/>
                <w:i/>
                <w:sz w:val="24"/>
                <w:szCs w:val="24"/>
                <w:lang w:val="en-US"/>
              </w:rPr>
              <w:t xml:space="preserve">S v </w:t>
            </w:r>
            <w:proofErr w:type="spellStart"/>
            <w:r w:rsidR="00D01AC8" w:rsidRPr="00D01AC8">
              <w:rPr>
                <w:rFonts w:ascii="Arial" w:hAnsi="Arial" w:cs="Arial"/>
                <w:i/>
                <w:sz w:val="24"/>
                <w:szCs w:val="24"/>
                <w:lang w:val="en-US"/>
              </w:rPr>
              <w:t>Fourie</w:t>
            </w:r>
            <w:proofErr w:type="spellEnd"/>
            <w:r w:rsidR="00D01AC8" w:rsidRPr="00D01AC8">
              <w:rPr>
                <w:rFonts w:ascii="Arial" w:hAnsi="Arial" w:cs="Arial"/>
                <w:sz w:val="24"/>
                <w:szCs w:val="24"/>
                <w:lang w:val="en-US"/>
              </w:rPr>
              <w:t xml:space="preserve"> (supra) where the court found that the prosecutor took a neutral stance and concluded that the actions of the prosecutor did not amount to a stopping of the prosecution. Consequently, in that case, there was no need to interfere with the magistrate’s decision.</w:t>
            </w:r>
          </w:p>
          <w:p w:rsidR="00E03EB5" w:rsidRDefault="00E642F7" w:rsidP="00E03EB5">
            <w:pPr>
              <w:spacing w:line="360" w:lineRule="auto"/>
              <w:jc w:val="both"/>
              <w:rPr>
                <w:rFonts w:ascii="Arial" w:hAnsi="Arial" w:cs="Arial"/>
                <w:sz w:val="24"/>
                <w:szCs w:val="24"/>
              </w:rPr>
            </w:pPr>
            <w:r>
              <w:rPr>
                <w:rFonts w:ascii="Arial" w:hAnsi="Arial" w:cs="Arial"/>
                <w:sz w:val="24"/>
                <w:szCs w:val="24"/>
                <w:lang w:val="en-US"/>
              </w:rPr>
              <w:t>[8</w:t>
            </w:r>
            <w:r w:rsidRPr="00E642F7">
              <w:rPr>
                <w:rFonts w:ascii="Arial" w:hAnsi="Arial" w:cs="Arial"/>
                <w:sz w:val="24"/>
                <w:szCs w:val="24"/>
                <w:lang w:val="en-US"/>
              </w:rPr>
              <w:t xml:space="preserve">]    </w:t>
            </w:r>
            <w:r w:rsidRPr="00E642F7">
              <w:rPr>
                <w:rFonts w:ascii="Arial" w:hAnsi="Arial" w:cs="Arial"/>
                <w:sz w:val="24"/>
                <w:szCs w:val="24"/>
              </w:rPr>
              <w:t xml:space="preserve">It is clear from the record of proceedings that the prosecutor in the present instance did not obtain the Prosecutor-General’s consent prior to the closing of the State’s case and, in view of what has been stated in the </w:t>
            </w:r>
            <w:proofErr w:type="spellStart"/>
            <w:r w:rsidRPr="00E642F7">
              <w:rPr>
                <w:rFonts w:ascii="Arial" w:hAnsi="Arial" w:cs="Arial"/>
                <w:i/>
                <w:sz w:val="24"/>
                <w:szCs w:val="24"/>
              </w:rPr>
              <w:t>Katemo</w:t>
            </w:r>
            <w:proofErr w:type="spellEnd"/>
            <w:r w:rsidRPr="00E642F7">
              <w:rPr>
                <w:rFonts w:ascii="Arial" w:hAnsi="Arial" w:cs="Arial"/>
                <w:i/>
                <w:sz w:val="24"/>
                <w:szCs w:val="24"/>
              </w:rPr>
              <w:t xml:space="preserve"> </w:t>
            </w:r>
            <w:r w:rsidRPr="00E642F7">
              <w:rPr>
                <w:rFonts w:ascii="Arial" w:hAnsi="Arial" w:cs="Arial"/>
                <w:sz w:val="24"/>
                <w:szCs w:val="24"/>
              </w:rPr>
              <w:t xml:space="preserve">and </w:t>
            </w:r>
            <w:proofErr w:type="spellStart"/>
            <w:r w:rsidRPr="00E642F7">
              <w:rPr>
                <w:rFonts w:ascii="Arial" w:hAnsi="Arial" w:cs="Arial"/>
                <w:i/>
                <w:sz w:val="24"/>
                <w:szCs w:val="24"/>
              </w:rPr>
              <w:t>Ekandjo</w:t>
            </w:r>
            <w:proofErr w:type="spellEnd"/>
            <w:r w:rsidRPr="00E642F7">
              <w:rPr>
                <w:rFonts w:ascii="Arial" w:hAnsi="Arial" w:cs="Arial"/>
                <w:i/>
                <w:sz w:val="24"/>
                <w:szCs w:val="24"/>
              </w:rPr>
              <w:t xml:space="preserve"> </w:t>
            </w:r>
            <w:r w:rsidRPr="00E642F7">
              <w:rPr>
                <w:rFonts w:ascii="Arial" w:hAnsi="Arial" w:cs="Arial"/>
                <w:sz w:val="24"/>
                <w:szCs w:val="24"/>
              </w:rPr>
              <w:t xml:space="preserve">cases supra, it thus follows that the </w:t>
            </w:r>
            <w:r w:rsidR="00AC4779">
              <w:rPr>
                <w:rFonts w:ascii="Arial" w:hAnsi="Arial" w:cs="Arial"/>
                <w:sz w:val="24"/>
                <w:szCs w:val="24"/>
              </w:rPr>
              <w:t>stopping was a nullity</w:t>
            </w:r>
            <w:r w:rsidRPr="00E642F7">
              <w:rPr>
                <w:rFonts w:ascii="Arial" w:hAnsi="Arial" w:cs="Arial"/>
                <w:sz w:val="24"/>
                <w:szCs w:val="24"/>
              </w:rPr>
              <w:t xml:space="preserve">. </w:t>
            </w:r>
            <w:r w:rsidR="00AC4779">
              <w:rPr>
                <w:rFonts w:ascii="Arial" w:hAnsi="Arial" w:cs="Arial"/>
                <w:sz w:val="24"/>
                <w:szCs w:val="24"/>
              </w:rPr>
              <w:t>It being a nullity,</w:t>
            </w:r>
            <w:r w:rsidRPr="00E642F7">
              <w:rPr>
                <w:rFonts w:ascii="Arial" w:hAnsi="Arial" w:cs="Arial"/>
                <w:sz w:val="24"/>
                <w:szCs w:val="24"/>
              </w:rPr>
              <w:t xml:space="preserve"> </w:t>
            </w:r>
            <w:r w:rsidR="00E03EB5">
              <w:rPr>
                <w:rFonts w:ascii="Arial" w:hAnsi="Arial" w:cs="Arial"/>
                <w:sz w:val="24"/>
                <w:szCs w:val="24"/>
              </w:rPr>
              <w:t>the matter should proceed</w:t>
            </w:r>
            <w:r w:rsidR="00CB1450">
              <w:rPr>
                <w:rFonts w:ascii="Arial" w:hAnsi="Arial" w:cs="Arial"/>
                <w:sz w:val="24"/>
                <w:szCs w:val="24"/>
              </w:rPr>
              <w:t xml:space="preserve"> to trial on the second charge, </w:t>
            </w:r>
            <w:r w:rsidR="00E03EB5">
              <w:rPr>
                <w:rFonts w:ascii="Arial" w:hAnsi="Arial" w:cs="Arial"/>
                <w:sz w:val="24"/>
                <w:szCs w:val="24"/>
              </w:rPr>
              <w:t xml:space="preserve">in the event that the prosecutor is unable to obtain consent from the Prosecutor-General to stop prosecution. </w:t>
            </w:r>
          </w:p>
          <w:p w:rsidR="00E03EB5" w:rsidRDefault="00E03EB5" w:rsidP="00E03EB5">
            <w:pPr>
              <w:spacing w:line="360" w:lineRule="auto"/>
              <w:jc w:val="both"/>
              <w:rPr>
                <w:rFonts w:ascii="Arial" w:hAnsi="Arial" w:cs="Arial"/>
                <w:sz w:val="24"/>
                <w:szCs w:val="24"/>
              </w:rPr>
            </w:pPr>
          </w:p>
          <w:p w:rsidR="00BF5B80" w:rsidRDefault="00016E63" w:rsidP="0035161C">
            <w:pPr>
              <w:spacing w:after="160" w:line="360" w:lineRule="auto"/>
              <w:jc w:val="both"/>
              <w:rPr>
                <w:rFonts w:ascii="Arial" w:hAnsi="Arial" w:cs="Arial"/>
                <w:sz w:val="24"/>
                <w:szCs w:val="24"/>
              </w:rPr>
            </w:pPr>
            <w:r>
              <w:rPr>
                <w:rFonts w:ascii="Arial" w:hAnsi="Arial" w:cs="Arial"/>
                <w:sz w:val="24"/>
                <w:szCs w:val="24"/>
              </w:rPr>
              <w:t>[9</w:t>
            </w:r>
            <w:r w:rsidR="00BF5B80">
              <w:rPr>
                <w:rFonts w:ascii="Arial" w:hAnsi="Arial" w:cs="Arial"/>
                <w:sz w:val="24"/>
                <w:szCs w:val="24"/>
              </w:rPr>
              <w:t>]     In the result:</w:t>
            </w:r>
          </w:p>
          <w:p w:rsidR="008910B1" w:rsidRDefault="008910B1" w:rsidP="00EB1AF2">
            <w:pPr>
              <w:pStyle w:val="ListParagraph"/>
              <w:numPr>
                <w:ilvl w:val="0"/>
                <w:numId w:val="7"/>
              </w:numPr>
              <w:spacing w:line="360" w:lineRule="auto"/>
              <w:jc w:val="both"/>
              <w:rPr>
                <w:rFonts w:ascii="Arial" w:hAnsi="Arial" w:cs="Arial"/>
                <w:sz w:val="24"/>
                <w:szCs w:val="24"/>
              </w:rPr>
            </w:pPr>
            <w:r w:rsidRPr="00EB1AF2">
              <w:rPr>
                <w:rFonts w:ascii="Arial" w:hAnsi="Arial" w:cs="Arial"/>
                <w:sz w:val="24"/>
                <w:szCs w:val="24"/>
              </w:rPr>
              <w:t xml:space="preserve">The conviction and sentence on </w:t>
            </w:r>
            <w:r w:rsidR="0035161C" w:rsidRPr="00EB1AF2">
              <w:rPr>
                <w:rFonts w:ascii="Arial" w:hAnsi="Arial" w:cs="Arial"/>
                <w:sz w:val="24"/>
                <w:szCs w:val="24"/>
              </w:rPr>
              <w:t xml:space="preserve">the charge of possession of cannabis </w:t>
            </w:r>
            <w:r w:rsidRPr="00EB1AF2">
              <w:rPr>
                <w:rFonts w:ascii="Arial" w:hAnsi="Arial" w:cs="Arial"/>
                <w:sz w:val="24"/>
                <w:szCs w:val="24"/>
              </w:rPr>
              <w:t>are confirmed.</w:t>
            </w:r>
          </w:p>
          <w:p w:rsidR="008910B1" w:rsidRDefault="008910B1" w:rsidP="00EB1AF2">
            <w:pPr>
              <w:pStyle w:val="ListParagraph"/>
              <w:numPr>
                <w:ilvl w:val="0"/>
                <w:numId w:val="7"/>
              </w:numPr>
              <w:spacing w:line="360" w:lineRule="auto"/>
              <w:jc w:val="both"/>
              <w:rPr>
                <w:rFonts w:ascii="Arial" w:hAnsi="Arial" w:cs="Arial"/>
                <w:sz w:val="24"/>
                <w:szCs w:val="24"/>
              </w:rPr>
            </w:pPr>
            <w:r w:rsidRPr="00EB1AF2">
              <w:rPr>
                <w:rFonts w:ascii="Arial" w:hAnsi="Arial" w:cs="Arial"/>
                <w:sz w:val="24"/>
                <w:szCs w:val="24"/>
              </w:rPr>
              <w:t>The closing of the State</w:t>
            </w:r>
            <w:r w:rsidR="00E03EB5">
              <w:rPr>
                <w:rFonts w:ascii="Arial" w:hAnsi="Arial" w:cs="Arial"/>
                <w:sz w:val="24"/>
                <w:szCs w:val="24"/>
              </w:rPr>
              <w:t>`s</w:t>
            </w:r>
            <w:r w:rsidRPr="00EB1AF2">
              <w:rPr>
                <w:rFonts w:ascii="Arial" w:hAnsi="Arial" w:cs="Arial"/>
                <w:sz w:val="24"/>
                <w:szCs w:val="24"/>
              </w:rPr>
              <w:t xml:space="preserve"> case</w:t>
            </w:r>
            <w:r w:rsidR="0035161C" w:rsidRPr="00EB1AF2">
              <w:rPr>
                <w:rFonts w:ascii="Arial" w:hAnsi="Arial" w:cs="Arial"/>
                <w:sz w:val="24"/>
                <w:szCs w:val="24"/>
              </w:rPr>
              <w:t xml:space="preserve"> in respect of the charge of resisting a member of the police</w:t>
            </w:r>
            <w:r w:rsidRPr="00EB1AF2">
              <w:rPr>
                <w:rFonts w:ascii="Arial" w:hAnsi="Arial" w:cs="Arial"/>
                <w:sz w:val="24"/>
                <w:szCs w:val="24"/>
              </w:rPr>
              <w:t xml:space="preserve"> is set aside.</w:t>
            </w:r>
          </w:p>
          <w:p w:rsidR="00FD7904" w:rsidRDefault="008910B1" w:rsidP="00EB1AF2">
            <w:pPr>
              <w:pStyle w:val="ListParagraph"/>
              <w:numPr>
                <w:ilvl w:val="0"/>
                <w:numId w:val="7"/>
              </w:numPr>
              <w:spacing w:line="360" w:lineRule="auto"/>
              <w:jc w:val="both"/>
              <w:rPr>
                <w:rFonts w:ascii="Arial" w:hAnsi="Arial" w:cs="Arial"/>
                <w:sz w:val="24"/>
                <w:szCs w:val="24"/>
              </w:rPr>
            </w:pPr>
            <w:r w:rsidRPr="00EB1AF2">
              <w:rPr>
                <w:rFonts w:ascii="Arial" w:hAnsi="Arial" w:cs="Arial"/>
                <w:sz w:val="24"/>
                <w:szCs w:val="24"/>
              </w:rPr>
              <w:t xml:space="preserve">The matter is remitted to the trial court with the direction to proceed to trial in respect of </w:t>
            </w:r>
            <w:r w:rsidR="0035161C" w:rsidRPr="00EB1AF2">
              <w:rPr>
                <w:rFonts w:ascii="Arial" w:hAnsi="Arial" w:cs="Arial"/>
                <w:sz w:val="24"/>
                <w:szCs w:val="24"/>
              </w:rPr>
              <w:t>the charge of resisting a member of the police and bring the matter to its natural conclusion</w:t>
            </w:r>
            <w:r w:rsidRPr="00EB1AF2">
              <w:rPr>
                <w:rFonts w:ascii="Arial" w:hAnsi="Arial" w:cs="Arial"/>
                <w:sz w:val="24"/>
                <w:szCs w:val="24"/>
              </w:rPr>
              <w:t xml:space="preserve"> </w:t>
            </w:r>
            <w:r w:rsidR="00B848E1" w:rsidRPr="00EB1AF2">
              <w:rPr>
                <w:rFonts w:ascii="Arial" w:hAnsi="Arial" w:cs="Arial"/>
                <w:sz w:val="24"/>
                <w:szCs w:val="24"/>
              </w:rPr>
              <w:t>if the</w:t>
            </w:r>
            <w:r w:rsidR="0035161C" w:rsidRPr="00EB1AF2">
              <w:rPr>
                <w:rFonts w:ascii="Arial" w:hAnsi="Arial" w:cs="Arial"/>
                <w:sz w:val="24"/>
                <w:szCs w:val="24"/>
              </w:rPr>
              <w:t xml:space="preserve"> prosecutor is unable to obtain the consent of the</w:t>
            </w:r>
            <w:r w:rsidRPr="00EB1AF2">
              <w:rPr>
                <w:rFonts w:ascii="Arial" w:hAnsi="Arial" w:cs="Arial"/>
                <w:sz w:val="24"/>
                <w:szCs w:val="24"/>
              </w:rPr>
              <w:t xml:space="preserve"> Prosecutor-General to stop prosecution. </w:t>
            </w:r>
            <w:r w:rsidR="00BF5B80" w:rsidRPr="00EB1AF2">
              <w:rPr>
                <w:rFonts w:ascii="Arial" w:hAnsi="Arial" w:cs="Arial"/>
                <w:sz w:val="24"/>
                <w:szCs w:val="24"/>
              </w:rPr>
              <w:t xml:space="preserve">  </w:t>
            </w:r>
          </w:p>
          <w:p w:rsidR="00CB1450" w:rsidRPr="00EB1AF2" w:rsidRDefault="00CB1450" w:rsidP="00CB1450">
            <w:pPr>
              <w:pStyle w:val="ListParagraph"/>
              <w:spacing w:line="360" w:lineRule="auto"/>
              <w:jc w:val="both"/>
              <w:rPr>
                <w:rFonts w:ascii="Arial" w:hAnsi="Arial" w:cs="Arial"/>
                <w:sz w:val="24"/>
                <w:szCs w:val="24"/>
              </w:rPr>
            </w:pPr>
          </w:p>
        </w:tc>
      </w:tr>
      <w:tr w:rsidR="00FD7904" w:rsidRPr="00FD7904" w:rsidTr="008910B1">
        <w:tc>
          <w:tcPr>
            <w:tcW w:w="4680" w:type="dxa"/>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ind w:left="-18" w:firstLine="18"/>
              <w:rPr>
                <w:rFonts w:ascii="Arial Narrow" w:hAnsi="Arial Narrow" w:cs="Arial"/>
                <w:b/>
                <w:sz w:val="24"/>
                <w:szCs w:val="24"/>
              </w:rPr>
            </w:pPr>
            <w:r w:rsidRPr="00FD7904">
              <w:rPr>
                <w:rFonts w:ascii="Arial Narrow" w:hAnsi="Arial Narrow" w:cs="Arial"/>
                <w:b/>
                <w:sz w:val="24"/>
                <w:szCs w:val="24"/>
              </w:rPr>
              <w:lastRenderedPageBreak/>
              <w:t xml:space="preserve">    </w:t>
            </w:r>
          </w:p>
          <w:p w:rsidR="00FD7904" w:rsidRPr="00FD7904" w:rsidRDefault="00FD7904" w:rsidP="00FD7904">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FD7904" w:rsidRPr="00FD7904" w:rsidRDefault="00FD7904" w:rsidP="00FD7904">
            <w:pPr>
              <w:spacing w:line="360" w:lineRule="auto"/>
              <w:rPr>
                <w:rFonts w:ascii="Arial Narrow" w:hAnsi="Arial Narrow" w:cs="Arial"/>
                <w:b/>
                <w:sz w:val="24"/>
                <w:szCs w:val="24"/>
              </w:rPr>
            </w:pPr>
          </w:p>
          <w:p w:rsidR="00FD7904" w:rsidRPr="00FD7904" w:rsidRDefault="00FD7904" w:rsidP="00FD7904">
            <w:pPr>
              <w:spacing w:line="360" w:lineRule="auto"/>
              <w:rPr>
                <w:rFonts w:ascii="Arial Narrow" w:hAnsi="Arial Narrow" w:cs="Arial"/>
                <w:b/>
                <w:sz w:val="24"/>
                <w:szCs w:val="24"/>
              </w:rPr>
            </w:pPr>
          </w:p>
        </w:tc>
      </w:tr>
      <w:tr w:rsidR="00FD7904" w:rsidRPr="00FD7904" w:rsidTr="008910B1">
        <w:trPr>
          <w:trHeight w:val="827"/>
        </w:trPr>
        <w:tc>
          <w:tcPr>
            <w:tcW w:w="4680" w:type="dxa"/>
            <w:tcBorders>
              <w:top w:val="single" w:sz="4" w:space="0" w:color="auto"/>
              <w:left w:val="single" w:sz="4" w:space="0" w:color="auto"/>
              <w:bottom w:val="single" w:sz="4" w:space="0" w:color="auto"/>
              <w:right w:val="single" w:sz="4" w:space="0" w:color="auto"/>
            </w:tcBorders>
            <w:hideMark/>
          </w:tcPr>
          <w:p w:rsidR="00FD7904" w:rsidRPr="00EB1AF2" w:rsidRDefault="00FD7904" w:rsidP="00FD7904">
            <w:pPr>
              <w:spacing w:line="360" w:lineRule="auto"/>
              <w:jc w:val="center"/>
              <w:rPr>
                <w:rFonts w:ascii="Arial" w:hAnsi="Arial" w:cs="Arial"/>
                <w:b/>
                <w:sz w:val="24"/>
                <w:szCs w:val="24"/>
              </w:rPr>
            </w:pPr>
            <w:r w:rsidRPr="00EB1AF2">
              <w:rPr>
                <w:rFonts w:ascii="Arial" w:hAnsi="Arial" w:cs="Arial"/>
                <w:b/>
                <w:sz w:val="24"/>
                <w:szCs w:val="24"/>
              </w:rPr>
              <w:t>H C JANUARY</w:t>
            </w:r>
          </w:p>
          <w:p w:rsidR="00FD7904" w:rsidRPr="00FD7904" w:rsidRDefault="00FD7904" w:rsidP="00FD7904">
            <w:pPr>
              <w:spacing w:line="360" w:lineRule="auto"/>
              <w:jc w:val="center"/>
              <w:rPr>
                <w:rFonts w:ascii="Arial Narrow" w:hAnsi="Arial Narrow" w:cs="Arial"/>
                <w:b/>
                <w:sz w:val="24"/>
                <w:szCs w:val="24"/>
              </w:rPr>
            </w:pPr>
            <w:r w:rsidRPr="00EB1AF2">
              <w:rPr>
                <w:rFonts w:ascii="Arial" w:hAnsi="Arial"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FD7904" w:rsidRPr="00EB1AF2" w:rsidRDefault="00FD7904" w:rsidP="00FD7904">
            <w:pPr>
              <w:spacing w:line="360" w:lineRule="auto"/>
              <w:jc w:val="center"/>
              <w:rPr>
                <w:rFonts w:ascii="Arial" w:hAnsi="Arial" w:cs="Arial"/>
                <w:b/>
                <w:sz w:val="24"/>
                <w:szCs w:val="24"/>
              </w:rPr>
            </w:pPr>
            <w:r w:rsidRPr="00EB1AF2">
              <w:rPr>
                <w:rFonts w:ascii="Arial" w:hAnsi="Arial" w:cs="Arial"/>
                <w:b/>
                <w:sz w:val="24"/>
                <w:szCs w:val="24"/>
              </w:rPr>
              <w:t>C M CLAASEN</w:t>
            </w:r>
          </w:p>
          <w:p w:rsidR="00FD7904" w:rsidRPr="00FD7904" w:rsidRDefault="00FD7904" w:rsidP="00FD7904">
            <w:pPr>
              <w:spacing w:line="360" w:lineRule="auto"/>
              <w:jc w:val="center"/>
              <w:rPr>
                <w:rFonts w:ascii="Arial Narrow" w:hAnsi="Arial Narrow" w:cs="Arial"/>
                <w:sz w:val="24"/>
                <w:szCs w:val="24"/>
              </w:rPr>
            </w:pPr>
            <w:r w:rsidRPr="00EB1AF2">
              <w:rPr>
                <w:rFonts w:ascii="Arial" w:hAnsi="Arial" w:cs="Arial"/>
                <w:b/>
                <w:sz w:val="24"/>
                <w:szCs w:val="24"/>
              </w:rPr>
              <w:t>JUDGE</w:t>
            </w:r>
          </w:p>
        </w:tc>
      </w:tr>
    </w:tbl>
    <w:p w:rsidR="00CF2A2A" w:rsidRPr="00FD7904" w:rsidRDefault="00CF2A2A">
      <w:pPr>
        <w:rPr>
          <w:rFonts w:ascii="Arial" w:hAnsi="Arial" w:cs="Arial"/>
          <w:sz w:val="24"/>
          <w:szCs w:val="24"/>
        </w:rPr>
      </w:pPr>
    </w:p>
    <w:sectPr w:rsidR="00CF2A2A" w:rsidRPr="00FD7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0F" w:rsidRDefault="0055370F" w:rsidP="00FD7904">
      <w:pPr>
        <w:spacing w:after="0" w:line="240" w:lineRule="auto"/>
      </w:pPr>
      <w:r>
        <w:separator/>
      </w:r>
    </w:p>
  </w:endnote>
  <w:endnote w:type="continuationSeparator" w:id="0">
    <w:p w:rsidR="0055370F" w:rsidRDefault="0055370F" w:rsidP="00FD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0F" w:rsidRDefault="0055370F" w:rsidP="00FD7904">
      <w:pPr>
        <w:spacing w:after="0" w:line="240" w:lineRule="auto"/>
      </w:pPr>
      <w:r>
        <w:separator/>
      </w:r>
    </w:p>
  </w:footnote>
  <w:footnote w:type="continuationSeparator" w:id="0">
    <w:p w:rsidR="0055370F" w:rsidRDefault="0055370F" w:rsidP="00FD7904">
      <w:pPr>
        <w:spacing w:after="0" w:line="240" w:lineRule="auto"/>
      </w:pPr>
      <w:r>
        <w:continuationSeparator/>
      </w:r>
    </w:p>
  </w:footnote>
  <w:footnote w:id="1">
    <w:p w:rsidR="00D01AC8" w:rsidRPr="00B246D2" w:rsidRDefault="00D01AC8" w:rsidP="00B246D2">
      <w:pPr>
        <w:spacing w:after="0" w:line="240" w:lineRule="auto"/>
        <w:ind w:left="2160" w:hanging="2160"/>
        <w:jc w:val="both"/>
        <w:rPr>
          <w:rFonts w:ascii="Arial" w:hAnsi="Arial" w:cs="Arial"/>
          <w:sz w:val="20"/>
          <w:szCs w:val="20"/>
        </w:rPr>
      </w:pPr>
      <w:r w:rsidRPr="00B246D2">
        <w:rPr>
          <w:rStyle w:val="FootnoteReference"/>
          <w:rFonts w:ascii="Arial" w:hAnsi="Arial" w:cs="Arial"/>
          <w:sz w:val="20"/>
          <w:szCs w:val="20"/>
        </w:rPr>
        <w:footnoteRef/>
      </w:r>
      <w:r w:rsidRPr="00B246D2">
        <w:rPr>
          <w:rFonts w:ascii="Arial" w:hAnsi="Arial" w:cs="Arial"/>
          <w:sz w:val="20"/>
          <w:szCs w:val="20"/>
        </w:rPr>
        <w:t xml:space="preserve"> </w:t>
      </w:r>
      <w:proofErr w:type="gramStart"/>
      <w:r w:rsidR="00B246D2">
        <w:rPr>
          <w:rFonts w:ascii="Arial" w:hAnsi="Arial" w:cs="Arial"/>
          <w:i/>
          <w:sz w:val="20"/>
          <w:szCs w:val="20"/>
        </w:rPr>
        <w:t>S</w:t>
      </w:r>
      <w:r w:rsidRPr="00B246D2">
        <w:rPr>
          <w:rFonts w:ascii="Arial" w:hAnsi="Arial" w:cs="Arial"/>
          <w:i/>
          <w:sz w:val="20"/>
          <w:szCs w:val="20"/>
        </w:rPr>
        <w:t xml:space="preserve"> v </w:t>
      </w:r>
      <w:proofErr w:type="spellStart"/>
      <w:r w:rsidRPr="00B246D2">
        <w:rPr>
          <w:rFonts w:ascii="Arial" w:hAnsi="Arial" w:cs="Arial"/>
          <w:i/>
          <w:sz w:val="20"/>
          <w:szCs w:val="20"/>
        </w:rPr>
        <w:t>Fourie</w:t>
      </w:r>
      <w:proofErr w:type="spellEnd"/>
      <w:r w:rsidRPr="00B246D2">
        <w:rPr>
          <w:rFonts w:ascii="Arial" w:hAnsi="Arial" w:cs="Arial"/>
          <w:sz w:val="20"/>
          <w:szCs w:val="20"/>
        </w:rPr>
        <w:t xml:space="preserve"> (CR 3</w:t>
      </w:r>
      <w:r w:rsidR="00CB1450">
        <w:rPr>
          <w:rFonts w:ascii="Arial" w:hAnsi="Arial" w:cs="Arial"/>
          <w:sz w:val="20"/>
          <w:szCs w:val="20"/>
        </w:rPr>
        <w:t xml:space="preserve">7/2012) [2013] NAHCMD 338 (15 </w:t>
      </w:r>
      <w:r w:rsidRPr="00B246D2">
        <w:rPr>
          <w:rFonts w:ascii="Arial" w:hAnsi="Arial" w:cs="Arial"/>
          <w:sz w:val="20"/>
          <w:szCs w:val="20"/>
        </w:rPr>
        <w:t>November 2013).</w:t>
      </w:r>
      <w:proofErr w:type="gramEnd"/>
    </w:p>
  </w:footnote>
  <w:footnote w:id="2">
    <w:p w:rsidR="00D01AC8" w:rsidRPr="00B246D2" w:rsidRDefault="00D01AC8" w:rsidP="00D01AC8">
      <w:pPr>
        <w:pStyle w:val="FootnoteText"/>
        <w:rPr>
          <w:rFonts w:ascii="Arial" w:hAnsi="Arial" w:cs="Arial"/>
          <w:lang w:val="en-US"/>
        </w:rPr>
      </w:pPr>
      <w:r w:rsidRPr="00B246D2">
        <w:rPr>
          <w:rStyle w:val="FootnoteReference"/>
          <w:rFonts w:ascii="Arial" w:hAnsi="Arial" w:cs="Arial"/>
        </w:rPr>
        <w:footnoteRef/>
      </w:r>
      <w:r w:rsidRPr="00B246D2">
        <w:rPr>
          <w:rFonts w:ascii="Arial" w:hAnsi="Arial" w:cs="Arial"/>
        </w:rPr>
        <w:t xml:space="preserve"> </w:t>
      </w:r>
      <w:r w:rsidRPr="00B246D2">
        <w:rPr>
          <w:rFonts w:ascii="Arial" w:hAnsi="Arial" w:cs="Arial"/>
          <w:i/>
        </w:rPr>
        <w:t xml:space="preserve">S v </w:t>
      </w:r>
      <w:proofErr w:type="spellStart"/>
      <w:r w:rsidRPr="00B246D2">
        <w:rPr>
          <w:rFonts w:ascii="Arial" w:hAnsi="Arial" w:cs="Arial"/>
          <w:i/>
        </w:rPr>
        <w:t>Ekandjo</w:t>
      </w:r>
      <w:proofErr w:type="spellEnd"/>
      <w:r w:rsidRPr="00B246D2">
        <w:rPr>
          <w:rFonts w:ascii="Arial" w:hAnsi="Arial" w:cs="Arial"/>
          <w:i/>
        </w:rPr>
        <w:t xml:space="preserve"> </w:t>
      </w:r>
      <w:r w:rsidRPr="00B246D2">
        <w:rPr>
          <w:rFonts w:ascii="Arial" w:hAnsi="Arial" w:cs="Arial"/>
        </w:rPr>
        <w:t>CR 04/2010, not reported.</w:t>
      </w:r>
    </w:p>
  </w:footnote>
  <w:footnote w:id="3">
    <w:p w:rsidR="00B246D2" w:rsidRPr="00B246D2" w:rsidRDefault="00B246D2" w:rsidP="00B246D2">
      <w:pPr>
        <w:spacing w:after="0"/>
        <w:jc w:val="both"/>
        <w:rPr>
          <w:rFonts w:ascii="Arial" w:hAnsi="Arial" w:cs="Arial"/>
          <w:sz w:val="20"/>
          <w:szCs w:val="20"/>
          <w:lang w:val="en-ZA"/>
        </w:rPr>
      </w:pPr>
      <w:r w:rsidRPr="00B246D2">
        <w:rPr>
          <w:rStyle w:val="FootnoteReference"/>
          <w:rFonts w:ascii="Arial" w:hAnsi="Arial" w:cs="Arial"/>
          <w:sz w:val="20"/>
          <w:szCs w:val="20"/>
        </w:rPr>
        <w:footnoteRef/>
      </w:r>
      <w:r w:rsidRPr="00B246D2">
        <w:rPr>
          <w:rFonts w:ascii="Arial" w:hAnsi="Arial" w:cs="Arial"/>
          <w:sz w:val="20"/>
          <w:szCs w:val="20"/>
        </w:rPr>
        <w:t xml:space="preserve"> </w:t>
      </w:r>
      <w:proofErr w:type="gramStart"/>
      <w:r w:rsidRPr="00B246D2">
        <w:rPr>
          <w:rFonts w:ascii="Arial" w:hAnsi="Arial" w:cs="Arial"/>
          <w:i/>
          <w:sz w:val="20"/>
          <w:szCs w:val="20"/>
          <w:lang w:val="en-ZA"/>
        </w:rPr>
        <w:t xml:space="preserve">S v </w:t>
      </w:r>
      <w:proofErr w:type="spellStart"/>
      <w:r w:rsidRPr="00B246D2">
        <w:rPr>
          <w:rFonts w:ascii="Arial" w:hAnsi="Arial" w:cs="Arial"/>
          <w:i/>
          <w:sz w:val="20"/>
          <w:szCs w:val="20"/>
          <w:lang w:val="en-ZA"/>
        </w:rPr>
        <w:t>Katemo</w:t>
      </w:r>
      <w:proofErr w:type="spellEnd"/>
      <w:r w:rsidRPr="00B246D2">
        <w:rPr>
          <w:rFonts w:ascii="Arial" w:hAnsi="Arial" w:cs="Arial"/>
          <w:i/>
          <w:sz w:val="20"/>
          <w:szCs w:val="20"/>
          <w:lang w:val="en-ZA"/>
        </w:rPr>
        <w:t xml:space="preserve"> </w:t>
      </w:r>
      <w:r w:rsidRPr="00B246D2">
        <w:rPr>
          <w:rFonts w:ascii="Arial" w:hAnsi="Arial" w:cs="Arial"/>
          <w:sz w:val="20"/>
          <w:szCs w:val="20"/>
          <w:lang w:val="en-ZA"/>
        </w:rPr>
        <w:t>(CR 33/2014) [2014] NAHCMD 205 (3</w:t>
      </w:r>
      <w:r w:rsidR="00CB1450">
        <w:rPr>
          <w:rFonts w:ascii="Arial" w:hAnsi="Arial" w:cs="Arial"/>
          <w:sz w:val="20"/>
          <w:szCs w:val="20"/>
          <w:lang w:val="en-ZA"/>
        </w:rPr>
        <w:t xml:space="preserve"> </w:t>
      </w:r>
      <w:r w:rsidRPr="00B246D2">
        <w:rPr>
          <w:rFonts w:ascii="Arial" w:hAnsi="Arial" w:cs="Arial"/>
          <w:sz w:val="20"/>
          <w:szCs w:val="20"/>
          <w:lang w:val="en-ZA"/>
        </w:rPr>
        <w:t>July 2014)</w:t>
      </w:r>
      <w:r>
        <w:rPr>
          <w:rFonts w:ascii="Arial" w:hAnsi="Arial" w:cs="Arial"/>
          <w:sz w:val="20"/>
          <w:szCs w:val="20"/>
          <w:lang w:val="en-ZA"/>
        </w:rPr>
        <w:t>.</w:t>
      </w:r>
      <w:proofErr w:type="gramEnd"/>
    </w:p>
  </w:footnote>
  <w:footnote w:id="4">
    <w:p w:rsidR="00D01AC8" w:rsidRPr="00CF1EE2" w:rsidRDefault="00D01AC8" w:rsidP="00D01AC8">
      <w:pPr>
        <w:pStyle w:val="FootnoteText"/>
        <w:rPr>
          <w:rFonts w:ascii="Arial" w:hAnsi="Arial" w:cs="Arial"/>
          <w:lang w:val="en-US"/>
        </w:rPr>
      </w:pPr>
      <w:r w:rsidRPr="00B246D2">
        <w:rPr>
          <w:rStyle w:val="FootnoteReference"/>
          <w:rFonts w:ascii="Arial" w:hAnsi="Arial" w:cs="Arial"/>
        </w:rPr>
        <w:footnoteRef/>
      </w:r>
      <w:r w:rsidRPr="00B246D2">
        <w:rPr>
          <w:rFonts w:ascii="Arial" w:hAnsi="Arial" w:cs="Arial"/>
        </w:rPr>
        <w:t xml:space="preserve"> </w:t>
      </w:r>
      <w:proofErr w:type="gramStart"/>
      <w:r w:rsidRPr="00B246D2">
        <w:rPr>
          <w:rFonts w:ascii="Arial" w:hAnsi="Arial" w:cs="Arial"/>
          <w:i/>
        </w:rPr>
        <w:t>S v E</w:t>
      </w:r>
      <w:r w:rsidRPr="00B246D2">
        <w:rPr>
          <w:rFonts w:ascii="Arial" w:hAnsi="Arial" w:cs="Arial"/>
          <w:b/>
          <w:i/>
        </w:rPr>
        <w:t xml:space="preserve"> </w:t>
      </w:r>
      <w:r w:rsidRPr="00B246D2">
        <w:rPr>
          <w:rFonts w:ascii="Arial" w:hAnsi="Arial" w:cs="Arial"/>
        </w:rPr>
        <w:t>1995 (2) SACR 547 (A).</w:t>
      </w:r>
      <w:proofErr w:type="gramEnd"/>
    </w:p>
  </w:footnote>
  <w:footnote w:id="5">
    <w:p w:rsidR="00D01AC8" w:rsidRPr="00AD6A69" w:rsidRDefault="00D01AC8" w:rsidP="00D01AC8">
      <w:pPr>
        <w:pStyle w:val="FootnoteText"/>
        <w:rPr>
          <w:rFonts w:ascii="Arial" w:hAnsi="Arial" w:cs="Arial"/>
          <w:lang w:val="en-US"/>
        </w:rPr>
      </w:pPr>
      <w:r w:rsidRPr="00AD6A69">
        <w:rPr>
          <w:rStyle w:val="FootnoteReference"/>
          <w:rFonts w:ascii="Arial" w:hAnsi="Arial" w:cs="Arial"/>
        </w:rPr>
        <w:footnoteRef/>
      </w:r>
      <w:r w:rsidRPr="00AD6A69">
        <w:rPr>
          <w:rFonts w:ascii="Arial" w:hAnsi="Arial" w:cs="Arial"/>
        </w:rPr>
        <w:t xml:space="preserve"> </w:t>
      </w:r>
      <w:proofErr w:type="gramStart"/>
      <w:r w:rsidRPr="00AD6A69">
        <w:rPr>
          <w:rFonts w:ascii="Arial" w:hAnsi="Arial" w:cs="Arial"/>
          <w:i/>
        </w:rPr>
        <w:t xml:space="preserve">S v </w:t>
      </w:r>
      <w:proofErr w:type="spellStart"/>
      <w:r w:rsidRPr="00AD6A69">
        <w:rPr>
          <w:rFonts w:ascii="Arial" w:hAnsi="Arial" w:cs="Arial"/>
          <w:i/>
        </w:rPr>
        <w:t>Bopape</w:t>
      </w:r>
      <w:proofErr w:type="spellEnd"/>
      <w:r w:rsidRPr="00AD6A69">
        <w:rPr>
          <w:rFonts w:ascii="Arial" w:hAnsi="Arial" w:cs="Arial"/>
        </w:rPr>
        <w:t xml:space="preserve"> 1966 (1) SA 145 (C)</w:t>
      </w:r>
      <w:r w:rsidR="00B246D2">
        <w:rPr>
          <w:rFonts w:ascii="Arial" w:hAnsi="Arial" w:cs="Arial"/>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840"/>
    <w:multiLevelType w:val="hybridMultilevel"/>
    <w:tmpl w:val="1980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6698F"/>
    <w:multiLevelType w:val="hybridMultilevel"/>
    <w:tmpl w:val="C246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943E2"/>
    <w:multiLevelType w:val="hybridMultilevel"/>
    <w:tmpl w:val="04D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D7DEB"/>
    <w:multiLevelType w:val="hybridMultilevel"/>
    <w:tmpl w:val="0184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90BA0"/>
    <w:multiLevelType w:val="hybridMultilevel"/>
    <w:tmpl w:val="E4264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9D26EF"/>
    <w:multiLevelType w:val="hybridMultilevel"/>
    <w:tmpl w:val="A7AC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65763"/>
    <w:multiLevelType w:val="hybridMultilevel"/>
    <w:tmpl w:val="67A8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04"/>
    <w:rsid w:val="00016E63"/>
    <w:rsid w:val="00053E00"/>
    <w:rsid w:val="0005776C"/>
    <w:rsid w:val="0035161C"/>
    <w:rsid w:val="003F1829"/>
    <w:rsid w:val="00402DC1"/>
    <w:rsid w:val="00504378"/>
    <w:rsid w:val="00531006"/>
    <w:rsid w:val="0055370F"/>
    <w:rsid w:val="005833D6"/>
    <w:rsid w:val="005973E1"/>
    <w:rsid w:val="006B23B7"/>
    <w:rsid w:val="00733438"/>
    <w:rsid w:val="00750851"/>
    <w:rsid w:val="00877A7F"/>
    <w:rsid w:val="008910B1"/>
    <w:rsid w:val="00937D5A"/>
    <w:rsid w:val="00A103C3"/>
    <w:rsid w:val="00A515EF"/>
    <w:rsid w:val="00A82F7C"/>
    <w:rsid w:val="00A84758"/>
    <w:rsid w:val="00AC4779"/>
    <w:rsid w:val="00B246D2"/>
    <w:rsid w:val="00B848E1"/>
    <w:rsid w:val="00BF5B80"/>
    <w:rsid w:val="00CB1450"/>
    <w:rsid w:val="00CF2A2A"/>
    <w:rsid w:val="00D0108D"/>
    <w:rsid w:val="00D01AC8"/>
    <w:rsid w:val="00D3170D"/>
    <w:rsid w:val="00DE55E9"/>
    <w:rsid w:val="00E03EB5"/>
    <w:rsid w:val="00E46AF3"/>
    <w:rsid w:val="00E642F7"/>
    <w:rsid w:val="00EB1AF2"/>
    <w:rsid w:val="00F71F9D"/>
    <w:rsid w:val="00FD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0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D7904"/>
    <w:rPr>
      <w:vertAlign w:val="superscript"/>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FD7904"/>
    <w:pPr>
      <w:spacing w:after="0" w:line="240" w:lineRule="auto"/>
    </w:pPr>
    <w:rPr>
      <w:sz w:val="20"/>
      <w:szCs w:val="20"/>
      <w:lang w:val="en-ZA"/>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FD7904"/>
    <w:rPr>
      <w:sz w:val="20"/>
      <w:szCs w:val="20"/>
      <w:lang w:val="en-ZA"/>
    </w:rPr>
  </w:style>
  <w:style w:type="paragraph" w:styleId="ListParagraph">
    <w:name w:val="List Paragraph"/>
    <w:basedOn w:val="Normal"/>
    <w:uiPriority w:val="34"/>
    <w:qFormat/>
    <w:rsid w:val="008910B1"/>
    <w:pPr>
      <w:ind w:left="720"/>
      <w:contextualSpacing/>
    </w:pPr>
  </w:style>
  <w:style w:type="paragraph" w:styleId="BalloonText">
    <w:name w:val="Balloon Text"/>
    <w:basedOn w:val="Normal"/>
    <w:link w:val="BalloonTextChar"/>
    <w:uiPriority w:val="99"/>
    <w:semiHidden/>
    <w:unhideWhenUsed/>
    <w:rsid w:val="00EB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0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D7904"/>
    <w:rPr>
      <w:vertAlign w:val="superscript"/>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FD7904"/>
    <w:pPr>
      <w:spacing w:after="0" w:line="240" w:lineRule="auto"/>
    </w:pPr>
    <w:rPr>
      <w:sz w:val="20"/>
      <w:szCs w:val="20"/>
      <w:lang w:val="en-ZA"/>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FD7904"/>
    <w:rPr>
      <w:sz w:val="20"/>
      <w:szCs w:val="20"/>
      <w:lang w:val="en-ZA"/>
    </w:rPr>
  </w:style>
  <w:style w:type="paragraph" w:styleId="ListParagraph">
    <w:name w:val="List Paragraph"/>
    <w:basedOn w:val="Normal"/>
    <w:uiPriority w:val="34"/>
    <w:qFormat/>
    <w:rsid w:val="008910B1"/>
    <w:pPr>
      <w:ind w:left="720"/>
      <w:contextualSpacing/>
    </w:pPr>
  </w:style>
  <w:style w:type="paragraph" w:styleId="BalloonText">
    <w:name w:val="Balloon Text"/>
    <w:basedOn w:val="Normal"/>
    <w:link w:val="BalloonTextChar"/>
    <w:uiPriority w:val="99"/>
    <w:semiHidden/>
    <w:unhideWhenUsed/>
    <w:rsid w:val="00EB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2023-05-07T18:30:00+00:00</Judgment_x0020_Date>
  </documentManagement>
</p:properties>
</file>

<file path=customXml/itemProps1.xml><?xml version="1.0" encoding="utf-8"?>
<ds:datastoreItem xmlns:ds="http://schemas.openxmlformats.org/officeDocument/2006/customXml" ds:itemID="{EB19BB4F-A431-47FE-AFD2-B026EC29AC4B}"/>
</file>

<file path=customXml/itemProps2.xml><?xml version="1.0" encoding="utf-8"?>
<ds:datastoreItem xmlns:ds="http://schemas.openxmlformats.org/officeDocument/2006/customXml" ds:itemID="{92D847A3-0332-4582-919F-6EC89C50DEE4}"/>
</file>

<file path=customXml/itemProps3.xml><?xml version="1.0" encoding="utf-8"?>
<ds:datastoreItem xmlns:ds="http://schemas.openxmlformats.org/officeDocument/2006/customXml" ds:itemID="{66445E00-A960-442E-97CB-9C7CEE42D236}"/>
</file>

<file path=customXml/itemProps4.xml><?xml version="1.0" encoding="utf-8"?>
<ds:datastoreItem xmlns:ds="http://schemas.openxmlformats.org/officeDocument/2006/customXml" ds:itemID="{23AA9283-78A1-4F84-953A-3891BDA9C2B1}"/>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Christiaans (CR 53-2023) [2023] NAHCMD 242 (08 May 2023)</dc:title>
  <dc:creator>Herman C. January</dc:creator>
  <cp:lastModifiedBy>Michelle N. Ullrich</cp:lastModifiedBy>
  <cp:revision>2</cp:revision>
  <cp:lastPrinted>2023-05-08T07:19:00Z</cp:lastPrinted>
  <dcterms:created xsi:type="dcterms:W3CDTF">2023-05-08T07:32:00Z</dcterms:created>
  <dcterms:modified xsi:type="dcterms:W3CDTF">2023-05-08T07:32:00Z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