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22" w:rsidRPr="008F189E" w:rsidRDefault="00A91522" w:rsidP="00A91522">
      <w:pPr>
        <w:spacing w:after="160" w:line="254" w:lineRule="auto"/>
        <w:jc w:val="center"/>
        <w:rPr>
          <w:rFonts w:ascii="Arial" w:hAnsi="Arial" w:cs="Arial"/>
          <w:b/>
          <w:sz w:val="24"/>
          <w:szCs w:val="24"/>
          <w:lang w:val="en-US"/>
        </w:rPr>
      </w:pPr>
      <w:r w:rsidRPr="008F189E">
        <w:rPr>
          <w:rFonts w:ascii="Arial" w:hAnsi="Arial" w:cs="Arial"/>
          <w:b/>
          <w:sz w:val="24"/>
          <w:szCs w:val="24"/>
          <w:lang w:val="en-US"/>
        </w:rPr>
        <w:t>REPUBLIC OF NAMIBIA</w:t>
      </w:r>
    </w:p>
    <w:p w:rsidR="00A91522" w:rsidRPr="008F189E" w:rsidRDefault="00A91522" w:rsidP="00A91522">
      <w:pPr>
        <w:spacing w:after="160" w:line="254" w:lineRule="auto"/>
        <w:jc w:val="center"/>
        <w:rPr>
          <w:rFonts w:ascii="Arial" w:hAnsi="Arial" w:cs="Arial"/>
          <w:b/>
          <w:sz w:val="24"/>
          <w:szCs w:val="24"/>
          <w:lang w:val="en-US"/>
        </w:rPr>
      </w:pPr>
      <w:r w:rsidRPr="008F189E">
        <w:rPr>
          <w:rFonts w:ascii="Arial" w:hAnsi="Arial" w:cs="Arial"/>
          <w:b/>
          <w:noProof/>
          <w:sz w:val="24"/>
          <w:szCs w:val="24"/>
          <w:lang w:val="en-US"/>
        </w:rPr>
        <w:drawing>
          <wp:inline distT="0" distB="0" distL="0" distR="0" wp14:anchorId="125AC7DA" wp14:editId="3FB1B0CA">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A91522" w:rsidRPr="008F189E" w:rsidRDefault="00A91522" w:rsidP="00A91522">
      <w:pPr>
        <w:spacing w:after="160" w:line="254" w:lineRule="auto"/>
        <w:jc w:val="center"/>
        <w:rPr>
          <w:rFonts w:ascii="Arial" w:hAnsi="Arial" w:cs="Arial"/>
          <w:b/>
          <w:sz w:val="24"/>
          <w:szCs w:val="24"/>
          <w:lang w:val="en-US"/>
        </w:rPr>
      </w:pPr>
    </w:p>
    <w:p w:rsidR="00A91522" w:rsidRPr="008F189E" w:rsidRDefault="00A91522" w:rsidP="00A91522">
      <w:pPr>
        <w:spacing w:after="160" w:line="254" w:lineRule="auto"/>
        <w:jc w:val="center"/>
        <w:rPr>
          <w:rFonts w:ascii="Arial" w:hAnsi="Arial" w:cs="Arial"/>
          <w:b/>
          <w:sz w:val="24"/>
          <w:szCs w:val="24"/>
          <w:lang w:val="en-US"/>
        </w:rPr>
      </w:pPr>
      <w:r w:rsidRPr="008F189E">
        <w:rPr>
          <w:rFonts w:ascii="Arial" w:hAnsi="Arial" w:cs="Arial"/>
          <w:b/>
          <w:sz w:val="24"/>
          <w:szCs w:val="24"/>
          <w:lang w:val="en-US"/>
        </w:rPr>
        <w:t>IN THE HIGH COURT OF NAMIBIA, MAIN DIVISION, WINDHOEK</w:t>
      </w:r>
    </w:p>
    <w:p w:rsidR="008F189E" w:rsidRPr="003E605A" w:rsidRDefault="008F189E" w:rsidP="008F189E">
      <w:pPr>
        <w:jc w:val="center"/>
        <w:rPr>
          <w:rFonts w:ascii="Arial" w:hAnsi="Arial" w:cs="Arial"/>
          <w:b/>
          <w:sz w:val="24"/>
          <w:szCs w:val="24"/>
        </w:rPr>
      </w:pPr>
      <w:r w:rsidRPr="003E605A">
        <w:rPr>
          <w:rFonts w:ascii="Arial" w:hAnsi="Arial" w:cs="Arial"/>
          <w:b/>
          <w:sz w:val="24"/>
          <w:szCs w:val="24"/>
        </w:rPr>
        <w:t xml:space="preserve">RULING </w:t>
      </w:r>
    </w:p>
    <w:tbl>
      <w:tblPr>
        <w:tblStyle w:val="TableGrid"/>
        <w:tblW w:w="10490" w:type="dxa"/>
        <w:tblInd w:w="-714" w:type="dxa"/>
        <w:tblLayout w:type="fixed"/>
        <w:tblLook w:val="04A0" w:firstRow="1" w:lastRow="0" w:firstColumn="1" w:lastColumn="0" w:noHBand="0" w:noVBand="1"/>
      </w:tblPr>
      <w:tblGrid>
        <w:gridCol w:w="5245"/>
        <w:gridCol w:w="1134"/>
        <w:gridCol w:w="4111"/>
      </w:tblGrid>
      <w:tr w:rsidR="00F96C8E" w:rsidRPr="00A91522" w:rsidTr="0002731C">
        <w:trPr>
          <w:trHeight w:val="599"/>
        </w:trPr>
        <w:tc>
          <w:tcPr>
            <w:tcW w:w="6379" w:type="dxa"/>
            <w:gridSpan w:val="2"/>
            <w:vMerge w:val="restart"/>
            <w:tcBorders>
              <w:top w:val="single" w:sz="4" w:space="0" w:color="auto"/>
              <w:left w:val="single" w:sz="4" w:space="0" w:color="auto"/>
              <w:right w:val="single" w:sz="4" w:space="0" w:color="auto"/>
            </w:tcBorders>
            <w:hideMark/>
          </w:tcPr>
          <w:p w:rsidR="00F96C8E" w:rsidRDefault="00F96C8E" w:rsidP="00A91522">
            <w:pPr>
              <w:spacing w:after="0" w:line="360" w:lineRule="auto"/>
              <w:jc w:val="both"/>
              <w:rPr>
                <w:rFonts w:ascii="Arial" w:hAnsi="Arial" w:cs="Arial"/>
                <w:b/>
                <w:sz w:val="24"/>
                <w:szCs w:val="24"/>
              </w:rPr>
            </w:pPr>
            <w:r w:rsidRPr="00A91522">
              <w:rPr>
                <w:rFonts w:ascii="Arial" w:hAnsi="Arial" w:cs="Arial"/>
                <w:b/>
                <w:sz w:val="24"/>
                <w:szCs w:val="24"/>
              </w:rPr>
              <w:t>Case Title:</w:t>
            </w:r>
          </w:p>
          <w:p w:rsidR="00311914" w:rsidRPr="00054921" w:rsidRDefault="00311914" w:rsidP="00311914">
            <w:pPr>
              <w:spacing w:after="0" w:line="360" w:lineRule="auto"/>
              <w:jc w:val="both"/>
              <w:rPr>
                <w:rFonts w:ascii="Arial" w:hAnsi="Arial" w:cs="Arial"/>
                <w:sz w:val="24"/>
                <w:szCs w:val="24"/>
              </w:rPr>
            </w:pPr>
          </w:p>
          <w:p w:rsidR="00054921" w:rsidRPr="00054921" w:rsidRDefault="00D50FC7" w:rsidP="001435B2">
            <w:pPr>
              <w:tabs>
                <w:tab w:val="right" w:pos="10542"/>
              </w:tabs>
              <w:spacing w:after="190" w:line="360" w:lineRule="auto"/>
              <w:rPr>
                <w:rFonts w:ascii="Arial" w:eastAsia="Calibri" w:hAnsi="Arial" w:cs="Arial"/>
                <w:color w:val="000000"/>
                <w:lang w:eastAsia="en-ZA"/>
              </w:rPr>
            </w:pPr>
            <w:r>
              <w:rPr>
                <w:rFonts w:ascii="Arial" w:eastAsia="Arial Unicode MS" w:hAnsi="Arial" w:cs="Arial"/>
                <w:color w:val="000000"/>
                <w:sz w:val="24"/>
                <w:lang w:eastAsia="en-ZA"/>
              </w:rPr>
              <w:t>First National Bank o</w:t>
            </w:r>
            <w:r w:rsidRPr="00D50FC7">
              <w:rPr>
                <w:rFonts w:ascii="Arial" w:eastAsia="Arial Unicode MS" w:hAnsi="Arial" w:cs="Arial"/>
                <w:color w:val="000000"/>
                <w:sz w:val="24"/>
                <w:lang w:eastAsia="en-ZA"/>
              </w:rPr>
              <w:t>f Namibia Ltd</w:t>
            </w:r>
            <w:r w:rsidR="00054921" w:rsidRPr="00054921">
              <w:rPr>
                <w:rFonts w:ascii="Arial" w:eastAsia="Arial Unicode MS" w:hAnsi="Arial" w:cs="Arial"/>
                <w:color w:val="000000"/>
                <w:sz w:val="24"/>
                <w:lang w:eastAsia="en-ZA"/>
              </w:rPr>
              <w:tab/>
              <w:t>Plaintiff</w:t>
            </w:r>
          </w:p>
          <w:p w:rsidR="00054921" w:rsidRPr="00054921" w:rsidRDefault="00054921" w:rsidP="001435B2">
            <w:pPr>
              <w:spacing w:after="287" w:line="360" w:lineRule="auto"/>
              <w:ind w:left="48" w:hanging="10"/>
              <w:jc w:val="both"/>
              <w:rPr>
                <w:rFonts w:ascii="Arial" w:eastAsia="Calibri" w:hAnsi="Arial" w:cs="Arial"/>
                <w:color w:val="000000"/>
                <w:lang w:eastAsia="en-ZA"/>
              </w:rPr>
            </w:pPr>
            <w:r w:rsidRPr="00054921">
              <w:rPr>
                <w:rFonts w:ascii="Arial" w:eastAsia="Arial Unicode MS" w:hAnsi="Arial" w:cs="Arial"/>
                <w:color w:val="000000"/>
                <w:sz w:val="24"/>
                <w:lang w:eastAsia="en-ZA"/>
              </w:rPr>
              <w:t>and</w:t>
            </w:r>
          </w:p>
          <w:p w:rsidR="00244918" w:rsidRPr="003E605A" w:rsidRDefault="00D50FC7" w:rsidP="003E605A">
            <w:pPr>
              <w:tabs>
                <w:tab w:val="right" w:pos="10542"/>
              </w:tabs>
              <w:spacing w:after="3" w:line="360" w:lineRule="auto"/>
              <w:rPr>
                <w:rFonts w:ascii="Arial" w:eastAsia="Calibri" w:hAnsi="Arial" w:cs="Arial"/>
                <w:color w:val="000000"/>
                <w:lang w:eastAsia="en-ZA"/>
              </w:rPr>
            </w:pPr>
            <w:r w:rsidRPr="00D50FC7">
              <w:rPr>
                <w:rFonts w:ascii="Arial" w:eastAsia="Arial Unicode MS" w:hAnsi="Arial" w:cs="Arial"/>
                <w:color w:val="000000"/>
                <w:sz w:val="24"/>
                <w:lang w:eastAsia="en-ZA"/>
              </w:rPr>
              <w:t xml:space="preserve">Yvonne </w:t>
            </w:r>
            <w:proofErr w:type="spellStart"/>
            <w:r w:rsidRPr="00D50FC7">
              <w:rPr>
                <w:rFonts w:ascii="Arial" w:eastAsia="Arial Unicode MS" w:hAnsi="Arial" w:cs="Arial"/>
                <w:color w:val="000000"/>
                <w:sz w:val="24"/>
                <w:lang w:eastAsia="en-ZA"/>
              </w:rPr>
              <w:t>Sus</w:t>
            </w:r>
            <w:proofErr w:type="spellEnd"/>
            <w:r w:rsidRPr="00D50FC7">
              <w:rPr>
                <w:rFonts w:ascii="Arial" w:eastAsia="Arial Unicode MS" w:hAnsi="Arial" w:cs="Arial"/>
                <w:color w:val="000000"/>
                <w:sz w:val="24"/>
                <w:lang w:eastAsia="en-ZA"/>
              </w:rPr>
              <w:t xml:space="preserve"> </w:t>
            </w:r>
            <w:proofErr w:type="spellStart"/>
            <w:r w:rsidRPr="00D50FC7">
              <w:rPr>
                <w:rFonts w:ascii="Arial" w:eastAsia="Arial Unicode MS" w:hAnsi="Arial" w:cs="Arial"/>
                <w:color w:val="000000"/>
                <w:sz w:val="24"/>
                <w:lang w:eastAsia="en-ZA"/>
              </w:rPr>
              <w:t>Eichas</w:t>
            </w:r>
            <w:proofErr w:type="spellEnd"/>
            <w:r w:rsidR="00054921" w:rsidRPr="00054921">
              <w:rPr>
                <w:rFonts w:ascii="Arial" w:eastAsia="Arial Unicode MS" w:hAnsi="Arial" w:cs="Arial"/>
                <w:color w:val="000000"/>
                <w:sz w:val="24"/>
                <w:lang w:eastAsia="en-ZA"/>
              </w:rPr>
              <w:tab/>
              <w:t>Defendant</w:t>
            </w:r>
          </w:p>
        </w:tc>
        <w:tc>
          <w:tcPr>
            <w:tcW w:w="4111" w:type="dxa"/>
            <w:tcBorders>
              <w:top w:val="single" w:sz="4" w:space="0" w:color="auto"/>
              <w:left w:val="single" w:sz="4" w:space="0" w:color="auto"/>
              <w:bottom w:val="single" w:sz="4" w:space="0" w:color="auto"/>
              <w:right w:val="single" w:sz="4" w:space="0" w:color="auto"/>
            </w:tcBorders>
          </w:tcPr>
          <w:p w:rsidR="0090553E" w:rsidRDefault="00F96C8E" w:rsidP="008448D9">
            <w:pPr>
              <w:spacing w:after="0" w:line="360" w:lineRule="auto"/>
              <w:ind w:left="1616" w:hanging="1559"/>
              <w:jc w:val="both"/>
              <w:rPr>
                <w:rFonts w:ascii="Arial" w:hAnsi="Arial" w:cs="Arial"/>
                <w:b/>
                <w:sz w:val="24"/>
                <w:szCs w:val="24"/>
              </w:rPr>
            </w:pPr>
            <w:r w:rsidRPr="00A91522">
              <w:rPr>
                <w:rFonts w:ascii="Arial" w:hAnsi="Arial" w:cs="Arial"/>
                <w:b/>
                <w:sz w:val="24"/>
                <w:szCs w:val="24"/>
              </w:rPr>
              <w:t>C</w:t>
            </w:r>
            <w:r w:rsidR="00923BA4">
              <w:rPr>
                <w:rFonts w:ascii="Arial" w:hAnsi="Arial" w:cs="Arial"/>
                <w:b/>
                <w:sz w:val="24"/>
                <w:szCs w:val="24"/>
              </w:rPr>
              <w:t>ase No:</w:t>
            </w:r>
          </w:p>
          <w:p w:rsidR="00F96C8E" w:rsidRPr="00A91522" w:rsidRDefault="003A0130" w:rsidP="00D50FC7">
            <w:pPr>
              <w:spacing w:after="0" w:line="360" w:lineRule="auto"/>
              <w:ind w:left="1616" w:hanging="1559"/>
              <w:jc w:val="both"/>
              <w:rPr>
                <w:rFonts w:ascii="Arial" w:hAnsi="Arial" w:cs="Arial"/>
                <w:sz w:val="24"/>
                <w:szCs w:val="24"/>
              </w:rPr>
            </w:pPr>
            <w:r w:rsidRPr="003A0130">
              <w:rPr>
                <w:rFonts w:ascii="Arial" w:hAnsi="Arial" w:cs="Arial"/>
                <w:sz w:val="24"/>
                <w:szCs w:val="24"/>
              </w:rPr>
              <w:t>HC-MD-CIV-ACT-CON-2022/04982</w:t>
            </w:r>
          </w:p>
        </w:tc>
      </w:tr>
      <w:tr w:rsidR="00F96C8E" w:rsidRPr="00A91522" w:rsidTr="0002731C">
        <w:tc>
          <w:tcPr>
            <w:tcW w:w="6379" w:type="dxa"/>
            <w:gridSpan w:val="2"/>
            <w:vMerge/>
            <w:tcBorders>
              <w:left w:val="single" w:sz="4" w:space="0" w:color="auto"/>
              <w:right w:val="single" w:sz="4" w:space="0" w:color="auto"/>
            </w:tcBorders>
            <w:vAlign w:val="center"/>
            <w:hideMark/>
          </w:tcPr>
          <w:p w:rsidR="00F96C8E" w:rsidRPr="00A91522" w:rsidRDefault="00F96C8E" w:rsidP="00A91522">
            <w:pPr>
              <w:spacing w:after="0" w:line="240" w:lineRule="auto"/>
              <w:rPr>
                <w:rFonts w:ascii="Arial" w:hAnsi="Arial" w:cs="Arial"/>
                <w:i/>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F96C8E" w:rsidRPr="00A91522" w:rsidRDefault="00F96C8E" w:rsidP="00A91522">
            <w:pPr>
              <w:spacing w:after="0" w:line="360" w:lineRule="auto"/>
              <w:jc w:val="both"/>
              <w:rPr>
                <w:rFonts w:ascii="Arial" w:hAnsi="Arial" w:cs="Arial"/>
                <w:b/>
                <w:sz w:val="24"/>
                <w:szCs w:val="24"/>
              </w:rPr>
            </w:pPr>
            <w:r>
              <w:rPr>
                <w:rFonts w:ascii="Arial" w:hAnsi="Arial" w:cs="Arial"/>
                <w:b/>
                <w:sz w:val="24"/>
                <w:szCs w:val="24"/>
              </w:rPr>
              <w:t>Division of Court:</w:t>
            </w:r>
          </w:p>
          <w:p w:rsidR="00F96C8E" w:rsidRPr="00A91522" w:rsidRDefault="00F96C8E" w:rsidP="00A91522">
            <w:pPr>
              <w:spacing w:after="0" w:line="360" w:lineRule="auto"/>
              <w:jc w:val="both"/>
              <w:rPr>
                <w:rFonts w:ascii="Arial" w:hAnsi="Arial" w:cs="Arial"/>
                <w:sz w:val="24"/>
                <w:szCs w:val="24"/>
              </w:rPr>
            </w:pPr>
            <w:r w:rsidRPr="00A91522">
              <w:rPr>
                <w:rFonts w:ascii="Arial" w:hAnsi="Arial" w:cs="Arial"/>
                <w:sz w:val="24"/>
                <w:szCs w:val="24"/>
              </w:rPr>
              <w:t>Main Division</w:t>
            </w:r>
            <w:r w:rsidR="003E605A">
              <w:rPr>
                <w:rFonts w:ascii="Arial" w:hAnsi="Arial" w:cs="Arial"/>
                <w:sz w:val="24"/>
                <w:szCs w:val="24"/>
              </w:rPr>
              <w:t>, Windhoek</w:t>
            </w:r>
          </w:p>
        </w:tc>
      </w:tr>
      <w:tr w:rsidR="00F96C8E" w:rsidRPr="00A91522" w:rsidTr="0002731C">
        <w:tc>
          <w:tcPr>
            <w:tcW w:w="6379" w:type="dxa"/>
            <w:gridSpan w:val="2"/>
            <w:vMerge/>
            <w:tcBorders>
              <w:left w:val="single" w:sz="4" w:space="0" w:color="auto"/>
              <w:bottom w:val="single" w:sz="4" w:space="0" w:color="auto"/>
              <w:right w:val="single" w:sz="4" w:space="0" w:color="auto"/>
            </w:tcBorders>
            <w:vAlign w:val="center"/>
          </w:tcPr>
          <w:p w:rsidR="00F96C8E" w:rsidRPr="00A91522" w:rsidRDefault="00F96C8E" w:rsidP="00A91522">
            <w:pPr>
              <w:spacing w:after="0" w:line="240" w:lineRule="auto"/>
              <w:rPr>
                <w:rFonts w:ascii="Arial" w:hAnsi="Arial" w:cs="Arial"/>
                <w:i/>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6C8E" w:rsidRPr="00A91522" w:rsidRDefault="00F96C8E" w:rsidP="00F96C8E">
            <w:pPr>
              <w:spacing w:after="0" w:line="360" w:lineRule="auto"/>
              <w:jc w:val="both"/>
              <w:rPr>
                <w:rFonts w:ascii="Arial" w:hAnsi="Arial" w:cs="Arial"/>
                <w:b/>
                <w:sz w:val="24"/>
                <w:szCs w:val="24"/>
              </w:rPr>
            </w:pPr>
            <w:r>
              <w:rPr>
                <w:rFonts w:ascii="Arial" w:hAnsi="Arial" w:cs="Arial"/>
                <w:b/>
                <w:sz w:val="24"/>
                <w:szCs w:val="24"/>
              </w:rPr>
              <w:t>H</w:t>
            </w:r>
            <w:r w:rsidRPr="00A91522">
              <w:rPr>
                <w:rFonts w:ascii="Arial" w:hAnsi="Arial" w:cs="Arial"/>
                <w:b/>
                <w:sz w:val="24"/>
                <w:szCs w:val="24"/>
              </w:rPr>
              <w:t>e</w:t>
            </w:r>
            <w:r>
              <w:rPr>
                <w:rFonts w:ascii="Arial" w:hAnsi="Arial" w:cs="Arial"/>
                <w:b/>
                <w:sz w:val="24"/>
                <w:szCs w:val="24"/>
              </w:rPr>
              <w:t>a</w:t>
            </w:r>
            <w:r w:rsidRPr="00A91522">
              <w:rPr>
                <w:rFonts w:ascii="Arial" w:hAnsi="Arial" w:cs="Arial"/>
                <w:b/>
                <w:sz w:val="24"/>
                <w:szCs w:val="24"/>
              </w:rPr>
              <w:t>rd on:</w:t>
            </w:r>
          </w:p>
          <w:p w:rsidR="00F96C8E" w:rsidRDefault="00054921" w:rsidP="00AC02AC">
            <w:pPr>
              <w:spacing w:after="0" w:line="360" w:lineRule="auto"/>
              <w:jc w:val="both"/>
              <w:rPr>
                <w:rFonts w:ascii="Arial" w:hAnsi="Arial" w:cs="Arial"/>
                <w:b/>
                <w:sz w:val="24"/>
                <w:szCs w:val="24"/>
              </w:rPr>
            </w:pPr>
            <w:r>
              <w:rPr>
                <w:rFonts w:ascii="Arial" w:hAnsi="Arial" w:cs="Arial"/>
                <w:sz w:val="24"/>
                <w:szCs w:val="24"/>
              </w:rPr>
              <w:t>1</w:t>
            </w:r>
            <w:r w:rsidR="00AC02AC">
              <w:rPr>
                <w:rFonts w:ascii="Arial" w:hAnsi="Arial" w:cs="Arial"/>
                <w:sz w:val="24"/>
                <w:szCs w:val="24"/>
              </w:rPr>
              <w:t>8</w:t>
            </w:r>
            <w:r>
              <w:rPr>
                <w:rFonts w:ascii="Arial" w:hAnsi="Arial" w:cs="Arial"/>
                <w:sz w:val="24"/>
                <w:szCs w:val="24"/>
              </w:rPr>
              <w:t xml:space="preserve"> </w:t>
            </w:r>
            <w:r w:rsidR="00AC02AC">
              <w:rPr>
                <w:rFonts w:ascii="Arial" w:hAnsi="Arial" w:cs="Arial"/>
                <w:sz w:val="24"/>
                <w:szCs w:val="24"/>
              </w:rPr>
              <w:t>April</w:t>
            </w:r>
            <w:r w:rsidR="00C35416">
              <w:rPr>
                <w:rFonts w:ascii="Arial" w:hAnsi="Arial" w:cs="Arial"/>
                <w:sz w:val="24"/>
                <w:szCs w:val="24"/>
              </w:rPr>
              <w:t xml:space="preserve"> 202</w:t>
            </w:r>
            <w:r w:rsidR="003A0130">
              <w:rPr>
                <w:rFonts w:ascii="Arial" w:hAnsi="Arial" w:cs="Arial"/>
                <w:sz w:val="24"/>
                <w:szCs w:val="24"/>
              </w:rPr>
              <w:t>3</w:t>
            </w:r>
          </w:p>
        </w:tc>
      </w:tr>
      <w:tr w:rsidR="00A91522" w:rsidRPr="00A91522" w:rsidTr="0002731C">
        <w:tc>
          <w:tcPr>
            <w:tcW w:w="6379" w:type="dxa"/>
            <w:gridSpan w:val="2"/>
            <w:tcBorders>
              <w:top w:val="single" w:sz="4" w:space="0" w:color="auto"/>
              <w:left w:val="single" w:sz="4" w:space="0" w:color="auto"/>
              <w:bottom w:val="single" w:sz="4" w:space="0" w:color="auto"/>
              <w:right w:val="single" w:sz="4" w:space="0" w:color="auto"/>
            </w:tcBorders>
          </w:tcPr>
          <w:p w:rsidR="00A91522" w:rsidRPr="00A81F7C" w:rsidRDefault="00A91522" w:rsidP="00A91522">
            <w:pPr>
              <w:spacing w:after="0" w:line="360" w:lineRule="auto"/>
              <w:jc w:val="both"/>
              <w:rPr>
                <w:rFonts w:ascii="Arial" w:hAnsi="Arial" w:cs="Arial"/>
                <w:b/>
                <w:sz w:val="24"/>
                <w:szCs w:val="24"/>
              </w:rPr>
            </w:pPr>
            <w:r w:rsidRPr="00A81F7C">
              <w:rPr>
                <w:rFonts w:ascii="Arial" w:hAnsi="Arial" w:cs="Arial"/>
                <w:b/>
                <w:sz w:val="24"/>
                <w:szCs w:val="24"/>
              </w:rPr>
              <w:t>Heard before:</w:t>
            </w:r>
          </w:p>
          <w:p w:rsidR="00A91522" w:rsidRPr="00A81F7C" w:rsidRDefault="00244918" w:rsidP="00054921">
            <w:pPr>
              <w:spacing w:after="0" w:line="360" w:lineRule="auto"/>
              <w:jc w:val="both"/>
              <w:rPr>
                <w:rFonts w:ascii="Arial" w:hAnsi="Arial" w:cs="Arial"/>
                <w:sz w:val="12"/>
                <w:szCs w:val="12"/>
              </w:rPr>
            </w:pPr>
            <w:proofErr w:type="spellStart"/>
            <w:r w:rsidRPr="00244918">
              <w:rPr>
                <w:rFonts w:ascii="Arial" w:hAnsi="Arial" w:cs="Arial"/>
                <w:sz w:val="24"/>
                <w:szCs w:val="24"/>
              </w:rPr>
              <w:t>Honourable</w:t>
            </w:r>
            <w:proofErr w:type="spellEnd"/>
            <w:r w:rsidRPr="00244918">
              <w:rPr>
                <w:rFonts w:ascii="Arial" w:hAnsi="Arial" w:cs="Arial"/>
                <w:sz w:val="24"/>
                <w:szCs w:val="24"/>
              </w:rPr>
              <w:t xml:space="preserve"> Lady Justice </w:t>
            </w:r>
            <w:proofErr w:type="spellStart"/>
            <w:r w:rsidRPr="00244918">
              <w:rPr>
                <w:rFonts w:ascii="Arial" w:hAnsi="Arial" w:cs="Arial"/>
                <w:sz w:val="24"/>
                <w:szCs w:val="24"/>
              </w:rPr>
              <w:t>Rakow</w:t>
            </w:r>
            <w:proofErr w:type="spellEnd"/>
          </w:p>
        </w:tc>
        <w:tc>
          <w:tcPr>
            <w:tcW w:w="4111" w:type="dxa"/>
            <w:tcBorders>
              <w:top w:val="single" w:sz="4" w:space="0" w:color="auto"/>
              <w:left w:val="single" w:sz="4" w:space="0" w:color="auto"/>
              <w:bottom w:val="single" w:sz="4" w:space="0" w:color="auto"/>
              <w:right w:val="single" w:sz="4" w:space="0" w:color="auto"/>
            </w:tcBorders>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Delivered on:</w:t>
            </w:r>
          </w:p>
          <w:p w:rsidR="00A91522" w:rsidRPr="00A91522" w:rsidRDefault="00054921" w:rsidP="00D50FC7">
            <w:pPr>
              <w:spacing w:after="0" w:line="360" w:lineRule="auto"/>
              <w:jc w:val="both"/>
              <w:rPr>
                <w:rFonts w:ascii="Arial" w:hAnsi="Arial" w:cs="Arial"/>
                <w:sz w:val="24"/>
                <w:szCs w:val="24"/>
              </w:rPr>
            </w:pPr>
            <w:r>
              <w:rPr>
                <w:rFonts w:ascii="Arial" w:hAnsi="Arial" w:cs="Arial"/>
                <w:sz w:val="24"/>
                <w:szCs w:val="24"/>
              </w:rPr>
              <w:t xml:space="preserve">9 </w:t>
            </w:r>
            <w:r w:rsidR="00D50FC7">
              <w:rPr>
                <w:rFonts w:ascii="Arial" w:hAnsi="Arial" w:cs="Arial"/>
                <w:sz w:val="24"/>
                <w:szCs w:val="24"/>
              </w:rPr>
              <w:t>May</w:t>
            </w:r>
            <w:r w:rsidR="00244918">
              <w:rPr>
                <w:rFonts w:ascii="Arial" w:hAnsi="Arial" w:cs="Arial"/>
                <w:sz w:val="24"/>
                <w:szCs w:val="24"/>
              </w:rPr>
              <w:t xml:space="preserve"> </w:t>
            </w:r>
            <w:r w:rsidR="006E1CEA">
              <w:rPr>
                <w:rFonts w:ascii="Arial" w:hAnsi="Arial" w:cs="Arial"/>
                <w:sz w:val="24"/>
                <w:szCs w:val="24"/>
              </w:rPr>
              <w:t>202</w:t>
            </w:r>
            <w:r w:rsidR="003A0130">
              <w:rPr>
                <w:rFonts w:ascii="Arial" w:hAnsi="Arial" w:cs="Arial"/>
                <w:sz w:val="24"/>
                <w:szCs w:val="24"/>
              </w:rPr>
              <w:t>3</w:t>
            </w:r>
          </w:p>
        </w:tc>
      </w:tr>
      <w:tr w:rsidR="00A91522" w:rsidRPr="00A91522" w:rsidTr="008019A9">
        <w:trPr>
          <w:trHeight w:val="607"/>
        </w:trPr>
        <w:tc>
          <w:tcPr>
            <w:tcW w:w="10490" w:type="dxa"/>
            <w:gridSpan w:val="3"/>
            <w:tcBorders>
              <w:top w:val="single" w:sz="4" w:space="0" w:color="auto"/>
              <w:left w:val="single" w:sz="4" w:space="0" w:color="auto"/>
              <w:bottom w:val="single" w:sz="4" w:space="0" w:color="auto"/>
              <w:right w:val="single" w:sz="4" w:space="0" w:color="auto"/>
            </w:tcBorders>
          </w:tcPr>
          <w:p w:rsidR="005E3514" w:rsidRPr="00A81F7C" w:rsidRDefault="005E3514" w:rsidP="00F05F57">
            <w:pPr>
              <w:spacing w:after="0" w:line="360" w:lineRule="auto"/>
              <w:ind w:left="2160" w:hanging="2160"/>
              <w:jc w:val="both"/>
              <w:rPr>
                <w:rFonts w:ascii="Arial" w:hAnsi="Arial" w:cs="Arial"/>
                <w:b/>
                <w:sz w:val="10"/>
                <w:szCs w:val="10"/>
              </w:rPr>
            </w:pPr>
          </w:p>
          <w:p w:rsidR="00A91522" w:rsidRPr="00A81F7C" w:rsidRDefault="00A91522" w:rsidP="001435B2">
            <w:pPr>
              <w:spacing w:after="0" w:line="360" w:lineRule="auto"/>
              <w:ind w:left="2019" w:right="175" w:hanging="2019"/>
              <w:jc w:val="both"/>
              <w:rPr>
                <w:rFonts w:ascii="Arial" w:hAnsi="Arial" w:cs="Arial"/>
                <w:sz w:val="24"/>
                <w:szCs w:val="24"/>
              </w:rPr>
            </w:pPr>
            <w:r w:rsidRPr="00A81F7C">
              <w:rPr>
                <w:rFonts w:ascii="Arial" w:hAnsi="Arial" w:cs="Arial"/>
                <w:b/>
                <w:sz w:val="24"/>
                <w:szCs w:val="24"/>
              </w:rPr>
              <w:t>Neutral citation</w:t>
            </w:r>
            <w:r w:rsidRPr="004347DC">
              <w:rPr>
                <w:rFonts w:ascii="Arial" w:hAnsi="Arial" w:cs="Arial"/>
                <w:sz w:val="24"/>
                <w:szCs w:val="24"/>
              </w:rPr>
              <w:t>:</w:t>
            </w:r>
            <w:r w:rsidR="00054921">
              <w:rPr>
                <w:rFonts w:ascii="Arial" w:hAnsi="Arial" w:cs="Arial"/>
                <w:sz w:val="24"/>
                <w:szCs w:val="24"/>
              </w:rPr>
              <w:tab/>
            </w:r>
            <w:r w:rsidR="00D50FC7" w:rsidRPr="00D50FC7">
              <w:rPr>
                <w:rFonts w:ascii="Arial" w:hAnsi="Arial" w:cs="Arial"/>
                <w:i/>
                <w:sz w:val="24"/>
                <w:szCs w:val="24"/>
              </w:rPr>
              <w:t>First National Bank of Namibia Ltd</w:t>
            </w:r>
            <w:r w:rsidR="00054921" w:rsidRPr="00054921">
              <w:rPr>
                <w:rFonts w:ascii="Arial" w:hAnsi="Arial" w:cs="Arial"/>
                <w:i/>
                <w:sz w:val="24"/>
                <w:szCs w:val="24"/>
              </w:rPr>
              <w:t xml:space="preserve"> </w:t>
            </w:r>
            <w:r w:rsidR="00311914">
              <w:rPr>
                <w:rFonts w:ascii="Arial" w:hAnsi="Arial" w:cs="Arial"/>
                <w:i/>
                <w:sz w:val="24"/>
                <w:szCs w:val="24"/>
              </w:rPr>
              <w:t>v</w:t>
            </w:r>
            <w:r w:rsidR="00311914" w:rsidRPr="00D50FC7">
              <w:rPr>
                <w:rFonts w:ascii="Arial" w:hAnsi="Arial" w:cs="Arial"/>
                <w:i/>
                <w:sz w:val="24"/>
                <w:szCs w:val="24"/>
              </w:rPr>
              <w:t xml:space="preserve"> </w:t>
            </w:r>
            <w:r w:rsidR="00D50FC7" w:rsidRPr="00D50FC7">
              <w:rPr>
                <w:rFonts w:ascii="Arial" w:eastAsia="Arial Unicode MS" w:hAnsi="Arial" w:cs="Arial"/>
                <w:i/>
                <w:color w:val="000000"/>
                <w:sz w:val="24"/>
                <w:lang w:eastAsia="en-ZA"/>
              </w:rPr>
              <w:t>Eichas</w:t>
            </w:r>
            <w:r w:rsidR="00054921" w:rsidRPr="00054921">
              <w:rPr>
                <w:rFonts w:ascii="Arial" w:hAnsi="Arial" w:cs="Arial"/>
                <w:i/>
                <w:sz w:val="24"/>
                <w:szCs w:val="24"/>
              </w:rPr>
              <w:t xml:space="preserve"> </w:t>
            </w:r>
            <w:r w:rsidRPr="003E605A">
              <w:rPr>
                <w:rFonts w:ascii="Arial" w:hAnsi="Arial" w:cs="Arial"/>
                <w:sz w:val="24"/>
                <w:szCs w:val="24"/>
              </w:rPr>
              <w:t>(</w:t>
            </w:r>
            <w:r w:rsidR="003A0130">
              <w:rPr>
                <w:rFonts w:ascii="Arial" w:hAnsi="Arial" w:cs="Arial"/>
                <w:sz w:val="24"/>
                <w:szCs w:val="24"/>
              </w:rPr>
              <w:t>HC-MD-CIV-ACT-CON-2022/04982</w:t>
            </w:r>
            <w:r w:rsidR="00054921">
              <w:rPr>
                <w:rFonts w:ascii="Arial" w:hAnsi="Arial" w:cs="Arial"/>
                <w:sz w:val="24"/>
                <w:szCs w:val="24"/>
              </w:rPr>
              <w:t>)</w:t>
            </w:r>
            <w:r w:rsidR="00054921" w:rsidRPr="00054921">
              <w:rPr>
                <w:rFonts w:ascii="Arial" w:hAnsi="Arial" w:cs="Arial"/>
                <w:sz w:val="24"/>
                <w:szCs w:val="24"/>
              </w:rPr>
              <w:t xml:space="preserve"> </w:t>
            </w:r>
            <w:r w:rsidRPr="00A81F7C">
              <w:rPr>
                <w:rFonts w:ascii="Arial" w:hAnsi="Arial" w:cs="Arial"/>
                <w:sz w:val="24"/>
                <w:szCs w:val="24"/>
              </w:rPr>
              <w:t>[202</w:t>
            </w:r>
            <w:r w:rsidR="003A0130">
              <w:rPr>
                <w:rFonts w:ascii="Arial" w:hAnsi="Arial" w:cs="Arial"/>
                <w:sz w:val="24"/>
                <w:szCs w:val="24"/>
              </w:rPr>
              <w:t>3</w:t>
            </w:r>
            <w:r w:rsidRPr="00A81F7C">
              <w:rPr>
                <w:rFonts w:ascii="Arial" w:hAnsi="Arial" w:cs="Arial"/>
                <w:sz w:val="24"/>
                <w:szCs w:val="24"/>
              </w:rPr>
              <w:t>] NAHC</w:t>
            </w:r>
            <w:r w:rsidR="009A00F9" w:rsidRPr="00A81F7C">
              <w:rPr>
                <w:rFonts w:ascii="Arial" w:hAnsi="Arial" w:cs="Arial"/>
                <w:sz w:val="24"/>
                <w:szCs w:val="24"/>
              </w:rPr>
              <w:t xml:space="preserve">MD </w:t>
            </w:r>
            <w:r w:rsidR="00282381">
              <w:rPr>
                <w:rFonts w:ascii="Arial" w:hAnsi="Arial" w:cs="Arial"/>
                <w:sz w:val="24"/>
                <w:szCs w:val="24"/>
              </w:rPr>
              <w:t>243</w:t>
            </w:r>
            <w:r w:rsidR="004C3A81">
              <w:rPr>
                <w:rFonts w:ascii="Arial" w:hAnsi="Arial" w:cs="Arial"/>
                <w:sz w:val="24"/>
                <w:szCs w:val="24"/>
              </w:rPr>
              <w:t xml:space="preserve"> </w:t>
            </w:r>
            <w:r w:rsidR="00E21A68" w:rsidRPr="00A81F7C">
              <w:rPr>
                <w:rFonts w:ascii="Arial" w:hAnsi="Arial" w:cs="Arial"/>
                <w:sz w:val="24"/>
                <w:szCs w:val="24"/>
              </w:rPr>
              <w:t>(</w:t>
            </w:r>
            <w:r w:rsidR="00054921">
              <w:rPr>
                <w:rFonts w:ascii="Arial" w:hAnsi="Arial" w:cs="Arial"/>
                <w:sz w:val="24"/>
                <w:szCs w:val="24"/>
              </w:rPr>
              <w:t xml:space="preserve">9 </w:t>
            </w:r>
            <w:r w:rsidR="00D50FC7">
              <w:rPr>
                <w:rFonts w:ascii="Arial" w:hAnsi="Arial" w:cs="Arial"/>
                <w:sz w:val="24"/>
                <w:szCs w:val="24"/>
              </w:rPr>
              <w:t>May</w:t>
            </w:r>
            <w:r w:rsidRPr="00A81F7C">
              <w:rPr>
                <w:rFonts w:ascii="Arial" w:hAnsi="Arial" w:cs="Arial"/>
                <w:sz w:val="24"/>
                <w:szCs w:val="24"/>
              </w:rPr>
              <w:t xml:space="preserve"> 202</w:t>
            </w:r>
            <w:r w:rsidR="003A0130">
              <w:rPr>
                <w:rFonts w:ascii="Arial" w:hAnsi="Arial" w:cs="Arial"/>
                <w:sz w:val="24"/>
                <w:szCs w:val="24"/>
              </w:rPr>
              <w:t>3</w:t>
            </w:r>
            <w:r w:rsidRPr="00A81F7C">
              <w:rPr>
                <w:rFonts w:ascii="Arial" w:hAnsi="Arial" w:cs="Arial"/>
                <w:sz w:val="24"/>
                <w:szCs w:val="24"/>
              </w:rPr>
              <w:t>)</w:t>
            </w:r>
          </w:p>
          <w:p w:rsidR="005E3514" w:rsidRPr="00A81F7C" w:rsidRDefault="005E3514" w:rsidP="00F05F57">
            <w:pPr>
              <w:spacing w:after="0" w:line="360" w:lineRule="auto"/>
              <w:ind w:left="2160" w:hanging="2160"/>
              <w:jc w:val="both"/>
              <w:rPr>
                <w:rFonts w:ascii="Arial" w:hAnsi="Arial" w:cs="Arial"/>
                <w:sz w:val="10"/>
                <w:szCs w:val="10"/>
              </w:rPr>
            </w:pPr>
          </w:p>
        </w:tc>
      </w:tr>
      <w:tr w:rsidR="00A91522" w:rsidRPr="00A91522" w:rsidTr="00E14ACC">
        <w:trPr>
          <w:trHeight w:val="597"/>
        </w:trPr>
        <w:tc>
          <w:tcPr>
            <w:tcW w:w="10490" w:type="dxa"/>
            <w:gridSpan w:val="3"/>
            <w:tcBorders>
              <w:top w:val="single" w:sz="4" w:space="0" w:color="auto"/>
              <w:left w:val="single" w:sz="4" w:space="0" w:color="auto"/>
              <w:bottom w:val="single" w:sz="4" w:space="0" w:color="auto"/>
              <w:right w:val="single" w:sz="4" w:space="0" w:color="auto"/>
            </w:tcBorders>
          </w:tcPr>
          <w:p w:rsidR="005F6192" w:rsidRPr="005F6192" w:rsidRDefault="005F6192" w:rsidP="00A21211">
            <w:pPr>
              <w:spacing w:after="0" w:line="360" w:lineRule="auto"/>
              <w:jc w:val="both"/>
              <w:rPr>
                <w:rFonts w:ascii="Arial" w:hAnsi="Arial" w:cs="Arial"/>
                <w:b/>
                <w:sz w:val="10"/>
                <w:szCs w:val="10"/>
              </w:rPr>
            </w:pPr>
          </w:p>
          <w:p w:rsidR="00734384" w:rsidRPr="00A21211" w:rsidRDefault="00DC4D07" w:rsidP="00DC4D07">
            <w:pPr>
              <w:spacing w:after="0" w:line="360" w:lineRule="auto"/>
              <w:jc w:val="both"/>
              <w:rPr>
                <w:rFonts w:ascii="Arial" w:hAnsi="Arial" w:cs="Arial"/>
                <w:b/>
                <w:sz w:val="24"/>
                <w:szCs w:val="24"/>
              </w:rPr>
            </w:pPr>
            <w:r>
              <w:rPr>
                <w:rFonts w:ascii="Arial" w:hAnsi="Arial" w:cs="Arial"/>
                <w:b/>
                <w:sz w:val="24"/>
                <w:szCs w:val="24"/>
              </w:rPr>
              <w:t>O</w:t>
            </w:r>
            <w:r w:rsidR="00A21211" w:rsidRPr="00A91522">
              <w:rPr>
                <w:rFonts w:ascii="Arial" w:hAnsi="Arial" w:cs="Arial"/>
                <w:b/>
                <w:sz w:val="24"/>
                <w:szCs w:val="24"/>
              </w:rPr>
              <w:t>rder:</w:t>
            </w:r>
          </w:p>
        </w:tc>
      </w:tr>
      <w:tr w:rsidR="00A91522" w:rsidRPr="00A91522" w:rsidTr="008019A9">
        <w:tc>
          <w:tcPr>
            <w:tcW w:w="10490" w:type="dxa"/>
            <w:gridSpan w:val="3"/>
            <w:tcBorders>
              <w:top w:val="single" w:sz="4" w:space="0" w:color="auto"/>
              <w:left w:val="single" w:sz="4" w:space="0" w:color="auto"/>
              <w:bottom w:val="single" w:sz="4" w:space="0" w:color="auto"/>
              <w:right w:val="single" w:sz="4" w:space="0" w:color="auto"/>
            </w:tcBorders>
            <w:hideMark/>
          </w:tcPr>
          <w:p w:rsidR="00F267CE" w:rsidRPr="00F267CE" w:rsidRDefault="00F267CE" w:rsidP="003E605A">
            <w:pPr>
              <w:spacing w:after="160" w:line="360" w:lineRule="auto"/>
              <w:jc w:val="both"/>
              <w:rPr>
                <w:rFonts w:ascii="Arial" w:hAnsi="Arial" w:cs="Arial"/>
                <w:sz w:val="24"/>
                <w:szCs w:val="24"/>
                <w:lang w:val="en-ZA"/>
              </w:rPr>
            </w:pPr>
            <w:r w:rsidRPr="00F267CE">
              <w:rPr>
                <w:rFonts w:ascii="Arial" w:hAnsi="Arial" w:cs="Arial"/>
                <w:sz w:val="24"/>
                <w:szCs w:val="24"/>
                <w:lang w:val="en-ZA"/>
              </w:rPr>
              <w:t xml:space="preserve">1.  </w:t>
            </w:r>
            <w:r w:rsidRPr="00F267CE">
              <w:rPr>
                <w:rFonts w:ascii="Arial" w:hAnsi="Arial" w:cs="Arial"/>
                <w:b/>
                <w:sz w:val="24"/>
                <w:szCs w:val="24"/>
                <w:lang w:val="en-ZA"/>
              </w:rPr>
              <w:t>AD CLAIM 1</w:t>
            </w:r>
          </w:p>
          <w:p w:rsidR="00F267CE" w:rsidRPr="00F267CE" w:rsidRDefault="00F267CE" w:rsidP="003E605A">
            <w:pPr>
              <w:spacing w:after="160" w:line="360" w:lineRule="auto"/>
              <w:ind w:left="720"/>
              <w:jc w:val="both"/>
              <w:rPr>
                <w:rFonts w:ascii="Arial" w:hAnsi="Arial" w:cs="Arial"/>
                <w:sz w:val="24"/>
                <w:szCs w:val="24"/>
                <w:lang w:val="en-ZA"/>
              </w:rPr>
            </w:pPr>
            <w:r w:rsidRPr="00F267CE">
              <w:rPr>
                <w:rFonts w:ascii="Arial" w:hAnsi="Arial" w:cs="Arial"/>
                <w:sz w:val="24"/>
                <w:szCs w:val="24"/>
                <w:lang w:val="en-ZA"/>
              </w:rPr>
              <w:t>1.1 Payment in the amount of N$328 933.53.</w:t>
            </w:r>
          </w:p>
          <w:p w:rsidR="00F267CE" w:rsidRPr="00F267CE" w:rsidRDefault="00F267CE" w:rsidP="003E605A">
            <w:pPr>
              <w:spacing w:after="0" w:line="360" w:lineRule="auto"/>
              <w:ind w:left="720"/>
              <w:jc w:val="both"/>
              <w:rPr>
                <w:rFonts w:ascii="Arial" w:hAnsi="Arial" w:cs="Arial"/>
                <w:sz w:val="24"/>
                <w:szCs w:val="24"/>
                <w:lang w:val="en-ZA"/>
              </w:rPr>
            </w:pPr>
            <w:r w:rsidRPr="00F267CE">
              <w:rPr>
                <w:rFonts w:ascii="Arial" w:hAnsi="Arial" w:cs="Arial"/>
                <w:sz w:val="24"/>
                <w:szCs w:val="24"/>
                <w:lang w:val="en-ZA"/>
              </w:rPr>
              <w:t>1.2 Compound interest calculated daily and capitalized</w:t>
            </w:r>
            <w:r w:rsidR="003E605A">
              <w:rPr>
                <w:rFonts w:ascii="Arial" w:hAnsi="Arial" w:cs="Arial"/>
                <w:sz w:val="24"/>
                <w:szCs w:val="24"/>
                <w:lang w:val="en-ZA"/>
              </w:rPr>
              <w:t xml:space="preserve"> monthly on the amount of N$328 </w:t>
            </w:r>
            <w:r w:rsidRPr="00F267CE">
              <w:rPr>
                <w:rFonts w:ascii="Arial" w:hAnsi="Arial" w:cs="Arial"/>
                <w:sz w:val="24"/>
                <w:szCs w:val="24"/>
                <w:lang w:val="en-ZA"/>
              </w:rPr>
              <w:t xml:space="preserve">933.53 at </w:t>
            </w:r>
            <w:proofErr w:type="gramStart"/>
            <w:r w:rsidRPr="00F267CE">
              <w:rPr>
                <w:rFonts w:ascii="Arial" w:hAnsi="Arial" w:cs="Arial"/>
                <w:sz w:val="24"/>
                <w:szCs w:val="24"/>
                <w:lang w:val="en-ZA"/>
              </w:rPr>
              <w:t>plaintiff’s</w:t>
            </w:r>
            <w:proofErr w:type="gramEnd"/>
            <w:r w:rsidRPr="00F267CE">
              <w:rPr>
                <w:rFonts w:ascii="Arial" w:hAnsi="Arial" w:cs="Arial"/>
                <w:sz w:val="24"/>
                <w:szCs w:val="24"/>
                <w:lang w:val="en-ZA"/>
              </w:rPr>
              <w:t xml:space="preserve"> mortgage lending rate of interest from time to time, currently 10.25% per year calculated from 30 August 2022 to date of final payment.</w:t>
            </w:r>
          </w:p>
          <w:p w:rsidR="00F267CE" w:rsidRPr="00F267CE" w:rsidRDefault="00F267CE" w:rsidP="003E605A">
            <w:pPr>
              <w:spacing w:after="160" w:line="360" w:lineRule="auto"/>
              <w:ind w:left="720"/>
              <w:jc w:val="both"/>
              <w:rPr>
                <w:rFonts w:ascii="Arial" w:hAnsi="Arial" w:cs="Arial"/>
                <w:sz w:val="24"/>
                <w:szCs w:val="24"/>
                <w:lang w:val="en-ZA"/>
              </w:rPr>
            </w:pPr>
            <w:r w:rsidRPr="00F267CE">
              <w:rPr>
                <w:rFonts w:ascii="Arial" w:hAnsi="Arial" w:cs="Arial"/>
                <w:sz w:val="24"/>
                <w:szCs w:val="24"/>
                <w:lang w:val="en-ZA"/>
              </w:rPr>
              <w:t>1.3</w:t>
            </w:r>
            <w:r w:rsidRPr="00F267CE">
              <w:rPr>
                <w:rFonts w:ascii="Arial" w:hAnsi="Arial" w:cs="Arial"/>
                <w:sz w:val="24"/>
                <w:szCs w:val="24"/>
                <w:lang w:val="en-ZA"/>
              </w:rPr>
              <w:tab/>
              <w:t>Cost of suit granted on attorney client scale</w:t>
            </w:r>
            <w:r w:rsidR="00E87496">
              <w:rPr>
                <w:rFonts w:ascii="Arial" w:hAnsi="Arial" w:cs="Arial"/>
                <w:sz w:val="24"/>
                <w:szCs w:val="24"/>
                <w:lang w:val="en-ZA"/>
              </w:rPr>
              <w:t>.</w:t>
            </w:r>
          </w:p>
          <w:p w:rsidR="00F267CE" w:rsidRPr="00F267CE" w:rsidRDefault="003E605A" w:rsidP="003E605A">
            <w:pPr>
              <w:spacing w:after="160" w:line="360" w:lineRule="auto"/>
              <w:jc w:val="both"/>
              <w:rPr>
                <w:rFonts w:ascii="Arial" w:hAnsi="Arial" w:cs="Arial"/>
                <w:sz w:val="24"/>
                <w:szCs w:val="24"/>
                <w:lang w:val="en-ZA"/>
              </w:rPr>
            </w:pPr>
            <w:r>
              <w:rPr>
                <w:rFonts w:ascii="Arial" w:hAnsi="Arial" w:cs="Arial"/>
                <w:sz w:val="24"/>
                <w:szCs w:val="24"/>
                <w:lang w:val="en-ZA"/>
              </w:rPr>
              <w:t xml:space="preserve">2. </w:t>
            </w:r>
            <w:r w:rsidR="00F267CE" w:rsidRPr="00F267CE">
              <w:rPr>
                <w:rFonts w:ascii="Arial" w:hAnsi="Arial" w:cs="Arial"/>
                <w:b/>
                <w:sz w:val="24"/>
                <w:szCs w:val="24"/>
                <w:lang w:val="en-ZA"/>
              </w:rPr>
              <w:t>AD CLAIM 2</w:t>
            </w:r>
          </w:p>
          <w:p w:rsidR="00F267CE" w:rsidRPr="00F267CE" w:rsidRDefault="00F267CE" w:rsidP="003E605A">
            <w:pPr>
              <w:spacing w:after="160" w:line="360" w:lineRule="auto"/>
              <w:ind w:left="1463" w:hanging="743"/>
              <w:jc w:val="both"/>
              <w:rPr>
                <w:rFonts w:ascii="Arial" w:hAnsi="Arial" w:cs="Arial"/>
                <w:sz w:val="24"/>
                <w:szCs w:val="24"/>
                <w:lang w:val="en-ZA"/>
              </w:rPr>
            </w:pPr>
            <w:r w:rsidRPr="00F267CE">
              <w:rPr>
                <w:rFonts w:ascii="Arial" w:hAnsi="Arial" w:cs="Arial"/>
                <w:sz w:val="24"/>
                <w:szCs w:val="24"/>
                <w:lang w:val="en-ZA"/>
              </w:rPr>
              <w:t>2.1 Payment in the amount of N$83 417.13.</w:t>
            </w:r>
          </w:p>
          <w:p w:rsidR="00F267CE" w:rsidRPr="00F267CE" w:rsidRDefault="00F267CE" w:rsidP="003E605A">
            <w:pPr>
              <w:spacing w:after="0" w:line="360" w:lineRule="auto"/>
              <w:ind w:left="720"/>
              <w:jc w:val="both"/>
              <w:rPr>
                <w:rFonts w:ascii="Arial" w:hAnsi="Arial" w:cs="Arial"/>
                <w:sz w:val="24"/>
                <w:szCs w:val="24"/>
                <w:lang w:val="en-ZA"/>
              </w:rPr>
            </w:pPr>
            <w:r w:rsidRPr="00F267CE">
              <w:rPr>
                <w:rFonts w:ascii="Arial" w:hAnsi="Arial" w:cs="Arial"/>
                <w:sz w:val="24"/>
                <w:szCs w:val="24"/>
                <w:lang w:val="en-ZA"/>
              </w:rPr>
              <w:t xml:space="preserve">2.2 Compound interest calculated daily and capitalized monthly on the amount of N$83 417.13 at </w:t>
            </w:r>
            <w:proofErr w:type="gramStart"/>
            <w:r w:rsidRPr="00F267CE">
              <w:rPr>
                <w:rFonts w:ascii="Arial" w:hAnsi="Arial" w:cs="Arial"/>
                <w:sz w:val="24"/>
                <w:szCs w:val="24"/>
                <w:lang w:val="en-ZA"/>
              </w:rPr>
              <w:t>plaintiff’s</w:t>
            </w:r>
            <w:proofErr w:type="gramEnd"/>
            <w:r w:rsidRPr="00F267CE">
              <w:rPr>
                <w:rFonts w:ascii="Arial" w:hAnsi="Arial" w:cs="Arial"/>
                <w:sz w:val="24"/>
                <w:szCs w:val="24"/>
                <w:lang w:val="en-ZA"/>
              </w:rPr>
              <w:t xml:space="preserve"> mortgage lending rate of interest from time to time, currently 10.25% per year, calculated from 30 August 2022 to date of final payment.</w:t>
            </w:r>
          </w:p>
          <w:p w:rsidR="00F267CE" w:rsidRPr="00F267CE" w:rsidRDefault="00F267CE" w:rsidP="003E605A">
            <w:pPr>
              <w:spacing w:after="160" w:line="360" w:lineRule="auto"/>
              <w:ind w:left="1463" w:hanging="743"/>
              <w:jc w:val="both"/>
              <w:rPr>
                <w:rFonts w:ascii="Arial" w:hAnsi="Arial" w:cs="Arial"/>
                <w:sz w:val="24"/>
                <w:szCs w:val="24"/>
                <w:lang w:val="en-ZA"/>
              </w:rPr>
            </w:pPr>
            <w:r w:rsidRPr="00F267CE">
              <w:rPr>
                <w:rFonts w:ascii="Arial" w:hAnsi="Arial" w:cs="Arial"/>
                <w:sz w:val="24"/>
                <w:szCs w:val="24"/>
                <w:lang w:val="en-ZA"/>
              </w:rPr>
              <w:t>2.3</w:t>
            </w:r>
            <w:r w:rsidRPr="00F267CE">
              <w:rPr>
                <w:rFonts w:ascii="Arial" w:hAnsi="Arial" w:cs="Arial"/>
                <w:sz w:val="24"/>
                <w:szCs w:val="24"/>
                <w:lang w:val="en-ZA"/>
              </w:rPr>
              <w:tab/>
              <w:t>Cost of suit granted on attorney client scale</w:t>
            </w:r>
            <w:r w:rsidR="00E87496">
              <w:rPr>
                <w:rFonts w:ascii="Arial" w:hAnsi="Arial" w:cs="Arial"/>
                <w:sz w:val="24"/>
                <w:szCs w:val="24"/>
                <w:lang w:val="en-ZA"/>
              </w:rPr>
              <w:t>.</w:t>
            </w:r>
          </w:p>
          <w:p w:rsidR="00F267CE" w:rsidRPr="00F267CE" w:rsidRDefault="00F267CE" w:rsidP="003E605A">
            <w:pPr>
              <w:spacing w:after="160" w:line="360" w:lineRule="auto"/>
              <w:jc w:val="both"/>
              <w:rPr>
                <w:rFonts w:ascii="Arial" w:hAnsi="Arial" w:cs="Arial"/>
                <w:sz w:val="24"/>
                <w:szCs w:val="24"/>
                <w:lang w:val="en-ZA"/>
              </w:rPr>
            </w:pPr>
            <w:r w:rsidRPr="00834E2B">
              <w:rPr>
                <w:rFonts w:ascii="Arial" w:hAnsi="Arial" w:cs="Arial"/>
                <w:sz w:val="24"/>
                <w:szCs w:val="24"/>
                <w:lang w:val="en-ZA"/>
              </w:rPr>
              <w:lastRenderedPageBreak/>
              <w:t>3</w:t>
            </w:r>
            <w:r w:rsidRPr="00F267CE">
              <w:rPr>
                <w:rFonts w:ascii="Arial" w:hAnsi="Arial" w:cs="Arial"/>
                <w:b/>
                <w:sz w:val="24"/>
                <w:szCs w:val="24"/>
                <w:lang w:val="en-ZA"/>
              </w:rPr>
              <w:t>. AD CLAIM 3</w:t>
            </w:r>
            <w:r w:rsidRPr="00F267CE">
              <w:rPr>
                <w:rFonts w:ascii="Arial" w:hAnsi="Arial" w:cs="Arial"/>
                <w:sz w:val="24"/>
                <w:szCs w:val="24"/>
                <w:lang w:val="en-ZA"/>
              </w:rPr>
              <w:t>:</w:t>
            </w:r>
          </w:p>
          <w:p w:rsidR="00F267CE" w:rsidRPr="00F267CE" w:rsidRDefault="00F267CE" w:rsidP="003E605A">
            <w:pPr>
              <w:spacing w:after="0" w:line="360" w:lineRule="auto"/>
              <w:ind w:left="567"/>
              <w:jc w:val="both"/>
              <w:rPr>
                <w:rFonts w:ascii="Arial" w:hAnsi="Arial" w:cs="Arial"/>
                <w:sz w:val="24"/>
                <w:szCs w:val="24"/>
                <w:lang w:val="en-ZA"/>
              </w:rPr>
            </w:pPr>
            <w:r w:rsidRPr="00F267CE">
              <w:rPr>
                <w:rFonts w:ascii="Arial" w:hAnsi="Arial" w:cs="Arial"/>
                <w:sz w:val="24"/>
                <w:szCs w:val="24"/>
                <w:lang w:val="en-ZA"/>
              </w:rPr>
              <w:t>3.1 Payment in the amount of N$39 076.16.</w:t>
            </w:r>
          </w:p>
          <w:p w:rsidR="00F267CE" w:rsidRPr="00F267CE" w:rsidRDefault="00F267CE" w:rsidP="003E605A">
            <w:pPr>
              <w:spacing w:after="0" w:line="360" w:lineRule="auto"/>
              <w:ind w:left="567"/>
              <w:jc w:val="both"/>
              <w:rPr>
                <w:rFonts w:ascii="Arial" w:hAnsi="Arial" w:cs="Arial"/>
                <w:sz w:val="24"/>
                <w:szCs w:val="24"/>
                <w:lang w:val="en-ZA"/>
              </w:rPr>
            </w:pPr>
            <w:r w:rsidRPr="00F267CE">
              <w:rPr>
                <w:rFonts w:ascii="Arial" w:hAnsi="Arial" w:cs="Arial"/>
                <w:sz w:val="24"/>
                <w:szCs w:val="24"/>
                <w:lang w:val="en-ZA"/>
              </w:rPr>
              <w:t>3.2 Compound interest calculated daily and capitalized monthly on the amount of N$39 076.16 at plaintiff’s prime rate of interest from time to time, currently 9.25% per year plus 4.50%, calculated from 30 August 2022 to date of final payment.</w:t>
            </w:r>
          </w:p>
          <w:p w:rsidR="00F267CE" w:rsidRDefault="00F267CE" w:rsidP="003E605A">
            <w:pPr>
              <w:spacing w:after="0" w:line="360" w:lineRule="auto"/>
              <w:ind w:left="567"/>
              <w:jc w:val="both"/>
              <w:rPr>
                <w:rFonts w:ascii="Arial" w:hAnsi="Arial" w:cs="Arial"/>
                <w:sz w:val="24"/>
                <w:szCs w:val="24"/>
                <w:lang w:val="en-ZA"/>
              </w:rPr>
            </w:pPr>
            <w:r w:rsidRPr="00F267CE">
              <w:rPr>
                <w:rFonts w:ascii="Arial" w:hAnsi="Arial" w:cs="Arial"/>
                <w:sz w:val="24"/>
                <w:szCs w:val="24"/>
                <w:lang w:val="en-ZA"/>
              </w:rPr>
              <w:t>3.3</w:t>
            </w:r>
            <w:r w:rsidRPr="00F267CE">
              <w:rPr>
                <w:rFonts w:ascii="Arial" w:hAnsi="Arial" w:cs="Arial"/>
                <w:sz w:val="24"/>
                <w:szCs w:val="24"/>
                <w:lang w:val="en-ZA"/>
              </w:rPr>
              <w:tab/>
              <w:t>Cost of suit granted on attorney own client scale</w:t>
            </w:r>
            <w:r w:rsidR="00E87496">
              <w:rPr>
                <w:rFonts w:ascii="Arial" w:hAnsi="Arial" w:cs="Arial"/>
                <w:sz w:val="24"/>
                <w:szCs w:val="24"/>
                <w:lang w:val="en-ZA"/>
              </w:rPr>
              <w:t>.</w:t>
            </w:r>
          </w:p>
          <w:p w:rsidR="003E605A" w:rsidRPr="00F267CE" w:rsidRDefault="003E605A" w:rsidP="003E605A">
            <w:pPr>
              <w:spacing w:after="0" w:line="360" w:lineRule="auto"/>
              <w:ind w:left="567"/>
              <w:jc w:val="both"/>
              <w:rPr>
                <w:rFonts w:ascii="Arial" w:hAnsi="Arial" w:cs="Arial"/>
                <w:sz w:val="24"/>
                <w:szCs w:val="24"/>
                <w:lang w:val="en-ZA"/>
              </w:rPr>
            </w:pPr>
          </w:p>
          <w:p w:rsidR="00F267CE" w:rsidRPr="00F267CE" w:rsidRDefault="00F267CE" w:rsidP="003E605A">
            <w:pPr>
              <w:spacing w:after="160" w:line="360" w:lineRule="auto"/>
              <w:jc w:val="both"/>
              <w:rPr>
                <w:rFonts w:ascii="Arial" w:hAnsi="Arial" w:cs="Arial"/>
                <w:b/>
                <w:sz w:val="24"/>
                <w:szCs w:val="24"/>
                <w:lang w:val="en-ZA"/>
              </w:rPr>
            </w:pPr>
            <w:r w:rsidRPr="00834E2B">
              <w:rPr>
                <w:rFonts w:ascii="Arial" w:hAnsi="Arial" w:cs="Arial"/>
                <w:sz w:val="24"/>
                <w:szCs w:val="24"/>
                <w:lang w:val="en-ZA"/>
              </w:rPr>
              <w:t>4.</w:t>
            </w:r>
            <w:r w:rsidRPr="00F267CE">
              <w:rPr>
                <w:rFonts w:ascii="Arial" w:hAnsi="Arial" w:cs="Arial"/>
                <w:b/>
                <w:sz w:val="24"/>
                <w:szCs w:val="24"/>
                <w:lang w:val="en-ZA"/>
              </w:rPr>
              <w:t xml:space="preserve"> AD CLAIM 4:</w:t>
            </w:r>
          </w:p>
          <w:p w:rsidR="00F267CE" w:rsidRPr="00F267CE" w:rsidRDefault="00F267CE" w:rsidP="003E605A">
            <w:pPr>
              <w:spacing w:after="0" w:line="360" w:lineRule="auto"/>
              <w:ind w:left="720"/>
              <w:jc w:val="both"/>
              <w:rPr>
                <w:rFonts w:ascii="Arial" w:hAnsi="Arial" w:cs="Arial"/>
                <w:sz w:val="24"/>
                <w:szCs w:val="24"/>
                <w:lang w:val="en-ZA"/>
              </w:rPr>
            </w:pPr>
            <w:r w:rsidRPr="00F267CE">
              <w:rPr>
                <w:rFonts w:ascii="Arial" w:hAnsi="Arial" w:cs="Arial"/>
                <w:sz w:val="24"/>
                <w:szCs w:val="24"/>
                <w:lang w:val="en-ZA"/>
              </w:rPr>
              <w:t>4.1 Payment in the amount of N$114 063.90.</w:t>
            </w:r>
          </w:p>
          <w:p w:rsidR="00F267CE" w:rsidRPr="00F267CE" w:rsidRDefault="00F267CE" w:rsidP="003E605A">
            <w:pPr>
              <w:spacing w:after="0" w:line="360" w:lineRule="auto"/>
              <w:ind w:left="720"/>
              <w:jc w:val="both"/>
              <w:rPr>
                <w:rFonts w:ascii="Arial" w:hAnsi="Arial" w:cs="Arial"/>
                <w:sz w:val="24"/>
                <w:szCs w:val="24"/>
                <w:lang w:val="en-ZA"/>
              </w:rPr>
            </w:pPr>
            <w:r w:rsidRPr="00F267CE">
              <w:rPr>
                <w:rFonts w:ascii="Arial" w:hAnsi="Arial" w:cs="Arial"/>
                <w:sz w:val="24"/>
                <w:szCs w:val="24"/>
                <w:lang w:val="en-ZA"/>
              </w:rPr>
              <w:t>4.2 Compound interest calculated daily and capitalized monthly on the amount of N$114 063.90 at plaintiff’s prime rate of interest from time to time, currently 9.25% per year plus 4.50%, calculated from 30 August 2022 to date of final payment.</w:t>
            </w:r>
          </w:p>
          <w:p w:rsidR="00F267CE" w:rsidRDefault="00F267CE" w:rsidP="003E605A">
            <w:pPr>
              <w:spacing w:after="0" w:line="360" w:lineRule="auto"/>
              <w:ind w:left="720"/>
              <w:jc w:val="both"/>
              <w:rPr>
                <w:rFonts w:ascii="Arial" w:hAnsi="Arial" w:cs="Arial"/>
                <w:sz w:val="24"/>
                <w:szCs w:val="24"/>
                <w:lang w:val="en-ZA"/>
              </w:rPr>
            </w:pPr>
            <w:r w:rsidRPr="00F267CE">
              <w:rPr>
                <w:rFonts w:ascii="Arial" w:hAnsi="Arial" w:cs="Arial"/>
                <w:sz w:val="24"/>
                <w:szCs w:val="24"/>
                <w:lang w:val="en-ZA"/>
              </w:rPr>
              <w:t>4.3</w:t>
            </w:r>
            <w:r w:rsidRPr="00F267CE">
              <w:rPr>
                <w:rFonts w:ascii="Arial" w:hAnsi="Arial" w:cs="Arial"/>
                <w:sz w:val="24"/>
                <w:szCs w:val="24"/>
                <w:lang w:val="en-ZA"/>
              </w:rPr>
              <w:tab/>
              <w:t>Cost of suit granted on attorney own client scale</w:t>
            </w:r>
            <w:r w:rsidR="003E605A">
              <w:rPr>
                <w:rFonts w:ascii="Arial" w:hAnsi="Arial" w:cs="Arial"/>
                <w:sz w:val="24"/>
                <w:szCs w:val="24"/>
                <w:lang w:val="en-ZA"/>
              </w:rPr>
              <w:t>.</w:t>
            </w:r>
          </w:p>
          <w:p w:rsidR="003E605A" w:rsidRPr="00F267CE" w:rsidRDefault="003E605A" w:rsidP="003E605A">
            <w:pPr>
              <w:spacing w:after="0" w:line="360" w:lineRule="auto"/>
              <w:ind w:left="720"/>
              <w:jc w:val="both"/>
              <w:rPr>
                <w:rFonts w:ascii="Arial" w:hAnsi="Arial" w:cs="Arial"/>
                <w:sz w:val="24"/>
                <w:szCs w:val="24"/>
                <w:lang w:val="en-ZA"/>
              </w:rPr>
            </w:pPr>
          </w:p>
          <w:p w:rsidR="00F267CE" w:rsidRPr="00F267CE" w:rsidRDefault="00F267CE" w:rsidP="003E605A">
            <w:pPr>
              <w:spacing w:after="160" w:line="360" w:lineRule="auto"/>
              <w:ind w:left="743" w:hanging="743"/>
              <w:jc w:val="both"/>
              <w:rPr>
                <w:rFonts w:ascii="Arial" w:hAnsi="Arial" w:cs="Arial"/>
                <w:sz w:val="24"/>
                <w:szCs w:val="24"/>
                <w:lang w:val="en-ZA"/>
              </w:rPr>
            </w:pPr>
            <w:r w:rsidRPr="00834E2B">
              <w:rPr>
                <w:rFonts w:ascii="Arial" w:hAnsi="Arial" w:cs="Arial"/>
                <w:sz w:val="24"/>
                <w:szCs w:val="24"/>
                <w:lang w:val="en-ZA"/>
              </w:rPr>
              <w:t>5.</w:t>
            </w:r>
            <w:r w:rsidRPr="00F267CE">
              <w:rPr>
                <w:rFonts w:ascii="Arial" w:hAnsi="Arial" w:cs="Arial"/>
                <w:b/>
                <w:sz w:val="24"/>
                <w:szCs w:val="24"/>
                <w:lang w:val="en-ZA"/>
              </w:rPr>
              <w:t xml:space="preserve"> AD CLAIM 5</w:t>
            </w:r>
            <w:r w:rsidRPr="00F267CE">
              <w:rPr>
                <w:rFonts w:ascii="Arial" w:hAnsi="Arial" w:cs="Arial"/>
                <w:sz w:val="24"/>
                <w:szCs w:val="24"/>
                <w:lang w:val="en-ZA"/>
              </w:rPr>
              <w:t>:</w:t>
            </w:r>
          </w:p>
          <w:p w:rsidR="00F267CE" w:rsidRPr="00F267CE" w:rsidRDefault="00F267CE" w:rsidP="003E605A">
            <w:pPr>
              <w:spacing w:after="0" w:line="360" w:lineRule="auto"/>
              <w:ind w:left="720"/>
              <w:jc w:val="both"/>
              <w:rPr>
                <w:rFonts w:ascii="Arial" w:hAnsi="Arial" w:cs="Arial"/>
                <w:sz w:val="24"/>
                <w:szCs w:val="24"/>
                <w:lang w:val="en-ZA"/>
              </w:rPr>
            </w:pPr>
            <w:r w:rsidRPr="00F267CE">
              <w:rPr>
                <w:rFonts w:ascii="Arial" w:hAnsi="Arial" w:cs="Arial"/>
                <w:sz w:val="24"/>
                <w:szCs w:val="24"/>
                <w:lang w:val="en-ZA"/>
              </w:rPr>
              <w:t>5.1 Payment in the amount of N$3 507.39.</w:t>
            </w:r>
          </w:p>
          <w:p w:rsidR="00F267CE" w:rsidRPr="00F267CE" w:rsidRDefault="00F267CE" w:rsidP="003E605A">
            <w:pPr>
              <w:spacing w:after="0" w:line="360" w:lineRule="auto"/>
              <w:ind w:left="720"/>
              <w:jc w:val="both"/>
              <w:rPr>
                <w:rFonts w:ascii="Arial" w:hAnsi="Arial" w:cs="Arial"/>
                <w:sz w:val="24"/>
                <w:szCs w:val="24"/>
                <w:lang w:val="en-ZA"/>
              </w:rPr>
            </w:pPr>
            <w:r w:rsidRPr="00F267CE">
              <w:rPr>
                <w:rFonts w:ascii="Arial" w:hAnsi="Arial" w:cs="Arial"/>
                <w:sz w:val="24"/>
                <w:szCs w:val="24"/>
                <w:lang w:val="en-ZA"/>
              </w:rPr>
              <w:t>5.2 Compound interest calculated daily and capitalized monthly on the amount of N$3 507.39 at plaintiff’s prime rate of interest from time to time, currently 9.25% per year plus 5.55%, calculated from 18 September 2022 to date of final payment.</w:t>
            </w:r>
          </w:p>
          <w:p w:rsidR="00F267CE" w:rsidRDefault="00F267CE" w:rsidP="003E605A">
            <w:pPr>
              <w:spacing w:after="0" w:line="360" w:lineRule="auto"/>
              <w:ind w:left="720"/>
              <w:jc w:val="both"/>
              <w:rPr>
                <w:rFonts w:ascii="Arial" w:hAnsi="Arial" w:cs="Arial"/>
                <w:sz w:val="24"/>
                <w:szCs w:val="24"/>
                <w:lang w:val="en-ZA"/>
              </w:rPr>
            </w:pPr>
            <w:r w:rsidRPr="00F267CE">
              <w:rPr>
                <w:rFonts w:ascii="Arial" w:hAnsi="Arial" w:cs="Arial"/>
                <w:sz w:val="24"/>
                <w:szCs w:val="24"/>
                <w:lang w:val="en-ZA"/>
              </w:rPr>
              <w:t>5.3</w:t>
            </w:r>
            <w:r w:rsidRPr="00F267CE">
              <w:rPr>
                <w:rFonts w:ascii="Arial" w:hAnsi="Arial" w:cs="Arial"/>
                <w:sz w:val="24"/>
                <w:szCs w:val="24"/>
                <w:lang w:val="en-ZA"/>
              </w:rPr>
              <w:tab/>
              <w:t>Cost of suit</w:t>
            </w:r>
            <w:r w:rsidR="00E87496">
              <w:rPr>
                <w:rFonts w:ascii="Arial" w:hAnsi="Arial" w:cs="Arial"/>
                <w:sz w:val="24"/>
                <w:szCs w:val="24"/>
                <w:lang w:val="en-ZA"/>
              </w:rPr>
              <w:t>.</w:t>
            </w:r>
          </w:p>
          <w:p w:rsidR="003E605A" w:rsidRPr="00F267CE" w:rsidRDefault="003E605A" w:rsidP="003E605A">
            <w:pPr>
              <w:spacing w:after="0" w:line="360" w:lineRule="auto"/>
              <w:ind w:left="720"/>
              <w:jc w:val="both"/>
              <w:rPr>
                <w:rFonts w:ascii="Arial" w:hAnsi="Arial" w:cs="Arial"/>
                <w:sz w:val="24"/>
                <w:szCs w:val="24"/>
                <w:lang w:val="en-ZA"/>
              </w:rPr>
            </w:pPr>
          </w:p>
          <w:p w:rsidR="00F267CE" w:rsidRPr="00F267CE" w:rsidRDefault="00F267CE" w:rsidP="003E605A">
            <w:pPr>
              <w:spacing w:after="160" w:line="360" w:lineRule="auto"/>
              <w:jc w:val="both"/>
              <w:rPr>
                <w:rFonts w:ascii="Arial" w:hAnsi="Arial" w:cs="Arial"/>
                <w:sz w:val="24"/>
                <w:szCs w:val="24"/>
                <w:lang w:val="en-ZA"/>
              </w:rPr>
            </w:pPr>
            <w:r w:rsidRPr="00834E2B">
              <w:rPr>
                <w:rFonts w:ascii="Arial" w:hAnsi="Arial" w:cs="Arial"/>
                <w:sz w:val="24"/>
                <w:szCs w:val="24"/>
                <w:lang w:val="en-ZA"/>
              </w:rPr>
              <w:t>6.</w:t>
            </w:r>
            <w:r w:rsidRPr="00F267CE">
              <w:rPr>
                <w:rFonts w:ascii="Arial" w:hAnsi="Arial" w:cs="Arial"/>
                <w:b/>
                <w:sz w:val="24"/>
                <w:szCs w:val="24"/>
                <w:lang w:val="en-ZA"/>
              </w:rPr>
              <w:t xml:space="preserve"> AD CLAIM 6</w:t>
            </w:r>
            <w:r w:rsidRPr="00F267CE">
              <w:rPr>
                <w:rFonts w:ascii="Arial" w:hAnsi="Arial" w:cs="Arial"/>
                <w:sz w:val="24"/>
                <w:szCs w:val="24"/>
                <w:lang w:val="en-ZA"/>
              </w:rPr>
              <w:t>:</w:t>
            </w:r>
          </w:p>
          <w:p w:rsidR="00F267CE" w:rsidRPr="00F267CE" w:rsidRDefault="00F267CE" w:rsidP="003E605A">
            <w:pPr>
              <w:spacing w:after="0" w:line="360" w:lineRule="auto"/>
              <w:ind w:left="720"/>
              <w:jc w:val="both"/>
              <w:rPr>
                <w:rFonts w:ascii="Arial" w:hAnsi="Arial" w:cs="Arial"/>
                <w:sz w:val="24"/>
                <w:szCs w:val="24"/>
                <w:lang w:val="en-ZA"/>
              </w:rPr>
            </w:pPr>
            <w:r w:rsidRPr="00F267CE">
              <w:rPr>
                <w:rFonts w:ascii="Arial" w:hAnsi="Arial" w:cs="Arial"/>
                <w:sz w:val="24"/>
                <w:szCs w:val="24"/>
                <w:lang w:val="en-ZA"/>
              </w:rPr>
              <w:t>6.1 Payment in the amount of N$18 004.06.</w:t>
            </w:r>
          </w:p>
          <w:p w:rsidR="00F267CE" w:rsidRPr="00F267CE" w:rsidRDefault="00F267CE" w:rsidP="003E605A">
            <w:pPr>
              <w:spacing w:after="0" w:line="360" w:lineRule="auto"/>
              <w:ind w:left="720"/>
              <w:jc w:val="both"/>
              <w:rPr>
                <w:rFonts w:ascii="Arial" w:hAnsi="Arial" w:cs="Arial"/>
                <w:sz w:val="24"/>
                <w:szCs w:val="24"/>
                <w:lang w:val="en-ZA"/>
              </w:rPr>
            </w:pPr>
            <w:r w:rsidRPr="00F267CE">
              <w:rPr>
                <w:rFonts w:ascii="Arial" w:hAnsi="Arial" w:cs="Arial"/>
                <w:sz w:val="24"/>
                <w:szCs w:val="24"/>
                <w:lang w:val="en-ZA"/>
              </w:rPr>
              <w:t>6.2 Compound interest calculated daily and capitalized monthly on the amount of N$18 004.06 at plaintiff’s prime rate of interest from time to time, currently 9.25% per year plus 5.55%, calculated from 29 August 2022 to date of final payment.</w:t>
            </w:r>
          </w:p>
          <w:p w:rsidR="00F267CE" w:rsidRDefault="00F267CE" w:rsidP="003E605A">
            <w:pPr>
              <w:spacing w:after="0" w:line="360" w:lineRule="auto"/>
              <w:ind w:left="720"/>
              <w:jc w:val="both"/>
              <w:rPr>
                <w:rFonts w:ascii="Arial" w:hAnsi="Arial" w:cs="Arial"/>
                <w:sz w:val="24"/>
                <w:szCs w:val="24"/>
                <w:lang w:val="en-ZA"/>
              </w:rPr>
            </w:pPr>
            <w:r w:rsidRPr="00F267CE">
              <w:rPr>
                <w:rFonts w:ascii="Arial" w:hAnsi="Arial" w:cs="Arial"/>
                <w:sz w:val="24"/>
                <w:szCs w:val="24"/>
                <w:lang w:val="en-ZA"/>
              </w:rPr>
              <w:t>6.3</w:t>
            </w:r>
            <w:r w:rsidRPr="00F267CE">
              <w:rPr>
                <w:rFonts w:ascii="Arial" w:hAnsi="Arial" w:cs="Arial"/>
                <w:sz w:val="24"/>
                <w:szCs w:val="24"/>
                <w:lang w:val="en-ZA"/>
              </w:rPr>
              <w:tab/>
              <w:t>Cost of suit granted on attorney own client scale</w:t>
            </w:r>
            <w:proofErr w:type="gramStart"/>
            <w:r w:rsidR="00E87496">
              <w:rPr>
                <w:rFonts w:ascii="Arial" w:hAnsi="Arial" w:cs="Arial"/>
                <w:sz w:val="24"/>
                <w:szCs w:val="24"/>
                <w:lang w:val="en-ZA"/>
              </w:rPr>
              <w:t>..</w:t>
            </w:r>
            <w:proofErr w:type="gramEnd"/>
          </w:p>
          <w:p w:rsidR="003E605A" w:rsidRPr="00F267CE" w:rsidRDefault="003E605A" w:rsidP="003E605A">
            <w:pPr>
              <w:spacing w:after="0" w:line="360" w:lineRule="auto"/>
              <w:ind w:left="720"/>
              <w:jc w:val="both"/>
              <w:rPr>
                <w:rFonts w:ascii="Arial" w:hAnsi="Arial" w:cs="Arial"/>
                <w:sz w:val="24"/>
                <w:szCs w:val="24"/>
                <w:lang w:val="en-ZA"/>
              </w:rPr>
            </w:pPr>
          </w:p>
          <w:p w:rsidR="00F267CE" w:rsidRPr="003E605A" w:rsidRDefault="003E605A" w:rsidP="003E605A">
            <w:pPr>
              <w:spacing w:after="160" w:line="360" w:lineRule="auto"/>
              <w:jc w:val="both"/>
              <w:rPr>
                <w:rFonts w:ascii="Arial" w:hAnsi="Arial" w:cs="Arial"/>
                <w:sz w:val="24"/>
                <w:szCs w:val="24"/>
                <w:lang w:val="en-ZA"/>
              </w:rPr>
            </w:pPr>
            <w:r w:rsidRPr="003E605A">
              <w:rPr>
                <w:rFonts w:ascii="Arial" w:hAnsi="Arial" w:cs="Arial"/>
                <w:sz w:val="24"/>
                <w:szCs w:val="24"/>
                <w:lang w:val="en-ZA"/>
              </w:rPr>
              <w:t xml:space="preserve">7. </w:t>
            </w:r>
            <w:r w:rsidR="00F267CE" w:rsidRPr="003E605A">
              <w:rPr>
                <w:rFonts w:ascii="Arial" w:hAnsi="Arial" w:cs="Arial"/>
                <w:sz w:val="24"/>
                <w:szCs w:val="24"/>
                <w:lang w:val="en-ZA"/>
              </w:rPr>
              <w:t>An order in terms whereof the following property is declared executable:</w:t>
            </w:r>
          </w:p>
          <w:p w:rsidR="00F267CE" w:rsidRPr="00F267CE" w:rsidRDefault="00F267CE" w:rsidP="00F267CE">
            <w:pPr>
              <w:spacing w:after="160" w:line="360" w:lineRule="auto"/>
              <w:ind w:left="1310" w:hanging="743"/>
              <w:jc w:val="both"/>
              <w:rPr>
                <w:rFonts w:ascii="Arial" w:hAnsi="Arial" w:cs="Arial"/>
                <w:sz w:val="24"/>
                <w:szCs w:val="24"/>
                <w:lang w:val="en-ZA"/>
              </w:rPr>
            </w:pPr>
            <w:r w:rsidRPr="00F267CE">
              <w:rPr>
                <w:rFonts w:ascii="Arial" w:hAnsi="Arial" w:cs="Arial"/>
                <w:sz w:val="24"/>
                <w:szCs w:val="24"/>
                <w:lang w:val="en-ZA"/>
              </w:rPr>
              <w:t>Certain: Erf No Rehoboth E 664</w:t>
            </w:r>
          </w:p>
          <w:p w:rsidR="00F267CE" w:rsidRPr="00F267CE" w:rsidRDefault="00F267CE" w:rsidP="00F267CE">
            <w:pPr>
              <w:spacing w:after="160" w:line="360" w:lineRule="auto"/>
              <w:ind w:left="1310" w:hanging="743"/>
              <w:jc w:val="both"/>
              <w:rPr>
                <w:rFonts w:ascii="Arial" w:hAnsi="Arial" w:cs="Arial"/>
                <w:sz w:val="24"/>
                <w:szCs w:val="24"/>
                <w:lang w:val="en-ZA"/>
              </w:rPr>
            </w:pPr>
            <w:r w:rsidRPr="00F267CE">
              <w:rPr>
                <w:rFonts w:ascii="Arial" w:hAnsi="Arial" w:cs="Arial"/>
                <w:sz w:val="24"/>
                <w:szCs w:val="24"/>
                <w:lang w:val="en-ZA"/>
              </w:rPr>
              <w:t>Situate: In the Town of Rehoboth</w:t>
            </w:r>
          </w:p>
          <w:p w:rsidR="00F267CE" w:rsidRPr="00F267CE" w:rsidRDefault="00F267CE" w:rsidP="00F267CE">
            <w:pPr>
              <w:spacing w:after="160" w:line="360" w:lineRule="auto"/>
              <w:ind w:left="1310" w:hanging="743"/>
              <w:jc w:val="both"/>
              <w:rPr>
                <w:rFonts w:ascii="Arial" w:hAnsi="Arial" w:cs="Arial"/>
                <w:sz w:val="24"/>
                <w:szCs w:val="24"/>
                <w:lang w:val="en-ZA"/>
              </w:rPr>
            </w:pPr>
            <w:r w:rsidRPr="00F267CE">
              <w:rPr>
                <w:rFonts w:ascii="Arial" w:hAnsi="Arial" w:cs="Arial"/>
                <w:sz w:val="24"/>
                <w:szCs w:val="24"/>
                <w:lang w:val="en-ZA"/>
              </w:rPr>
              <w:t>Registration Division “M”</w:t>
            </w:r>
          </w:p>
          <w:p w:rsidR="00F267CE" w:rsidRPr="00F267CE" w:rsidRDefault="00F267CE" w:rsidP="00F267CE">
            <w:pPr>
              <w:spacing w:after="160" w:line="360" w:lineRule="auto"/>
              <w:ind w:left="1310" w:hanging="743"/>
              <w:jc w:val="both"/>
              <w:rPr>
                <w:rFonts w:ascii="Arial" w:hAnsi="Arial" w:cs="Arial"/>
                <w:sz w:val="24"/>
                <w:szCs w:val="24"/>
                <w:lang w:val="en-ZA"/>
              </w:rPr>
            </w:pPr>
            <w:proofErr w:type="spellStart"/>
            <w:r w:rsidRPr="00F267CE">
              <w:rPr>
                <w:rFonts w:ascii="Arial" w:hAnsi="Arial" w:cs="Arial"/>
                <w:sz w:val="24"/>
                <w:szCs w:val="24"/>
                <w:lang w:val="en-ZA"/>
              </w:rPr>
              <w:lastRenderedPageBreak/>
              <w:t>Hardap</w:t>
            </w:r>
            <w:proofErr w:type="spellEnd"/>
            <w:r w:rsidRPr="00F267CE">
              <w:rPr>
                <w:rFonts w:ascii="Arial" w:hAnsi="Arial" w:cs="Arial"/>
                <w:sz w:val="24"/>
                <w:szCs w:val="24"/>
                <w:lang w:val="en-ZA"/>
              </w:rPr>
              <w:t xml:space="preserve"> Region</w:t>
            </w:r>
          </w:p>
          <w:p w:rsidR="00B131EA" w:rsidRDefault="00F267CE" w:rsidP="00E87496">
            <w:pPr>
              <w:spacing w:after="0" w:line="360" w:lineRule="auto"/>
              <w:ind w:left="1310" w:hanging="709"/>
              <w:jc w:val="both"/>
              <w:rPr>
                <w:rFonts w:ascii="Arial" w:hAnsi="Arial" w:cs="Arial"/>
                <w:sz w:val="24"/>
                <w:szCs w:val="24"/>
              </w:rPr>
            </w:pPr>
            <w:r w:rsidRPr="00F267CE">
              <w:rPr>
                <w:rFonts w:ascii="Arial" w:hAnsi="Arial" w:cs="Arial"/>
                <w:sz w:val="24"/>
                <w:szCs w:val="24"/>
                <w:lang w:val="en-ZA"/>
              </w:rPr>
              <w:t>Measuring: 724 (Seven Two Four) Square Metres</w:t>
            </w:r>
            <w:r w:rsidR="00E87496">
              <w:rPr>
                <w:rFonts w:ascii="Arial" w:hAnsi="Arial" w:cs="Arial"/>
                <w:sz w:val="24"/>
                <w:szCs w:val="24"/>
                <w:lang w:val="en-ZA"/>
              </w:rPr>
              <w:t>.</w:t>
            </w:r>
            <w:r w:rsidR="00B131EA">
              <w:rPr>
                <w:rFonts w:ascii="Arial" w:hAnsi="Arial" w:cs="Arial"/>
                <w:sz w:val="24"/>
                <w:szCs w:val="24"/>
              </w:rPr>
              <w:tab/>
            </w:r>
          </w:p>
          <w:p w:rsidR="00E87496" w:rsidRDefault="00E87496" w:rsidP="00E87496">
            <w:pPr>
              <w:spacing w:after="0" w:line="360" w:lineRule="auto"/>
              <w:ind w:left="1310" w:hanging="709"/>
              <w:jc w:val="both"/>
              <w:rPr>
                <w:rFonts w:ascii="Arial" w:hAnsi="Arial" w:cs="Arial"/>
                <w:sz w:val="24"/>
                <w:szCs w:val="24"/>
              </w:rPr>
            </w:pPr>
          </w:p>
          <w:p w:rsidR="00E87496" w:rsidRPr="00A91522" w:rsidRDefault="00E87496" w:rsidP="00E87496">
            <w:pPr>
              <w:spacing w:after="0" w:line="360" w:lineRule="auto"/>
              <w:jc w:val="both"/>
              <w:rPr>
                <w:rFonts w:ascii="Arial" w:hAnsi="Arial" w:cs="Arial"/>
                <w:b/>
                <w:sz w:val="24"/>
                <w:szCs w:val="24"/>
              </w:rPr>
            </w:pPr>
            <w:r>
              <w:rPr>
                <w:rFonts w:ascii="Arial" w:hAnsi="Arial" w:cs="Arial"/>
                <w:sz w:val="24"/>
                <w:szCs w:val="24"/>
              </w:rPr>
              <w:t>The matter is removed from the roll and regarded as finalized.</w:t>
            </w:r>
          </w:p>
        </w:tc>
      </w:tr>
      <w:tr w:rsidR="00DC4D07" w:rsidRPr="00A91522" w:rsidTr="008019A9">
        <w:tc>
          <w:tcPr>
            <w:tcW w:w="10490" w:type="dxa"/>
            <w:gridSpan w:val="3"/>
            <w:tcBorders>
              <w:top w:val="single" w:sz="4" w:space="0" w:color="auto"/>
              <w:left w:val="single" w:sz="4" w:space="0" w:color="auto"/>
              <w:bottom w:val="single" w:sz="4" w:space="0" w:color="auto"/>
              <w:right w:val="single" w:sz="4" w:space="0" w:color="auto"/>
            </w:tcBorders>
          </w:tcPr>
          <w:p w:rsidR="00DC4D07" w:rsidRPr="005F6192" w:rsidRDefault="00DC4D07" w:rsidP="00DC4D07">
            <w:pPr>
              <w:spacing w:after="0" w:line="360" w:lineRule="auto"/>
              <w:jc w:val="both"/>
              <w:rPr>
                <w:rFonts w:ascii="Arial" w:hAnsi="Arial" w:cs="Arial"/>
                <w:b/>
                <w:sz w:val="10"/>
                <w:szCs w:val="10"/>
              </w:rPr>
            </w:pPr>
          </w:p>
          <w:p w:rsidR="00DC4D07" w:rsidRDefault="00DC4D07" w:rsidP="00DC4D07">
            <w:pPr>
              <w:spacing w:after="160" w:line="360" w:lineRule="auto"/>
              <w:ind w:left="743" w:hanging="743"/>
              <w:jc w:val="both"/>
              <w:rPr>
                <w:rFonts w:ascii="Arial" w:hAnsi="Arial" w:cs="Arial"/>
                <w:sz w:val="24"/>
                <w:szCs w:val="24"/>
              </w:rPr>
            </w:pPr>
            <w:r w:rsidRPr="00A91522">
              <w:rPr>
                <w:rFonts w:ascii="Arial" w:hAnsi="Arial" w:cs="Arial"/>
                <w:b/>
                <w:sz w:val="24"/>
                <w:szCs w:val="24"/>
              </w:rPr>
              <w:t>Reasons for order:</w:t>
            </w:r>
          </w:p>
        </w:tc>
      </w:tr>
      <w:tr w:rsidR="00A91522" w:rsidRPr="00A91522" w:rsidTr="008019A9">
        <w:tc>
          <w:tcPr>
            <w:tcW w:w="10490" w:type="dxa"/>
            <w:gridSpan w:val="3"/>
            <w:tcBorders>
              <w:top w:val="single" w:sz="4" w:space="0" w:color="auto"/>
              <w:left w:val="single" w:sz="4" w:space="0" w:color="auto"/>
              <w:bottom w:val="single" w:sz="4" w:space="0" w:color="auto"/>
              <w:right w:val="single" w:sz="4" w:space="0" w:color="auto"/>
            </w:tcBorders>
          </w:tcPr>
          <w:p w:rsidR="004C3A81" w:rsidRDefault="002C0C81" w:rsidP="004C3A81">
            <w:pPr>
              <w:spacing w:after="0" w:line="360" w:lineRule="auto"/>
              <w:jc w:val="both"/>
              <w:rPr>
                <w:rFonts w:ascii="Arial" w:hAnsi="Arial" w:cs="Arial"/>
                <w:sz w:val="24"/>
                <w:szCs w:val="24"/>
              </w:rPr>
            </w:pPr>
            <w:r>
              <w:rPr>
                <w:rFonts w:ascii="Arial" w:hAnsi="Arial" w:cs="Arial"/>
                <w:sz w:val="24"/>
                <w:szCs w:val="24"/>
              </w:rPr>
              <w:t>RAKOW J</w:t>
            </w:r>
            <w:r w:rsidRPr="00A91522">
              <w:rPr>
                <w:rFonts w:ascii="Arial" w:hAnsi="Arial" w:cs="Arial"/>
                <w:sz w:val="24"/>
                <w:szCs w:val="24"/>
              </w:rPr>
              <w:t>:</w:t>
            </w:r>
          </w:p>
          <w:p w:rsidR="004C3A81" w:rsidRDefault="004C3A81" w:rsidP="004C3A81">
            <w:pPr>
              <w:spacing w:after="0" w:line="360" w:lineRule="auto"/>
              <w:jc w:val="both"/>
              <w:rPr>
                <w:rFonts w:ascii="Arial" w:hAnsi="Arial" w:cs="Arial"/>
                <w:sz w:val="24"/>
                <w:szCs w:val="24"/>
              </w:rPr>
            </w:pPr>
          </w:p>
          <w:p w:rsidR="002C0C81" w:rsidRDefault="002C0C81" w:rsidP="004C3A81">
            <w:pPr>
              <w:spacing w:after="0" w:line="360" w:lineRule="auto"/>
              <w:jc w:val="both"/>
              <w:rPr>
                <w:rFonts w:ascii="Arial" w:hAnsi="Arial" w:cs="Arial"/>
                <w:sz w:val="24"/>
                <w:szCs w:val="24"/>
                <w:u w:val="single"/>
              </w:rPr>
            </w:pPr>
            <w:r w:rsidRPr="00544B68">
              <w:rPr>
                <w:rFonts w:ascii="Arial" w:hAnsi="Arial" w:cs="Arial"/>
                <w:sz w:val="24"/>
                <w:szCs w:val="24"/>
                <w:u w:val="single"/>
              </w:rPr>
              <w:t>Introduction</w:t>
            </w:r>
          </w:p>
          <w:p w:rsidR="004C3A81" w:rsidRPr="00544B68" w:rsidRDefault="004C3A81" w:rsidP="004C3A81">
            <w:pPr>
              <w:spacing w:after="0" w:line="360" w:lineRule="auto"/>
              <w:jc w:val="both"/>
              <w:rPr>
                <w:rFonts w:ascii="Arial" w:hAnsi="Arial" w:cs="Arial"/>
                <w:sz w:val="24"/>
                <w:szCs w:val="24"/>
                <w:u w:val="single"/>
              </w:rPr>
            </w:pPr>
          </w:p>
          <w:p w:rsidR="002C0C81" w:rsidRDefault="002C0C81" w:rsidP="004C3A81">
            <w:pPr>
              <w:pStyle w:val="ListParagraph"/>
              <w:numPr>
                <w:ilvl w:val="0"/>
                <w:numId w:val="46"/>
              </w:numPr>
              <w:spacing w:after="0" w:line="360" w:lineRule="auto"/>
              <w:ind w:left="0" w:firstLine="0"/>
              <w:jc w:val="both"/>
              <w:rPr>
                <w:rFonts w:ascii="Arial" w:hAnsi="Arial" w:cs="Arial"/>
                <w:sz w:val="24"/>
                <w:szCs w:val="24"/>
              </w:rPr>
            </w:pPr>
            <w:r w:rsidRPr="005F51E4">
              <w:rPr>
                <w:rFonts w:ascii="Arial" w:hAnsi="Arial" w:cs="Arial"/>
                <w:sz w:val="24"/>
                <w:szCs w:val="24"/>
              </w:rPr>
              <w:t>The plaintiff, First National Bank of Namibia Ltd</w:t>
            </w:r>
            <w:r w:rsidR="004C3A81">
              <w:rPr>
                <w:rFonts w:ascii="Arial" w:hAnsi="Arial" w:cs="Arial"/>
                <w:sz w:val="24"/>
                <w:szCs w:val="24"/>
              </w:rPr>
              <w:t>,</w:t>
            </w:r>
            <w:r w:rsidRPr="005F51E4">
              <w:rPr>
                <w:rFonts w:ascii="Arial" w:hAnsi="Arial" w:cs="Arial"/>
                <w:sz w:val="24"/>
                <w:szCs w:val="24"/>
              </w:rPr>
              <w:t xml:space="preserve"> was the previous employer of the defendant.  The plaintiff (both in its summons and its application for summary judgment) seeks  payment of the capital, further interest and costs</w:t>
            </w:r>
            <w:r w:rsidR="004C3A81">
              <w:rPr>
                <w:rFonts w:ascii="Arial" w:hAnsi="Arial" w:cs="Arial"/>
                <w:sz w:val="24"/>
                <w:szCs w:val="24"/>
              </w:rPr>
              <w:t xml:space="preserve"> in respect of monies lent and </w:t>
            </w:r>
            <w:r w:rsidRPr="005F51E4">
              <w:rPr>
                <w:rFonts w:ascii="Arial" w:hAnsi="Arial" w:cs="Arial"/>
                <w:sz w:val="24"/>
                <w:szCs w:val="24"/>
              </w:rPr>
              <w:t>advanced to the defendant on two mortgage loan agreements, two overdraft facilities, one personal loa</w:t>
            </w:r>
            <w:r w:rsidR="004C3A81">
              <w:rPr>
                <w:rFonts w:ascii="Arial" w:hAnsi="Arial" w:cs="Arial"/>
                <w:sz w:val="24"/>
                <w:szCs w:val="24"/>
              </w:rPr>
              <w:t>n</w:t>
            </w:r>
            <w:r w:rsidRPr="005F51E4">
              <w:rPr>
                <w:rFonts w:ascii="Arial" w:hAnsi="Arial" w:cs="Arial"/>
                <w:sz w:val="24"/>
                <w:szCs w:val="24"/>
              </w:rPr>
              <w:t xml:space="preserve"> and a credit card facility.  They also seek an order in terms of rule 108 to allow for the sale in execution of the immovable property.  The total indebtedne</w:t>
            </w:r>
            <w:r w:rsidR="004C3A81">
              <w:rPr>
                <w:rFonts w:ascii="Arial" w:hAnsi="Arial" w:cs="Arial"/>
                <w:sz w:val="24"/>
                <w:szCs w:val="24"/>
              </w:rPr>
              <w:t>ss of the defendant is about N$</w:t>
            </w:r>
            <w:r w:rsidRPr="005F51E4">
              <w:rPr>
                <w:rFonts w:ascii="Arial" w:hAnsi="Arial" w:cs="Arial"/>
                <w:sz w:val="24"/>
                <w:szCs w:val="24"/>
              </w:rPr>
              <w:t>587</w:t>
            </w:r>
            <w:r>
              <w:rPr>
                <w:rFonts w:ascii="Arial" w:hAnsi="Arial" w:cs="Arial"/>
                <w:sz w:val="24"/>
                <w:szCs w:val="24"/>
              </w:rPr>
              <w:t> </w:t>
            </w:r>
            <w:r w:rsidRPr="005F51E4">
              <w:rPr>
                <w:rFonts w:ascii="Arial" w:hAnsi="Arial" w:cs="Arial"/>
                <w:sz w:val="24"/>
                <w:szCs w:val="24"/>
              </w:rPr>
              <w:t>000.</w:t>
            </w:r>
          </w:p>
          <w:p w:rsidR="002C0C81" w:rsidRDefault="002C0C81" w:rsidP="002C0C81">
            <w:pPr>
              <w:pStyle w:val="ListParagraph"/>
              <w:spacing w:after="0" w:line="360" w:lineRule="auto"/>
              <w:ind w:left="0"/>
              <w:jc w:val="both"/>
              <w:rPr>
                <w:rFonts w:ascii="Arial" w:hAnsi="Arial" w:cs="Arial"/>
                <w:sz w:val="24"/>
                <w:szCs w:val="24"/>
              </w:rPr>
            </w:pPr>
          </w:p>
          <w:p w:rsidR="002C0C81" w:rsidRPr="005F51E4" w:rsidRDefault="002C0C81" w:rsidP="002C0C81">
            <w:pPr>
              <w:pStyle w:val="ListParagraph"/>
              <w:numPr>
                <w:ilvl w:val="0"/>
                <w:numId w:val="46"/>
              </w:numPr>
              <w:spacing w:after="0" w:line="360" w:lineRule="auto"/>
              <w:ind w:left="0" w:firstLine="0"/>
              <w:jc w:val="both"/>
              <w:rPr>
                <w:rFonts w:ascii="Arial" w:hAnsi="Arial" w:cs="Arial"/>
                <w:sz w:val="24"/>
                <w:szCs w:val="24"/>
              </w:rPr>
            </w:pPr>
            <w:r w:rsidRPr="005F51E4">
              <w:rPr>
                <w:rFonts w:ascii="Arial" w:hAnsi="Arial" w:cs="Arial"/>
                <w:sz w:val="24"/>
                <w:szCs w:val="24"/>
              </w:rPr>
              <w:t>The defendant is opposing the application and requesting a stay of these proceedings</w:t>
            </w:r>
            <w:r w:rsidR="006B5362">
              <w:rPr>
                <w:rFonts w:ascii="Arial" w:hAnsi="Arial" w:cs="Arial"/>
                <w:sz w:val="24"/>
                <w:szCs w:val="24"/>
              </w:rPr>
              <w:t xml:space="preserve"> pending the finalization of a </w:t>
            </w:r>
            <w:proofErr w:type="spellStart"/>
            <w:r w:rsidR="006B5362">
              <w:rPr>
                <w:rFonts w:ascii="Arial" w:hAnsi="Arial" w:cs="Arial"/>
                <w:sz w:val="24"/>
                <w:szCs w:val="24"/>
              </w:rPr>
              <w:t>labour</w:t>
            </w:r>
            <w:proofErr w:type="spellEnd"/>
            <w:r w:rsidR="006B5362">
              <w:rPr>
                <w:rFonts w:ascii="Arial" w:hAnsi="Arial" w:cs="Arial"/>
                <w:sz w:val="24"/>
                <w:szCs w:val="24"/>
              </w:rPr>
              <w:t xml:space="preserve"> a</w:t>
            </w:r>
            <w:r w:rsidRPr="005F51E4">
              <w:rPr>
                <w:rFonts w:ascii="Arial" w:hAnsi="Arial" w:cs="Arial"/>
                <w:sz w:val="24"/>
                <w:szCs w:val="24"/>
              </w:rPr>
              <w:t xml:space="preserve">ppeal matter in this court.  The </w:t>
            </w:r>
            <w:proofErr w:type="spellStart"/>
            <w:r w:rsidRPr="005F51E4">
              <w:rPr>
                <w:rFonts w:ascii="Arial" w:hAnsi="Arial" w:cs="Arial"/>
                <w:sz w:val="24"/>
                <w:szCs w:val="24"/>
              </w:rPr>
              <w:t>Labour</w:t>
            </w:r>
            <w:proofErr w:type="spellEnd"/>
            <w:r w:rsidRPr="005F51E4">
              <w:rPr>
                <w:rFonts w:ascii="Arial" w:hAnsi="Arial" w:cs="Arial"/>
                <w:sz w:val="24"/>
                <w:szCs w:val="24"/>
              </w:rPr>
              <w:t xml:space="preserve"> Commissioner dismissed her claim on 23 September 2022 and it is against this dismissal she intends to appeal although no appeal has been filed at this time.</w:t>
            </w:r>
          </w:p>
          <w:p w:rsidR="002C0C81" w:rsidRDefault="002C0C81" w:rsidP="002C0C81">
            <w:pPr>
              <w:spacing w:after="0" w:line="360" w:lineRule="auto"/>
              <w:jc w:val="both"/>
              <w:rPr>
                <w:rFonts w:ascii="Arial" w:hAnsi="Arial" w:cs="Arial"/>
                <w:sz w:val="24"/>
                <w:szCs w:val="24"/>
              </w:rPr>
            </w:pPr>
          </w:p>
          <w:p w:rsidR="002C0C81" w:rsidRDefault="002C0C81" w:rsidP="002C0C81">
            <w:pPr>
              <w:spacing w:after="0" w:line="360" w:lineRule="auto"/>
              <w:jc w:val="both"/>
              <w:rPr>
                <w:rFonts w:ascii="Arial" w:hAnsi="Arial" w:cs="Arial"/>
                <w:sz w:val="24"/>
                <w:szCs w:val="24"/>
                <w:u w:val="single"/>
              </w:rPr>
            </w:pPr>
            <w:r w:rsidRPr="00D3506C">
              <w:rPr>
                <w:rFonts w:ascii="Arial" w:hAnsi="Arial" w:cs="Arial"/>
                <w:sz w:val="24"/>
                <w:szCs w:val="24"/>
                <w:u w:val="single"/>
              </w:rPr>
              <w:t>Arguments</w:t>
            </w:r>
          </w:p>
          <w:p w:rsidR="002C0C81" w:rsidRPr="00D3506C" w:rsidRDefault="002C0C81" w:rsidP="002C0C81">
            <w:pPr>
              <w:spacing w:after="0" w:line="360" w:lineRule="auto"/>
              <w:jc w:val="both"/>
              <w:rPr>
                <w:rFonts w:ascii="Arial" w:hAnsi="Arial" w:cs="Arial"/>
                <w:sz w:val="24"/>
                <w:szCs w:val="24"/>
                <w:u w:val="single"/>
              </w:rPr>
            </w:pPr>
          </w:p>
          <w:p w:rsidR="002C0C81" w:rsidRDefault="002C0C81" w:rsidP="002C0C81">
            <w:pPr>
              <w:pStyle w:val="ListParagraph"/>
              <w:numPr>
                <w:ilvl w:val="0"/>
                <w:numId w:val="46"/>
              </w:numPr>
              <w:spacing w:after="0" w:line="360" w:lineRule="auto"/>
              <w:ind w:left="0" w:firstLine="0"/>
              <w:jc w:val="both"/>
              <w:rPr>
                <w:rFonts w:ascii="Arial" w:hAnsi="Arial" w:cs="Arial"/>
                <w:sz w:val="24"/>
                <w:szCs w:val="24"/>
              </w:rPr>
            </w:pPr>
            <w:r w:rsidRPr="005F51E4">
              <w:rPr>
                <w:rFonts w:ascii="Arial" w:hAnsi="Arial" w:cs="Arial"/>
                <w:sz w:val="24"/>
                <w:szCs w:val="24"/>
              </w:rPr>
              <w:t>The plaintiff argued that the first issue that falls for determination is whether summary judgment should be granted. It was argued that summary judgment ought to be granted against the defendant since the defendant has failed to satisfy the requirements to escape summary judgment. The second issue that fall for determination is whether or not the defendant’s property should be declared executable.</w:t>
            </w:r>
          </w:p>
          <w:p w:rsidR="002C0C81" w:rsidRDefault="002C0C81" w:rsidP="002C0C81">
            <w:pPr>
              <w:pStyle w:val="ListParagraph"/>
              <w:spacing w:after="0" w:line="360" w:lineRule="auto"/>
              <w:ind w:left="0"/>
              <w:jc w:val="both"/>
              <w:rPr>
                <w:rFonts w:ascii="Arial" w:hAnsi="Arial" w:cs="Arial"/>
                <w:sz w:val="24"/>
                <w:szCs w:val="24"/>
              </w:rPr>
            </w:pPr>
          </w:p>
          <w:p w:rsidR="002C0C81" w:rsidRDefault="002C0C81" w:rsidP="002C0C81">
            <w:pPr>
              <w:pStyle w:val="ListParagraph"/>
              <w:numPr>
                <w:ilvl w:val="0"/>
                <w:numId w:val="46"/>
              </w:numPr>
              <w:spacing w:after="0" w:line="360" w:lineRule="auto"/>
              <w:ind w:left="0" w:firstLine="0"/>
              <w:jc w:val="both"/>
              <w:rPr>
                <w:rFonts w:ascii="Arial" w:hAnsi="Arial" w:cs="Arial"/>
                <w:sz w:val="24"/>
                <w:szCs w:val="24"/>
              </w:rPr>
            </w:pPr>
            <w:r w:rsidRPr="005F51E4">
              <w:rPr>
                <w:rFonts w:ascii="Arial" w:hAnsi="Arial" w:cs="Arial"/>
                <w:sz w:val="24"/>
                <w:szCs w:val="24"/>
              </w:rPr>
              <w:t>It was further argued that the defendant’s affidavit is not a model of clarity. The defendant simply makes sweeping statements unsupported by any facts. She fails completely to give any detail of whatever defence she might have to the plaintiff’s claims. No attempt whatsoever is made by the defendant to state what her defence to the plaintiff</w:t>
            </w:r>
            <w:r w:rsidR="00513C93">
              <w:rPr>
                <w:rFonts w:ascii="Arial" w:hAnsi="Arial" w:cs="Arial"/>
                <w:sz w:val="24"/>
                <w:szCs w:val="24"/>
              </w:rPr>
              <w:t>’</w:t>
            </w:r>
            <w:r w:rsidRPr="005F51E4">
              <w:rPr>
                <w:rFonts w:ascii="Arial" w:hAnsi="Arial" w:cs="Arial"/>
                <w:sz w:val="24"/>
                <w:szCs w:val="24"/>
              </w:rPr>
              <w:t xml:space="preserve">s claim is. She also fails to state a single fact upon which it can be concluded that she </w:t>
            </w:r>
            <w:r w:rsidR="00513C93">
              <w:rPr>
                <w:rFonts w:ascii="Arial" w:hAnsi="Arial" w:cs="Arial"/>
                <w:sz w:val="24"/>
                <w:szCs w:val="24"/>
              </w:rPr>
              <w:t>has a defence to the plaintiff’s</w:t>
            </w:r>
            <w:r w:rsidRPr="005F51E4">
              <w:rPr>
                <w:rFonts w:ascii="Arial" w:hAnsi="Arial" w:cs="Arial"/>
                <w:sz w:val="24"/>
                <w:szCs w:val="24"/>
              </w:rPr>
              <w:t xml:space="preserve"> claims</w:t>
            </w:r>
            <w:r>
              <w:rPr>
                <w:rFonts w:ascii="Arial" w:hAnsi="Arial" w:cs="Arial"/>
                <w:sz w:val="24"/>
                <w:szCs w:val="24"/>
              </w:rPr>
              <w:t>.</w:t>
            </w:r>
          </w:p>
          <w:p w:rsidR="002C0C81" w:rsidRPr="005F51E4" w:rsidRDefault="002C0C81" w:rsidP="002C0C81">
            <w:pPr>
              <w:pStyle w:val="ListParagraph"/>
              <w:rPr>
                <w:rFonts w:ascii="Arial" w:hAnsi="Arial" w:cs="Arial"/>
                <w:sz w:val="24"/>
                <w:szCs w:val="24"/>
              </w:rPr>
            </w:pPr>
          </w:p>
          <w:p w:rsidR="002C0C81" w:rsidRPr="005F51E4" w:rsidRDefault="002C0C81" w:rsidP="002C0C81">
            <w:pPr>
              <w:pStyle w:val="ListParagraph"/>
              <w:numPr>
                <w:ilvl w:val="0"/>
                <w:numId w:val="46"/>
              </w:numPr>
              <w:spacing w:after="0" w:line="360" w:lineRule="auto"/>
              <w:ind w:left="0" w:firstLine="0"/>
              <w:jc w:val="both"/>
              <w:rPr>
                <w:rFonts w:ascii="Arial" w:hAnsi="Arial" w:cs="Arial"/>
                <w:sz w:val="24"/>
                <w:szCs w:val="24"/>
              </w:rPr>
            </w:pPr>
            <w:r w:rsidRPr="005F51E4">
              <w:rPr>
                <w:rFonts w:ascii="Arial" w:hAnsi="Arial" w:cs="Arial"/>
                <w:sz w:val="24"/>
                <w:szCs w:val="24"/>
              </w:rPr>
              <w:t xml:space="preserve">The defendant argued in person.  She indicated that she is entitled to have this application stayed as she has good prospects of success in her </w:t>
            </w:r>
            <w:proofErr w:type="spellStart"/>
            <w:r w:rsidRPr="005F51E4">
              <w:rPr>
                <w:rFonts w:ascii="Arial" w:hAnsi="Arial" w:cs="Arial"/>
                <w:sz w:val="24"/>
                <w:szCs w:val="24"/>
              </w:rPr>
              <w:t>labour</w:t>
            </w:r>
            <w:proofErr w:type="spellEnd"/>
            <w:r w:rsidRPr="005F51E4">
              <w:rPr>
                <w:rFonts w:ascii="Arial" w:hAnsi="Arial" w:cs="Arial"/>
                <w:sz w:val="24"/>
                <w:szCs w:val="24"/>
              </w:rPr>
              <w:t xml:space="preserve"> matter, in which she is claiming monies for constructive dismissal which will far exceed the amount she is indebted to the plaintiff.</w:t>
            </w:r>
          </w:p>
          <w:p w:rsidR="002C0C81" w:rsidRDefault="002C0C81" w:rsidP="002C0C81">
            <w:pPr>
              <w:spacing w:after="0" w:line="360" w:lineRule="auto"/>
              <w:jc w:val="both"/>
              <w:rPr>
                <w:rFonts w:ascii="Arial" w:hAnsi="Arial" w:cs="Arial"/>
                <w:sz w:val="24"/>
                <w:szCs w:val="24"/>
              </w:rPr>
            </w:pPr>
          </w:p>
          <w:p w:rsidR="002C0C81" w:rsidRDefault="002C0C81" w:rsidP="002C0C81">
            <w:pPr>
              <w:spacing w:after="0" w:line="360" w:lineRule="auto"/>
              <w:jc w:val="both"/>
              <w:rPr>
                <w:rFonts w:ascii="Arial" w:hAnsi="Arial" w:cs="Arial"/>
                <w:sz w:val="24"/>
                <w:szCs w:val="24"/>
                <w:u w:val="single"/>
              </w:rPr>
            </w:pPr>
            <w:r w:rsidRPr="001A751D">
              <w:rPr>
                <w:rFonts w:ascii="Arial" w:hAnsi="Arial" w:cs="Arial"/>
                <w:sz w:val="24"/>
                <w:szCs w:val="24"/>
                <w:u w:val="single"/>
              </w:rPr>
              <w:t>Legal principles</w:t>
            </w:r>
          </w:p>
          <w:p w:rsidR="002C0C81" w:rsidRPr="001A751D" w:rsidRDefault="002C0C81" w:rsidP="002C0C81">
            <w:pPr>
              <w:spacing w:after="0" w:line="360" w:lineRule="auto"/>
              <w:jc w:val="both"/>
              <w:rPr>
                <w:rFonts w:ascii="Arial" w:hAnsi="Arial" w:cs="Arial"/>
                <w:sz w:val="24"/>
                <w:szCs w:val="24"/>
                <w:u w:val="single"/>
              </w:rPr>
            </w:pPr>
          </w:p>
          <w:p w:rsidR="002C0C81" w:rsidRPr="005F51E4" w:rsidRDefault="002C0C81" w:rsidP="002C0C81">
            <w:pPr>
              <w:pStyle w:val="ListParagraph"/>
              <w:numPr>
                <w:ilvl w:val="0"/>
                <w:numId w:val="46"/>
              </w:numPr>
              <w:spacing w:after="0" w:line="360" w:lineRule="auto"/>
              <w:ind w:left="0" w:firstLine="0"/>
              <w:jc w:val="both"/>
              <w:rPr>
                <w:rFonts w:ascii="Arial" w:hAnsi="Arial" w:cs="Arial"/>
                <w:b/>
                <w:sz w:val="24"/>
                <w:szCs w:val="24"/>
              </w:rPr>
            </w:pPr>
            <w:r w:rsidRPr="005F51E4">
              <w:rPr>
                <w:rFonts w:ascii="Arial" w:hAnsi="Arial" w:cs="Arial"/>
                <w:sz w:val="24"/>
                <w:szCs w:val="24"/>
              </w:rPr>
              <w:t>The requirements of rule 60(5)(</w:t>
            </w:r>
            <w:r w:rsidRPr="00C51C1B">
              <w:rPr>
                <w:rFonts w:ascii="Arial" w:hAnsi="Arial" w:cs="Arial"/>
                <w:i/>
                <w:sz w:val="24"/>
                <w:szCs w:val="24"/>
              </w:rPr>
              <w:t>b</w:t>
            </w:r>
            <w:r w:rsidRPr="005F51E4">
              <w:rPr>
                <w:rFonts w:ascii="Arial" w:hAnsi="Arial" w:cs="Arial"/>
                <w:sz w:val="24"/>
                <w:szCs w:val="24"/>
              </w:rPr>
              <w:t>)</w:t>
            </w:r>
            <w:r w:rsidR="00C51C1B">
              <w:rPr>
                <w:rFonts w:ascii="Arial" w:hAnsi="Arial" w:cs="Arial"/>
                <w:sz w:val="24"/>
                <w:szCs w:val="24"/>
              </w:rPr>
              <w:t>,</w:t>
            </w:r>
            <w:r w:rsidRPr="005F51E4">
              <w:rPr>
                <w:rFonts w:ascii="Arial" w:hAnsi="Arial" w:cs="Arial"/>
                <w:sz w:val="24"/>
                <w:szCs w:val="24"/>
              </w:rPr>
              <w:t xml:space="preserve"> which must be satisfied for a successful opposition to a claim for summary judgment was stated as follows in the </w:t>
            </w:r>
            <w:r w:rsidRPr="005F51E4">
              <w:rPr>
                <w:rFonts w:ascii="Arial" w:hAnsi="Arial" w:cs="Arial"/>
                <w:i/>
                <w:sz w:val="24"/>
                <w:szCs w:val="24"/>
              </w:rPr>
              <w:t xml:space="preserve">locus </w:t>
            </w:r>
            <w:proofErr w:type="spellStart"/>
            <w:r w:rsidRPr="005F51E4">
              <w:rPr>
                <w:rFonts w:ascii="Arial" w:hAnsi="Arial" w:cs="Arial"/>
                <w:i/>
                <w:sz w:val="24"/>
                <w:szCs w:val="24"/>
              </w:rPr>
              <w:t>classicus</w:t>
            </w:r>
            <w:proofErr w:type="spellEnd"/>
            <w:r w:rsidR="00C51C1B">
              <w:rPr>
                <w:rFonts w:ascii="Arial" w:hAnsi="Arial" w:cs="Arial"/>
                <w:i/>
                <w:sz w:val="24"/>
                <w:szCs w:val="24"/>
              </w:rPr>
              <w:t>,</w:t>
            </w:r>
            <w:r w:rsidRPr="005F51E4">
              <w:rPr>
                <w:rFonts w:ascii="Arial" w:hAnsi="Arial" w:cs="Arial"/>
                <w:sz w:val="24"/>
                <w:szCs w:val="24"/>
              </w:rPr>
              <w:t xml:space="preserve"> </w:t>
            </w:r>
            <w:proofErr w:type="spellStart"/>
            <w:r w:rsidRPr="005F51E4">
              <w:rPr>
                <w:rFonts w:ascii="Arial" w:hAnsi="Arial" w:cs="Arial"/>
                <w:i/>
                <w:sz w:val="24"/>
                <w:szCs w:val="24"/>
              </w:rPr>
              <w:t>Mahar</w:t>
            </w:r>
            <w:r w:rsidR="00E035DB">
              <w:rPr>
                <w:rFonts w:ascii="Arial" w:hAnsi="Arial" w:cs="Arial"/>
                <w:i/>
                <w:sz w:val="24"/>
                <w:szCs w:val="24"/>
              </w:rPr>
              <w:t>aj</w:t>
            </w:r>
            <w:proofErr w:type="spellEnd"/>
            <w:r w:rsidR="00E035DB">
              <w:rPr>
                <w:rFonts w:ascii="Arial" w:hAnsi="Arial" w:cs="Arial"/>
                <w:i/>
                <w:sz w:val="24"/>
                <w:szCs w:val="24"/>
              </w:rPr>
              <w:t xml:space="preserve"> v Barclays National Bank Ltd</w:t>
            </w:r>
            <w:r>
              <w:rPr>
                <w:rStyle w:val="FootnoteReference"/>
                <w:rFonts w:ascii="Arial" w:hAnsi="Arial" w:cs="Arial"/>
                <w:i/>
                <w:sz w:val="24"/>
                <w:szCs w:val="24"/>
              </w:rPr>
              <w:footnoteReference w:id="1"/>
            </w:r>
            <w:r w:rsidR="00E035DB">
              <w:rPr>
                <w:rFonts w:ascii="Arial" w:hAnsi="Arial" w:cs="Arial"/>
                <w:i/>
                <w:sz w:val="24"/>
                <w:szCs w:val="24"/>
              </w:rPr>
              <w:t xml:space="preserve"> </w:t>
            </w:r>
            <w:r w:rsidRPr="005F51E4">
              <w:rPr>
                <w:rFonts w:ascii="Arial" w:hAnsi="Arial" w:cs="Arial"/>
                <w:sz w:val="24"/>
                <w:szCs w:val="24"/>
              </w:rPr>
              <w:t xml:space="preserve">by Corbett JA with regard to the previous rule 32, dealing with summary </w:t>
            </w:r>
            <w:r w:rsidR="00E035DB">
              <w:rPr>
                <w:rFonts w:ascii="Arial" w:hAnsi="Arial" w:cs="Arial"/>
                <w:sz w:val="24"/>
                <w:szCs w:val="24"/>
              </w:rPr>
              <w:t>judg</w:t>
            </w:r>
            <w:r w:rsidRPr="005F51E4">
              <w:rPr>
                <w:rFonts w:ascii="Arial" w:hAnsi="Arial" w:cs="Arial"/>
                <w:sz w:val="24"/>
                <w:szCs w:val="24"/>
              </w:rPr>
              <w:t>ment applications</w:t>
            </w:r>
            <w:r w:rsidRPr="005F51E4">
              <w:rPr>
                <w:rFonts w:ascii="Arial" w:hAnsi="Arial" w:cs="Arial"/>
                <w:b/>
                <w:sz w:val="24"/>
                <w:szCs w:val="24"/>
              </w:rPr>
              <w:t>:</w:t>
            </w:r>
          </w:p>
          <w:p w:rsidR="002C0C81" w:rsidRPr="001A751D" w:rsidRDefault="002C0C81" w:rsidP="002C0C81">
            <w:pPr>
              <w:spacing w:after="0" w:line="360" w:lineRule="auto"/>
              <w:jc w:val="both"/>
              <w:rPr>
                <w:rFonts w:ascii="Arial" w:hAnsi="Arial" w:cs="Arial"/>
                <w:sz w:val="24"/>
                <w:szCs w:val="24"/>
              </w:rPr>
            </w:pPr>
          </w:p>
          <w:p w:rsidR="002C0C81" w:rsidRPr="001A751D" w:rsidRDefault="002C0C81" w:rsidP="002C0C81">
            <w:pPr>
              <w:spacing w:after="0" w:line="360" w:lineRule="auto"/>
              <w:jc w:val="both"/>
              <w:rPr>
                <w:rFonts w:ascii="Arial" w:hAnsi="Arial" w:cs="Arial"/>
              </w:rPr>
            </w:pPr>
            <w:r>
              <w:rPr>
                <w:rFonts w:ascii="Arial" w:hAnsi="Arial" w:cs="Arial"/>
                <w:sz w:val="24"/>
                <w:szCs w:val="24"/>
              </w:rPr>
              <w:tab/>
            </w:r>
            <w:r w:rsidR="00C51C1B">
              <w:rPr>
                <w:rFonts w:ascii="Arial" w:hAnsi="Arial" w:cs="Arial"/>
              </w:rPr>
              <w:t>'</w:t>
            </w:r>
            <w:r w:rsidRPr="001A751D">
              <w:rPr>
                <w:rFonts w:ascii="Arial" w:hAnsi="Arial" w:cs="Arial"/>
              </w:rPr>
              <w:t xml:space="preserve">Accordingly, one of the ways in which the respondent may successfully oppose a claim for summary judgment is by satisfying the Court by affidavit that he has a </w:t>
            </w:r>
            <w:r w:rsidRPr="001A751D">
              <w:rPr>
                <w:rFonts w:ascii="Arial" w:hAnsi="Arial" w:cs="Arial"/>
                <w:i/>
              </w:rPr>
              <w:t>bona fide</w:t>
            </w:r>
            <w:r w:rsidRPr="001A751D">
              <w:rPr>
                <w:rFonts w:ascii="Arial" w:hAnsi="Arial" w:cs="Arial"/>
              </w:rPr>
              <w:t xml:space="preserve"> defence to the claim. Where the defence is based upon facts, in the sense that material facts alleged by the applicants in his summons, or combined summons, are disputed or new facts are alleged constituting a defence, the Court does not attempt to decide these issues or to determine whether or not there is a balance of probabilities in </w:t>
            </w:r>
            <w:proofErr w:type="spellStart"/>
            <w:r w:rsidRPr="001A751D">
              <w:rPr>
                <w:rFonts w:ascii="Arial" w:hAnsi="Arial" w:cs="Arial"/>
              </w:rPr>
              <w:t>favour</w:t>
            </w:r>
            <w:proofErr w:type="spellEnd"/>
            <w:r w:rsidRPr="001A751D">
              <w:rPr>
                <w:rFonts w:ascii="Arial" w:hAnsi="Arial" w:cs="Arial"/>
              </w:rPr>
              <w:t xml:space="preserve"> of the one party or the other. </w:t>
            </w:r>
          </w:p>
          <w:p w:rsidR="002C0C81" w:rsidRPr="001A751D" w:rsidRDefault="002C0C81" w:rsidP="002C0C81">
            <w:pPr>
              <w:spacing w:after="0" w:line="360" w:lineRule="auto"/>
              <w:jc w:val="both"/>
              <w:rPr>
                <w:rFonts w:ascii="Arial" w:hAnsi="Arial" w:cs="Arial"/>
              </w:rPr>
            </w:pPr>
          </w:p>
          <w:p w:rsidR="002C0C81" w:rsidRPr="001A751D" w:rsidRDefault="002C0C81" w:rsidP="002C0C81">
            <w:pPr>
              <w:spacing w:after="0" w:line="360" w:lineRule="auto"/>
              <w:jc w:val="both"/>
              <w:rPr>
                <w:rFonts w:ascii="Arial" w:hAnsi="Arial" w:cs="Arial"/>
              </w:rPr>
            </w:pPr>
            <w:r w:rsidRPr="001A751D">
              <w:rPr>
                <w:rFonts w:ascii="Arial" w:hAnsi="Arial" w:cs="Arial"/>
              </w:rPr>
              <w:t xml:space="preserve">All that the Court enquires into is: </w:t>
            </w:r>
          </w:p>
          <w:p w:rsidR="002C0C81" w:rsidRPr="001A751D" w:rsidRDefault="002C0C81" w:rsidP="002C0C81">
            <w:pPr>
              <w:spacing w:after="0" w:line="360" w:lineRule="auto"/>
              <w:jc w:val="both"/>
              <w:rPr>
                <w:rFonts w:ascii="Arial" w:hAnsi="Arial" w:cs="Arial"/>
              </w:rPr>
            </w:pPr>
          </w:p>
          <w:p w:rsidR="002C0C81" w:rsidRPr="001A751D" w:rsidRDefault="002C0C81" w:rsidP="002C0C81">
            <w:pPr>
              <w:spacing w:after="0" w:line="360" w:lineRule="auto"/>
              <w:jc w:val="both"/>
              <w:rPr>
                <w:rFonts w:ascii="Arial" w:hAnsi="Arial" w:cs="Arial"/>
              </w:rPr>
            </w:pPr>
            <w:r w:rsidRPr="001A751D">
              <w:rPr>
                <w:rFonts w:ascii="Arial" w:hAnsi="Arial" w:cs="Arial"/>
              </w:rPr>
              <w:t xml:space="preserve">(a) whether the respondent has fully disclosed the nature and the grounds of his defence and the material facts upon which it is founded, and </w:t>
            </w:r>
          </w:p>
          <w:p w:rsidR="002C0C81" w:rsidRPr="001A751D" w:rsidRDefault="002C0C81" w:rsidP="002C0C81">
            <w:pPr>
              <w:spacing w:after="0" w:line="360" w:lineRule="auto"/>
              <w:jc w:val="both"/>
              <w:rPr>
                <w:rFonts w:ascii="Arial" w:hAnsi="Arial" w:cs="Arial"/>
              </w:rPr>
            </w:pPr>
          </w:p>
          <w:p w:rsidR="002C0C81" w:rsidRPr="001A751D" w:rsidRDefault="002C0C81" w:rsidP="002C0C81">
            <w:pPr>
              <w:spacing w:after="0" w:line="360" w:lineRule="auto"/>
              <w:jc w:val="both"/>
              <w:rPr>
                <w:rFonts w:ascii="Arial" w:hAnsi="Arial" w:cs="Arial"/>
              </w:rPr>
            </w:pPr>
            <w:r w:rsidRPr="001A751D">
              <w:rPr>
                <w:rFonts w:ascii="Arial" w:hAnsi="Arial" w:cs="Arial"/>
              </w:rPr>
              <w:t xml:space="preserve">(b) </w:t>
            </w:r>
            <w:proofErr w:type="gramStart"/>
            <w:r w:rsidRPr="001A751D">
              <w:rPr>
                <w:rFonts w:ascii="Arial" w:hAnsi="Arial" w:cs="Arial"/>
              </w:rPr>
              <w:t>whether</w:t>
            </w:r>
            <w:proofErr w:type="gramEnd"/>
            <w:r w:rsidRPr="001A751D">
              <w:rPr>
                <w:rFonts w:ascii="Arial" w:hAnsi="Arial" w:cs="Arial"/>
              </w:rPr>
              <w:t xml:space="preserve"> on the facts so disclosed the respondent appears to have, as to either the whole or part of the claim, a defence which is </w:t>
            </w:r>
            <w:r w:rsidRPr="001A751D">
              <w:rPr>
                <w:rFonts w:ascii="Arial" w:hAnsi="Arial" w:cs="Arial"/>
                <w:i/>
                <w:u w:val="single"/>
              </w:rPr>
              <w:t>bona fide</w:t>
            </w:r>
            <w:r w:rsidRPr="001A751D">
              <w:rPr>
                <w:rFonts w:ascii="Arial" w:hAnsi="Arial" w:cs="Arial"/>
                <w:u w:val="single"/>
              </w:rPr>
              <w:t xml:space="preserve"> and good in law</w:t>
            </w:r>
            <w:r w:rsidRPr="001A751D">
              <w:rPr>
                <w:rFonts w:ascii="Arial" w:hAnsi="Arial" w:cs="Arial"/>
              </w:rPr>
              <w:t xml:space="preserve">. </w:t>
            </w:r>
          </w:p>
          <w:p w:rsidR="002C0C81" w:rsidRPr="001A751D" w:rsidRDefault="002C0C81" w:rsidP="002C0C81">
            <w:pPr>
              <w:spacing w:after="0" w:line="360" w:lineRule="auto"/>
              <w:jc w:val="both"/>
              <w:rPr>
                <w:rFonts w:ascii="Arial" w:hAnsi="Arial" w:cs="Arial"/>
              </w:rPr>
            </w:pPr>
          </w:p>
          <w:p w:rsidR="002C0C81" w:rsidRPr="001A751D" w:rsidRDefault="002C0C81" w:rsidP="002C0C81">
            <w:pPr>
              <w:spacing w:after="0" w:line="360" w:lineRule="auto"/>
              <w:jc w:val="both"/>
              <w:rPr>
                <w:rFonts w:ascii="Arial" w:hAnsi="Arial" w:cs="Arial"/>
              </w:rPr>
            </w:pPr>
            <w:r w:rsidRPr="001A751D">
              <w:rPr>
                <w:rFonts w:ascii="Arial" w:hAnsi="Arial" w:cs="Arial"/>
              </w:rPr>
              <w:t>If satisfied on these matters the Court must refuse summary judgment, either wholly or in part, as the case may be. The word fully, as used in the context of the Rule (and its predecessors), has been the cause of some judicial controversy in the past. It connotes, in my view, that, while the respondent need not deal exhaustively with the facts and the evidence relied upon to substantiate them, he must at least disclose his defence and the material facts upon which it is based with sufficient particularity and completeness to enable the Court to decide whether the affidavit  discloses a bona fide defence.‘</w:t>
            </w:r>
          </w:p>
          <w:p w:rsidR="002C0C81" w:rsidRPr="001A751D" w:rsidRDefault="002C0C81" w:rsidP="002C0C81">
            <w:pPr>
              <w:spacing w:after="0" w:line="360" w:lineRule="auto"/>
              <w:jc w:val="both"/>
              <w:rPr>
                <w:rFonts w:ascii="Arial" w:hAnsi="Arial" w:cs="Arial"/>
              </w:rPr>
            </w:pPr>
          </w:p>
          <w:p w:rsidR="002C0C81" w:rsidRPr="001A751D" w:rsidRDefault="00E035DB" w:rsidP="002C0C81">
            <w:pPr>
              <w:spacing w:after="0" w:line="360" w:lineRule="auto"/>
              <w:jc w:val="both"/>
              <w:rPr>
                <w:rFonts w:ascii="Arial" w:hAnsi="Arial" w:cs="Arial"/>
                <w:sz w:val="24"/>
                <w:szCs w:val="24"/>
              </w:rPr>
            </w:pPr>
            <w:r>
              <w:rPr>
                <w:rFonts w:ascii="Arial" w:hAnsi="Arial" w:cs="Arial"/>
                <w:sz w:val="24"/>
                <w:szCs w:val="24"/>
              </w:rPr>
              <w:lastRenderedPageBreak/>
              <w:t>[</w:t>
            </w:r>
            <w:r w:rsidR="002C0C81" w:rsidRPr="001A751D">
              <w:rPr>
                <w:rFonts w:ascii="Arial" w:hAnsi="Arial" w:cs="Arial"/>
                <w:sz w:val="24"/>
                <w:szCs w:val="24"/>
              </w:rPr>
              <w:t>7]</w:t>
            </w:r>
            <w:r w:rsidR="002C0C81" w:rsidRPr="001A751D">
              <w:rPr>
                <w:rFonts w:ascii="Arial" w:hAnsi="Arial" w:cs="Arial"/>
                <w:sz w:val="24"/>
                <w:szCs w:val="24"/>
              </w:rPr>
              <w:tab/>
              <w:t xml:space="preserve">In general, the approach of the court is as set out by Justice </w:t>
            </w:r>
            <w:proofErr w:type="spellStart"/>
            <w:r w:rsidR="002C0C81" w:rsidRPr="001A751D">
              <w:rPr>
                <w:rFonts w:ascii="Arial" w:hAnsi="Arial" w:cs="Arial"/>
                <w:sz w:val="24"/>
                <w:szCs w:val="24"/>
              </w:rPr>
              <w:t>Cheda</w:t>
            </w:r>
            <w:proofErr w:type="spellEnd"/>
            <w:r w:rsidR="002C0C81" w:rsidRPr="001A751D">
              <w:rPr>
                <w:rFonts w:ascii="Arial" w:hAnsi="Arial" w:cs="Arial"/>
                <w:sz w:val="24"/>
                <w:szCs w:val="24"/>
              </w:rPr>
              <w:t xml:space="preserve"> in </w:t>
            </w:r>
            <w:r w:rsidR="002C0C81" w:rsidRPr="001A751D">
              <w:rPr>
                <w:rFonts w:ascii="Arial" w:hAnsi="Arial" w:cs="Arial"/>
                <w:i/>
                <w:sz w:val="24"/>
                <w:szCs w:val="24"/>
              </w:rPr>
              <w:t xml:space="preserve">Lofty-Eaton v Ramos </w:t>
            </w:r>
            <w:r w:rsidR="002C0C81" w:rsidRPr="001A751D">
              <w:rPr>
                <w:rFonts w:ascii="Arial" w:hAnsi="Arial" w:cs="Arial"/>
                <w:sz w:val="24"/>
                <w:szCs w:val="24"/>
              </w:rPr>
              <w:t>as follows:</w:t>
            </w:r>
            <w:r w:rsidR="002C0C81" w:rsidRPr="001A751D">
              <w:rPr>
                <w:rFonts w:ascii="Arial" w:hAnsi="Arial" w:cs="Arial"/>
                <w:sz w:val="24"/>
                <w:szCs w:val="24"/>
                <w:vertAlign w:val="superscript"/>
              </w:rPr>
              <w:footnoteReference w:id="2"/>
            </w:r>
          </w:p>
          <w:p w:rsidR="002C0C81" w:rsidRPr="001A751D" w:rsidRDefault="002C0C81" w:rsidP="002C0C81">
            <w:pPr>
              <w:spacing w:after="0" w:line="360" w:lineRule="auto"/>
              <w:jc w:val="both"/>
              <w:rPr>
                <w:rFonts w:ascii="Arial" w:hAnsi="Arial" w:cs="Arial"/>
                <w:sz w:val="24"/>
                <w:szCs w:val="24"/>
              </w:rPr>
            </w:pPr>
          </w:p>
          <w:p w:rsidR="002C0C81" w:rsidRPr="001A751D" w:rsidRDefault="002C0C81" w:rsidP="002C0C81">
            <w:pPr>
              <w:spacing w:after="0" w:line="360" w:lineRule="auto"/>
              <w:jc w:val="both"/>
              <w:rPr>
                <w:rFonts w:ascii="Arial" w:hAnsi="Arial" w:cs="Arial"/>
              </w:rPr>
            </w:pPr>
            <w:r>
              <w:rPr>
                <w:rFonts w:ascii="Arial" w:hAnsi="Arial" w:cs="Arial"/>
                <w:sz w:val="24"/>
                <w:szCs w:val="24"/>
              </w:rPr>
              <w:tab/>
            </w:r>
            <w:r w:rsidRPr="001A751D">
              <w:rPr>
                <w:rFonts w:ascii="Arial" w:hAnsi="Arial" w:cs="Arial"/>
                <w:sz w:val="24"/>
                <w:szCs w:val="24"/>
              </w:rPr>
              <w:t>‘</w:t>
            </w:r>
            <w:r w:rsidRPr="001A751D">
              <w:rPr>
                <w:rFonts w:ascii="Arial" w:hAnsi="Arial" w:cs="Arial"/>
              </w:rPr>
              <w:t xml:space="preserve">The general approach of these courts in applications of this nature is that </w:t>
            </w:r>
            <w:proofErr w:type="spellStart"/>
            <w:r w:rsidRPr="001A751D">
              <w:rPr>
                <w:rFonts w:ascii="Arial" w:hAnsi="Arial" w:cs="Arial"/>
              </w:rPr>
              <w:t>cognisance</w:t>
            </w:r>
            <w:proofErr w:type="spellEnd"/>
            <w:r w:rsidRPr="001A751D">
              <w:rPr>
                <w:rFonts w:ascii="Arial" w:hAnsi="Arial" w:cs="Arial"/>
              </w:rPr>
              <w:t xml:space="preserve"> is taken into account that a summary judgment is an independent, distinctive and a speedy debt collecting mechanism utilized by creditors. It is a tool to use by an </w:t>
            </w:r>
            <w:proofErr w:type="spellStart"/>
            <w:r w:rsidRPr="001A751D">
              <w:rPr>
                <w:rFonts w:ascii="Arial" w:hAnsi="Arial" w:cs="Arial"/>
              </w:rPr>
              <w:t>applicants</w:t>
            </w:r>
            <w:proofErr w:type="spellEnd"/>
            <w:r w:rsidRPr="001A751D">
              <w:rPr>
                <w:rFonts w:ascii="Arial" w:hAnsi="Arial" w:cs="Arial"/>
              </w:rPr>
              <w:t xml:space="preserve"> where a respondent raises some lame excuse or defence in order to defend a clear claim. These courts, have, therefore, been using this method to justly grant an order to a desperate applicant who without doing so, will continue to endure the frustration mounted by an unscrupulous respondent (s) on the basis of some imagined defence. As remedy available to applicants is an extra-ordinary one and is indeed stringent to the respondent, it should only be availed to a party who has a watertight case and that there is absolutely no chance of respondent/respondent answering it, see </w:t>
            </w:r>
            <w:r w:rsidRPr="001A751D">
              <w:rPr>
                <w:rFonts w:ascii="Arial" w:hAnsi="Arial" w:cs="Arial"/>
                <w:i/>
              </w:rPr>
              <w:t xml:space="preserve">Standard Bank of Namibia Ltd v </w:t>
            </w:r>
            <w:proofErr w:type="spellStart"/>
            <w:r w:rsidRPr="001A751D">
              <w:rPr>
                <w:rFonts w:ascii="Arial" w:hAnsi="Arial" w:cs="Arial"/>
                <w:i/>
              </w:rPr>
              <w:t>Veldsman</w:t>
            </w:r>
            <w:proofErr w:type="spellEnd"/>
            <w:r w:rsidRPr="001A751D">
              <w:rPr>
                <w:rFonts w:ascii="Arial" w:hAnsi="Arial" w:cs="Arial"/>
              </w:rPr>
              <w:t>.</w:t>
            </w:r>
            <w:r w:rsidRPr="001A751D">
              <w:rPr>
                <w:rFonts w:ascii="Arial" w:hAnsi="Arial" w:cs="Arial"/>
                <w:vertAlign w:val="superscript"/>
              </w:rPr>
              <w:footnoteReference w:id="3"/>
            </w:r>
            <w:r w:rsidRPr="001A751D">
              <w:rPr>
                <w:rFonts w:ascii="Arial" w:hAnsi="Arial" w:cs="Arial"/>
              </w:rPr>
              <w:t xml:space="preserve"> Rule 32 specifically deals with the said applications. Summary Judgment is therefore a simple, but, effective method of disposing of suitable cases without high costs and long delays of trial actions, see </w:t>
            </w:r>
            <w:proofErr w:type="spellStart"/>
            <w:r w:rsidRPr="001A751D">
              <w:rPr>
                <w:rFonts w:ascii="Arial" w:hAnsi="Arial" w:cs="Arial"/>
                <w:i/>
              </w:rPr>
              <w:t>Caston</w:t>
            </w:r>
            <w:proofErr w:type="spellEnd"/>
            <w:r w:rsidRPr="001A751D">
              <w:rPr>
                <w:rFonts w:ascii="Arial" w:hAnsi="Arial" w:cs="Arial"/>
                <w:i/>
              </w:rPr>
              <w:t xml:space="preserve"> Ltd v </w:t>
            </w:r>
            <w:proofErr w:type="spellStart"/>
            <w:r w:rsidRPr="001A751D">
              <w:rPr>
                <w:rFonts w:ascii="Arial" w:hAnsi="Arial" w:cs="Arial"/>
                <w:i/>
              </w:rPr>
              <w:t>Barrigo</w:t>
            </w:r>
            <w:proofErr w:type="spellEnd"/>
            <w:r w:rsidRPr="001A751D">
              <w:rPr>
                <w:rFonts w:ascii="Arial" w:hAnsi="Arial" w:cs="Arial"/>
              </w:rPr>
              <w:t>.</w:t>
            </w:r>
            <w:r w:rsidRPr="001A751D">
              <w:rPr>
                <w:rFonts w:ascii="Arial" w:hAnsi="Arial" w:cs="Arial"/>
                <w:vertAlign w:val="superscript"/>
              </w:rPr>
              <w:footnoteReference w:id="4"/>
            </w:r>
            <w:r w:rsidRPr="001A751D">
              <w:rPr>
                <w:rFonts w:ascii="Arial" w:hAnsi="Arial" w:cs="Arial"/>
              </w:rPr>
              <w:t xml:space="preserve"> In that case, Roberts, AJ went further and </w:t>
            </w:r>
            <w:proofErr w:type="spellStart"/>
            <w:r w:rsidRPr="001A751D">
              <w:rPr>
                <w:rFonts w:ascii="Arial" w:hAnsi="Arial" w:cs="Arial"/>
              </w:rPr>
              <w:t>crystalised</w:t>
            </w:r>
            <w:proofErr w:type="spellEnd"/>
            <w:r w:rsidRPr="001A751D">
              <w:rPr>
                <w:rFonts w:ascii="Arial" w:hAnsi="Arial" w:cs="Arial"/>
              </w:rPr>
              <w:t xml:space="preserve"> the principle as follows:</w:t>
            </w:r>
          </w:p>
          <w:p w:rsidR="002C0C81" w:rsidRPr="001A751D" w:rsidRDefault="002C0C81" w:rsidP="002C0C81">
            <w:pPr>
              <w:spacing w:after="0" w:line="360" w:lineRule="auto"/>
              <w:jc w:val="both"/>
              <w:rPr>
                <w:rFonts w:ascii="Arial" w:hAnsi="Arial" w:cs="Arial"/>
              </w:rPr>
            </w:pPr>
          </w:p>
          <w:p w:rsidR="002C0C81" w:rsidRPr="001A751D" w:rsidRDefault="002C0C81" w:rsidP="002C0C81">
            <w:pPr>
              <w:spacing w:after="0" w:line="360" w:lineRule="auto"/>
              <w:jc w:val="both"/>
              <w:rPr>
                <w:rFonts w:ascii="Arial" w:hAnsi="Arial" w:cs="Arial"/>
              </w:rPr>
            </w:pPr>
            <w:r w:rsidRPr="001A751D">
              <w:rPr>
                <w:rFonts w:ascii="Arial" w:hAnsi="Arial" w:cs="Arial"/>
                <w:i/>
              </w:rPr>
              <w:t>“</w:t>
            </w:r>
            <w:proofErr w:type="gramStart"/>
            <w:r w:rsidRPr="001A751D">
              <w:rPr>
                <w:rFonts w:ascii="Arial" w:hAnsi="Arial" w:cs="Arial"/>
              </w:rPr>
              <w:t>it</w:t>
            </w:r>
            <w:proofErr w:type="gramEnd"/>
            <w:r w:rsidRPr="001A751D">
              <w:rPr>
                <w:rFonts w:ascii="Arial" w:hAnsi="Arial" w:cs="Arial"/>
              </w:rPr>
              <w:t xml:space="preserve"> is confined to claims in respect of which it is alleged and appears to the court that the respondent has no bona fide defence, and that appearance has been entered solely for the purpose of delay.”</w:t>
            </w:r>
          </w:p>
          <w:p w:rsidR="002C0C81" w:rsidRDefault="002C0C81" w:rsidP="002C0C81">
            <w:pPr>
              <w:spacing w:after="0" w:line="360" w:lineRule="auto"/>
              <w:jc w:val="both"/>
              <w:rPr>
                <w:rFonts w:ascii="Arial" w:hAnsi="Arial" w:cs="Arial"/>
              </w:rPr>
            </w:pPr>
          </w:p>
          <w:p w:rsidR="002C0C81" w:rsidRDefault="002C0C81" w:rsidP="002C0C81">
            <w:pPr>
              <w:spacing w:after="0" w:line="360" w:lineRule="auto"/>
              <w:jc w:val="both"/>
              <w:rPr>
                <w:rFonts w:ascii="Arial" w:hAnsi="Arial" w:cs="Arial"/>
                <w:sz w:val="24"/>
                <w:szCs w:val="24"/>
                <w:u w:val="single"/>
              </w:rPr>
            </w:pPr>
            <w:r w:rsidRPr="001A751D">
              <w:rPr>
                <w:rFonts w:ascii="Arial" w:hAnsi="Arial" w:cs="Arial"/>
                <w:sz w:val="24"/>
                <w:szCs w:val="24"/>
                <w:u w:val="single"/>
              </w:rPr>
              <w:t>D</w:t>
            </w:r>
            <w:r>
              <w:rPr>
                <w:rFonts w:ascii="Arial" w:hAnsi="Arial" w:cs="Arial"/>
                <w:sz w:val="24"/>
                <w:szCs w:val="24"/>
                <w:u w:val="single"/>
              </w:rPr>
              <w:t>iscussion</w:t>
            </w:r>
          </w:p>
          <w:p w:rsidR="002C0C81" w:rsidRPr="001A751D" w:rsidRDefault="002C0C81" w:rsidP="002C0C81">
            <w:pPr>
              <w:spacing w:after="0" w:line="360" w:lineRule="auto"/>
              <w:jc w:val="both"/>
              <w:rPr>
                <w:rFonts w:ascii="Arial" w:hAnsi="Arial" w:cs="Arial"/>
                <w:sz w:val="24"/>
                <w:szCs w:val="24"/>
                <w:u w:val="single"/>
              </w:rPr>
            </w:pPr>
          </w:p>
          <w:p w:rsidR="00BD34C2" w:rsidRDefault="002C0C81" w:rsidP="002C0C81">
            <w:pPr>
              <w:pStyle w:val="ListParagraph"/>
              <w:numPr>
                <w:ilvl w:val="0"/>
                <w:numId w:val="47"/>
              </w:numPr>
              <w:spacing w:after="0" w:line="360" w:lineRule="auto"/>
              <w:ind w:left="0" w:firstLine="0"/>
              <w:jc w:val="both"/>
              <w:rPr>
                <w:rFonts w:ascii="Arial" w:hAnsi="Arial" w:cs="Arial"/>
                <w:sz w:val="24"/>
                <w:szCs w:val="24"/>
              </w:rPr>
            </w:pPr>
            <w:r w:rsidRPr="005F51E4">
              <w:rPr>
                <w:rFonts w:ascii="Arial" w:hAnsi="Arial" w:cs="Arial"/>
                <w:sz w:val="24"/>
                <w:szCs w:val="24"/>
              </w:rPr>
              <w:t>The defendant’s defence which she seeks to advance in resisting summary judgment is not bona fide. The defen</w:t>
            </w:r>
            <w:r w:rsidR="00160D1E">
              <w:rPr>
                <w:rFonts w:ascii="Arial" w:hAnsi="Arial" w:cs="Arial"/>
                <w:sz w:val="24"/>
                <w:szCs w:val="24"/>
              </w:rPr>
              <w:t>dant fails to disclose to this c</w:t>
            </w:r>
            <w:r w:rsidRPr="005F51E4">
              <w:rPr>
                <w:rFonts w:ascii="Arial" w:hAnsi="Arial" w:cs="Arial"/>
                <w:sz w:val="24"/>
                <w:szCs w:val="24"/>
              </w:rPr>
              <w:t xml:space="preserve">ourt that the arbitration has been finally disposed of in </w:t>
            </w:r>
            <w:proofErr w:type="spellStart"/>
            <w:r w:rsidRPr="005F51E4">
              <w:rPr>
                <w:rFonts w:ascii="Arial" w:hAnsi="Arial" w:cs="Arial"/>
                <w:sz w:val="24"/>
                <w:szCs w:val="24"/>
              </w:rPr>
              <w:t>favour</w:t>
            </w:r>
            <w:proofErr w:type="spellEnd"/>
            <w:r w:rsidRPr="005F51E4">
              <w:rPr>
                <w:rFonts w:ascii="Arial" w:hAnsi="Arial" w:cs="Arial"/>
                <w:sz w:val="24"/>
                <w:szCs w:val="24"/>
              </w:rPr>
              <w:t xml:space="preserve"> of</w:t>
            </w:r>
            <w:r w:rsidR="00160D1E">
              <w:rPr>
                <w:rFonts w:ascii="Arial" w:hAnsi="Arial" w:cs="Arial"/>
                <w:sz w:val="24"/>
                <w:szCs w:val="24"/>
              </w:rPr>
              <w:t xml:space="preserve"> the plaintiff</w:t>
            </w:r>
            <w:r w:rsidRPr="005F51E4">
              <w:rPr>
                <w:rFonts w:ascii="Arial" w:hAnsi="Arial" w:cs="Arial"/>
                <w:sz w:val="24"/>
                <w:szCs w:val="24"/>
              </w:rPr>
              <w:t xml:space="preserve">. No appeal currently lies against that award, although it is seemingly still the intention of the defendant to appeal the award by the </w:t>
            </w:r>
            <w:proofErr w:type="spellStart"/>
            <w:r w:rsidRPr="005F51E4">
              <w:rPr>
                <w:rFonts w:ascii="Arial" w:hAnsi="Arial" w:cs="Arial"/>
                <w:sz w:val="24"/>
                <w:szCs w:val="24"/>
              </w:rPr>
              <w:t>Labour</w:t>
            </w:r>
            <w:proofErr w:type="spellEnd"/>
            <w:r w:rsidRPr="005F51E4">
              <w:rPr>
                <w:rFonts w:ascii="Arial" w:hAnsi="Arial" w:cs="Arial"/>
                <w:sz w:val="24"/>
                <w:szCs w:val="24"/>
              </w:rPr>
              <w:t xml:space="preserve"> Commissioner.  No documents towards this appeal was filed</w:t>
            </w:r>
            <w:r w:rsidR="00160D1E">
              <w:rPr>
                <w:rFonts w:ascii="Arial" w:hAnsi="Arial" w:cs="Arial"/>
                <w:sz w:val="24"/>
                <w:szCs w:val="24"/>
              </w:rPr>
              <w:t>,</w:t>
            </w:r>
            <w:r w:rsidRPr="005F51E4">
              <w:rPr>
                <w:rFonts w:ascii="Arial" w:hAnsi="Arial" w:cs="Arial"/>
                <w:sz w:val="24"/>
                <w:szCs w:val="24"/>
              </w:rPr>
              <w:t xml:space="preserve"> although her legal representative for the said matter indicate</w:t>
            </w:r>
            <w:r w:rsidR="00C51C1B">
              <w:rPr>
                <w:rFonts w:ascii="Arial" w:hAnsi="Arial" w:cs="Arial"/>
                <w:sz w:val="24"/>
                <w:szCs w:val="24"/>
              </w:rPr>
              <w:t>s</w:t>
            </w:r>
            <w:r w:rsidRPr="005F51E4">
              <w:rPr>
                <w:rFonts w:ascii="Arial" w:hAnsi="Arial" w:cs="Arial"/>
                <w:sz w:val="24"/>
                <w:szCs w:val="24"/>
              </w:rPr>
              <w:t xml:space="preserve"> in a letter that it would have been f</w:t>
            </w:r>
            <w:r w:rsidR="00CF5BB4">
              <w:rPr>
                <w:rFonts w:ascii="Arial" w:hAnsi="Arial" w:cs="Arial"/>
                <w:sz w:val="24"/>
                <w:szCs w:val="24"/>
              </w:rPr>
              <w:t xml:space="preserve">iled already.  It is </w:t>
            </w:r>
            <w:bookmarkStart w:id="0" w:name="_GoBack"/>
            <w:r w:rsidR="00CF5BB4" w:rsidRPr="00443BD7">
              <w:rPr>
                <w:rFonts w:ascii="Arial" w:hAnsi="Arial" w:cs="Arial"/>
                <w:sz w:val="24"/>
                <w:szCs w:val="24"/>
              </w:rPr>
              <w:t xml:space="preserve">true that one </w:t>
            </w:r>
            <w:bookmarkEnd w:id="0"/>
            <w:r w:rsidR="00CF5BB4">
              <w:rPr>
                <w:rFonts w:ascii="Arial" w:hAnsi="Arial" w:cs="Arial"/>
                <w:sz w:val="24"/>
                <w:szCs w:val="24"/>
              </w:rPr>
              <w:t>c</w:t>
            </w:r>
            <w:r w:rsidRPr="005F51E4">
              <w:rPr>
                <w:rFonts w:ascii="Arial" w:hAnsi="Arial" w:cs="Arial"/>
                <w:sz w:val="24"/>
                <w:szCs w:val="24"/>
              </w:rPr>
              <w:t xml:space="preserve">an rely on an unliquidated counterclaim to avoid summary judgment, no counterclaim is currently pending against the plaintiff and the award by the </w:t>
            </w:r>
            <w:proofErr w:type="spellStart"/>
            <w:r w:rsidRPr="005F51E4">
              <w:rPr>
                <w:rFonts w:ascii="Arial" w:hAnsi="Arial" w:cs="Arial"/>
                <w:sz w:val="24"/>
                <w:szCs w:val="24"/>
              </w:rPr>
              <w:t>Labour</w:t>
            </w:r>
            <w:proofErr w:type="spellEnd"/>
            <w:r w:rsidRPr="005F51E4">
              <w:rPr>
                <w:rFonts w:ascii="Arial" w:hAnsi="Arial" w:cs="Arial"/>
                <w:sz w:val="24"/>
                <w:szCs w:val="24"/>
              </w:rPr>
              <w:t xml:space="preserve"> Commissioner in </w:t>
            </w:r>
            <w:proofErr w:type="spellStart"/>
            <w:r w:rsidRPr="005F51E4">
              <w:rPr>
                <w:rFonts w:ascii="Arial" w:hAnsi="Arial" w:cs="Arial"/>
                <w:sz w:val="24"/>
                <w:szCs w:val="24"/>
              </w:rPr>
              <w:t>favour</w:t>
            </w:r>
            <w:proofErr w:type="spellEnd"/>
            <w:r w:rsidRPr="005F51E4">
              <w:rPr>
                <w:rFonts w:ascii="Arial" w:hAnsi="Arial" w:cs="Arial"/>
                <w:sz w:val="24"/>
                <w:szCs w:val="24"/>
              </w:rPr>
              <w:t xml:space="preserve"> of the plaintiff still stands.</w:t>
            </w:r>
          </w:p>
          <w:p w:rsidR="00BD34C2" w:rsidRDefault="00BD34C2" w:rsidP="00BD34C2">
            <w:pPr>
              <w:pStyle w:val="ListParagraph"/>
              <w:spacing w:after="0" w:line="360" w:lineRule="auto"/>
              <w:ind w:left="0"/>
              <w:jc w:val="both"/>
              <w:rPr>
                <w:rFonts w:ascii="Arial" w:hAnsi="Arial" w:cs="Arial"/>
                <w:sz w:val="24"/>
                <w:szCs w:val="24"/>
              </w:rPr>
            </w:pPr>
          </w:p>
          <w:p w:rsidR="00BD34C2" w:rsidRDefault="00BD34C2" w:rsidP="00BD34C2">
            <w:pPr>
              <w:pStyle w:val="ListParagraph"/>
              <w:spacing w:after="0" w:line="360" w:lineRule="auto"/>
              <w:ind w:left="0"/>
              <w:jc w:val="both"/>
              <w:rPr>
                <w:rFonts w:ascii="Arial" w:hAnsi="Arial" w:cs="Arial"/>
                <w:sz w:val="24"/>
                <w:szCs w:val="24"/>
              </w:rPr>
            </w:pPr>
          </w:p>
          <w:p w:rsidR="00BD34C2" w:rsidRDefault="00BD34C2" w:rsidP="00BD34C2">
            <w:pPr>
              <w:pStyle w:val="ListParagraph"/>
              <w:spacing w:after="0" w:line="360" w:lineRule="auto"/>
              <w:ind w:left="0"/>
              <w:jc w:val="both"/>
              <w:rPr>
                <w:rFonts w:ascii="Arial" w:hAnsi="Arial" w:cs="Arial"/>
                <w:sz w:val="24"/>
                <w:szCs w:val="24"/>
              </w:rPr>
            </w:pPr>
          </w:p>
          <w:p w:rsidR="00BD34C2" w:rsidRDefault="00BD34C2" w:rsidP="00BD34C2">
            <w:pPr>
              <w:pStyle w:val="ListParagraph"/>
              <w:spacing w:after="0" w:line="360" w:lineRule="auto"/>
              <w:ind w:left="0"/>
              <w:jc w:val="both"/>
              <w:rPr>
                <w:rFonts w:ascii="Arial" w:hAnsi="Arial" w:cs="Arial"/>
                <w:sz w:val="24"/>
                <w:szCs w:val="24"/>
              </w:rPr>
            </w:pPr>
          </w:p>
          <w:p w:rsidR="00BD34C2" w:rsidRPr="00BD34C2" w:rsidRDefault="00BD34C2" w:rsidP="00BD34C2">
            <w:pPr>
              <w:pStyle w:val="ListParagraph"/>
              <w:spacing w:after="0" w:line="360" w:lineRule="auto"/>
              <w:ind w:left="0"/>
              <w:jc w:val="both"/>
              <w:rPr>
                <w:rFonts w:ascii="Arial" w:hAnsi="Arial" w:cs="Arial"/>
                <w:sz w:val="24"/>
                <w:szCs w:val="24"/>
              </w:rPr>
            </w:pPr>
          </w:p>
          <w:p w:rsidR="002C0C81" w:rsidRDefault="002C0C81" w:rsidP="002C0C81">
            <w:pPr>
              <w:spacing w:after="0" w:line="360" w:lineRule="auto"/>
              <w:jc w:val="both"/>
              <w:rPr>
                <w:rFonts w:ascii="Arial" w:hAnsi="Arial" w:cs="Arial"/>
                <w:sz w:val="24"/>
                <w:szCs w:val="24"/>
                <w:u w:val="single"/>
              </w:rPr>
            </w:pPr>
            <w:r w:rsidRPr="00D0277D">
              <w:rPr>
                <w:rFonts w:ascii="Arial" w:hAnsi="Arial" w:cs="Arial"/>
                <w:sz w:val="24"/>
                <w:szCs w:val="24"/>
                <w:u w:val="single"/>
              </w:rPr>
              <w:lastRenderedPageBreak/>
              <w:t>Declaring the property executable</w:t>
            </w:r>
            <w:r w:rsidRPr="00D0277D">
              <w:rPr>
                <w:rFonts w:ascii="Arial" w:hAnsi="Arial" w:cs="Arial"/>
                <w:sz w:val="24"/>
                <w:szCs w:val="24"/>
                <w:u w:val="single"/>
              </w:rPr>
              <w:tab/>
            </w:r>
          </w:p>
          <w:p w:rsidR="002C0C81" w:rsidRPr="00D0277D" w:rsidRDefault="002C0C81" w:rsidP="002C0C81">
            <w:pPr>
              <w:spacing w:after="0" w:line="360" w:lineRule="auto"/>
              <w:jc w:val="both"/>
              <w:rPr>
                <w:rFonts w:ascii="Arial" w:hAnsi="Arial" w:cs="Arial"/>
                <w:sz w:val="24"/>
                <w:szCs w:val="24"/>
                <w:u w:val="single"/>
              </w:rPr>
            </w:pPr>
          </w:p>
          <w:p w:rsidR="002C0C81" w:rsidRDefault="002C0C81" w:rsidP="00E035DB">
            <w:pPr>
              <w:pStyle w:val="ListParagraph"/>
              <w:numPr>
                <w:ilvl w:val="0"/>
                <w:numId w:val="47"/>
              </w:numPr>
              <w:spacing w:after="0" w:line="360" w:lineRule="auto"/>
              <w:ind w:left="0" w:firstLine="0"/>
              <w:jc w:val="both"/>
              <w:rPr>
                <w:rFonts w:ascii="Arial" w:hAnsi="Arial" w:cs="Arial"/>
                <w:sz w:val="24"/>
                <w:szCs w:val="24"/>
              </w:rPr>
            </w:pPr>
            <w:r w:rsidRPr="005F51E4">
              <w:rPr>
                <w:rFonts w:ascii="Arial" w:hAnsi="Arial" w:cs="Arial"/>
                <w:sz w:val="24"/>
                <w:szCs w:val="24"/>
              </w:rPr>
              <w:t xml:space="preserve">In </w:t>
            </w:r>
            <w:proofErr w:type="spellStart"/>
            <w:r w:rsidRPr="005F51E4">
              <w:rPr>
                <w:rFonts w:ascii="Arial" w:hAnsi="Arial" w:cs="Arial"/>
                <w:i/>
                <w:sz w:val="24"/>
                <w:szCs w:val="24"/>
              </w:rPr>
              <w:t>Kisilipile</w:t>
            </w:r>
            <w:proofErr w:type="spellEnd"/>
            <w:r w:rsidRPr="005F51E4">
              <w:rPr>
                <w:rFonts w:ascii="Arial" w:hAnsi="Arial" w:cs="Arial"/>
                <w:i/>
                <w:sz w:val="24"/>
                <w:szCs w:val="24"/>
              </w:rPr>
              <w:t xml:space="preserve"> v First National Bank of Namibia</w:t>
            </w:r>
            <w:r>
              <w:rPr>
                <w:rStyle w:val="FootnoteReference"/>
                <w:rFonts w:ascii="Arial" w:hAnsi="Arial" w:cs="Arial"/>
                <w:sz w:val="24"/>
                <w:szCs w:val="24"/>
              </w:rPr>
              <w:footnoteReference w:id="5"/>
            </w:r>
            <w:r w:rsidRPr="005F51E4">
              <w:rPr>
                <w:rFonts w:ascii="Arial" w:hAnsi="Arial" w:cs="Arial"/>
                <w:sz w:val="24"/>
                <w:szCs w:val="24"/>
              </w:rPr>
              <w:t xml:space="preserve"> the Supreme Court said the following regarding declaring the immovable property executable:</w:t>
            </w:r>
          </w:p>
          <w:p w:rsidR="002C0C81" w:rsidRPr="005F51E4" w:rsidRDefault="002C0C81" w:rsidP="003716BC">
            <w:pPr>
              <w:pStyle w:val="ListParagraph"/>
              <w:spacing w:after="0" w:line="360" w:lineRule="auto"/>
              <w:ind w:left="0"/>
              <w:jc w:val="both"/>
              <w:rPr>
                <w:rFonts w:ascii="Arial" w:hAnsi="Arial" w:cs="Arial"/>
                <w:sz w:val="24"/>
                <w:szCs w:val="24"/>
              </w:rPr>
            </w:pPr>
          </w:p>
          <w:p w:rsidR="002C0C81" w:rsidRPr="00D0277D" w:rsidRDefault="002C0C81" w:rsidP="003716BC">
            <w:pPr>
              <w:spacing w:after="0" w:line="360" w:lineRule="auto"/>
              <w:jc w:val="both"/>
              <w:rPr>
                <w:rFonts w:ascii="Arial" w:hAnsi="Arial" w:cs="Arial"/>
              </w:rPr>
            </w:pPr>
            <w:r>
              <w:rPr>
                <w:rFonts w:ascii="Arial" w:hAnsi="Arial" w:cs="Arial"/>
                <w:sz w:val="24"/>
                <w:szCs w:val="24"/>
              </w:rPr>
              <w:tab/>
            </w:r>
            <w:r w:rsidRPr="00D0277D">
              <w:rPr>
                <w:rFonts w:ascii="Arial" w:hAnsi="Arial" w:cs="Arial"/>
                <w:sz w:val="24"/>
                <w:szCs w:val="24"/>
              </w:rPr>
              <w:t>‘</w:t>
            </w:r>
            <w:r w:rsidRPr="00D0277D">
              <w:rPr>
                <w:rFonts w:ascii="Arial" w:hAnsi="Arial" w:cs="Arial"/>
              </w:rPr>
              <w:t xml:space="preserve">[18] In Namibia, judicial oversight takes the following form when it comes to declaring a primary home </w:t>
            </w:r>
            <w:proofErr w:type="gramStart"/>
            <w:r w:rsidRPr="00D0277D">
              <w:rPr>
                <w:rFonts w:ascii="Arial" w:hAnsi="Arial" w:cs="Arial"/>
              </w:rPr>
              <w:t>specially</w:t>
            </w:r>
            <w:proofErr w:type="gramEnd"/>
            <w:r w:rsidRPr="00D0277D">
              <w:rPr>
                <w:rFonts w:ascii="Arial" w:hAnsi="Arial" w:cs="Arial"/>
              </w:rPr>
              <w:t xml:space="preserve"> executable. If a property is a primary home, the court must be satisfied that there are no less drastic alternatives to a sale in execution. The judgment debtor bears the evidential burden. He or she should preferably lay the relevant information before court on affidavit especially if assisted by a legal practitioner, either in resisting default judgment or summary judgment. The failure to do so does not relieve the court of its obligation to inquire into the availability of less drastic alternatives. If the debtor is legally unrepresented his or her attention must be drawn to the protection granted under rule 108.</w:t>
            </w:r>
          </w:p>
          <w:p w:rsidR="002C0C81" w:rsidRPr="00D0277D" w:rsidRDefault="002C0C81" w:rsidP="002C0C81">
            <w:pPr>
              <w:spacing w:after="0" w:line="360" w:lineRule="auto"/>
              <w:jc w:val="both"/>
              <w:rPr>
                <w:rFonts w:ascii="Arial" w:hAnsi="Arial" w:cs="Arial"/>
              </w:rPr>
            </w:pPr>
          </w:p>
          <w:p w:rsidR="002C0C81" w:rsidRPr="00D0277D" w:rsidRDefault="002C0C81" w:rsidP="002C0C81">
            <w:pPr>
              <w:spacing w:after="0" w:line="360" w:lineRule="auto"/>
              <w:jc w:val="both"/>
              <w:rPr>
                <w:rFonts w:ascii="Arial" w:hAnsi="Arial" w:cs="Arial"/>
              </w:rPr>
            </w:pPr>
            <w:r w:rsidRPr="00D0277D">
              <w:rPr>
                <w:rFonts w:ascii="Arial" w:hAnsi="Arial" w:cs="Arial"/>
              </w:rPr>
              <w:t>[19] The debtor must be invited to present alternatives that the court should consider to avoid a sale in execution but bearing in mind that the credit giver has a right to satisfaction of the bargain. The alternatives must be viable in that the it must not amount to defeating the commercial interest of the creditor by in effect amounting to non-payment and stringing the creditor along until someday the debtor has the means to pay the debt . . .’</w:t>
            </w:r>
          </w:p>
          <w:p w:rsidR="002C0C81" w:rsidRPr="00D0277D" w:rsidRDefault="002C0C81" w:rsidP="002C0C81">
            <w:pPr>
              <w:spacing w:after="0" w:line="360" w:lineRule="auto"/>
              <w:jc w:val="both"/>
              <w:rPr>
                <w:rFonts w:ascii="Arial" w:hAnsi="Arial" w:cs="Arial"/>
                <w:sz w:val="24"/>
                <w:szCs w:val="24"/>
              </w:rPr>
            </w:pPr>
          </w:p>
          <w:p w:rsidR="002C0C81" w:rsidRDefault="002C0C81" w:rsidP="00E035DB">
            <w:pPr>
              <w:pStyle w:val="ListParagraph"/>
              <w:numPr>
                <w:ilvl w:val="0"/>
                <w:numId w:val="47"/>
              </w:numPr>
              <w:spacing w:after="0" w:line="360" w:lineRule="auto"/>
              <w:ind w:left="0" w:firstLine="0"/>
              <w:jc w:val="both"/>
              <w:rPr>
                <w:rFonts w:ascii="Arial" w:hAnsi="Arial" w:cs="Arial"/>
                <w:sz w:val="24"/>
                <w:szCs w:val="24"/>
              </w:rPr>
            </w:pPr>
            <w:r w:rsidRPr="005F51E4">
              <w:rPr>
                <w:rFonts w:ascii="Arial" w:hAnsi="Arial" w:cs="Arial"/>
                <w:sz w:val="24"/>
                <w:szCs w:val="24"/>
              </w:rPr>
              <w:t xml:space="preserve">At para [20] the Supreme Court continued to lay down the law as follows in </w:t>
            </w:r>
            <w:proofErr w:type="spellStart"/>
            <w:r w:rsidRPr="005F51E4">
              <w:rPr>
                <w:rFonts w:ascii="Arial" w:hAnsi="Arial" w:cs="Arial"/>
                <w:i/>
                <w:sz w:val="24"/>
                <w:szCs w:val="24"/>
              </w:rPr>
              <w:t>Kisipile</w:t>
            </w:r>
            <w:proofErr w:type="spellEnd"/>
            <w:r w:rsidRPr="005F51E4">
              <w:rPr>
                <w:rFonts w:ascii="Arial" w:hAnsi="Arial" w:cs="Arial"/>
                <w:sz w:val="24"/>
                <w:szCs w:val="24"/>
              </w:rPr>
              <w:t>:</w:t>
            </w:r>
          </w:p>
          <w:p w:rsidR="002C0C81" w:rsidRPr="005F51E4" w:rsidRDefault="002C0C81" w:rsidP="002C0C81">
            <w:pPr>
              <w:pStyle w:val="ListParagraph"/>
              <w:spacing w:after="0" w:line="360" w:lineRule="auto"/>
              <w:ind w:left="0"/>
              <w:jc w:val="both"/>
              <w:rPr>
                <w:rFonts w:ascii="Arial" w:hAnsi="Arial" w:cs="Arial"/>
                <w:sz w:val="24"/>
                <w:szCs w:val="24"/>
              </w:rPr>
            </w:pPr>
          </w:p>
          <w:p w:rsidR="002C0C81" w:rsidRPr="00D0277D" w:rsidRDefault="002C0C81" w:rsidP="002C0C81">
            <w:pPr>
              <w:spacing w:after="0" w:line="360" w:lineRule="auto"/>
              <w:jc w:val="both"/>
              <w:rPr>
                <w:rFonts w:ascii="Arial" w:hAnsi="Arial" w:cs="Arial"/>
              </w:rPr>
            </w:pPr>
            <w:r>
              <w:rPr>
                <w:rFonts w:ascii="Arial" w:hAnsi="Arial" w:cs="Arial"/>
                <w:sz w:val="24"/>
                <w:szCs w:val="24"/>
              </w:rPr>
              <w:tab/>
            </w:r>
            <w:r w:rsidRPr="00D0277D">
              <w:rPr>
                <w:rFonts w:ascii="Arial" w:hAnsi="Arial" w:cs="Arial"/>
              </w:rPr>
              <w:t xml:space="preserve">‘Judicial oversight exists to ensure that debtors are not made homeless unnecessarily and that the sale in execution of the primary home is a last resort. The court is required to take into account “all the relevant circumstances”. </w:t>
            </w:r>
          </w:p>
          <w:p w:rsidR="002C0C81" w:rsidRPr="00D0277D" w:rsidRDefault="002C0C81" w:rsidP="002C0C81">
            <w:pPr>
              <w:spacing w:after="0" w:line="360" w:lineRule="auto"/>
              <w:jc w:val="both"/>
              <w:rPr>
                <w:rFonts w:ascii="Arial" w:hAnsi="Arial" w:cs="Arial"/>
              </w:rPr>
            </w:pPr>
          </w:p>
          <w:p w:rsidR="002C0C81" w:rsidRPr="00D0277D" w:rsidRDefault="002C0C81" w:rsidP="002C0C81">
            <w:pPr>
              <w:spacing w:after="0" w:line="360" w:lineRule="auto"/>
              <w:jc w:val="both"/>
              <w:rPr>
                <w:rFonts w:ascii="Arial" w:hAnsi="Arial" w:cs="Arial"/>
              </w:rPr>
            </w:pPr>
            <w:r w:rsidRPr="00D0277D">
              <w:rPr>
                <w:rFonts w:ascii="Arial" w:hAnsi="Arial" w:cs="Arial"/>
              </w:rPr>
              <w:t xml:space="preserve">When exercising the discretion under rule the court should bear in mind that a sale in execution of a primary home does not necessarily extinguish a debt. The reality is often the contrary. In other </w:t>
            </w:r>
          </w:p>
          <w:p w:rsidR="002C0C81" w:rsidRPr="00D0277D" w:rsidRDefault="002C0C81" w:rsidP="002C0C81">
            <w:pPr>
              <w:spacing w:after="0" w:line="360" w:lineRule="auto"/>
              <w:jc w:val="both"/>
              <w:rPr>
                <w:rFonts w:ascii="Arial" w:hAnsi="Arial" w:cs="Arial"/>
              </w:rPr>
            </w:pPr>
            <w:r w:rsidRPr="00D0277D">
              <w:rPr>
                <w:rFonts w:ascii="Arial" w:hAnsi="Arial" w:cs="Arial"/>
              </w:rPr>
              <w:t xml:space="preserve">words, the debtor remains indebted to the credit </w:t>
            </w:r>
            <w:proofErr w:type="spellStart"/>
            <w:r w:rsidRPr="00D0277D">
              <w:rPr>
                <w:rFonts w:ascii="Arial" w:hAnsi="Arial" w:cs="Arial"/>
              </w:rPr>
              <w:t>giver</w:t>
            </w:r>
            <w:proofErr w:type="spellEnd"/>
            <w:r w:rsidRPr="00D0277D">
              <w:rPr>
                <w:rFonts w:ascii="Arial" w:hAnsi="Arial" w:cs="Arial"/>
              </w:rPr>
              <w:t xml:space="preserve"> for the balance of the debt, considering that under the current rule framework the property is sold to the highest bidder for not less than 75% of the either the local authority or regional council evaluation.’</w:t>
            </w:r>
          </w:p>
          <w:p w:rsidR="002C0C81" w:rsidRDefault="002C0C81" w:rsidP="002C0C81">
            <w:pPr>
              <w:spacing w:after="0" w:line="360" w:lineRule="auto"/>
              <w:jc w:val="both"/>
              <w:rPr>
                <w:rFonts w:ascii="Arial" w:hAnsi="Arial" w:cs="Arial"/>
                <w:sz w:val="24"/>
                <w:szCs w:val="24"/>
              </w:rPr>
            </w:pPr>
          </w:p>
          <w:p w:rsidR="002C0C81" w:rsidRDefault="002C0C81" w:rsidP="00E035DB">
            <w:pPr>
              <w:pStyle w:val="ListParagraph"/>
              <w:numPr>
                <w:ilvl w:val="0"/>
                <w:numId w:val="47"/>
              </w:numPr>
              <w:spacing w:after="0" w:line="360" w:lineRule="auto"/>
              <w:ind w:left="0" w:firstLine="0"/>
              <w:jc w:val="both"/>
              <w:rPr>
                <w:rFonts w:ascii="Arial" w:hAnsi="Arial" w:cs="Arial"/>
                <w:sz w:val="24"/>
                <w:szCs w:val="24"/>
              </w:rPr>
            </w:pPr>
            <w:r w:rsidRPr="005F51E4">
              <w:rPr>
                <w:rFonts w:ascii="Arial" w:hAnsi="Arial" w:cs="Arial"/>
                <w:sz w:val="24"/>
                <w:szCs w:val="24"/>
              </w:rPr>
              <w:t>Finally, at para [21], the Supreme Court reasoned as follows on the subject:</w:t>
            </w:r>
          </w:p>
          <w:p w:rsidR="003716BC" w:rsidRPr="005F51E4" w:rsidRDefault="003716BC" w:rsidP="003716BC">
            <w:pPr>
              <w:pStyle w:val="ListParagraph"/>
              <w:spacing w:after="0" w:line="360" w:lineRule="auto"/>
              <w:ind w:left="0"/>
              <w:jc w:val="both"/>
              <w:rPr>
                <w:rFonts w:ascii="Arial" w:hAnsi="Arial" w:cs="Arial"/>
                <w:sz w:val="24"/>
                <w:szCs w:val="24"/>
              </w:rPr>
            </w:pPr>
          </w:p>
          <w:p w:rsidR="002C0C81" w:rsidRDefault="002C0C81" w:rsidP="002C0C81">
            <w:pPr>
              <w:spacing w:after="0" w:line="360" w:lineRule="auto"/>
              <w:jc w:val="both"/>
              <w:rPr>
                <w:rFonts w:ascii="Arial" w:hAnsi="Arial" w:cs="Arial"/>
                <w:sz w:val="24"/>
                <w:szCs w:val="24"/>
              </w:rPr>
            </w:pPr>
            <w:r>
              <w:rPr>
                <w:rFonts w:ascii="Arial" w:hAnsi="Arial" w:cs="Arial"/>
                <w:sz w:val="24"/>
                <w:szCs w:val="24"/>
              </w:rPr>
              <w:tab/>
            </w:r>
            <w:r w:rsidRPr="00D0277D">
              <w:rPr>
                <w:rFonts w:ascii="Arial" w:hAnsi="Arial" w:cs="Arial"/>
                <w:sz w:val="24"/>
                <w:szCs w:val="24"/>
              </w:rPr>
              <w:t xml:space="preserve">‘ . . . </w:t>
            </w:r>
            <w:r w:rsidRPr="00571F35">
              <w:rPr>
                <w:rFonts w:ascii="Arial" w:hAnsi="Arial" w:cs="Arial"/>
              </w:rPr>
              <w:t xml:space="preserve">The court should also take into consideration the payment history of the debtor. Greater latitude should be given to the debtor who has a reasonably good payment history; the extent of the balance </w:t>
            </w:r>
            <w:r w:rsidRPr="00571F35">
              <w:rPr>
                <w:rFonts w:ascii="Arial" w:hAnsi="Arial" w:cs="Arial"/>
              </w:rPr>
              <w:lastRenderedPageBreak/>
              <w:t>outstanding; the age of the debtor – which is an important factor whether or not the debtor will be able to secure another loan to buy a home.</w:t>
            </w:r>
            <w:r w:rsidRPr="00D0277D">
              <w:rPr>
                <w:rFonts w:ascii="Arial" w:hAnsi="Arial" w:cs="Arial"/>
                <w:sz w:val="24"/>
                <w:szCs w:val="24"/>
              </w:rPr>
              <w:t>’</w:t>
            </w:r>
          </w:p>
          <w:p w:rsidR="002C0C81" w:rsidRDefault="002C0C81" w:rsidP="002C0C81">
            <w:pPr>
              <w:spacing w:after="0" w:line="360" w:lineRule="auto"/>
              <w:jc w:val="both"/>
              <w:rPr>
                <w:rFonts w:ascii="Arial" w:hAnsi="Arial" w:cs="Arial"/>
                <w:sz w:val="24"/>
                <w:szCs w:val="24"/>
              </w:rPr>
            </w:pPr>
          </w:p>
          <w:p w:rsidR="002C0C81" w:rsidRPr="005F51E4" w:rsidRDefault="002C0C81" w:rsidP="00E035DB">
            <w:pPr>
              <w:pStyle w:val="ListParagraph"/>
              <w:numPr>
                <w:ilvl w:val="0"/>
                <w:numId w:val="47"/>
              </w:numPr>
              <w:spacing w:after="0" w:line="360" w:lineRule="auto"/>
              <w:ind w:left="0" w:firstLine="0"/>
              <w:jc w:val="both"/>
              <w:rPr>
                <w:rFonts w:ascii="Arial" w:hAnsi="Arial" w:cs="Arial"/>
                <w:sz w:val="24"/>
                <w:szCs w:val="24"/>
              </w:rPr>
            </w:pPr>
            <w:r w:rsidRPr="005F51E4">
              <w:rPr>
                <w:rFonts w:ascii="Arial" w:hAnsi="Arial" w:cs="Arial"/>
                <w:sz w:val="24"/>
                <w:szCs w:val="24"/>
              </w:rPr>
              <w:t>The court explained to the defendant that we can now proceed with an enquiry under rule 108 of the court rules to determine whether she has other means to settle her debt.  She cho</w:t>
            </w:r>
            <w:r w:rsidR="00BD34C2">
              <w:rPr>
                <w:rFonts w:ascii="Arial" w:hAnsi="Arial" w:cs="Arial"/>
                <w:sz w:val="24"/>
                <w:szCs w:val="24"/>
              </w:rPr>
              <w:t>se not to proceed with a rule</w:t>
            </w:r>
            <w:r w:rsidRPr="005F51E4">
              <w:rPr>
                <w:rFonts w:ascii="Arial" w:hAnsi="Arial" w:cs="Arial"/>
                <w:sz w:val="24"/>
                <w:szCs w:val="24"/>
              </w:rPr>
              <w:t xml:space="preserve"> 108 enquiry but the court proceeded and enquired about her prospects to settle the outstanding debt without selling her primary home.  She explained that she is not currently working and has not worked since leaving the employ of </w:t>
            </w:r>
            <w:r w:rsidR="00F04A7B">
              <w:rPr>
                <w:rFonts w:ascii="Arial" w:hAnsi="Arial" w:cs="Arial"/>
                <w:sz w:val="24"/>
                <w:szCs w:val="24"/>
              </w:rPr>
              <w:t xml:space="preserve">the plaintiff about two years ago. </w:t>
            </w:r>
            <w:r w:rsidRPr="005F51E4">
              <w:rPr>
                <w:rFonts w:ascii="Arial" w:hAnsi="Arial" w:cs="Arial"/>
                <w:sz w:val="24"/>
                <w:szCs w:val="24"/>
              </w:rPr>
              <w:t>She further has received her pension payout as well as a payout for her outstanding leave days and those funds are no longer available to settle her debt.  She has no means to settle the outstanding debt except if she is successful with her appeal and receive money from the plaintiff for remuneration payment for constructive dismissal.</w:t>
            </w:r>
          </w:p>
          <w:p w:rsidR="002C0C81" w:rsidRDefault="002C0C81" w:rsidP="002C0C81">
            <w:pPr>
              <w:spacing w:after="0" w:line="360" w:lineRule="auto"/>
              <w:jc w:val="both"/>
              <w:rPr>
                <w:rFonts w:ascii="Arial" w:hAnsi="Arial" w:cs="Arial"/>
                <w:sz w:val="24"/>
                <w:szCs w:val="24"/>
              </w:rPr>
            </w:pPr>
          </w:p>
          <w:p w:rsidR="00626D05" w:rsidRPr="00A91522" w:rsidRDefault="002C0C81" w:rsidP="00E035DB">
            <w:pPr>
              <w:pStyle w:val="ListParagraph"/>
              <w:numPr>
                <w:ilvl w:val="0"/>
                <w:numId w:val="47"/>
              </w:numPr>
              <w:spacing w:after="0" w:line="360" w:lineRule="auto"/>
              <w:ind w:left="0" w:firstLine="0"/>
              <w:jc w:val="both"/>
              <w:rPr>
                <w:rFonts w:ascii="Arial" w:hAnsi="Arial" w:cs="Arial"/>
                <w:sz w:val="24"/>
                <w:szCs w:val="24"/>
              </w:rPr>
            </w:pPr>
            <w:r>
              <w:rPr>
                <w:rFonts w:ascii="Arial" w:hAnsi="Arial" w:cs="Arial"/>
                <w:sz w:val="24"/>
                <w:szCs w:val="24"/>
              </w:rPr>
              <w:t>The order is as set out above.</w:t>
            </w:r>
          </w:p>
        </w:tc>
      </w:tr>
      <w:tr w:rsidR="00A91522" w:rsidRPr="00A91522" w:rsidTr="005B7BF9">
        <w:trPr>
          <w:trHeight w:val="421"/>
        </w:trPr>
        <w:tc>
          <w:tcPr>
            <w:tcW w:w="5245" w:type="dxa"/>
            <w:tcBorders>
              <w:top w:val="single" w:sz="4" w:space="0" w:color="auto"/>
              <w:left w:val="single" w:sz="4" w:space="0" w:color="auto"/>
              <w:bottom w:val="single" w:sz="4" w:space="0" w:color="auto"/>
              <w:right w:val="single" w:sz="4" w:space="0" w:color="auto"/>
            </w:tcBorders>
            <w:hideMark/>
          </w:tcPr>
          <w:p w:rsidR="00B37415" w:rsidRPr="000D0F54" w:rsidRDefault="00496D60" w:rsidP="00B37415">
            <w:pPr>
              <w:spacing w:after="0" w:line="360" w:lineRule="auto"/>
              <w:jc w:val="center"/>
              <w:rPr>
                <w:rFonts w:ascii="Arial" w:hAnsi="Arial" w:cs="Arial"/>
                <w:b/>
                <w:sz w:val="24"/>
                <w:szCs w:val="24"/>
              </w:rPr>
            </w:pPr>
            <w:r w:rsidRPr="000D0F54">
              <w:rPr>
                <w:rFonts w:ascii="Arial" w:hAnsi="Arial" w:cs="Arial"/>
                <w:b/>
                <w:sz w:val="24"/>
                <w:szCs w:val="24"/>
              </w:rPr>
              <w:lastRenderedPageBreak/>
              <w:t>Judge’s signature</w:t>
            </w:r>
          </w:p>
          <w:p w:rsidR="002C66E4" w:rsidRPr="000D0F54" w:rsidRDefault="002C66E4" w:rsidP="002C66E4">
            <w:pPr>
              <w:spacing w:after="0" w:line="360" w:lineRule="auto"/>
              <w:jc w:val="center"/>
              <w:rPr>
                <w:rFonts w:ascii="Arial" w:hAnsi="Arial" w:cs="Arial"/>
                <w:sz w:val="24"/>
                <w:szCs w:val="24"/>
              </w:rPr>
            </w:pPr>
          </w:p>
          <w:p w:rsidR="002C66E4" w:rsidRPr="000D0F54" w:rsidRDefault="002C66E4" w:rsidP="00F04A7B">
            <w:pPr>
              <w:spacing w:after="0" w:line="360" w:lineRule="auto"/>
              <w:rPr>
                <w:rFonts w:ascii="Arial" w:hAnsi="Arial" w:cs="Arial"/>
                <w:sz w:val="24"/>
                <w:szCs w:val="24"/>
              </w:rPr>
            </w:pPr>
          </w:p>
        </w:tc>
        <w:tc>
          <w:tcPr>
            <w:tcW w:w="5245" w:type="dxa"/>
            <w:gridSpan w:val="2"/>
            <w:tcBorders>
              <w:top w:val="single" w:sz="4" w:space="0" w:color="auto"/>
              <w:left w:val="single" w:sz="4" w:space="0" w:color="auto"/>
              <w:bottom w:val="single" w:sz="4" w:space="0" w:color="auto"/>
              <w:right w:val="single" w:sz="4" w:space="0" w:color="auto"/>
            </w:tcBorders>
          </w:tcPr>
          <w:p w:rsidR="00A91522" w:rsidRPr="000D0F54" w:rsidRDefault="005B7BF9" w:rsidP="00A91522">
            <w:pPr>
              <w:spacing w:after="0" w:line="360" w:lineRule="auto"/>
              <w:jc w:val="both"/>
              <w:rPr>
                <w:rFonts w:ascii="Arial" w:hAnsi="Arial" w:cs="Arial"/>
                <w:b/>
                <w:sz w:val="24"/>
                <w:szCs w:val="24"/>
              </w:rPr>
            </w:pPr>
            <w:r w:rsidRPr="000D0F54">
              <w:rPr>
                <w:rFonts w:ascii="Arial" w:hAnsi="Arial" w:cs="Arial"/>
                <w:b/>
                <w:sz w:val="24"/>
                <w:szCs w:val="24"/>
              </w:rPr>
              <w:t>Note to the parties:</w:t>
            </w:r>
          </w:p>
        </w:tc>
      </w:tr>
      <w:tr w:rsidR="008019A9" w:rsidRPr="00A91522" w:rsidTr="008019A9">
        <w:trPr>
          <w:trHeight w:val="1062"/>
        </w:trPr>
        <w:tc>
          <w:tcPr>
            <w:tcW w:w="5245" w:type="dxa"/>
            <w:tcBorders>
              <w:top w:val="single" w:sz="4" w:space="0" w:color="auto"/>
              <w:left w:val="single" w:sz="4" w:space="0" w:color="auto"/>
              <w:bottom w:val="single" w:sz="4" w:space="0" w:color="auto"/>
              <w:right w:val="single" w:sz="4" w:space="0" w:color="auto"/>
            </w:tcBorders>
          </w:tcPr>
          <w:p w:rsidR="002C66E4" w:rsidRPr="000D0F54" w:rsidRDefault="003F0FDD" w:rsidP="002C66E4">
            <w:pPr>
              <w:spacing w:after="0" w:line="360" w:lineRule="auto"/>
              <w:jc w:val="center"/>
              <w:rPr>
                <w:rFonts w:ascii="Arial" w:hAnsi="Arial" w:cs="Arial"/>
                <w:sz w:val="24"/>
                <w:szCs w:val="24"/>
              </w:rPr>
            </w:pPr>
            <w:r>
              <w:rPr>
                <w:rFonts w:ascii="Arial" w:hAnsi="Arial" w:cs="Arial"/>
                <w:sz w:val="24"/>
                <w:szCs w:val="24"/>
              </w:rPr>
              <w:t xml:space="preserve">E </w:t>
            </w:r>
            <w:r w:rsidR="000C34AC" w:rsidRPr="000D0F54">
              <w:rPr>
                <w:rFonts w:ascii="Arial" w:hAnsi="Arial" w:cs="Arial"/>
                <w:sz w:val="24"/>
                <w:szCs w:val="24"/>
              </w:rPr>
              <w:t xml:space="preserve"> </w:t>
            </w:r>
            <w:r>
              <w:rPr>
                <w:rFonts w:ascii="Arial" w:hAnsi="Arial" w:cs="Arial"/>
                <w:sz w:val="24"/>
                <w:szCs w:val="24"/>
              </w:rPr>
              <w:t>RAKOW</w:t>
            </w:r>
          </w:p>
          <w:p w:rsidR="00B37415" w:rsidRPr="000D0F54" w:rsidRDefault="005440D6" w:rsidP="00BF7E1C">
            <w:pPr>
              <w:spacing w:after="0" w:line="360" w:lineRule="auto"/>
              <w:jc w:val="center"/>
              <w:rPr>
                <w:rFonts w:ascii="Arial" w:hAnsi="Arial" w:cs="Arial"/>
                <w:sz w:val="24"/>
                <w:szCs w:val="24"/>
              </w:rPr>
            </w:pPr>
            <w:r w:rsidRPr="000D0F54">
              <w:rPr>
                <w:rFonts w:ascii="Arial" w:hAnsi="Arial" w:cs="Arial"/>
                <w:sz w:val="24"/>
                <w:szCs w:val="24"/>
              </w:rPr>
              <w:t>Judge</w:t>
            </w:r>
          </w:p>
        </w:tc>
        <w:tc>
          <w:tcPr>
            <w:tcW w:w="5245" w:type="dxa"/>
            <w:gridSpan w:val="2"/>
            <w:tcBorders>
              <w:top w:val="single" w:sz="4" w:space="0" w:color="auto"/>
              <w:left w:val="single" w:sz="4" w:space="0" w:color="auto"/>
              <w:bottom w:val="single" w:sz="4" w:space="0" w:color="auto"/>
              <w:right w:val="single" w:sz="4" w:space="0" w:color="auto"/>
            </w:tcBorders>
          </w:tcPr>
          <w:p w:rsidR="008019A9" w:rsidRPr="000D0F54" w:rsidRDefault="005B7BF9" w:rsidP="008019A9">
            <w:pPr>
              <w:spacing w:after="0" w:line="360" w:lineRule="auto"/>
              <w:jc w:val="center"/>
              <w:rPr>
                <w:rFonts w:ascii="Arial" w:hAnsi="Arial" w:cs="Arial"/>
                <w:sz w:val="24"/>
                <w:szCs w:val="24"/>
              </w:rPr>
            </w:pPr>
            <w:r w:rsidRPr="000D0F54">
              <w:rPr>
                <w:rFonts w:ascii="Arial" w:hAnsi="Arial" w:cs="Arial"/>
                <w:sz w:val="24"/>
                <w:szCs w:val="24"/>
              </w:rPr>
              <w:t>Not applicable</w:t>
            </w:r>
          </w:p>
        </w:tc>
      </w:tr>
      <w:tr w:rsidR="00496D60" w:rsidRPr="00A91522" w:rsidTr="00496D60">
        <w:trPr>
          <w:trHeight w:val="471"/>
        </w:trPr>
        <w:tc>
          <w:tcPr>
            <w:tcW w:w="10490" w:type="dxa"/>
            <w:gridSpan w:val="3"/>
            <w:tcBorders>
              <w:top w:val="single" w:sz="4" w:space="0" w:color="auto"/>
              <w:left w:val="single" w:sz="4" w:space="0" w:color="auto"/>
              <w:bottom w:val="single" w:sz="4" w:space="0" w:color="auto"/>
              <w:right w:val="single" w:sz="4" w:space="0" w:color="auto"/>
            </w:tcBorders>
          </w:tcPr>
          <w:p w:rsidR="00496D60" w:rsidRPr="000D0F54" w:rsidRDefault="00496D60" w:rsidP="008019A9">
            <w:pPr>
              <w:spacing w:after="0" w:line="360" w:lineRule="auto"/>
              <w:jc w:val="center"/>
              <w:rPr>
                <w:rFonts w:ascii="Arial" w:hAnsi="Arial" w:cs="Arial"/>
                <w:b/>
                <w:sz w:val="24"/>
                <w:szCs w:val="24"/>
              </w:rPr>
            </w:pPr>
            <w:r w:rsidRPr="000D0F54">
              <w:rPr>
                <w:rFonts w:ascii="Arial" w:hAnsi="Arial" w:cs="Arial"/>
                <w:b/>
                <w:sz w:val="24"/>
                <w:szCs w:val="24"/>
              </w:rPr>
              <w:t>Counsel:</w:t>
            </w:r>
          </w:p>
        </w:tc>
      </w:tr>
      <w:tr w:rsidR="008019A9" w:rsidRPr="00A91522" w:rsidTr="00A45638">
        <w:trPr>
          <w:trHeight w:val="329"/>
        </w:trPr>
        <w:tc>
          <w:tcPr>
            <w:tcW w:w="5245" w:type="dxa"/>
            <w:tcBorders>
              <w:top w:val="single" w:sz="4" w:space="0" w:color="auto"/>
              <w:left w:val="single" w:sz="4" w:space="0" w:color="auto"/>
              <w:bottom w:val="single" w:sz="4" w:space="0" w:color="auto"/>
              <w:right w:val="single" w:sz="4" w:space="0" w:color="auto"/>
            </w:tcBorders>
            <w:hideMark/>
          </w:tcPr>
          <w:p w:rsidR="008019A9" w:rsidRPr="000D0F54" w:rsidRDefault="005B7BF9" w:rsidP="005B7BF9">
            <w:pPr>
              <w:spacing w:after="0" w:line="360" w:lineRule="auto"/>
              <w:jc w:val="center"/>
              <w:rPr>
                <w:rFonts w:ascii="Arial" w:hAnsi="Arial" w:cs="Arial"/>
                <w:b/>
                <w:sz w:val="24"/>
                <w:szCs w:val="24"/>
              </w:rPr>
            </w:pPr>
            <w:r w:rsidRPr="000D0F54">
              <w:rPr>
                <w:rFonts w:ascii="Arial" w:hAnsi="Arial" w:cs="Arial"/>
                <w:b/>
                <w:sz w:val="24"/>
                <w:szCs w:val="24"/>
              </w:rPr>
              <w:t>Plaintiff:</w:t>
            </w:r>
          </w:p>
        </w:tc>
        <w:tc>
          <w:tcPr>
            <w:tcW w:w="5245" w:type="dxa"/>
            <w:gridSpan w:val="2"/>
            <w:tcBorders>
              <w:top w:val="single" w:sz="4" w:space="0" w:color="auto"/>
              <w:left w:val="single" w:sz="4" w:space="0" w:color="auto"/>
              <w:bottom w:val="single" w:sz="4" w:space="0" w:color="auto"/>
              <w:right w:val="single" w:sz="4" w:space="0" w:color="auto"/>
            </w:tcBorders>
            <w:hideMark/>
          </w:tcPr>
          <w:p w:rsidR="008019A9" w:rsidRPr="000D0F54" w:rsidRDefault="004378DA" w:rsidP="00C9470C">
            <w:pPr>
              <w:spacing w:after="0" w:line="360" w:lineRule="auto"/>
              <w:jc w:val="center"/>
              <w:rPr>
                <w:rFonts w:ascii="Arial" w:hAnsi="Arial" w:cs="Arial"/>
                <w:b/>
                <w:sz w:val="24"/>
                <w:szCs w:val="24"/>
              </w:rPr>
            </w:pPr>
            <w:r w:rsidRPr="000D0F54">
              <w:rPr>
                <w:rFonts w:ascii="Arial" w:eastAsia="Times New Roman" w:hAnsi="Arial" w:cs="Arial"/>
                <w:b/>
                <w:sz w:val="24"/>
                <w:szCs w:val="24"/>
                <w:lang w:eastAsia="en-GB"/>
              </w:rPr>
              <w:t>Defendant</w:t>
            </w:r>
            <w:r w:rsidR="00C9470C">
              <w:rPr>
                <w:rFonts w:ascii="Arial" w:eastAsia="Times New Roman" w:hAnsi="Arial" w:cs="Arial"/>
                <w:b/>
                <w:sz w:val="24"/>
                <w:szCs w:val="24"/>
                <w:lang w:eastAsia="en-GB"/>
              </w:rPr>
              <w:t>s</w:t>
            </w:r>
            <w:r w:rsidRPr="000D0F54">
              <w:rPr>
                <w:rFonts w:ascii="Arial" w:eastAsia="Times New Roman" w:hAnsi="Arial" w:cs="Arial"/>
                <w:sz w:val="24"/>
                <w:szCs w:val="24"/>
                <w:lang w:eastAsia="en-GB"/>
              </w:rPr>
              <w:t>:</w:t>
            </w:r>
          </w:p>
        </w:tc>
      </w:tr>
      <w:tr w:rsidR="008019A9" w:rsidRPr="00A91522" w:rsidTr="00B131EA">
        <w:trPr>
          <w:trHeight w:val="590"/>
        </w:trPr>
        <w:tc>
          <w:tcPr>
            <w:tcW w:w="5245" w:type="dxa"/>
            <w:tcBorders>
              <w:top w:val="single" w:sz="4" w:space="0" w:color="auto"/>
              <w:left w:val="single" w:sz="4" w:space="0" w:color="auto"/>
              <w:bottom w:val="single" w:sz="4" w:space="0" w:color="auto"/>
              <w:right w:val="single" w:sz="4" w:space="0" w:color="auto"/>
            </w:tcBorders>
          </w:tcPr>
          <w:p w:rsidR="00C9470C" w:rsidRDefault="00D7291C" w:rsidP="00F04A7B">
            <w:pPr>
              <w:spacing w:after="0" w:line="360" w:lineRule="auto"/>
              <w:jc w:val="center"/>
              <w:rPr>
                <w:rFonts w:ascii="Arial" w:hAnsi="Arial" w:cs="Arial"/>
                <w:color w:val="333333"/>
                <w:sz w:val="24"/>
                <w:szCs w:val="24"/>
                <w:shd w:val="clear" w:color="auto" w:fill="FFFFFF"/>
              </w:rPr>
            </w:pPr>
            <w:r>
              <w:rPr>
                <w:rFonts w:ascii="Arial" w:hAnsi="Arial" w:cs="Arial"/>
                <w:color w:val="333333"/>
                <w:sz w:val="24"/>
                <w:szCs w:val="24"/>
                <w:shd w:val="clear" w:color="auto" w:fill="FFFFFF"/>
              </w:rPr>
              <w:t>Y Cam</w:t>
            </w:r>
            <w:r w:rsidR="00F04A7B">
              <w:rPr>
                <w:rFonts w:ascii="Arial" w:hAnsi="Arial" w:cs="Arial"/>
                <w:color w:val="333333"/>
                <w:sz w:val="24"/>
                <w:szCs w:val="24"/>
                <w:shd w:val="clear" w:color="auto" w:fill="FFFFFF"/>
              </w:rPr>
              <w:t>p</w:t>
            </w:r>
            <w:r>
              <w:rPr>
                <w:rFonts w:ascii="Arial" w:hAnsi="Arial" w:cs="Arial"/>
                <w:color w:val="333333"/>
                <w:sz w:val="24"/>
                <w:szCs w:val="24"/>
                <w:shd w:val="clear" w:color="auto" w:fill="FFFFFF"/>
              </w:rPr>
              <w:t>bell</w:t>
            </w:r>
          </w:p>
          <w:p w:rsidR="00C9470C" w:rsidRPr="00C9470C" w:rsidRDefault="002C0C81" w:rsidP="00F04A7B">
            <w:pPr>
              <w:spacing w:after="0" w:line="360" w:lineRule="auto"/>
              <w:jc w:val="center"/>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Instructed by </w:t>
            </w:r>
            <w:proofErr w:type="spellStart"/>
            <w:r w:rsidR="003C5D7E" w:rsidRPr="003C5D7E">
              <w:rPr>
                <w:rFonts w:ascii="Arial" w:hAnsi="Arial" w:cs="Arial"/>
                <w:color w:val="333333"/>
                <w:sz w:val="24"/>
                <w:szCs w:val="24"/>
                <w:shd w:val="clear" w:color="auto" w:fill="FFFFFF"/>
              </w:rPr>
              <w:t>Dr</w:t>
            </w:r>
            <w:proofErr w:type="spellEnd"/>
            <w:r w:rsidR="003C5D7E" w:rsidRPr="003C5D7E">
              <w:rPr>
                <w:rFonts w:ascii="Arial" w:hAnsi="Arial" w:cs="Arial"/>
                <w:color w:val="333333"/>
                <w:sz w:val="24"/>
                <w:szCs w:val="24"/>
                <w:shd w:val="clear" w:color="auto" w:fill="FFFFFF"/>
              </w:rPr>
              <w:t xml:space="preserve"> </w:t>
            </w:r>
            <w:proofErr w:type="spellStart"/>
            <w:r w:rsidR="003C5D7E" w:rsidRPr="003C5D7E">
              <w:rPr>
                <w:rFonts w:ascii="Arial" w:hAnsi="Arial" w:cs="Arial"/>
                <w:color w:val="333333"/>
                <w:sz w:val="24"/>
                <w:szCs w:val="24"/>
                <w:shd w:val="clear" w:color="auto" w:fill="FFFFFF"/>
              </w:rPr>
              <w:t>Weder</w:t>
            </w:r>
            <w:proofErr w:type="spellEnd"/>
            <w:r w:rsidR="003C5D7E" w:rsidRPr="003C5D7E">
              <w:rPr>
                <w:rFonts w:ascii="Arial" w:hAnsi="Arial" w:cs="Arial"/>
                <w:color w:val="333333"/>
                <w:sz w:val="24"/>
                <w:szCs w:val="24"/>
                <w:shd w:val="clear" w:color="auto" w:fill="FFFFFF"/>
              </w:rPr>
              <w:t xml:space="preserve">, </w:t>
            </w:r>
            <w:proofErr w:type="spellStart"/>
            <w:r w:rsidR="003C5D7E" w:rsidRPr="003C5D7E">
              <w:rPr>
                <w:rFonts w:ascii="Arial" w:hAnsi="Arial" w:cs="Arial"/>
                <w:color w:val="333333"/>
                <w:sz w:val="24"/>
                <w:szCs w:val="24"/>
                <w:shd w:val="clear" w:color="auto" w:fill="FFFFFF"/>
              </w:rPr>
              <w:t>Kauta</w:t>
            </w:r>
            <w:proofErr w:type="spellEnd"/>
            <w:r w:rsidR="003C5D7E" w:rsidRPr="003C5D7E">
              <w:rPr>
                <w:rFonts w:ascii="Arial" w:hAnsi="Arial" w:cs="Arial"/>
                <w:color w:val="333333"/>
                <w:sz w:val="24"/>
                <w:szCs w:val="24"/>
                <w:shd w:val="clear" w:color="auto" w:fill="FFFFFF"/>
              </w:rPr>
              <w:t xml:space="preserve"> &amp; </w:t>
            </w:r>
            <w:proofErr w:type="spellStart"/>
            <w:r w:rsidR="003C5D7E" w:rsidRPr="003C5D7E">
              <w:rPr>
                <w:rFonts w:ascii="Arial" w:hAnsi="Arial" w:cs="Arial"/>
                <w:color w:val="333333"/>
                <w:sz w:val="24"/>
                <w:szCs w:val="24"/>
                <w:shd w:val="clear" w:color="auto" w:fill="FFFFFF"/>
              </w:rPr>
              <w:t>Hoveka</w:t>
            </w:r>
            <w:proofErr w:type="spellEnd"/>
            <w:r w:rsidR="003C5D7E" w:rsidRPr="003C5D7E">
              <w:rPr>
                <w:rFonts w:ascii="Arial" w:hAnsi="Arial" w:cs="Arial"/>
                <w:color w:val="333333"/>
                <w:sz w:val="24"/>
                <w:szCs w:val="24"/>
                <w:shd w:val="clear" w:color="auto" w:fill="FFFFFF"/>
              </w:rPr>
              <w:t xml:space="preserve"> Inc</w:t>
            </w:r>
            <w:r w:rsidR="00C9470C" w:rsidRPr="00C9470C">
              <w:rPr>
                <w:rFonts w:ascii="Arial" w:hAnsi="Arial" w:cs="Arial"/>
                <w:color w:val="333333"/>
                <w:sz w:val="24"/>
                <w:szCs w:val="24"/>
                <w:shd w:val="clear" w:color="auto" w:fill="FFFFFF"/>
              </w:rPr>
              <w:t>.</w:t>
            </w:r>
            <w:r w:rsidR="00C9470C">
              <w:rPr>
                <w:rFonts w:ascii="Arial" w:hAnsi="Arial" w:cs="Arial"/>
                <w:color w:val="333333"/>
                <w:sz w:val="24"/>
                <w:szCs w:val="24"/>
                <w:shd w:val="clear" w:color="auto" w:fill="FFFFFF"/>
              </w:rPr>
              <w:t>, Windhoek</w:t>
            </w:r>
            <w:r w:rsidR="00F04A7B">
              <w:rPr>
                <w:rFonts w:ascii="Arial" w:hAnsi="Arial" w:cs="Arial"/>
                <w:color w:val="333333"/>
                <w:sz w:val="24"/>
                <w:szCs w:val="24"/>
                <w:shd w:val="clear" w:color="auto" w:fill="FFFFFF"/>
              </w:rPr>
              <w:t>.</w:t>
            </w:r>
          </w:p>
          <w:p w:rsidR="005B7BF9" w:rsidRPr="00317404" w:rsidRDefault="005B7BF9" w:rsidP="00C9470C">
            <w:pPr>
              <w:spacing w:after="0" w:line="360" w:lineRule="auto"/>
              <w:jc w:val="both"/>
              <w:rPr>
                <w:rFonts w:ascii="Arial" w:eastAsia="Times New Roman" w:hAnsi="Arial" w:cs="Arial"/>
                <w:sz w:val="24"/>
                <w:szCs w:val="24"/>
                <w:lang w:eastAsia="en-GB"/>
              </w:rPr>
            </w:pPr>
          </w:p>
        </w:tc>
        <w:tc>
          <w:tcPr>
            <w:tcW w:w="5245" w:type="dxa"/>
            <w:gridSpan w:val="2"/>
            <w:tcBorders>
              <w:top w:val="single" w:sz="4" w:space="0" w:color="auto"/>
              <w:left w:val="single" w:sz="4" w:space="0" w:color="auto"/>
              <w:bottom w:val="single" w:sz="4" w:space="0" w:color="auto"/>
              <w:right w:val="single" w:sz="4" w:space="0" w:color="auto"/>
            </w:tcBorders>
          </w:tcPr>
          <w:p w:rsidR="003C5D7E" w:rsidRPr="003C5D7E" w:rsidRDefault="003C5D7E" w:rsidP="00F04A7B">
            <w:pPr>
              <w:spacing w:after="0" w:line="360" w:lineRule="auto"/>
              <w:jc w:val="center"/>
              <w:rPr>
                <w:rFonts w:ascii="Arial" w:hAnsi="Arial" w:cs="Arial"/>
                <w:color w:val="333333"/>
                <w:sz w:val="24"/>
                <w:szCs w:val="24"/>
                <w:shd w:val="clear" w:color="auto" w:fill="FFFFFF"/>
              </w:rPr>
            </w:pPr>
            <w:r w:rsidRPr="003C5D7E">
              <w:rPr>
                <w:rFonts w:ascii="Arial" w:hAnsi="Arial" w:cs="Arial"/>
                <w:color w:val="333333"/>
                <w:sz w:val="24"/>
                <w:szCs w:val="24"/>
                <w:shd w:val="clear" w:color="auto" w:fill="FFFFFF"/>
              </w:rPr>
              <w:t>YS Eichas</w:t>
            </w:r>
          </w:p>
          <w:p w:rsidR="005B7BF9" w:rsidRPr="00317404" w:rsidRDefault="00F04A7B" w:rsidP="00F04A7B">
            <w:pPr>
              <w:spacing w:after="0" w:line="360" w:lineRule="auto"/>
              <w:jc w:val="center"/>
              <w:rPr>
                <w:rFonts w:ascii="Arial" w:eastAsia="Times New Roman" w:hAnsi="Arial" w:cs="Arial"/>
                <w:sz w:val="24"/>
                <w:szCs w:val="24"/>
                <w:lang w:eastAsia="en-GB"/>
              </w:rPr>
            </w:pPr>
            <w:r>
              <w:rPr>
                <w:rFonts w:ascii="Arial" w:hAnsi="Arial" w:cs="Arial"/>
                <w:color w:val="333333"/>
                <w:sz w:val="24"/>
                <w:szCs w:val="24"/>
                <w:shd w:val="clear" w:color="auto" w:fill="FFFFFF"/>
              </w:rPr>
              <w:t>In person.</w:t>
            </w:r>
          </w:p>
        </w:tc>
      </w:tr>
    </w:tbl>
    <w:p w:rsidR="007D437D" w:rsidRDefault="007D437D" w:rsidP="00A91522">
      <w:pPr>
        <w:spacing w:line="360" w:lineRule="auto"/>
        <w:jc w:val="both"/>
        <w:rPr>
          <w:rFonts w:ascii="Arial" w:hAnsi="Arial" w:cs="Arial"/>
          <w:sz w:val="24"/>
          <w:szCs w:val="24"/>
        </w:rPr>
      </w:pPr>
    </w:p>
    <w:sectPr w:rsidR="007D437D" w:rsidSect="00AA3231">
      <w:headerReference w:type="default" r:id="rId9"/>
      <w:pgSz w:w="11906" w:h="16838"/>
      <w:pgMar w:top="1135"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148" w:rsidRDefault="000F2148" w:rsidP="001B7253">
      <w:pPr>
        <w:spacing w:after="0" w:line="240" w:lineRule="auto"/>
      </w:pPr>
      <w:r>
        <w:separator/>
      </w:r>
    </w:p>
  </w:endnote>
  <w:endnote w:type="continuationSeparator" w:id="0">
    <w:p w:rsidR="000F2148" w:rsidRDefault="000F2148"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148" w:rsidRDefault="000F2148" w:rsidP="001B7253">
      <w:pPr>
        <w:spacing w:after="0" w:line="240" w:lineRule="auto"/>
      </w:pPr>
      <w:r>
        <w:separator/>
      </w:r>
    </w:p>
  </w:footnote>
  <w:footnote w:type="continuationSeparator" w:id="0">
    <w:p w:rsidR="000F2148" w:rsidRDefault="000F2148" w:rsidP="001B7253">
      <w:pPr>
        <w:spacing w:after="0" w:line="240" w:lineRule="auto"/>
      </w:pPr>
      <w:r>
        <w:continuationSeparator/>
      </w:r>
    </w:p>
  </w:footnote>
  <w:footnote w:id="1">
    <w:p w:rsidR="002C0C81" w:rsidRPr="00C51C1B" w:rsidRDefault="002C0C81" w:rsidP="002C0C81">
      <w:pPr>
        <w:pStyle w:val="FootnoteText"/>
        <w:rPr>
          <w:rFonts w:ascii="Arial" w:hAnsi="Arial" w:cs="Arial"/>
          <w:lang w:val="en-US"/>
        </w:rPr>
      </w:pPr>
      <w:r>
        <w:rPr>
          <w:rStyle w:val="FootnoteReference"/>
        </w:rPr>
        <w:footnoteRef/>
      </w:r>
      <w:r>
        <w:t xml:space="preserve"> </w:t>
      </w:r>
      <w:proofErr w:type="spellStart"/>
      <w:r w:rsidRPr="00C51C1B">
        <w:rPr>
          <w:rFonts w:ascii="Arial" w:hAnsi="Arial" w:cs="Arial"/>
          <w:i/>
        </w:rPr>
        <w:t>Maharaj</w:t>
      </w:r>
      <w:proofErr w:type="spellEnd"/>
      <w:r w:rsidRPr="00C51C1B">
        <w:rPr>
          <w:rFonts w:ascii="Arial" w:hAnsi="Arial" w:cs="Arial"/>
          <w:i/>
        </w:rPr>
        <w:t xml:space="preserve"> v Barclays National Bank Ltd</w:t>
      </w:r>
      <w:r w:rsidRPr="00C51C1B">
        <w:rPr>
          <w:rFonts w:ascii="Arial" w:hAnsi="Arial" w:cs="Arial"/>
        </w:rPr>
        <w:t xml:space="preserve"> 1976 (1) SA 418 (A) at 426A</w:t>
      </w:r>
      <w:r w:rsidR="00C51C1B">
        <w:rPr>
          <w:rFonts w:ascii="Arial" w:hAnsi="Arial" w:cs="Arial"/>
        </w:rPr>
        <w:t>.</w:t>
      </w:r>
    </w:p>
  </w:footnote>
  <w:footnote w:id="2">
    <w:p w:rsidR="002C0C81" w:rsidRPr="00EA3733" w:rsidRDefault="002C0C81" w:rsidP="002C0C81">
      <w:pPr>
        <w:pStyle w:val="FootnoteText"/>
        <w:jc w:val="both"/>
        <w:rPr>
          <w:rFonts w:ascii="Arial" w:hAnsi="Arial" w:cs="Arial"/>
          <w:color w:val="000000" w:themeColor="text1"/>
        </w:rPr>
      </w:pPr>
      <w:r w:rsidRPr="00EA3733">
        <w:rPr>
          <w:rStyle w:val="FootnoteReference"/>
          <w:rFonts w:ascii="Arial" w:hAnsi="Arial" w:cs="Arial"/>
          <w:color w:val="000000" w:themeColor="text1"/>
        </w:rPr>
        <w:footnoteRef/>
      </w:r>
      <w:r w:rsidRPr="00EA3733">
        <w:rPr>
          <w:rFonts w:ascii="Arial" w:hAnsi="Arial" w:cs="Arial"/>
          <w:color w:val="000000" w:themeColor="text1"/>
        </w:rPr>
        <w:t xml:space="preserve"> </w:t>
      </w:r>
      <w:r w:rsidRPr="001A751D">
        <w:rPr>
          <w:rFonts w:ascii="Arial" w:hAnsi="Arial" w:cs="Arial"/>
          <w:i/>
          <w:color w:val="000000" w:themeColor="text1"/>
          <w:lang w:val="en-US"/>
        </w:rPr>
        <w:t xml:space="preserve">Lofty-Eaton v Ramos </w:t>
      </w:r>
      <w:r w:rsidRPr="00EA3733">
        <w:rPr>
          <w:rFonts w:ascii="Arial" w:hAnsi="Arial" w:cs="Arial"/>
          <w:color w:val="000000" w:themeColor="text1"/>
        </w:rPr>
        <w:t>(I 1386/2013) [2013] NAHCMD 322 (08 November 2013).</w:t>
      </w:r>
    </w:p>
  </w:footnote>
  <w:footnote w:id="3">
    <w:p w:rsidR="002C0C81" w:rsidRPr="00EA3733" w:rsidRDefault="002C0C81" w:rsidP="002C0C81">
      <w:pPr>
        <w:pStyle w:val="FootnoteText"/>
        <w:jc w:val="both"/>
        <w:rPr>
          <w:rFonts w:ascii="Arial" w:hAnsi="Arial" w:cs="Arial"/>
          <w:color w:val="000000" w:themeColor="text1"/>
        </w:rPr>
      </w:pPr>
      <w:r w:rsidRPr="00EA3733">
        <w:rPr>
          <w:rStyle w:val="FootnoteReference"/>
          <w:rFonts w:ascii="Arial" w:hAnsi="Arial" w:cs="Arial"/>
          <w:color w:val="000000" w:themeColor="text1"/>
        </w:rPr>
        <w:footnoteRef/>
      </w:r>
      <w:r w:rsidRPr="00EA3733">
        <w:rPr>
          <w:rFonts w:ascii="Arial" w:hAnsi="Arial" w:cs="Arial"/>
          <w:color w:val="000000" w:themeColor="text1"/>
        </w:rPr>
        <w:t xml:space="preserve"> </w:t>
      </w:r>
      <w:r w:rsidRPr="001A751D">
        <w:rPr>
          <w:rFonts w:ascii="Arial" w:hAnsi="Arial" w:cs="Arial"/>
          <w:i/>
          <w:color w:val="000000" w:themeColor="text1"/>
          <w:lang w:val="en-US"/>
        </w:rPr>
        <w:t xml:space="preserve">Standard Bank of Namibia Ltd v </w:t>
      </w:r>
      <w:proofErr w:type="spellStart"/>
      <w:r w:rsidRPr="001A751D">
        <w:rPr>
          <w:rFonts w:ascii="Arial" w:hAnsi="Arial" w:cs="Arial"/>
          <w:i/>
          <w:color w:val="000000" w:themeColor="text1"/>
          <w:lang w:val="en-US"/>
        </w:rPr>
        <w:t>Veldsman</w:t>
      </w:r>
      <w:proofErr w:type="spellEnd"/>
      <w:r w:rsidRPr="001A751D">
        <w:rPr>
          <w:rFonts w:ascii="Arial" w:hAnsi="Arial" w:cs="Arial"/>
          <w:color w:val="000000" w:themeColor="text1"/>
        </w:rPr>
        <w:t xml:space="preserve"> </w:t>
      </w:r>
      <w:r w:rsidRPr="00EA3733">
        <w:rPr>
          <w:rFonts w:ascii="Arial" w:hAnsi="Arial" w:cs="Arial"/>
          <w:color w:val="000000" w:themeColor="text1"/>
        </w:rPr>
        <w:t>1993 NR 391 (HC).</w:t>
      </w:r>
    </w:p>
  </w:footnote>
  <w:footnote w:id="4">
    <w:p w:rsidR="002C0C81" w:rsidRPr="00C02310" w:rsidRDefault="002C0C81" w:rsidP="002C0C81">
      <w:pPr>
        <w:pStyle w:val="FootnoteText"/>
        <w:jc w:val="both"/>
        <w:rPr>
          <w:rFonts w:ascii="Arial" w:hAnsi="Arial" w:cs="Arial"/>
        </w:rPr>
      </w:pPr>
      <w:r w:rsidRPr="00EA3733">
        <w:rPr>
          <w:rStyle w:val="FootnoteReference"/>
          <w:rFonts w:ascii="Arial" w:hAnsi="Arial" w:cs="Arial"/>
          <w:color w:val="000000" w:themeColor="text1"/>
        </w:rPr>
        <w:footnoteRef/>
      </w:r>
      <w:r w:rsidRPr="00EA3733">
        <w:rPr>
          <w:rFonts w:ascii="Arial" w:hAnsi="Arial" w:cs="Arial"/>
          <w:color w:val="000000" w:themeColor="text1"/>
        </w:rPr>
        <w:t xml:space="preserve"> </w:t>
      </w:r>
      <w:proofErr w:type="spellStart"/>
      <w:r w:rsidRPr="001A751D">
        <w:rPr>
          <w:rFonts w:ascii="Arial" w:hAnsi="Arial" w:cs="Arial"/>
          <w:i/>
          <w:color w:val="000000" w:themeColor="text1"/>
          <w:lang w:val="en-US"/>
        </w:rPr>
        <w:t>Caston</w:t>
      </w:r>
      <w:proofErr w:type="spellEnd"/>
      <w:r w:rsidRPr="001A751D">
        <w:rPr>
          <w:rFonts w:ascii="Arial" w:hAnsi="Arial" w:cs="Arial"/>
          <w:i/>
          <w:color w:val="000000" w:themeColor="text1"/>
          <w:lang w:val="en-US"/>
        </w:rPr>
        <w:t xml:space="preserve"> Ltd v </w:t>
      </w:r>
      <w:proofErr w:type="spellStart"/>
      <w:r w:rsidRPr="001A751D">
        <w:rPr>
          <w:rFonts w:ascii="Arial" w:hAnsi="Arial" w:cs="Arial"/>
          <w:i/>
          <w:color w:val="000000" w:themeColor="text1"/>
          <w:lang w:val="en-US"/>
        </w:rPr>
        <w:t>Barrigo</w:t>
      </w:r>
      <w:proofErr w:type="spellEnd"/>
      <w:r w:rsidRPr="001A751D">
        <w:rPr>
          <w:rFonts w:ascii="Arial" w:hAnsi="Arial" w:cs="Arial"/>
          <w:color w:val="000000" w:themeColor="text1"/>
        </w:rPr>
        <w:t xml:space="preserve"> </w:t>
      </w:r>
      <w:r w:rsidRPr="00EA3733">
        <w:rPr>
          <w:rFonts w:ascii="Arial" w:hAnsi="Arial" w:cs="Arial"/>
          <w:color w:val="000000" w:themeColor="text1"/>
        </w:rPr>
        <w:t xml:space="preserve">1960 (4) SA I at </w:t>
      </w:r>
      <w:r w:rsidRPr="00C02310">
        <w:rPr>
          <w:rFonts w:ascii="Arial" w:hAnsi="Arial" w:cs="Arial"/>
        </w:rPr>
        <w:t>3H.</w:t>
      </w:r>
    </w:p>
  </w:footnote>
  <w:footnote w:id="5">
    <w:p w:rsidR="002C0C81" w:rsidRPr="00D0277D" w:rsidRDefault="002C0C81" w:rsidP="002C0C81">
      <w:pPr>
        <w:pStyle w:val="FootnoteText"/>
        <w:rPr>
          <w:lang w:val="en-US"/>
        </w:rPr>
      </w:pPr>
      <w:r>
        <w:rPr>
          <w:rStyle w:val="FootnoteReference"/>
        </w:rPr>
        <w:footnoteRef/>
      </w:r>
      <w:r w:rsidRPr="00D0277D">
        <w:t xml:space="preserve"> </w:t>
      </w:r>
      <w:proofErr w:type="spellStart"/>
      <w:r w:rsidRPr="005F51E4">
        <w:rPr>
          <w:rFonts w:ascii="Arial" w:hAnsi="Arial" w:cs="Arial"/>
          <w:i/>
        </w:rPr>
        <w:t>Kisilipile</w:t>
      </w:r>
      <w:proofErr w:type="spellEnd"/>
      <w:r w:rsidRPr="005F51E4">
        <w:rPr>
          <w:rFonts w:ascii="Arial" w:hAnsi="Arial" w:cs="Arial"/>
          <w:i/>
        </w:rPr>
        <w:t xml:space="preserve"> v First National Bank of Namibia</w:t>
      </w:r>
      <w:r w:rsidR="00BD34C2">
        <w:rPr>
          <w:rFonts w:ascii="Arial" w:hAnsi="Arial" w:cs="Arial"/>
        </w:rPr>
        <w:t xml:space="preserve"> 2021 (4) NR 921 SC</w:t>
      </w:r>
      <w:r w:rsidRPr="005F51E4">
        <w:rPr>
          <w:rFonts w:ascii="Arial" w:hAnsi="Arial" w:cs="Arial"/>
        </w:rPr>
        <w:t xml:space="preserve"> par</w:t>
      </w:r>
      <w:r w:rsidR="00BD34C2">
        <w:rPr>
          <w:rFonts w:ascii="Arial" w:hAnsi="Arial" w:cs="Arial"/>
        </w:rPr>
        <w:t>a</w:t>
      </w:r>
      <w:r w:rsidRPr="005F51E4">
        <w:rPr>
          <w:rFonts w:ascii="Arial" w:hAnsi="Arial" w:cs="Arial"/>
        </w:rPr>
        <w:t xml:space="preserve">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46637"/>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443BD7">
          <w:rPr>
            <w:noProof/>
          </w:rPr>
          <w:t>7</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0AE2"/>
    <w:multiLevelType w:val="hybridMultilevel"/>
    <w:tmpl w:val="D4125D86"/>
    <w:lvl w:ilvl="0" w:tplc="47D64F1A">
      <w:start w:val="1"/>
      <w:numFmt w:val="lowerLetter"/>
      <w:lvlText w:val="(%1)"/>
      <w:lvlJc w:val="left"/>
      <w:pPr>
        <w:ind w:left="1429" w:hanging="720"/>
      </w:pPr>
      <w:rPr>
        <w:rFonts w:ascii="Arial" w:eastAsiaTheme="minorHAnsi" w:hAnsi="Arial" w:cs="Arial"/>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02906ADE"/>
    <w:multiLevelType w:val="hybridMultilevel"/>
    <w:tmpl w:val="844CFE3A"/>
    <w:lvl w:ilvl="0" w:tplc="D85E2E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6D3B1B"/>
    <w:multiLevelType w:val="hybridMultilevel"/>
    <w:tmpl w:val="E2B27EC2"/>
    <w:lvl w:ilvl="0" w:tplc="47BC625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8D0F68"/>
    <w:multiLevelType w:val="multilevel"/>
    <w:tmpl w:val="8AF0A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7">
    <w:nsid w:val="162B158A"/>
    <w:multiLevelType w:val="hybridMultilevel"/>
    <w:tmpl w:val="E3F0F448"/>
    <w:lvl w:ilvl="0" w:tplc="DC8681D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9">
    <w:nsid w:val="179C7F1A"/>
    <w:multiLevelType w:val="hybridMultilevel"/>
    <w:tmpl w:val="19E25AB4"/>
    <w:lvl w:ilvl="0" w:tplc="CEB0B9C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1">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nsid w:val="22A4354D"/>
    <w:multiLevelType w:val="hybridMultilevel"/>
    <w:tmpl w:val="C3228E76"/>
    <w:lvl w:ilvl="0" w:tplc="09C8ABC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nsid w:val="26122ADB"/>
    <w:multiLevelType w:val="hybridMultilevel"/>
    <w:tmpl w:val="27ECCFA8"/>
    <w:lvl w:ilvl="0" w:tplc="799A94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DD9088A"/>
    <w:multiLevelType w:val="hybridMultilevel"/>
    <w:tmpl w:val="7186C2C8"/>
    <w:lvl w:ilvl="0" w:tplc="A57AAE5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2E1471F3"/>
    <w:multiLevelType w:val="hybridMultilevel"/>
    <w:tmpl w:val="810AEB28"/>
    <w:lvl w:ilvl="0" w:tplc="6120A1D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nsid w:val="2E151FAF"/>
    <w:multiLevelType w:val="hybridMultilevel"/>
    <w:tmpl w:val="5508A922"/>
    <w:lvl w:ilvl="0" w:tplc="6D167830">
      <w:start w:val="8"/>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8">
    <w:nsid w:val="30DC2CAC"/>
    <w:multiLevelType w:val="hybridMultilevel"/>
    <w:tmpl w:val="CF5C776A"/>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nsid w:val="314F5404"/>
    <w:multiLevelType w:val="hybridMultilevel"/>
    <w:tmpl w:val="5EE02090"/>
    <w:lvl w:ilvl="0" w:tplc="2B7803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nsid w:val="34415217"/>
    <w:multiLevelType w:val="hybridMultilevel"/>
    <w:tmpl w:val="E4841E9E"/>
    <w:lvl w:ilvl="0" w:tplc="D04C9B8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4787FDD"/>
    <w:multiLevelType w:val="hybridMultilevel"/>
    <w:tmpl w:val="341EF0A8"/>
    <w:lvl w:ilvl="0" w:tplc="7758D5B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nsid w:val="4D296BE3"/>
    <w:multiLevelType w:val="hybridMultilevel"/>
    <w:tmpl w:val="54082CBA"/>
    <w:lvl w:ilvl="0" w:tplc="A3ACB0C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8">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9">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0">
    <w:nsid w:val="52EB5AF0"/>
    <w:multiLevelType w:val="hybridMultilevel"/>
    <w:tmpl w:val="C9CC4AE2"/>
    <w:lvl w:ilvl="0" w:tplc="C66801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3B6389E"/>
    <w:multiLevelType w:val="hybridMultilevel"/>
    <w:tmpl w:val="C9DC8E1A"/>
    <w:lvl w:ilvl="0" w:tplc="B10A587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2">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3">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67E043B0"/>
    <w:multiLevelType w:val="hybridMultilevel"/>
    <w:tmpl w:val="4C9A2008"/>
    <w:lvl w:ilvl="0" w:tplc="C2969B6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5">
    <w:nsid w:val="6A2C78B0"/>
    <w:multiLevelType w:val="hybridMultilevel"/>
    <w:tmpl w:val="FF306082"/>
    <w:lvl w:ilvl="0" w:tplc="D58E27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7">
    <w:nsid w:val="6D9D7406"/>
    <w:multiLevelType w:val="hybridMultilevel"/>
    <w:tmpl w:val="730E824A"/>
    <w:lvl w:ilvl="0" w:tplc="38AED770">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8">
    <w:nsid w:val="6E0F14E6"/>
    <w:multiLevelType w:val="hybridMultilevel"/>
    <w:tmpl w:val="6AB0483C"/>
    <w:lvl w:ilvl="0" w:tplc="4AF64C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0">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14D7128"/>
    <w:multiLevelType w:val="hybridMultilevel"/>
    <w:tmpl w:val="D00A87D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2">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43">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C2C7052"/>
    <w:multiLevelType w:val="hybridMultilevel"/>
    <w:tmpl w:val="2E0C074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45"/>
  </w:num>
  <w:num w:numId="2">
    <w:abstractNumId w:val="3"/>
  </w:num>
  <w:num w:numId="3">
    <w:abstractNumId w:val="20"/>
  </w:num>
  <w:num w:numId="4">
    <w:abstractNumId w:val="10"/>
  </w:num>
  <w:num w:numId="5">
    <w:abstractNumId w:val="40"/>
  </w:num>
  <w:num w:numId="6">
    <w:abstractNumId w:val="42"/>
  </w:num>
  <w:num w:numId="7">
    <w:abstractNumId w:val="26"/>
  </w:num>
  <w:num w:numId="8">
    <w:abstractNumId w:val="39"/>
  </w:num>
  <w:num w:numId="9">
    <w:abstractNumId w:val="36"/>
  </w:num>
  <w:num w:numId="10">
    <w:abstractNumId w:val="17"/>
  </w:num>
  <w:num w:numId="11">
    <w:abstractNumId w:val="29"/>
  </w:num>
  <w:num w:numId="12">
    <w:abstractNumId w:val="44"/>
  </w:num>
  <w:num w:numId="13">
    <w:abstractNumId w:val="4"/>
  </w:num>
  <w:num w:numId="14">
    <w:abstractNumId w:val="24"/>
  </w:num>
  <w:num w:numId="15">
    <w:abstractNumId w:val="33"/>
  </w:num>
  <w:num w:numId="16">
    <w:abstractNumId w:val="8"/>
  </w:num>
  <w:num w:numId="17">
    <w:abstractNumId w:val="32"/>
  </w:num>
  <w:num w:numId="18">
    <w:abstractNumId w:val="6"/>
  </w:num>
  <w:num w:numId="19">
    <w:abstractNumId w:val="22"/>
  </w:num>
  <w:num w:numId="20">
    <w:abstractNumId w:val="28"/>
  </w:num>
  <w:num w:numId="21">
    <w:abstractNumId w:val="11"/>
  </w:num>
  <w:num w:numId="22">
    <w:abstractNumId w:val="23"/>
  </w:num>
  <w:num w:numId="23">
    <w:abstractNumId w:val="14"/>
  </w:num>
  <w:num w:numId="24">
    <w:abstractNumId w:val="18"/>
  </w:num>
  <w:num w:numId="25">
    <w:abstractNumId w:val="27"/>
  </w:num>
  <w:num w:numId="26">
    <w:abstractNumId w:val="41"/>
  </w:num>
  <w:num w:numId="27">
    <w:abstractNumId w:val="46"/>
  </w:num>
  <w:num w:numId="28">
    <w:abstractNumId w:val="15"/>
  </w:num>
  <w:num w:numId="29">
    <w:abstractNumId w:val="31"/>
  </w:num>
  <w:num w:numId="30">
    <w:abstractNumId w:val="25"/>
  </w:num>
  <w:num w:numId="31">
    <w:abstractNumId w:val="34"/>
  </w:num>
  <w:num w:numId="32">
    <w:abstractNumId w:val="38"/>
  </w:num>
  <w:num w:numId="33">
    <w:abstractNumId w:val="35"/>
  </w:num>
  <w:num w:numId="34">
    <w:abstractNumId w:val="0"/>
  </w:num>
  <w:num w:numId="35">
    <w:abstractNumId w:val="21"/>
  </w:num>
  <w:num w:numId="36">
    <w:abstractNumId w:val="37"/>
  </w:num>
  <w:num w:numId="37">
    <w:abstractNumId w:val="12"/>
  </w:num>
  <w:num w:numId="38">
    <w:abstractNumId w:val="9"/>
  </w:num>
  <w:num w:numId="39">
    <w:abstractNumId w:val="13"/>
  </w:num>
  <w:num w:numId="40">
    <w:abstractNumId w:val="1"/>
  </w:num>
  <w:num w:numId="41">
    <w:abstractNumId w:val="2"/>
  </w:num>
  <w:num w:numId="42">
    <w:abstractNumId w:val="43"/>
  </w:num>
  <w:num w:numId="43">
    <w:abstractNumId w:val="19"/>
  </w:num>
  <w:num w:numId="44">
    <w:abstractNumId w:val="30"/>
  </w:num>
  <w:num w:numId="45">
    <w:abstractNumId w:val="5"/>
  </w:num>
  <w:num w:numId="46">
    <w:abstractNumId w:val="7"/>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47CE"/>
    <w:rsid w:val="00004DC5"/>
    <w:rsid w:val="00005CA4"/>
    <w:rsid w:val="00005E0B"/>
    <w:rsid w:val="00006113"/>
    <w:rsid w:val="000113E9"/>
    <w:rsid w:val="0001191A"/>
    <w:rsid w:val="00012FA7"/>
    <w:rsid w:val="00015399"/>
    <w:rsid w:val="00015426"/>
    <w:rsid w:val="0001585D"/>
    <w:rsid w:val="000164B2"/>
    <w:rsid w:val="00016EEE"/>
    <w:rsid w:val="00017359"/>
    <w:rsid w:val="00020291"/>
    <w:rsid w:val="00021AAD"/>
    <w:rsid w:val="00022483"/>
    <w:rsid w:val="00023300"/>
    <w:rsid w:val="000252A5"/>
    <w:rsid w:val="0002731C"/>
    <w:rsid w:val="00027B2C"/>
    <w:rsid w:val="00027C8A"/>
    <w:rsid w:val="00030D20"/>
    <w:rsid w:val="000310BC"/>
    <w:rsid w:val="000332C1"/>
    <w:rsid w:val="00033528"/>
    <w:rsid w:val="00034731"/>
    <w:rsid w:val="00034D09"/>
    <w:rsid w:val="00034E0E"/>
    <w:rsid w:val="00035653"/>
    <w:rsid w:val="00037117"/>
    <w:rsid w:val="00041472"/>
    <w:rsid w:val="00042EA7"/>
    <w:rsid w:val="00042F22"/>
    <w:rsid w:val="00043118"/>
    <w:rsid w:val="0004448A"/>
    <w:rsid w:val="00046828"/>
    <w:rsid w:val="00046C2D"/>
    <w:rsid w:val="00046F43"/>
    <w:rsid w:val="0005057A"/>
    <w:rsid w:val="00050870"/>
    <w:rsid w:val="000517DB"/>
    <w:rsid w:val="00051B03"/>
    <w:rsid w:val="00051C93"/>
    <w:rsid w:val="00052C2C"/>
    <w:rsid w:val="00053282"/>
    <w:rsid w:val="000538D3"/>
    <w:rsid w:val="000539C3"/>
    <w:rsid w:val="00054921"/>
    <w:rsid w:val="000550BD"/>
    <w:rsid w:val="000552F2"/>
    <w:rsid w:val="00056483"/>
    <w:rsid w:val="0005710F"/>
    <w:rsid w:val="00057A76"/>
    <w:rsid w:val="000603EB"/>
    <w:rsid w:val="000613C9"/>
    <w:rsid w:val="00063100"/>
    <w:rsid w:val="00064295"/>
    <w:rsid w:val="00065F2B"/>
    <w:rsid w:val="000667E5"/>
    <w:rsid w:val="00067070"/>
    <w:rsid w:val="00070B64"/>
    <w:rsid w:val="000710C5"/>
    <w:rsid w:val="00072707"/>
    <w:rsid w:val="0007416C"/>
    <w:rsid w:val="000744B4"/>
    <w:rsid w:val="00076ECA"/>
    <w:rsid w:val="00077093"/>
    <w:rsid w:val="000800AC"/>
    <w:rsid w:val="00081F90"/>
    <w:rsid w:val="00082BF0"/>
    <w:rsid w:val="000833A6"/>
    <w:rsid w:val="000843D6"/>
    <w:rsid w:val="00084943"/>
    <w:rsid w:val="00085ABE"/>
    <w:rsid w:val="00090801"/>
    <w:rsid w:val="00091502"/>
    <w:rsid w:val="00091BA7"/>
    <w:rsid w:val="00092610"/>
    <w:rsid w:val="00096C84"/>
    <w:rsid w:val="00097237"/>
    <w:rsid w:val="000A3A1A"/>
    <w:rsid w:val="000A5BBF"/>
    <w:rsid w:val="000A745C"/>
    <w:rsid w:val="000B0270"/>
    <w:rsid w:val="000B1146"/>
    <w:rsid w:val="000B3303"/>
    <w:rsid w:val="000B3A5A"/>
    <w:rsid w:val="000C0092"/>
    <w:rsid w:val="000C34AC"/>
    <w:rsid w:val="000C422B"/>
    <w:rsid w:val="000C6039"/>
    <w:rsid w:val="000C7826"/>
    <w:rsid w:val="000D0541"/>
    <w:rsid w:val="000D0F54"/>
    <w:rsid w:val="000D5000"/>
    <w:rsid w:val="000D64A5"/>
    <w:rsid w:val="000D7A12"/>
    <w:rsid w:val="000E1CBE"/>
    <w:rsid w:val="000E243C"/>
    <w:rsid w:val="000E2630"/>
    <w:rsid w:val="000E2A69"/>
    <w:rsid w:val="000E2D0E"/>
    <w:rsid w:val="000E6026"/>
    <w:rsid w:val="000E6412"/>
    <w:rsid w:val="000E6CDD"/>
    <w:rsid w:val="000E75DA"/>
    <w:rsid w:val="000F06CE"/>
    <w:rsid w:val="000F2148"/>
    <w:rsid w:val="000F3428"/>
    <w:rsid w:val="000F4F91"/>
    <w:rsid w:val="000F530A"/>
    <w:rsid w:val="000F5E1C"/>
    <w:rsid w:val="000F6B22"/>
    <w:rsid w:val="000F6E8A"/>
    <w:rsid w:val="000F7B53"/>
    <w:rsid w:val="001000A0"/>
    <w:rsid w:val="001026BD"/>
    <w:rsid w:val="00102AFF"/>
    <w:rsid w:val="00102CCD"/>
    <w:rsid w:val="001035B8"/>
    <w:rsid w:val="001039E8"/>
    <w:rsid w:val="00105B0E"/>
    <w:rsid w:val="00105B20"/>
    <w:rsid w:val="00107BE8"/>
    <w:rsid w:val="00111B41"/>
    <w:rsid w:val="00111EB9"/>
    <w:rsid w:val="0011237C"/>
    <w:rsid w:val="001149A9"/>
    <w:rsid w:val="00114A44"/>
    <w:rsid w:val="00114A59"/>
    <w:rsid w:val="0012197C"/>
    <w:rsid w:val="001229C9"/>
    <w:rsid w:val="0012460A"/>
    <w:rsid w:val="001248D9"/>
    <w:rsid w:val="00124AFB"/>
    <w:rsid w:val="00125E9B"/>
    <w:rsid w:val="001269E8"/>
    <w:rsid w:val="00127D2C"/>
    <w:rsid w:val="0013113C"/>
    <w:rsid w:val="001315A5"/>
    <w:rsid w:val="001317F8"/>
    <w:rsid w:val="0013204A"/>
    <w:rsid w:val="00132F96"/>
    <w:rsid w:val="00140142"/>
    <w:rsid w:val="00140773"/>
    <w:rsid w:val="00141CC7"/>
    <w:rsid w:val="001435B2"/>
    <w:rsid w:val="00144A1D"/>
    <w:rsid w:val="001452AA"/>
    <w:rsid w:val="001456F7"/>
    <w:rsid w:val="0014629C"/>
    <w:rsid w:val="001469FD"/>
    <w:rsid w:val="00147D6E"/>
    <w:rsid w:val="00150F50"/>
    <w:rsid w:val="00150F6B"/>
    <w:rsid w:val="001511B8"/>
    <w:rsid w:val="0015333C"/>
    <w:rsid w:val="001542BB"/>
    <w:rsid w:val="00154CF4"/>
    <w:rsid w:val="00155737"/>
    <w:rsid w:val="00155C0D"/>
    <w:rsid w:val="00157A46"/>
    <w:rsid w:val="00157F2E"/>
    <w:rsid w:val="00160D1E"/>
    <w:rsid w:val="0016170C"/>
    <w:rsid w:val="00162193"/>
    <w:rsid w:val="0016361E"/>
    <w:rsid w:val="00163BF7"/>
    <w:rsid w:val="001644B9"/>
    <w:rsid w:val="00164682"/>
    <w:rsid w:val="00165E35"/>
    <w:rsid w:val="001737AD"/>
    <w:rsid w:val="00173B22"/>
    <w:rsid w:val="00173F0F"/>
    <w:rsid w:val="001775F4"/>
    <w:rsid w:val="00177A5C"/>
    <w:rsid w:val="00177B90"/>
    <w:rsid w:val="00180D69"/>
    <w:rsid w:val="00181860"/>
    <w:rsid w:val="00181AD1"/>
    <w:rsid w:val="0018255E"/>
    <w:rsid w:val="00183F2D"/>
    <w:rsid w:val="00185AB5"/>
    <w:rsid w:val="00185DE7"/>
    <w:rsid w:val="00185E37"/>
    <w:rsid w:val="001866EC"/>
    <w:rsid w:val="00186738"/>
    <w:rsid w:val="00186830"/>
    <w:rsid w:val="0018694C"/>
    <w:rsid w:val="00186D1D"/>
    <w:rsid w:val="00187423"/>
    <w:rsid w:val="00187515"/>
    <w:rsid w:val="0018753F"/>
    <w:rsid w:val="001945B5"/>
    <w:rsid w:val="00195D62"/>
    <w:rsid w:val="00197A53"/>
    <w:rsid w:val="001A115C"/>
    <w:rsid w:val="001A2BBC"/>
    <w:rsid w:val="001A422D"/>
    <w:rsid w:val="001A4916"/>
    <w:rsid w:val="001A638B"/>
    <w:rsid w:val="001A7126"/>
    <w:rsid w:val="001A751D"/>
    <w:rsid w:val="001B0A52"/>
    <w:rsid w:val="001B0F0D"/>
    <w:rsid w:val="001B1852"/>
    <w:rsid w:val="001B29B7"/>
    <w:rsid w:val="001B3B89"/>
    <w:rsid w:val="001B53AD"/>
    <w:rsid w:val="001B70F9"/>
    <w:rsid w:val="001B7253"/>
    <w:rsid w:val="001C011E"/>
    <w:rsid w:val="001C2B31"/>
    <w:rsid w:val="001C41EF"/>
    <w:rsid w:val="001C4267"/>
    <w:rsid w:val="001D389D"/>
    <w:rsid w:val="001D3D37"/>
    <w:rsid w:val="001D4627"/>
    <w:rsid w:val="001E04AB"/>
    <w:rsid w:val="001E17C6"/>
    <w:rsid w:val="001E24DE"/>
    <w:rsid w:val="001E32E7"/>
    <w:rsid w:val="001E5854"/>
    <w:rsid w:val="001E5894"/>
    <w:rsid w:val="001E787D"/>
    <w:rsid w:val="001F0622"/>
    <w:rsid w:val="001F0CF0"/>
    <w:rsid w:val="001F150A"/>
    <w:rsid w:val="001F1BAF"/>
    <w:rsid w:val="001F3ADD"/>
    <w:rsid w:val="001F42C6"/>
    <w:rsid w:val="001F4AC7"/>
    <w:rsid w:val="001F6973"/>
    <w:rsid w:val="001F7F7F"/>
    <w:rsid w:val="002003C3"/>
    <w:rsid w:val="00201AD1"/>
    <w:rsid w:val="00203318"/>
    <w:rsid w:val="00204C8F"/>
    <w:rsid w:val="00204DFC"/>
    <w:rsid w:val="00205F86"/>
    <w:rsid w:val="00210487"/>
    <w:rsid w:val="00211364"/>
    <w:rsid w:val="00214BC6"/>
    <w:rsid w:val="002162B5"/>
    <w:rsid w:val="00216B67"/>
    <w:rsid w:val="00216EF3"/>
    <w:rsid w:val="0021748C"/>
    <w:rsid w:val="002176E3"/>
    <w:rsid w:val="002178B8"/>
    <w:rsid w:val="0022061C"/>
    <w:rsid w:val="002206B8"/>
    <w:rsid w:val="0022085C"/>
    <w:rsid w:val="00221819"/>
    <w:rsid w:val="00222311"/>
    <w:rsid w:val="00222602"/>
    <w:rsid w:val="00222F76"/>
    <w:rsid w:val="0022388C"/>
    <w:rsid w:val="002246DA"/>
    <w:rsid w:val="00224741"/>
    <w:rsid w:val="00224C90"/>
    <w:rsid w:val="00224D2B"/>
    <w:rsid w:val="002252C0"/>
    <w:rsid w:val="002258C0"/>
    <w:rsid w:val="00230524"/>
    <w:rsid w:val="00232D86"/>
    <w:rsid w:val="00236313"/>
    <w:rsid w:val="00236BF0"/>
    <w:rsid w:val="00236CA6"/>
    <w:rsid w:val="0023793B"/>
    <w:rsid w:val="00242CCD"/>
    <w:rsid w:val="00243F4F"/>
    <w:rsid w:val="00244918"/>
    <w:rsid w:val="00245214"/>
    <w:rsid w:val="00245581"/>
    <w:rsid w:val="00245751"/>
    <w:rsid w:val="002470BA"/>
    <w:rsid w:val="00247842"/>
    <w:rsid w:val="00247D93"/>
    <w:rsid w:val="00250E18"/>
    <w:rsid w:val="00250ECF"/>
    <w:rsid w:val="0025126C"/>
    <w:rsid w:val="00251B3C"/>
    <w:rsid w:val="00252B21"/>
    <w:rsid w:val="00252F02"/>
    <w:rsid w:val="002533E1"/>
    <w:rsid w:val="00255107"/>
    <w:rsid w:val="0025711B"/>
    <w:rsid w:val="002603E6"/>
    <w:rsid w:val="002616D1"/>
    <w:rsid w:val="0026521E"/>
    <w:rsid w:val="00267529"/>
    <w:rsid w:val="00271FA3"/>
    <w:rsid w:val="002748ED"/>
    <w:rsid w:val="002805A9"/>
    <w:rsid w:val="00282381"/>
    <w:rsid w:val="002830C7"/>
    <w:rsid w:val="00284CCD"/>
    <w:rsid w:val="00285204"/>
    <w:rsid w:val="0028572E"/>
    <w:rsid w:val="002860B4"/>
    <w:rsid w:val="002874E1"/>
    <w:rsid w:val="002904E9"/>
    <w:rsid w:val="0029067F"/>
    <w:rsid w:val="00291FE1"/>
    <w:rsid w:val="00296B44"/>
    <w:rsid w:val="002A1CA5"/>
    <w:rsid w:val="002A371B"/>
    <w:rsid w:val="002A37FF"/>
    <w:rsid w:val="002A4CAC"/>
    <w:rsid w:val="002A6ECF"/>
    <w:rsid w:val="002B2483"/>
    <w:rsid w:val="002B2C90"/>
    <w:rsid w:val="002B3711"/>
    <w:rsid w:val="002B5112"/>
    <w:rsid w:val="002B5480"/>
    <w:rsid w:val="002C0C81"/>
    <w:rsid w:val="002C438D"/>
    <w:rsid w:val="002C66E4"/>
    <w:rsid w:val="002D0B26"/>
    <w:rsid w:val="002D48B0"/>
    <w:rsid w:val="002D6E55"/>
    <w:rsid w:val="002D75FC"/>
    <w:rsid w:val="002E26EB"/>
    <w:rsid w:val="002E386B"/>
    <w:rsid w:val="002E3FF2"/>
    <w:rsid w:val="002E75E4"/>
    <w:rsid w:val="002F1008"/>
    <w:rsid w:val="002F3497"/>
    <w:rsid w:val="002F5DB0"/>
    <w:rsid w:val="00302CA5"/>
    <w:rsid w:val="00306FA8"/>
    <w:rsid w:val="00307087"/>
    <w:rsid w:val="00311914"/>
    <w:rsid w:val="00312002"/>
    <w:rsid w:val="003123C9"/>
    <w:rsid w:val="00313C3F"/>
    <w:rsid w:val="0031435F"/>
    <w:rsid w:val="00315D1F"/>
    <w:rsid w:val="00315F23"/>
    <w:rsid w:val="00316EB9"/>
    <w:rsid w:val="003171C8"/>
    <w:rsid w:val="00317404"/>
    <w:rsid w:val="00317783"/>
    <w:rsid w:val="0032006F"/>
    <w:rsid w:val="003227D5"/>
    <w:rsid w:val="00323881"/>
    <w:rsid w:val="00324950"/>
    <w:rsid w:val="003253E9"/>
    <w:rsid w:val="00325FEA"/>
    <w:rsid w:val="00327215"/>
    <w:rsid w:val="003323FC"/>
    <w:rsid w:val="0033780C"/>
    <w:rsid w:val="003412F2"/>
    <w:rsid w:val="00342263"/>
    <w:rsid w:val="00345E76"/>
    <w:rsid w:val="00351C8A"/>
    <w:rsid w:val="00353694"/>
    <w:rsid w:val="00357FF6"/>
    <w:rsid w:val="00360410"/>
    <w:rsid w:val="00361E37"/>
    <w:rsid w:val="00362A4A"/>
    <w:rsid w:val="00363112"/>
    <w:rsid w:val="003639DC"/>
    <w:rsid w:val="003657AE"/>
    <w:rsid w:val="003671BB"/>
    <w:rsid w:val="003708D1"/>
    <w:rsid w:val="003716BC"/>
    <w:rsid w:val="00371A91"/>
    <w:rsid w:val="003726D4"/>
    <w:rsid w:val="00372E61"/>
    <w:rsid w:val="00373CE5"/>
    <w:rsid w:val="00374082"/>
    <w:rsid w:val="003743CA"/>
    <w:rsid w:val="00375563"/>
    <w:rsid w:val="00375991"/>
    <w:rsid w:val="00376495"/>
    <w:rsid w:val="003774C9"/>
    <w:rsid w:val="00377DAA"/>
    <w:rsid w:val="00380E20"/>
    <w:rsid w:val="00384CF1"/>
    <w:rsid w:val="00384FE2"/>
    <w:rsid w:val="0038515A"/>
    <w:rsid w:val="00387909"/>
    <w:rsid w:val="00387EBC"/>
    <w:rsid w:val="00390488"/>
    <w:rsid w:val="00391864"/>
    <w:rsid w:val="003952DB"/>
    <w:rsid w:val="00396184"/>
    <w:rsid w:val="00396EF0"/>
    <w:rsid w:val="003A0130"/>
    <w:rsid w:val="003A0F0A"/>
    <w:rsid w:val="003A5ABF"/>
    <w:rsid w:val="003A5CEA"/>
    <w:rsid w:val="003A6C7E"/>
    <w:rsid w:val="003A6D95"/>
    <w:rsid w:val="003B1B87"/>
    <w:rsid w:val="003C2346"/>
    <w:rsid w:val="003C3970"/>
    <w:rsid w:val="003C4330"/>
    <w:rsid w:val="003C5D7E"/>
    <w:rsid w:val="003C6699"/>
    <w:rsid w:val="003C6BF4"/>
    <w:rsid w:val="003C6EF9"/>
    <w:rsid w:val="003D067E"/>
    <w:rsid w:val="003D0F40"/>
    <w:rsid w:val="003D10F3"/>
    <w:rsid w:val="003D1908"/>
    <w:rsid w:val="003D46DC"/>
    <w:rsid w:val="003E0C66"/>
    <w:rsid w:val="003E1A64"/>
    <w:rsid w:val="003E3DD0"/>
    <w:rsid w:val="003E407F"/>
    <w:rsid w:val="003E5CC9"/>
    <w:rsid w:val="003E5D2A"/>
    <w:rsid w:val="003E605A"/>
    <w:rsid w:val="003E69C8"/>
    <w:rsid w:val="003E6B22"/>
    <w:rsid w:val="003F006C"/>
    <w:rsid w:val="003F0FDD"/>
    <w:rsid w:val="003F39B9"/>
    <w:rsid w:val="003F49A2"/>
    <w:rsid w:val="003F7423"/>
    <w:rsid w:val="00400D2C"/>
    <w:rsid w:val="00402402"/>
    <w:rsid w:val="004025BD"/>
    <w:rsid w:val="00403208"/>
    <w:rsid w:val="00405186"/>
    <w:rsid w:val="004055EE"/>
    <w:rsid w:val="00406504"/>
    <w:rsid w:val="00407882"/>
    <w:rsid w:val="00407F37"/>
    <w:rsid w:val="00411533"/>
    <w:rsid w:val="0041163F"/>
    <w:rsid w:val="00411D55"/>
    <w:rsid w:val="004126D4"/>
    <w:rsid w:val="00412AFF"/>
    <w:rsid w:val="004131CE"/>
    <w:rsid w:val="004146BD"/>
    <w:rsid w:val="0041501E"/>
    <w:rsid w:val="00416BE7"/>
    <w:rsid w:val="00416F2A"/>
    <w:rsid w:val="00420821"/>
    <w:rsid w:val="004208B2"/>
    <w:rsid w:val="0042105B"/>
    <w:rsid w:val="004211C2"/>
    <w:rsid w:val="00421B89"/>
    <w:rsid w:val="00422698"/>
    <w:rsid w:val="00422B8D"/>
    <w:rsid w:val="00422F45"/>
    <w:rsid w:val="004279DE"/>
    <w:rsid w:val="0043136F"/>
    <w:rsid w:val="0043160F"/>
    <w:rsid w:val="00431E1E"/>
    <w:rsid w:val="00432FA6"/>
    <w:rsid w:val="00433017"/>
    <w:rsid w:val="00433837"/>
    <w:rsid w:val="004347DC"/>
    <w:rsid w:val="00436639"/>
    <w:rsid w:val="0043697F"/>
    <w:rsid w:val="004378DA"/>
    <w:rsid w:val="0044050C"/>
    <w:rsid w:val="00440959"/>
    <w:rsid w:val="00443BD7"/>
    <w:rsid w:val="0044408B"/>
    <w:rsid w:val="00444F75"/>
    <w:rsid w:val="00446568"/>
    <w:rsid w:val="00451752"/>
    <w:rsid w:val="00451FAB"/>
    <w:rsid w:val="00454294"/>
    <w:rsid w:val="00460777"/>
    <w:rsid w:val="0046091D"/>
    <w:rsid w:val="00460E3F"/>
    <w:rsid w:val="00461256"/>
    <w:rsid w:val="0046254D"/>
    <w:rsid w:val="0046315A"/>
    <w:rsid w:val="00463AB9"/>
    <w:rsid w:val="004645BA"/>
    <w:rsid w:val="0046593E"/>
    <w:rsid w:val="004662DD"/>
    <w:rsid w:val="0046784A"/>
    <w:rsid w:val="00471A00"/>
    <w:rsid w:val="0047247C"/>
    <w:rsid w:val="0047368E"/>
    <w:rsid w:val="004739B2"/>
    <w:rsid w:val="00474491"/>
    <w:rsid w:val="004752FD"/>
    <w:rsid w:val="00476E83"/>
    <w:rsid w:val="0047779C"/>
    <w:rsid w:val="00477F19"/>
    <w:rsid w:val="004817B1"/>
    <w:rsid w:val="00482FF6"/>
    <w:rsid w:val="004834DC"/>
    <w:rsid w:val="0048371F"/>
    <w:rsid w:val="00483D62"/>
    <w:rsid w:val="004855FD"/>
    <w:rsid w:val="00486E6B"/>
    <w:rsid w:val="00491176"/>
    <w:rsid w:val="00491B09"/>
    <w:rsid w:val="00491C13"/>
    <w:rsid w:val="00492257"/>
    <w:rsid w:val="00492AEC"/>
    <w:rsid w:val="00493E44"/>
    <w:rsid w:val="00494407"/>
    <w:rsid w:val="00494B38"/>
    <w:rsid w:val="0049512C"/>
    <w:rsid w:val="00495166"/>
    <w:rsid w:val="0049610C"/>
    <w:rsid w:val="00496688"/>
    <w:rsid w:val="00496D60"/>
    <w:rsid w:val="00497929"/>
    <w:rsid w:val="004A0DC2"/>
    <w:rsid w:val="004A13D3"/>
    <w:rsid w:val="004A1E73"/>
    <w:rsid w:val="004A28AE"/>
    <w:rsid w:val="004A67DF"/>
    <w:rsid w:val="004B0418"/>
    <w:rsid w:val="004B1EC2"/>
    <w:rsid w:val="004B1FA1"/>
    <w:rsid w:val="004B21DE"/>
    <w:rsid w:val="004B2B7D"/>
    <w:rsid w:val="004B2D8E"/>
    <w:rsid w:val="004B364F"/>
    <w:rsid w:val="004B3832"/>
    <w:rsid w:val="004B3957"/>
    <w:rsid w:val="004B47B7"/>
    <w:rsid w:val="004B57F0"/>
    <w:rsid w:val="004B5880"/>
    <w:rsid w:val="004B7245"/>
    <w:rsid w:val="004B72A3"/>
    <w:rsid w:val="004B750D"/>
    <w:rsid w:val="004C0688"/>
    <w:rsid w:val="004C1274"/>
    <w:rsid w:val="004C3A81"/>
    <w:rsid w:val="004C62D9"/>
    <w:rsid w:val="004C7439"/>
    <w:rsid w:val="004D01F2"/>
    <w:rsid w:val="004D0241"/>
    <w:rsid w:val="004D0EC3"/>
    <w:rsid w:val="004D299A"/>
    <w:rsid w:val="004D3C02"/>
    <w:rsid w:val="004D4ABE"/>
    <w:rsid w:val="004D7610"/>
    <w:rsid w:val="004E0BFD"/>
    <w:rsid w:val="004E1878"/>
    <w:rsid w:val="004E38AF"/>
    <w:rsid w:val="004E39A5"/>
    <w:rsid w:val="004E46E2"/>
    <w:rsid w:val="004E51F3"/>
    <w:rsid w:val="004E5417"/>
    <w:rsid w:val="004E5869"/>
    <w:rsid w:val="004E587B"/>
    <w:rsid w:val="004E7C33"/>
    <w:rsid w:val="004F231A"/>
    <w:rsid w:val="004F32E6"/>
    <w:rsid w:val="004F435C"/>
    <w:rsid w:val="004F4456"/>
    <w:rsid w:val="004F4604"/>
    <w:rsid w:val="004F4BBA"/>
    <w:rsid w:val="004F50B6"/>
    <w:rsid w:val="004F559D"/>
    <w:rsid w:val="004F5816"/>
    <w:rsid w:val="004F59F9"/>
    <w:rsid w:val="004F5B23"/>
    <w:rsid w:val="004F5E5F"/>
    <w:rsid w:val="004F79C0"/>
    <w:rsid w:val="0050163A"/>
    <w:rsid w:val="005026E8"/>
    <w:rsid w:val="00502A37"/>
    <w:rsid w:val="0050356E"/>
    <w:rsid w:val="00503E02"/>
    <w:rsid w:val="00505003"/>
    <w:rsid w:val="005052A9"/>
    <w:rsid w:val="00511F99"/>
    <w:rsid w:val="00513C93"/>
    <w:rsid w:val="005150F1"/>
    <w:rsid w:val="0051773B"/>
    <w:rsid w:val="00520B55"/>
    <w:rsid w:val="00522BF4"/>
    <w:rsid w:val="00522C3B"/>
    <w:rsid w:val="00525EBB"/>
    <w:rsid w:val="005272DF"/>
    <w:rsid w:val="005275D2"/>
    <w:rsid w:val="00527891"/>
    <w:rsid w:val="00532E68"/>
    <w:rsid w:val="0053304F"/>
    <w:rsid w:val="00533147"/>
    <w:rsid w:val="005332F8"/>
    <w:rsid w:val="00533A5F"/>
    <w:rsid w:val="0053530A"/>
    <w:rsid w:val="0053625E"/>
    <w:rsid w:val="00537787"/>
    <w:rsid w:val="00542EED"/>
    <w:rsid w:val="005440D6"/>
    <w:rsid w:val="00544B68"/>
    <w:rsid w:val="00547CA0"/>
    <w:rsid w:val="00551A56"/>
    <w:rsid w:val="005522FA"/>
    <w:rsid w:val="00552E1D"/>
    <w:rsid w:val="00552E9E"/>
    <w:rsid w:val="0055345F"/>
    <w:rsid w:val="00553AD2"/>
    <w:rsid w:val="00556581"/>
    <w:rsid w:val="00556B1D"/>
    <w:rsid w:val="00557568"/>
    <w:rsid w:val="00560775"/>
    <w:rsid w:val="00562186"/>
    <w:rsid w:val="00563C81"/>
    <w:rsid w:val="0056591F"/>
    <w:rsid w:val="00566925"/>
    <w:rsid w:val="00566B2A"/>
    <w:rsid w:val="00567246"/>
    <w:rsid w:val="00570388"/>
    <w:rsid w:val="005717BD"/>
    <w:rsid w:val="00571F35"/>
    <w:rsid w:val="0057250A"/>
    <w:rsid w:val="00573027"/>
    <w:rsid w:val="00573C0B"/>
    <w:rsid w:val="00574D66"/>
    <w:rsid w:val="00575EB5"/>
    <w:rsid w:val="00581D8D"/>
    <w:rsid w:val="0058201B"/>
    <w:rsid w:val="005826A9"/>
    <w:rsid w:val="00582A51"/>
    <w:rsid w:val="00582C58"/>
    <w:rsid w:val="0058387B"/>
    <w:rsid w:val="00584C79"/>
    <w:rsid w:val="00590ACA"/>
    <w:rsid w:val="005916A4"/>
    <w:rsid w:val="00591D51"/>
    <w:rsid w:val="00593F5B"/>
    <w:rsid w:val="005952AB"/>
    <w:rsid w:val="0059753D"/>
    <w:rsid w:val="00597A10"/>
    <w:rsid w:val="005A017E"/>
    <w:rsid w:val="005A0485"/>
    <w:rsid w:val="005A0EAB"/>
    <w:rsid w:val="005A2227"/>
    <w:rsid w:val="005A2AAE"/>
    <w:rsid w:val="005A4BC8"/>
    <w:rsid w:val="005A5672"/>
    <w:rsid w:val="005B08A0"/>
    <w:rsid w:val="005B08B7"/>
    <w:rsid w:val="005B0CAC"/>
    <w:rsid w:val="005B15B4"/>
    <w:rsid w:val="005B15FA"/>
    <w:rsid w:val="005B2042"/>
    <w:rsid w:val="005B20B8"/>
    <w:rsid w:val="005B3533"/>
    <w:rsid w:val="005B4D25"/>
    <w:rsid w:val="005B6A9A"/>
    <w:rsid w:val="005B7013"/>
    <w:rsid w:val="005B72CD"/>
    <w:rsid w:val="005B7BF9"/>
    <w:rsid w:val="005C0F0D"/>
    <w:rsid w:val="005C1341"/>
    <w:rsid w:val="005C1F8E"/>
    <w:rsid w:val="005C23E2"/>
    <w:rsid w:val="005C5002"/>
    <w:rsid w:val="005C5755"/>
    <w:rsid w:val="005C5AC7"/>
    <w:rsid w:val="005C619F"/>
    <w:rsid w:val="005C7CFC"/>
    <w:rsid w:val="005D10BA"/>
    <w:rsid w:val="005D1CA2"/>
    <w:rsid w:val="005D395F"/>
    <w:rsid w:val="005D3A09"/>
    <w:rsid w:val="005D5B09"/>
    <w:rsid w:val="005D73A9"/>
    <w:rsid w:val="005D74E1"/>
    <w:rsid w:val="005E0674"/>
    <w:rsid w:val="005E237F"/>
    <w:rsid w:val="005E33E7"/>
    <w:rsid w:val="005E34E8"/>
    <w:rsid w:val="005E3514"/>
    <w:rsid w:val="005E4933"/>
    <w:rsid w:val="005E49EF"/>
    <w:rsid w:val="005E6510"/>
    <w:rsid w:val="005E7EFE"/>
    <w:rsid w:val="005F0307"/>
    <w:rsid w:val="005F208B"/>
    <w:rsid w:val="005F2890"/>
    <w:rsid w:val="005F5F07"/>
    <w:rsid w:val="005F6192"/>
    <w:rsid w:val="005F6B63"/>
    <w:rsid w:val="00601937"/>
    <w:rsid w:val="00601E8D"/>
    <w:rsid w:val="00602094"/>
    <w:rsid w:val="0060371F"/>
    <w:rsid w:val="00604244"/>
    <w:rsid w:val="006054C0"/>
    <w:rsid w:val="006055F4"/>
    <w:rsid w:val="006058C0"/>
    <w:rsid w:val="006062EE"/>
    <w:rsid w:val="00607DB7"/>
    <w:rsid w:val="00610BB2"/>
    <w:rsid w:val="00610EC9"/>
    <w:rsid w:val="00613D13"/>
    <w:rsid w:val="00614502"/>
    <w:rsid w:val="00614AE7"/>
    <w:rsid w:val="00614FE3"/>
    <w:rsid w:val="00615FE2"/>
    <w:rsid w:val="00616A79"/>
    <w:rsid w:val="00617B38"/>
    <w:rsid w:val="00617CA9"/>
    <w:rsid w:val="0062158F"/>
    <w:rsid w:val="00621EFD"/>
    <w:rsid w:val="00623531"/>
    <w:rsid w:val="006235F1"/>
    <w:rsid w:val="00623983"/>
    <w:rsid w:val="00625AE3"/>
    <w:rsid w:val="00626307"/>
    <w:rsid w:val="00626D05"/>
    <w:rsid w:val="0063091F"/>
    <w:rsid w:val="00630AF7"/>
    <w:rsid w:val="00633CEC"/>
    <w:rsid w:val="0063582D"/>
    <w:rsid w:val="0063665B"/>
    <w:rsid w:val="006369B3"/>
    <w:rsid w:val="0064052B"/>
    <w:rsid w:val="0064059A"/>
    <w:rsid w:val="006408C5"/>
    <w:rsid w:val="00642A84"/>
    <w:rsid w:val="00642FCD"/>
    <w:rsid w:val="00644497"/>
    <w:rsid w:val="00645393"/>
    <w:rsid w:val="006462B3"/>
    <w:rsid w:val="00652738"/>
    <w:rsid w:val="00653C4F"/>
    <w:rsid w:val="00655674"/>
    <w:rsid w:val="00655AF5"/>
    <w:rsid w:val="00656F9B"/>
    <w:rsid w:val="00662B23"/>
    <w:rsid w:val="00662F7E"/>
    <w:rsid w:val="006630B2"/>
    <w:rsid w:val="00663472"/>
    <w:rsid w:val="006646BA"/>
    <w:rsid w:val="00664D4A"/>
    <w:rsid w:val="00664FF0"/>
    <w:rsid w:val="00666E4E"/>
    <w:rsid w:val="00667BD0"/>
    <w:rsid w:val="00670306"/>
    <w:rsid w:val="00670657"/>
    <w:rsid w:val="006727C1"/>
    <w:rsid w:val="00675E7A"/>
    <w:rsid w:val="00680514"/>
    <w:rsid w:val="00680857"/>
    <w:rsid w:val="00681145"/>
    <w:rsid w:val="006821F3"/>
    <w:rsid w:val="006826E4"/>
    <w:rsid w:val="00683B28"/>
    <w:rsid w:val="00684A46"/>
    <w:rsid w:val="006854FF"/>
    <w:rsid w:val="00685B92"/>
    <w:rsid w:val="00686045"/>
    <w:rsid w:val="0068753A"/>
    <w:rsid w:val="006905A1"/>
    <w:rsid w:val="00692EA8"/>
    <w:rsid w:val="00693008"/>
    <w:rsid w:val="006949CD"/>
    <w:rsid w:val="00694CD1"/>
    <w:rsid w:val="00695DAD"/>
    <w:rsid w:val="00695EF8"/>
    <w:rsid w:val="006A1B1B"/>
    <w:rsid w:val="006A2075"/>
    <w:rsid w:val="006A20B8"/>
    <w:rsid w:val="006A2B37"/>
    <w:rsid w:val="006A3B1B"/>
    <w:rsid w:val="006A4C6E"/>
    <w:rsid w:val="006A698E"/>
    <w:rsid w:val="006B0E9C"/>
    <w:rsid w:val="006B204B"/>
    <w:rsid w:val="006B2F90"/>
    <w:rsid w:val="006B317C"/>
    <w:rsid w:val="006B4A1B"/>
    <w:rsid w:val="006B5362"/>
    <w:rsid w:val="006B77AB"/>
    <w:rsid w:val="006C0385"/>
    <w:rsid w:val="006C077C"/>
    <w:rsid w:val="006C09F1"/>
    <w:rsid w:val="006C1079"/>
    <w:rsid w:val="006C12BD"/>
    <w:rsid w:val="006C288B"/>
    <w:rsid w:val="006C31B7"/>
    <w:rsid w:val="006C35AE"/>
    <w:rsid w:val="006C3A03"/>
    <w:rsid w:val="006C3A42"/>
    <w:rsid w:val="006C4361"/>
    <w:rsid w:val="006C5BB2"/>
    <w:rsid w:val="006C6DBE"/>
    <w:rsid w:val="006C6ECD"/>
    <w:rsid w:val="006D2DD2"/>
    <w:rsid w:val="006D318A"/>
    <w:rsid w:val="006D394C"/>
    <w:rsid w:val="006D4925"/>
    <w:rsid w:val="006D4A27"/>
    <w:rsid w:val="006D4A94"/>
    <w:rsid w:val="006D6183"/>
    <w:rsid w:val="006D7B5E"/>
    <w:rsid w:val="006D7F1C"/>
    <w:rsid w:val="006E0DE8"/>
    <w:rsid w:val="006E0ED0"/>
    <w:rsid w:val="006E1CEA"/>
    <w:rsid w:val="006E3AD8"/>
    <w:rsid w:val="006E5055"/>
    <w:rsid w:val="006E77C8"/>
    <w:rsid w:val="006F0C0D"/>
    <w:rsid w:val="006F2D4F"/>
    <w:rsid w:val="006F301E"/>
    <w:rsid w:val="006F30ED"/>
    <w:rsid w:val="006F4BDB"/>
    <w:rsid w:val="006F538E"/>
    <w:rsid w:val="006F555A"/>
    <w:rsid w:val="006F67B4"/>
    <w:rsid w:val="00702A2B"/>
    <w:rsid w:val="007038E3"/>
    <w:rsid w:val="00712648"/>
    <w:rsid w:val="0071364B"/>
    <w:rsid w:val="0071522C"/>
    <w:rsid w:val="00715D73"/>
    <w:rsid w:val="007162D7"/>
    <w:rsid w:val="0072059C"/>
    <w:rsid w:val="0072066E"/>
    <w:rsid w:val="007232B8"/>
    <w:rsid w:val="00723E12"/>
    <w:rsid w:val="007260CC"/>
    <w:rsid w:val="007260FB"/>
    <w:rsid w:val="007265B3"/>
    <w:rsid w:val="00730023"/>
    <w:rsid w:val="0073017C"/>
    <w:rsid w:val="00730774"/>
    <w:rsid w:val="007315A7"/>
    <w:rsid w:val="007325BB"/>
    <w:rsid w:val="00733837"/>
    <w:rsid w:val="00734384"/>
    <w:rsid w:val="00734386"/>
    <w:rsid w:val="00735391"/>
    <w:rsid w:val="007356C9"/>
    <w:rsid w:val="007366C3"/>
    <w:rsid w:val="00743DB6"/>
    <w:rsid w:val="007442EF"/>
    <w:rsid w:val="007452DB"/>
    <w:rsid w:val="007455D2"/>
    <w:rsid w:val="00746F4A"/>
    <w:rsid w:val="007507A4"/>
    <w:rsid w:val="00751093"/>
    <w:rsid w:val="00753281"/>
    <w:rsid w:val="00754DC7"/>
    <w:rsid w:val="007578AA"/>
    <w:rsid w:val="00760EB6"/>
    <w:rsid w:val="00760FE2"/>
    <w:rsid w:val="007619DB"/>
    <w:rsid w:val="007626C7"/>
    <w:rsid w:val="00764D26"/>
    <w:rsid w:val="00765135"/>
    <w:rsid w:val="00765347"/>
    <w:rsid w:val="00766E50"/>
    <w:rsid w:val="007674BC"/>
    <w:rsid w:val="00767ED7"/>
    <w:rsid w:val="00771F5D"/>
    <w:rsid w:val="00773225"/>
    <w:rsid w:val="007738CC"/>
    <w:rsid w:val="00773FC6"/>
    <w:rsid w:val="00775AD9"/>
    <w:rsid w:val="00776073"/>
    <w:rsid w:val="00776662"/>
    <w:rsid w:val="0077795E"/>
    <w:rsid w:val="00777CF1"/>
    <w:rsid w:val="0078068F"/>
    <w:rsid w:val="00780E7F"/>
    <w:rsid w:val="0078259E"/>
    <w:rsid w:val="00784D01"/>
    <w:rsid w:val="007900F9"/>
    <w:rsid w:val="007904F0"/>
    <w:rsid w:val="0079174B"/>
    <w:rsid w:val="00791AAB"/>
    <w:rsid w:val="00794453"/>
    <w:rsid w:val="007950FB"/>
    <w:rsid w:val="0079521D"/>
    <w:rsid w:val="00795781"/>
    <w:rsid w:val="007A1489"/>
    <w:rsid w:val="007A2ED7"/>
    <w:rsid w:val="007A401F"/>
    <w:rsid w:val="007B261A"/>
    <w:rsid w:val="007B6067"/>
    <w:rsid w:val="007B63C6"/>
    <w:rsid w:val="007B63CA"/>
    <w:rsid w:val="007C1331"/>
    <w:rsid w:val="007C2554"/>
    <w:rsid w:val="007C4161"/>
    <w:rsid w:val="007C491F"/>
    <w:rsid w:val="007C4B46"/>
    <w:rsid w:val="007D1F4C"/>
    <w:rsid w:val="007D209C"/>
    <w:rsid w:val="007D33C9"/>
    <w:rsid w:val="007D37CA"/>
    <w:rsid w:val="007D4161"/>
    <w:rsid w:val="007D437D"/>
    <w:rsid w:val="007D4D53"/>
    <w:rsid w:val="007E3096"/>
    <w:rsid w:val="007E3315"/>
    <w:rsid w:val="007E4E7F"/>
    <w:rsid w:val="007F10F9"/>
    <w:rsid w:val="007F1449"/>
    <w:rsid w:val="007F3407"/>
    <w:rsid w:val="007F3564"/>
    <w:rsid w:val="007F3F31"/>
    <w:rsid w:val="007F4857"/>
    <w:rsid w:val="007F71C6"/>
    <w:rsid w:val="007F79A4"/>
    <w:rsid w:val="00800049"/>
    <w:rsid w:val="008019A9"/>
    <w:rsid w:val="0080522E"/>
    <w:rsid w:val="00806299"/>
    <w:rsid w:val="008071CD"/>
    <w:rsid w:val="0080744D"/>
    <w:rsid w:val="00807B66"/>
    <w:rsid w:val="008104BB"/>
    <w:rsid w:val="00811354"/>
    <w:rsid w:val="00813DB7"/>
    <w:rsid w:val="00813E50"/>
    <w:rsid w:val="00815699"/>
    <w:rsid w:val="00815AAB"/>
    <w:rsid w:val="0081703C"/>
    <w:rsid w:val="00817811"/>
    <w:rsid w:val="0082534E"/>
    <w:rsid w:val="00825B9B"/>
    <w:rsid w:val="008264FF"/>
    <w:rsid w:val="0082787C"/>
    <w:rsid w:val="008318F6"/>
    <w:rsid w:val="0083224B"/>
    <w:rsid w:val="00832BE2"/>
    <w:rsid w:val="00833828"/>
    <w:rsid w:val="00833A9B"/>
    <w:rsid w:val="00834BE7"/>
    <w:rsid w:val="00834E2B"/>
    <w:rsid w:val="00836371"/>
    <w:rsid w:val="0084162A"/>
    <w:rsid w:val="00842FD0"/>
    <w:rsid w:val="008448D9"/>
    <w:rsid w:val="00844A51"/>
    <w:rsid w:val="008451CD"/>
    <w:rsid w:val="0084593F"/>
    <w:rsid w:val="00845F1E"/>
    <w:rsid w:val="00846001"/>
    <w:rsid w:val="008467D4"/>
    <w:rsid w:val="00847A3A"/>
    <w:rsid w:val="00847D3E"/>
    <w:rsid w:val="00847DB5"/>
    <w:rsid w:val="00850923"/>
    <w:rsid w:val="00850C59"/>
    <w:rsid w:val="0085200D"/>
    <w:rsid w:val="00857323"/>
    <w:rsid w:val="00857CD0"/>
    <w:rsid w:val="00862582"/>
    <w:rsid w:val="00865691"/>
    <w:rsid w:val="00865AF2"/>
    <w:rsid w:val="00866216"/>
    <w:rsid w:val="00867043"/>
    <w:rsid w:val="00870D3E"/>
    <w:rsid w:val="00871DEA"/>
    <w:rsid w:val="00873194"/>
    <w:rsid w:val="00873994"/>
    <w:rsid w:val="00873D6B"/>
    <w:rsid w:val="0087693E"/>
    <w:rsid w:val="00876CC4"/>
    <w:rsid w:val="0087712D"/>
    <w:rsid w:val="008804DB"/>
    <w:rsid w:val="00880A35"/>
    <w:rsid w:val="00880A6C"/>
    <w:rsid w:val="008813C5"/>
    <w:rsid w:val="00881B85"/>
    <w:rsid w:val="00882403"/>
    <w:rsid w:val="00883114"/>
    <w:rsid w:val="008836C4"/>
    <w:rsid w:val="00884BC8"/>
    <w:rsid w:val="00884F21"/>
    <w:rsid w:val="00885C9B"/>
    <w:rsid w:val="00890522"/>
    <w:rsid w:val="00891167"/>
    <w:rsid w:val="0089165D"/>
    <w:rsid w:val="0089186F"/>
    <w:rsid w:val="00892A81"/>
    <w:rsid w:val="008975BB"/>
    <w:rsid w:val="008A0BD6"/>
    <w:rsid w:val="008A2447"/>
    <w:rsid w:val="008A2ED5"/>
    <w:rsid w:val="008A4180"/>
    <w:rsid w:val="008A639D"/>
    <w:rsid w:val="008A6A66"/>
    <w:rsid w:val="008B372D"/>
    <w:rsid w:val="008B5768"/>
    <w:rsid w:val="008B696A"/>
    <w:rsid w:val="008C0ADB"/>
    <w:rsid w:val="008C134F"/>
    <w:rsid w:val="008C1729"/>
    <w:rsid w:val="008C5F5E"/>
    <w:rsid w:val="008D0A02"/>
    <w:rsid w:val="008D0CC5"/>
    <w:rsid w:val="008D5975"/>
    <w:rsid w:val="008D5DBD"/>
    <w:rsid w:val="008D7D69"/>
    <w:rsid w:val="008E087D"/>
    <w:rsid w:val="008E326D"/>
    <w:rsid w:val="008E38C1"/>
    <w:rsid w:val="008E452B"/>
    <w:rsid w:val="008E6389"/>
    <w:rsid w:val="008E66D3"/>
    <w:rsid w:val="008F189E"/>
    <w:rsid w:val="008F27AF"/>
    <w:rsid w:val="008F32FC"/>
    <w:rsid w:val="008F40BE"/>
    <w:rsid w:val="008F495E"/>
    <w:rsid w:val="008F5418"/>
    <w:rsid w:val="008F6B36"/>
    <w:rsid w:val="008F7407"/>
    <w:rsid w:val="008F7F21"/>
    <w:rsid w:val="0090553E"/>
    <w:rsid w:val="009067E4"/>
    <w:rsid w:val="009079DD"/>
    <w:rsid w:val="00907A7F"/>
    <w:rsid w:val="0091154A"/>
    <w:rsid w:val="00911EB8"/>
    <w:rsid w:val="0091209C"/>
    <w:rsid w:val="0091224E"/>
    <w:rsid w:val="009128F7"/>
    <w:rsid w:val="00912AE2"/>
    <w:rsid w:val="00914188"/>
    <w:rsid w:val="009160A0"/>
    <w:rsid w:val="0092076A"/>
    <w:rsid w:val="00921D13"/>
    <w:rsid w:val="00921D83"/>
    <w:rsid w:val="00923BA4"/>
    <w:rsid w:val="00923E56"/>
    <w:rsid w:val="009248D1"/>
    <w:rsid w:val="00925135"/>
    <w:rsid w:val="0092610E"/>
    <w:rsid w:val="00930335"/>
    <w:rsid w:val="00930757"/>
    <w:rsid w:val="00930F33"/>
    <w:rsid w:val="00931EA0"/>
    <w:rsid w:val="009325DB"/>
    <w:rsid w:val="009332EF"/>
    <w:rsid w:val="00937799"/>
    <w:rsid w:val="0093796A"/>
    <w:rsid w:val="009420CA"/>
    <w:rsid w:val="0094227B"/>
    <w:rsid w:val="009426AA"/>
    <w:rsid w:val="009438D1"/>
    <w:rsid w:val="00943E67"/>
    <w:rsid w:val="009452A4"/>
    <w:rsid w:val="009454A6"/>
    <w:rsid w:val="00946225"/>
    <w:rsid w:val="00951E68"/>
    <w:rsid w:val="00956BB5"/>
    <w:rsid w:val="00956D7E"/>
    <w:rsid w:val="00957166"/>
    <w:rsid w:val="00962282"/>
    <w:rsid w:val="00962A8B"/>
    <w:rsid w:val="00965204"/>
    <w:rsid w:val="00965B09"/>
    <w:rsid w:val="009660A2"/>
    <w:rsid w:val="00970574"/>
    <w:rsid w:val="009723E7"/>
    <w:rsid w:val="009732D5"/>
    <w:rsid w:val="00973ED9"/>
    <w:rsid w:val="009746A5"/>
    <w:rsid w:val="0097742F"/>
    <w:rsid w:val="00977732"/>
    <w:rsid w:val="0098048D"/>
    <w:rsid w:val="00980F67"/>
    <w:rsid w:val="00981792"/>
    <w:rsid w:val="00981F50"/>
    <w:rsid w:val="0098219E"/>
    <w:rsid w:val="00983502"/>
    <w:rsid w:val="00984183"/>
    <w:rsid w:val="00985940"/>
    <w:rsid w:val="009871D1"/>
    <w:rsid w:val="00990AF9"/>
    <w:rsid w:val="00991034"/>
    <w:rsid w:val="009943D9"/>
    <w:rsid w:val="0099455B"/>
    <w:rsid w:val="0099614B"/>
    <w:rsid w:val="00996DEC"/>
    <w:rsid w:val="009970D3"/>
    <w:rsid w:val="009A00AE"/>
    <w:rsid w:val="009A00F9"/>
    <w:rsid w:val="009A2173"/>
    <w:rsid w:val="009A2A1A"/>
    <w:rsid w:val="009A2CED"/>
    <w:rsid w:val="009A304E"/>
    <w:rsid w:val="009A416E"/>
    <w:rsid w:val="009A543E"/>
    <w:rsid w:val="009A5553"/>
    <w:rsid w:val="009A5E48"/>
    <w:rsid w:val="009A6EFC"/>
    <w:rsid w:val="009A7CEF"/>
    <w:rsid w:val="009B35CF"/>
    <w:rsid w:val="009B3DDA"/>
    <w:rsid w:val="009B43B5"/>
    <w:rsid w:val="009B4F2C"/>
    <w:rsid w:val="009B6C32"/>
    <w:rsid w:val="009B6EC3"/>
    <w:rsid w:val="009B764D"/>
    <w:rsid w:val="009C0094"/>
    <w:rsid w:val="009C0B01"/>
    <w:rsid w:val="009C2524"/>
    <w:rsid w:val="009C2DCF"/>
    <w:rsid w:val="009C38A6"/>
    <w:rsid w:val="009C5485"/>
    <w:rsid w:val="009C665C"/>
    <w:rsid w:val="009C6995"/>
    <w:rsid w:val="009C6DAE"/>
    <w:rsid w:val="009D0530"/>
    <w:rsid w:val="009D2B19"/>
    <w:rsid w:val="009D3BEA"/>
    <w:rsid w:val="009D4551"/>
    <w:rsid w:val="009D6B46"/>
    <w:rsid w:val="009E2F33"/>
    <w:rsid w:val="009E42BE"/>
    <w:rsid w:val="009E5273"/>
    <w:rsid w:val="009E5790"/>
    <w:rsid w:val="009E5AB7"/>
    <w:rsid w:val="009E64FD"/>
    <w:rsid w:val="009F28BF"/>
    <w:rsid w:val="009F55EE"/>
    <w:rsid w:val="009F5EA0"/>
    <w:rsid w:val="009F60AF"/>
    <w:rsid w:val="009F6C64"/>
    <w:rsid w:val="00A01CB2"/>
    <w:rsid w:val="00A043DE"/>
    <w:rsid w:val="00A07F39"/>
    <w:rsid w:val="00A10A92"/>
    <w:rsid w:val="00A1302E"/>
    <w:rsid w:val="00A13550"/>
    <w:rsid w:val="00A13961"/>
    <w:rsid w:val="00A20256"/>
    <w:rsid w:val="00A21211"/>
    <w:rsid w:val="00A2141E"/>
    <w:rsid w:val="00A225FB"/>
    <w:rsid w:val="00A255D2"/>
    <w:rsid w:val="00A25E8B"/>
    <w:rsid w:val="00A27892"/>
    <w:rsid w:val="00A30208"/>
    <w:rsid w:val="00A30804"/>
    <w:rsid w:val="00A31A56"/>
    <w:rsid w:val="00A31E45"/>
    <w:rsid w:val="00A32239"/>
    <w:rsid w:val="00A32AD5"/>
    <w:rsid w:val="00A3450E"/>
    <w:rsid w:val="00A34746"/>
    <w:rsid w:val="00A3534E"/>
    <w:rsid w:val="00A36FE8"/>
    <w:rsid w:val="00A419C5"/>
    <w:rsid w:val="00A45638"/>
    <w:rsid w:val="00A45AD6"/>
    <w:rsid w:val="00A46430"/>
    <w:rsid w:val="00A52077"/>
    <w:rsid w:val="00A52BA9"/>
    <w:rsid w:val="00A547E7"/>
    <w:rsid w:val="00A5644E"/>
    <w:rsid w:val="00A57B8A"/>
    <w:rsid w:val="00A57F9B"/>
    <w:rsid w:val="00A6011B"/>
    <w:rsid w:val="00A60EA3"/>
    <w:rsid w:val="00A62B93"/>
    <w:rsid w:val="00A63150"/>
    <w:rsid w:val="00A63D84"/>
    <w:rsid w:val="00A64160"/>
    <w:rsid w:val="00A64DD5"/>
    <w:rsid w:val="00A6691D"/>
    <w:rsid w:val="00A6723C"/>
    <w:rsid w:val="00A6724A"/>
    <w:rsid w:val="00A7001A"/>
    <w:rsid w:val="00A70437"/>
    <w:rsid w:val="00A7631F"/>
    <w:rsid w:val="00A772C4"/>
    <w:rsid w:val="00A81F7C"/>
    <w:rsid w:val="00A90FCE"/>
    <w:rsid w:val="00A91522"/>
    <w:rsid w:val="00A92057"/>
    <w:rsid w:val="00A94B99"/>
    <w:rsid w:val="00A94C4C"/>
    <w:rsid w:val="00A94F25"/>
    <w:rsid w:val="00A97BC1"/>
    <w:rsid w:val="00AA1017"/>
    <w:rsid w:val="00AA2C2C"/>
    <w:rsid w:val="00AA3086"/>
    <w:rsid w:val="00AA3231"/>
    <w:rsid w:val="00AA71F8"/>
    <w:rsid w:val="00AB1805"/>
    <w:rsid w:val="00AB2081"/>
    <w:rsid w:val="00AB5E31"/>
    <w:rsid w:val="00AB5EE8"/>
    <w:rsid w:val="00AB6BD6"/>
    <w:rsid w:val="00AB7AEF"/>
    <w:rsid w:val="00AB7B84"/>
    <w:rsid w:val="00AC02AC"/>
    <w:rsid w:val="00AC092B"/>
    <w:rsid w:val="00AC3673"/>
    <w:rsid w:val="00AC3841"/>
    <w:rsid w:val="00AC3DC4"/>
    <w:rsid w:val="00AC5DCB"/>
    <w:rsid w:val="00AC7285"/>
    <w:rsid w:val="00AC7A1B"/>
    <w:rsid w:val="00AD000E"/>
    <w:rsid w:val="00AD083A"/>
    <w:rsid w:val="00AD10C8"/>
    <w:rsid w:val="00AD138E"/>
    <w:rsid w:val="00AD159C"/>
    <w:rsid w:val="00AD1FF3"/>
    <w:rsid w:val="00AD2A77"/>
    <w:rsid w:val="00AD2DC7"/>
    <w:rsid w:val="00AD4A4C"/>
    <w:rsid w:val="00AD4C13"/>
    <w:rsid w:val="00AD572C"/>
    <w:rsid w:val="00AD7D95"/>
    <w:rsid w:val="00AD7E82"/>
    <w:rsid w:val="00AE12C1"/>
    <w:rsid w:val="00AE13B1"/>
    <w:rsid w:val="00AE2175"/>
    <w:rsid w:val="00AE2B10"/>
    <w:rsid w:val="00AE5752"/>
    <w:rsid w:val="00AE61B3"/>
    <w:rsid w:val="00AE78F6"/>
    <w:rsid w:val="00AF082D"/>
    <w:rsid w:val="00AF1E50"/>
    <w:rsid w:val="00AF7178"/>
    <w:rsid w:val="00B00419"/>
    <w:rsid w:val="00B0045A"/>
    <w:rsid w:val="00B00845"/>
    <w:rsid w:val="00B0103F"/>
    <w:rsid w:val="00B06F4B"/>
    <w:rsid w:val="00B07792"/>
    <w:rsid w:val="00B07951"/>
    <w:rsid w:val="00B10A25"/>
    <w:rsid w:val="00B11166"/>
    <w:rsid w:val="00B131EA"/>
    <w:rsid w:val="00B1458D"/>
    <w:rsid w:val="00B178F9"/>
    <w:rsid w:val="00B2147F"/>
    <w:rsid w:val="00B2154E"/>
    <w:rsid w:val="00B21881"/>
    <w:rsid w:val="00B22BD1"/>
    <w:rsid w:val="00B23BB0"/>
    <w:rsid w:val="00B26525"/>
    <w:rsid w:val="00B26AD4"/>
    <w:rsid w:val="00B26F3D"/>
    <w:rsid w:val="00B3086A"/>
    <w:rsid w:val="00B321AC"/>
    <w:rsid w:val="00B32BE0"/>
    <w:rsid w:val="00B36E33"/>
    <w:rsid w:val="00B37415"/>
    <w:rsid w:val="00B428E4"/>
    <w:rsid w:val="00B42D21"/>
    <w:rsid w:val="00B42D81"/>
    <w:rsid w:val="00B42EF4"/>
    <w:rsid w:val="00B43A19"/>
    <w:rsid w:val="00B4407A"/>
    <w:rsid w:val="00B452CC"/>
    <w:rsid w:val="00B4602C"/>
    <w:rsid w:val="00B467A2"/>
    <w:rsid w:val="00B47C3C"/>
    <w:rsid w:val="00B50AC4"/>
    <w:rsid w:val="00B51BF7"/>
    <w:rsid w:val="00B535D2"/>
    <w:rsid w:val="00B54AEA"/>
    <w:rsid w:val="00B55001"/>
    <w:rsid w:val="00B56629"/>
    <w:rsid w:val="00B6051B"/>
    <w:rsid w:val="00B6279B"/>
    <w:rsid w:val="00B62FD0"/>
    <w:rsid w:val="00B6778E"/>
    <w:rsid w:val="00B6783E"/>
    <w:rsid w:val="00B67C00"/>
    <w:rsid w:val="00B70B3C"/>
    <w:rsid w:val="00B70B85"/>
    <w:rsid w:val="00B714D8"/>
    <w:rsid w:val="00B82F26"/>
    <w:rsid w:val="00B832CD"/>
    <w:rsid w:val="00B85D79"/>
    <w:rsid w:val="00B8718F"/>
    <w:rsid w:val="00B90E69"/>
    <w:rsid w:val="00B91387"/>
    <w:rsid w:val="00B91D09"/>
    <w:rsid w:val="00B92994"/>
    <w:rsid w:val="00B935AA"/>
    <w:rsid w:val="00B9385F"/>
    <w:rsid w:val="00B93E0F"/>
    <w:rsid w:val="00B95B40"/>
    <w:rsid w:val="00B96387"/>
    <w:rsid w:val="00B9707F"/>
    <w:rsid w:val="00B978AA"/>
    <w:rsid w:val="00BA1815"/>
    <w:rsid w:val="00BA1D27"/>
    <w:rsid w:val="00BA2029"/>
    <w:rsid w:val="00BA71C9"/>
    <w:rsid w:val="00BB1706"/>
    <w:rsid w:val="00BB187E"/>
    <w:rsid w:val="00BB47CE"/>
    <w:rsid w:val="00BB5F9C"/>
    <w:rsid w:val="00BC1AB7"/>
    <w:rsid w:val="00BC1DDF"/>
    <w:rsid w:val="00BC2F31"/>
    <w:rsid w:val="00BC4122"/>
    <w:rsid w:val="00BC5731"/>
    <w:rsid w:val="00BC6712"/>
    <w:rsid w:val="00BC6CAE"/>
    <w:rsid w:val="00BC6F62"/>
    <w:rsid w:val="00BC791F"/>
    <w:rsid w:val="00BD0913"/>
    <w:rsid w:val="00BD1BA9"/>
    <w:rsid w:val="00BD2513"/>
    <w:rsid w:val="00BD34C2"/>
    <w:rsid w:val="00BD475A"/>
    <w:rsid w:val="00BD4B3E"/>
    <w:rsid w:val="00BD4C24"/>
    <w:rsid w:val="00BD7425"/>
    <w:rsid w:val="00BE0F80"/>
    <w:rsid w:val="00BE1025"/>
    <w:rsid w:val="00BE160A"/>
    <w:rsid w:val="00BE2A68"/>
    <w:rsid w:val="00BE40BD"/>
    <w:rsid w:val="00BE5175"/>
    <w:rsid w:val="00BE544D"/>
    <w:rsid w:val="00BE7757"/>
    <w:rsid w:val="00BF057C"/>
    <w:rsid w:val="00BF340E"/>
    <w:rsid w:val="00BF3F05"/>
    <w:rsid w:val="00BF46B8"/>
    <w:rsid w:val="00BF4D00"/>
    <w:rsid w:val="00BF5CDD"/>
    <w:rsid w:val="00BF7039"/>
    <w:rsid w:val="00BF7E1C"/>
    <w:rsid w:val="00C0073A"/>
    <w:rsid w:val="00C0135A"/>
    <w:rsid w:val="00C026C7"/>
    <w:rsid w:val="00C044D1"/>
    <w:rsid w:val="00C0526F"/>
    <w:rsid w:val="00C06218"/>
    <w:rsid w:val="00C06CB5"/>
    <w:rsid w:val="00C11367"/>
    <w:rsid w:val="00C1205A"/>
    <w:rsid w:val="00C1281B"/>
    <w:rsid w:val="00C13DB2"/>
    <w:rsid w:val="00C149CF"/>
    <w:rsid w:val="00C17ADA"/>
    <w:rsid w:val="00C2088D"/>
    <w:rsid w:val="00C20A0D"/>
    <w:rsid w:val="00C20D3C"/>
    <w:rsid w:val="00C21447"/>
    <w:rsid w:val="00C244A5"/>
    <w:rsid w:val="00C24C7A"/>
    <w:rsid w:val="00C2598A"/>
    <w:rsid w:val="00C26081"/>
    <w:rsid w:val="00C30F55"/>
    <w:rsid w:val="00C32139"/>
    <w:rsid w:val="00C33B32"/>
    <w:rsid w:val="00C342F6"/>
    <w:rsid w:val="00C34C76"/>
    <w:rsid w:val="00C35416"/>
    <w:rsid w:val="00C35FF0"/>
    <w:rsid w:val="00C42301"/>
    <w:rsid w:val="00C43A9D"/>
    <w:rsid w:val="00C43FCA"/>
    <w:rsid w:val="00C47BFE"/>
    <w:rsid w:val="00C5161B"/>
    <w:rsid w:val="00C51C1B"/>
    <w:rsid w:val="00C53F03"/>
    <w:rsid w:val="00C54275"/>
    <w:rsid w:val="00C54B4E"/>
    <w:rsid w:val="00C56385"/>
    <w:rsid w:val="00C56AE0"/>
    <w:rsid w:val="00C6000C"/>
    <w:rsid w:val="00C60191"/>
    <w:rsid w:val="00C62B39"/>
    <w:rsid w:val="00C63CB8"/>
    <w:rsid w:val="00C6650E"/>
    <w:rsid w:val="00C70976"/>
    <w:rsid w:val="00C72A72"/>
    <w:rsid w:val="00C735B1"/>
    <w:rsid w:val="00C740D0"/>
    <w:rsid w:val="00C74328"/>
    <w:rsid w:val="00C74AE2"/>
    <w:rsid w:val="00C76597"/>
    <w:rsid w:val="00C76D72"/>
    <w:rsid w:val="00C77301"/>
    <w:rsid w:val="00C82B15"/>
    <w:rsid w:val="00C834A5"/>
    <w:rsid w:val="00C84628"/>
    <w:rsid w:val="00C84E7C"/>
    <w:rsid w:val="00C84FEE"/>
    <w:rsid w:val="00C85CAF"/>
    <w:rsid w:val="00C85F51"/>
    <w:rsid w:val="00C85FB0"/>
    <w:rsid w:val="00C87DD7"/>
    <w:rsid w:val="00C916B0"/>
    <w:rsid w:val="00C91F12"/>
    <w:rsid w:val="00C94371"/>
    <w:rsid w:val="00C9470C"/>
    <w:rsid w:val="00C96BA1"/>
    <w:rsid w:val="00CA149E"/>
    <w:rsid w:val="00CA2938"/>
    <w:rsid w:val="00CA2B5D"/>
    <w:rsid w:val="00CA32A3"/>
    <w:rsid w:val="00CA4C63"/>
    <w:rsid w:val="00CA4E1F"/>
    <w:rsid w:val="00CA5D19"/>
    <w:rsid w:val="00CA634D"/>
    <w:rsid w:val="00CA6351"/>
    <w:rsid w:val="00CA6948"/>
    <w:rsid w:val="00CA7ABA"/>
    <w:rsid w:val="00CB0038"/>
    <w:rsid w:val="00CB1934"/>
    <w:rsid w:val="00CB3374"/>
    <w:rsid w:val="00CB3DAC"/>
    <w:rsid w:val="00CB5855"/>
    <w:rsid w:val="00CB5865"/>
    <w:rsid w:val="00CB690C"/>
    <w:rsid w:val="00CB784C"/>
    <w:rsid w:val="00CB794E"/>
    <w:rsid w:val="00CC0224"/>
    <w:rsid w:val="00CC067B"/>
    <w:rsid w:val="00CC2072"/>
    <w:rsid w:val="00CC3252"/>
    <w:rsid w:val="00CC46B1"/>
    <w:rsid w:val="00CC4ACC"/>
    <w:rsid w:val="00CC56D9"/>
    <w:rsid w:val="00CC6231"/>
    <w:rsid w:val="00CC6FFC"/>
    <w:rsid w:val="00CD029C"/>
    <w:rsid w:val="00CD1B55"/>
    <w:rsid w:val="00CD21BA"/>
    <w:rsid w:val="00CD40D2"/>
    <w:rsid w:val="00CD4EAE"/>
    <w:rsid w:val="00CD5B7A"/>
    <w:rsid w:val="00CD7BF7"/>
    <w:rsid w:val="00CE0E4B"/>
    <w:rsid w:val="00CE1D35"/>
    <w:rsid w:val="00CE1D49"/>
    <w:rsid w:val="00CE3C59"/>
    <w:rsid w:val="00CE4C55"/>
    <w:rsid w:val="00CE62E0"/>
    <w:rsid w:val="00CF123E"/>
    <w:rsid w:val="00CF12CF"/>
    <w:rsid w:val="00CF1ABC"/>
    <w:rsid w:val="00CF279C"/>
    <w:rsid w:val="00CF4C65"/>
    <w:rsid w:val="00CF5BB4"/>
    <w:rsid w:val="00CF5E1A"/>
    <w:rsid w:val="00CF60F4"/>
    <w:rsid w:val="00CF7076"/>
    <w:rsid w:val="00CF7CA8"/>
    <w:rsid w:val="00D00BC8"/>
    <w:rsid w:val="00D01A31"/>
    <w:rsid w:val="00D0277D"/>
    <w:rsid w:val="00D033CC"/>
    <w:rsid w:val="00D0362F"/>
    <w:rsid w:val="00D03D3E"/>
    <w:rsid w:val="00D071F4"/>
    <w:rsid w:val="00D10952"/>
    <w:rsid w:val="00D11025"/>
    <w:rsid w:val="00D1188E"/>
    <w:rsid w:val="00D14B49"/>
    <w:rsid w:val="00D14D4C"/>
    <w:rsid w:val="00D1514F"/>
    <w:rsid w:val="00D15B02"/>
    <w:rsid w:val="00D17110"/>
    <w:rsid w:val="00D171F1"/>
    <w:rsid w:val="00D17AF0"/>
    <w:rsid w:val="00D21526"/>
    <w:rsid w:val="00D2209C"/>
    <w:rsid w:val="00D2249A"/>
    <w:rsid w:val="00D23B13"/>
    <w:rsid w:val="00D24A8B"/>
    <w:rsid w:val="00D26713"/>
    <w:rsid w:val="00D27507"/>
    <w:rsid w:val="00D27955"/>
    <w:rsid w:val="00D32712"/>
    <w:rsid w:val="00D3506C"/>
    <w:rsid w:val="00D35843"/>
    <w:rsid w:val="00D36AEB"/>
    <w:rsid w:val="00D37DD8"/>
    <w:rsid w:val="00D40AC7"/>
    <w:rsid w:val="00D417AD"/>
    <w:rsid w:val="00D422E5"/>
    <w:rsid w:val="00D43CC4"/>
    <w:rsid w:val="00D45881"/>
    <w:rsid w:val="00D465C5"/>
    <w:rsid w:val="00D46A1D"/>
    <w:rsid w:val="00D501C3"/>
    <w:rsid w:val="00D50A93"/>
    <w:rsid w:val="00D50FC7"/>
    <w:rsid w:val="00D54169"/>
    <w:rsid w:val="00D54186"/>
    <w:rsid w:val="00D5463C"/>
    <w:rsid w:val="00D56CB1"/>
    <w:rsid w:val="00D56FB8"/>
    <w:rsid w:val="00D57026"/>
    <w:rsid w:val="00D632B7"/>
    <w:rsid w:val="00D63721"/>
    <w:rsid w:val="00D64769"/>
    <w:rsid w:val="00D651D4"/>
    <w:rsid w:val="00D66940"/>
    <w:rsid w:val="00D70C60"/>
    <w:rsid w:val="00D70E5B"/>
    <w:rsid w:val="00D7272C"/>
    <w:rsid w:val="00D7291C"/>
    <w:rsid w:val="00D735FE"/>
    <w:rsid w:val="00D74DCB"/>
    <w:rsid w:val="00D75C93"/>
    <w:rsid w:val="00D761D6"/>
    <w:rsid w:val="00D80956"/>
    <w:rsid w:val="00D81A5A"/>
    <w:rsid w:val="00D82B5F"/>
    <w:rsid w:val="00D86AE6"/>
    <w:rsid w:val="00D915B1"/>
    <w:rsid w:val="00D934A2"/>
    <w:rsid w:val="00D944DE"/>
    <w:rsid w:val="00D9461A"/>
    <w:rsid w:val="00D94B1C"/>
    <w:rsid w:val="00D979B8"/>
    <w:rsid w:val="00DA0AAD"/>
    <w:rsid w:val="00DA0BF5"/>
    <w:rsid w:val="00DA22B7"/>
    <w:rsid w:val="00DA3900"/>
    <w:rsid w:val="00DA498D"/>
    <w:rsid w:val="00DA56E5"/>
    <w:rsid w:val="00DA5C79"/>
    <w:rsid w:val="00DA6242"/>
    <w:rsid w:val="00DA62F8"/>
    <w:rsid w:val="00DB2A74"/>
    <w:rsid w:val="00DB31A5"/>
    <w:rsid w:val="00DB4A56"/>
    <w:rsid w:val="00DB5DC1"/>
    <w:rsid w:val="00DC089E"/>
    <w:rsid w:val="00DC4B9C"/>
    <w:rsid w:val="00DC4D07"/>
    <w:rsid w:val="00DC5338"/>
    <w:rsid w:val="00DC59DB"/>
    <w:rsid w:val="00DC59E1"/>
    <w:rsid w:val="00DC6B79"/>
    <w:rsid w:val="00DD2673"/>
    <w:rsid w:val="00DD3EF0"/>
    <w:rsid w:val="00DD47B6"/>
    <w:rsid w:val="00DD51E2"/>
    <w:rsid w:val="00DD6CD8"/>
    <w:rsid w:val="00DD7596"/>
    <w:rsid w:val="00DE2691"/>
    <w:rsid w:val="00DE29AE"/>
    <w:rsid w:val="00DE2B4C"/>
    <w:rsid w:val="00DE3D5F"/>
    <w:rsid w:val="00DE40F6"/>
    <w:rsid w:val="00DE5C10"/>
    <w:rsid w:val="00DE6475"/>
    <w:rsid w:val="00DE66FD"/>
    <w:rsid w:val="00DE67A6"/>
    <w:rsid w:val="00DF0A59"/>
    <w:rsid w:val="00DF0AFE"/>
    <w:rsid w:val="00DF11A1"/>
    <w:rsid w:val="00DF13C7"/>
    <w:rsid w:val="00DF1731"/>
    <w:rsid w:val="00DF21B0"/>
    <w:rsid w:val="00DF327C"/>
    <w:rsid w:val="00DF3FDD"/>
    <w:rsid w:val="00DF5226"/>
    <w:rsid w:val="00DF5E69"/>
    <w:rsid w:val="00DF635F"/>
    <w:rsid w:val="00DF74BD"/>
    <w:rsid w:val="00E00DBE"/>
    <w:rsid w:val="00E01305"/>
    <w:rsid w:val="00E03152"/>
    <w:rsid w:val="00E035DB"/>
    <w:rsid w:val="00E03BB0"/>
    <w:rsid w:val="00E05503"/>
    <w:rsid w:val="00E05713"/>
    <w:rsid w:val="00E05C1F"/>
    <w:rsid w:val="00E14640"/>
    <w:rsid w:val="00E14ACC"/>
    <w:rsid w:val="00E15102"/>
    <w:rsid w:val="00E15C94"/>
    <w:rsid w:val="00E16615"/>
    <w:rsid w:val="00E166C8"/>
    <w:rsid w:val="00E21A68"/>
    <w:rsid w:val="00E244BF"/>
    <w:rsid w:val="00E2585A"/>
    <w:rsid w:val="00E32796"/>
    <w:rsid w:val="00E32B9D"/>
    <w:rsid w:val="00E32F2C"/>
    <w:rsid w:val="00E33119"/>
    <w:rsid w:val="00E34762"/>
    <w:rsid w:val="00E34EE8"/>
    <w:rsid w:val="00E354D1"/>
    <w:rsid w:val="00E36505"/>
    <w:rsid w:val="00E37AEB"/>
    <w:rsid w:val="00E42208"/>
    <w:rsid w:val="00E43550"/>
    <w:rsid w:val="00E46B87"/>
    <w:rsid w:val="00E46DC3"/>
    <w:rsid w:val="00E54244"/>
    <w:rsid w:val="00E553BA"/>
    <w:rsid w:val="00E600DD"/>
    <w:rsid w:val="00E623B8"/>
    <w:rsid w:val="00E62D01"/>
    <w:rsid w:val="00E6382D"/>
    <w:rsid w:val="00E6443A"/>
    <w:rsid w:val="00E652B1"/>
    <w:rsid w:val="00E65441"/>
    <w:rsid w:val="00E65FD7"/>
    <w:rsid w:val="00E70B01"/>
    <w:rsid w:val="00E70E40"/>
    <w:rsid w:val="00E72B62"/>
    <w:rsid w:val="00E74911"/>
    <w:rsid w:val="00E75BA7"/>
    <w:rsid w:val="00E75DD2"/>
    <w:rsid w:val="00E774D1"/>
    <w:rsid w:val="00E7773D"/>
    <w:rsid w:val="00E8118A"/>
    <w:rsid w:val="00E81A9A"/>
    <w:rsid w:val="00E830A3"/>
    <w:rsid w:val="00E84561"/>
    <w:rsid w:val="00E848C3"/>
    <w:rsid w:val="00E84AF0"/>
    <w:rsid w:val="00E85148"/>
    <w:rsid w:val="00E85ECE"/>
    <w:rsid w:val="00E873B2"/>
    <w:rsid w:val="00E87496"/>
    <w:rsid w:val="00E87638"/>
    <w:rsid w:val="00E87D68"/>
    <w:rsid w:val="00E91090"/>
    <w:rsid w:val="00E91EDD"/>
    <w:rsid w:val="00E926C4"/>
    <w:rsid w:val="00E92819"/>
    <w:rsid w:val="00E92961"/>
    <w:rsid w:val="00E931A7"/>
    <w:rsid w:val="00E94DBF"/>
    <w:rsid w:val="00E96E32"/>
    <w:rsid w:val="00E973F9"/>
    <w:rsid w:val="00E977D1"/>
    <w:rsid w:val="00EA03C6"/>
    <w:rsid w:val="00EA07BA"/>
    <w:rsid w:val="00EA1F7E"/>
    <w:rsid w:val="00EA2BDC"/>
    <w:rsid w:val="00EA3001"/>
    <w:rsid w:val="00EA314D"/>
    <w:rsid w:val="00EA3157"/>
    <w:rsid w:val="00EA3D8C"/>
    <w:rsid w:val="00EA3E9D"/>
    <w:rsid w:val="00EA6324"/>
    <w:rsid w:val="00EA6406"/>
    <w:rsid w:val="00EA6B25"/>
    <w:rsid w:val="00EA6CBA"/>
    <w:rsid w:val="00EA6F43"/>
    <w:rsid w:val="00EA7243"/>
    <w:rsid w:val="00EA72AC"/>
    <w:rsid w:val="00EB0510"/>
    <w:rsid w:val="00EB1DE7"/>
    <w:rsid w:val="00EB2D33"/>
    <w:rsid w:val="00EB3C93"/>
    <w:rsid w:val="00EC04FA"/>
    <w:rsid w:val="00EC1ECB"/>
    <w:rsid w:val="00EC1EFF"/>
    <w:rsid w:val="00EC2097"/>
    <w:rsid w:val="00EC57FA"/>
    <w:rsid w:val="00EC5A3D"/>
    <w:rsid w:val="00EC6401"/>
    <w:rsid w:val="00EC6C1E"/>
    <w:rsid w:val="00ED0ABB"/>
    <w:rsid w:val="00ED0B83"/>
    <w:rsid w:val="00ED0F1E"/>
    <w:rsid w:val="00ED1FB1"/>
    <w:rsid w:val="00ED3307"/>
    <w:rsid w:val="00ED3CA3"/>
    <w:rsid w:val="00ED3F5D"/>
    <w:rsid w:val="00EE004D"/>
    <w:rsid w:val="00EE1BC3"/>
    <w:rsid w:val="00EE425C"/>
    <w:rsid w:val="00EE54D7"/>
    <w:rsid w:val="00EE5EAA"/>
    <w:rsid w:val="00EE6D47"/>
    <w:rsid w:val="00EE793F"/>
    <w:rsid w:val="00EF1201"/>
    <w:rsid w:val="00EF1414"/>
    <w:rsid w:val="00EF19B1"/>
    <w:rsid w:val="00EF200E"/>
    <w:rsid w:val="00EF2934"/>
    <w:rsid w:val="00EF2CEC"/>
    <w:rsid w:val="00EF2D87"/>
    <w:rsid w:val="00EF2EA5"/>
    <w:rsid w:val="00EF2FB8"/>
    <w:rsid w:val="00EF3B57"/>
    <w:rsid w:val="00EF43B4"/>
    <w:rsid w:val="00F00CD3"/>
    <w:rsid w:val="00F010EC"/>
    <w:rsid w:val="00F01554"/>
    <w:rsid w:val="00F02074"/>
    <w:rsid w:val="00F02531"/>
    <w:rsid w:val="00F030D9"/>
    <w:rsid w:val="00F04A7B"/>
    <w:rsid w:val="00F05844"/>
    <w:rsid w:val="00F05F57"/>
    <w:rsid w:val="00F06D37"/>
    <w:rsid w:val="00F0757A"/>
    <w:rsid w:val="00F102F6"/>
    <w:rsid w:val="00F105D9"/>
    <w:rsid w:val="00F111D2"/>
    <w:rsid w:val="00F116D4"/>
    <w:rsid w:val="00F12330"/>
    <w:rsid w:val="00F12C2F"/>
    <w:rsid w:val="00F14063"/>
    <w:rsid w:val="00F15329"/>
    <w:rsid w:val="00F16C1C"/>
    <w:rsid w:val="00F16C2B"/>
    <w:rsid w:val="00F1745A"/>
    <w:rsid w:val="00F1760A"/>
    <w:rsid w:val="00F237D6"/>
    <w:rsid w:val="00F23F37"/>
    <w:rsid w:val="00F24048"/>
    <w:rsid w:val="00F262B6"/>
    <w:rsid w:val="00F263F9"/>
    <w:rsid w:val="00F267CE"/>
    <w:rsid w:val="00F31CE4"/>
    <w:rsid w:val="00F334EC"/>
    <w:rsid w:val="00F339CF"/>
    <w:rsid w:val="00F4203E"/>
    <w:rsid w:val="00F42414"/>
    <w:rsid w:val="00F43068"/>
    <w:rsid w:val="00F43EBF"/>
    <w:rsid w:val="00F44004"/>
    <w:rsid w:val="00F45202"/>
    <w:rsid w:val="00F51D62"/>
    <w:rsid w:val="00F51F0F"/>
    <w:rsid w:val="00F52455"/>
    <w:rsid w:val="00F526BC"/>
    <w:rsid w:val="00F533B8"/>
    <w:rsid w:val="00F53C86"/>
    <w:rsid w:val="00F55877"/>
    <w:rsid w:val="00F55A54"/>
    <w:rsid w:val="00F608F0"/>
    <w:rsid w:val="00F61722"/>
    <w:rsid w:val="00F6193C"/>
    <w:rsid w:val="00F6279F"/>
    <w:rsid w:val="00F62FF5"/>
    <w:rsid w:val="00F704FA"/>
    <w:rsid w:val="00F71B92"/>
    <w:rsid w:val="00F7245F"/>
    <w:rsid w:val="00F72B44"/>
    <w:rsid w:val="00F738FA"/>
    <w:rsid w:val="00F763D4"/>
    <w:rsid w:val="00F76A23"/>
    <w:rsid w:val="00F76CE5"/>
    <w:rsid w:val="00F76FE8"/>
    <w:rsid w:val="00F77EA1"/>
    <w:rsid w:val="00F805C3"/>
    <w:rsid w:val="00F810B9"/>
    <w:rsid w:val="00F8206B"/>
    <w:rsid w:val="00F84529"/>
    <w:rsid w:val="00F85B4B"/>
    <w:rsid w:val="00F9126C"/>
    <w:rsid w:val="00F91330"/>
    <w:rsid w:val="00F913EC"/>
    <w:rsid w:val="00F91592"/>
    <w:rsid w:val="00F91688"/>
    <w:rsid w:val="00F91AFB"/>
    <w:rsid w:val="00F92DD5"/>
    <w:rsid w:val="00F93FDC"/>
    <w:rsid w:val="00F9511D"/>
    <w:rsid w:val="00F96C8E"/>
    <w:rsid w:val="00F977B7"/>
    <w:rsid w:val="00FA0C6F"/>
    <w:rsid w:val="00FA1A5D"/>
    <w:rsid w:val="00FA74FC"/>
    <w:rsid w:val="00FA773E"/>
    <w:rsid w:val="00FB1C7A"/>
    <w:rsid w:val="00FB251B"/>
    <w:rsid w:val="00FB3A9E"/>
    <w:rsid w:val="00FB4C2B"/>
    <w:rsid w:val="00FB5F2C"/>
    <w:rsid w:val="00FB64B1"/>
    <w:rsid w:val="00FB64B2"/>
    <w:rsid w:val="00FB7C3C"/>
    <w:rsid w:val="00FC045F"/>
    <w:rsid w:val="00FC054D"/>
    <w:rsid w:val="00FC16B2"/>
    <w:rsid w:val="00FC1B33"/>
    <w:rsid w:val="00FC1EB7"/>
    <w:rsid w:val="00FC22CE"/>
    <w:rsid w:val="00FC26F9"/>
    <w:rsid w:val="00FC3B37"/>
    <w:rsid w:val="00FC6036"/>
    <w:rsid w:val="00FC7171"/>
    <w:rsid w:val="00FC764C"/>
    <w:rsid w:val="00FD0320"/>
    <w:rsid w:val="00FD033E"/>
    <w:rsid w:val="00FD0A35"/>
    <w:rsid w:val="00FD1958"/>
    <w:rsid w:val="00FD3296"/>
    <w:rsid w:val="00FD3E10"/>
    <w:rsid w:val="00FD6CD4"/>
    <w:rsid w:val="00FE1096"/>
    <w:rsid w:val="00FE1325"/>
    <w:rsid w:val="00FE13D0"/>
    <w:rsid w:val="00FE3019"/>
    <w:rsid w:val="00FE3F98"/>
    <w:rsid w:val="00FE5CB8"/>
    <w:rsid w:val="00FF0933"/>
    <w:rsid w:val="00FF3EE7"/>
    <w:rsid w:val="00FF4DBF"/>
    <w:rsid w:val="00FF5E45"/>
    <w:rsid w:val="00FF6C18"/>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 w:type="table" w:styleId="TableGrid">
    <w:name w:val="Table Grid"/>
    <w:basedOn w:val="TableNormal"/>
    <w:uiPriority w:val="39"/>
    <w:rsid w:val="00A9152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8625">
      <w:bodyDiv w:val="1"/>
      <w:marLeft w:val="0"/>
      <w:marRight w:val="0"/>
      <w:marTop w:val="0"/>
      <w:marBottom w:val="0"/>
      <w:divBdr>
        <w:top w:val="none" w:sz="0" w:space="0" w:color="auto"/>
        <w:left w:val="none" w:sz="0" w:space="0" w:color="auto"/>
        <w:bottom w:val="none" w:sz="0" w:space="0" w:color="auto"/>
        <w:right w:val="none" w:sz="0" w:space="0" w:color="auto"/>
      </w:divBdr>
    </w:div>
    <w:div w:id="1558861628">
      <w:bodyDiv w:val="1"/>
      <w:marLeft w:val="0"/>
      <w:marRight w:val="0"/>
      <w:marTop w:val="0"/>
      <w:marBottom w:val="0"/>
      <w:divBdr>
        <w:top w:val="none" w:sz="0" w:space="0" w:color="auto"/>
        <w:left w:val="none" w:sz="0" w:space="0" w:color="auto"/>
        <w:bottom w:val="none" w:sz="0" w:space="0" w:color="auto"/>
        <w:right w:val="none" w:sz="0" w:space="0" w:color="auto"/>
      </w:divBdr>
      <w:divsChild>
        <w:div w:id="689792909">
          <w:marLeft w:val="0"/>
          <w:marRight w:val="0"/>
          <w:marTop w:val="0"/>
          <w:marBottom w:val="0"/>
          <w:divBdr>
            <w:top w:val="none" w:sz="0" w:space="0" w:color="auto"/>
            <w:left w:val="none" w:sz="0" w:space="0" w:color="auto"/>
            <w:bottom w:val="none" w:sz="0" w:space="0" w:color="auto"/>
            <w:right w:val="none" w:sz="0" w:space="0" w:color="auto"/>
          </w:divBdr>
        </w:div>
        <w:div w:id="822700054">
          <w:marLeft w:val="0"/>
          <w:marRight w:val="0"/>
          <w:marTop w:val="0"/>
          <w:marBottom w:val="0"/>
          <w:divBdr>
            <w:top w:val="none" w:sz="0" w:space="0" w:color="auto"/>
            <w:left w:val="none" w:sz="0" w:space="0" w:color="auto"/>
            <w:bottom w:val="none" w:sz="0" w:space="0" w:color="auto"/>
            <w:right w:val="none" w:sz="0" w:space="0" w:color="auto"/>
          </w:divBdr>
        </w:div>
        <w:div w:id="696855699">
          <w:marLeft w:val="0"/>
          <w:marRight w:val="0"/>
          <w:marTop w:val="0"/>
          <w:marBottom w:val="0"/>
          <w:divBdr>
            <w:top w:val="none" w:sz="0" w:space="0" w:color="auto"/>
            <w:left w:val="none" w:sz="0" w:space="0" w:color="auto"/>
            <w:bottom w:val="none" w:sz="0" w:space="0" w:color="auto"/>
            <w:right w:val="none" w:sz="0" w:space="0" w:color="auto"/>
          </w:divBdr>
        </w:div>
        <w:div w:id="261651522">
          <w:marLeft w:val="0"/>
          <w:marRight w:val="0"/>
          <w:marTop w:val="0"/>
          <w:marBottom w:val="0"/>
          <w:divBdr>
            <w:top w:val="none" w:sz="0" w:space="0" w:color="auto"/>
            <w:left w:val="none" w:sz="0" w:space="0" w:color="auto"/>
            <w:bottom w:val="none" w:sz="0" w:space="0" w:color="auto"/>
            <w:right w:val="none" w:sz="0" w:space="0" w:color="auto"/>
          </w:divBdr>
        </w:div>
        <w:div w:id="374812395">
          <w:marLeft w:val="0"/>
          <w:marRight w:val="0"/>
          <w:marTop w:val="0"/>
          <w:marBottom w:val="0"/>
          <w:divBdr>
            <w:top w:val="none" w:sz="0" w:space="0" w:color="auto"/>
            <w:left w:val="none" w:sz="0" w:space="0" w:color="auto"/>
            <w:bottom w:val="none" w:sz="0" w:space="0" w:color="auto"/>
            <w:right w:val="none" w:sz="0" w:space="0" w:color="auto"/>
          </w:divBdr>
        </w:div>
        <w:div w:id="19215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2023-05-08T18:30:00+00:00</Judgment_x0020_Date>
    <Year xmlns="c1afb1bd-f2fb-40fd-9abb-aea55b4d7662">2023</Year>
  </documentManagement>
</p:properties>
</file>

<file path=customXml/itemProps1.xml><?xml version="1.0" encoding="utf-8"?>
<ds:datastoreItem xmlns:ds="http://schemas.openxmlformats.org/officeDocument/2006/customXml" ds:itemID="{F7327935-86E8-480E-B6E3-CAA108273201}"/>
</file>

<file path=customXml/itemProps2.xml><?xml version="1.0" encoding="utf-8"?>
<ds:datastoreItem xmlns:ds="http://schemas.openxmlformats.org/officeDocument/2006/customXml" ds:itemID="{B1C8C18C-DAAD-4755-A79A-8E50E48AF192}"/>
</file>

<file path=customXml/itemProps3.xml><?xml version="1.0" encoding="utf-8"?>
<ds:datastoreItem xmlns:ds="http://schemas.openxmlformats.org/officeDocument/2006/customXml" ds:itemID="{09EE0D6E-B6EC-4D67-AD20-68DA66A60000}"/>
</file>

<file path=customXml/itemProps4.xml><?xml version="1.0" encoding="utf-8"?>
<ds:datastoreItem xmlns:ds="http://schemas.openxmlformats.org/officeDocument/2006/customXml" ds:itemID="{3418706E-38DD-4F6E-83AC-7981764E4EEC}"/>
</file>

<file path=docProps/app.xml><?xml version="1.0" encoding="utf-8"?>
<Properties xmlns="http://schemas.openxmlformats.org/officeDocument/2006/extended-properties" xmlns:vt="http://schemas.openxmlformats.org/officeDocument/2006/docPropsVTypes">
  <Template>Normal</Template>
  <TotalTime>40</TotalTime>
  <Pages>1</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National Bank of Namibia Ltd v Eichas (HC-MD-CIV-ACT-CON-2022-04982) [2023] NAHCMD 243 (9 May 2023)</dc:title>
  <dc:subject/>
  <dc:creator>Selma Nambahu</dc:creator>
  <cp:keywords/>
  <dc:description/>
  <cp:lastModifiedBy>Collins Omalu</cp:lastModifiedBy>
  <cp:revision>23</cp:revision>
  <cp:lastPrinted>2021-04-28T08:59:00Z</cp:lastPrinted>
  <dcterms:created xsi:type="dcterms:W3CDTF">2023-04-27T13:34:00Z</dcterms:created>
  <dcterms:modified xsi:type="dcterms:W3CDTF">2023-05-23T08:48:00Z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