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val="en-US"/>
        </w:rPr>
        <w:drawing>
          <wp:anchor distT="0" distB="0" distL="114300" distR="114300" simplePos="0" relativeHeight="251659264" behindDoc="0" locked="0" layoutInCell="1" allowOverlap="1" wp14:anchorId="2A8CF2A1" wp14:editId="7C44D916">
            <wp:simplePos x="0" y="0"/>
            <wp:positionH relativeFrom="margin">
              <wp:align>center</wp:align>
            </wp:positionH>
            <wp:positionV relativeFrom="paragraph">
              <wp:posOffset>119767</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B40844" w:rsidRPr="00EA2DE2" w:rsidRDefault="00B40844" w:rsidP="00B40844">
      <w:pPr>
        <w:spacing w:after="0" w:line="360" w:lineRule="auto"/>
        <w:jc w:val="center"/>
        <w:rPr>
          <w:rFonts w:ascii="Arial" w:hAnsi="Arial" w:cs="Arial"/>
          <w:b/>
          <w:sz w:val="14"/>
          <w:szCs w:val="14"/>
        </w:rPr>
      </w:pPr>
    </w:p>
    <w:p w:rsidR="00B40844" w:rsidRDefault="008006A3" w:rsidP="00B40844">
      <w:pPr>
        <w:spacing w:after="0" w:line="360" w:lineRule="auto"/>
        <w:jc w:val="center"/>
        <w:rPr>
          <w:rFonts w:ascii="Arial" w:hAnsi="Arial" w:cs="Arial"/>
          <w:b/>
          <w:sz w:val="24"/>
          <w:szCs w:val="24"/>
        </w:rPr>
      </w:pPr>
      <w:r>
        <w:rPr>
          <w:rFonts w:ascii="Arial" w:hAnsi="Arial" w:cs="Arial"/>
          <w:b/>
          <w:sz w:val="24"/>
          <w:szCs w:val="24"/>
        </w:rPr>
        <w:t>RULING</w:t>
      </w:r>
    </w:p>
    <w:p w:rsidR="00002E9A" w:rsidRDefault="00002E9A" w:rsidP="00B40844">
      <w:pPr>
        <w:spacing w:after="0" w:line="360" w:lineRule="auto"/>
        <w:jc w:val="center"/>
        <w:rPr>
          <w:rFonts w:ascii="Arial" w:hAnsi="Arial" w:cs="Arial"/>
          <w:b/>
          <w:sz w:val="24"/>
          <w:szCs w:val="24"/>
        </w:rPr>
      </w:pPr>
      <w:r>
        <w:rPr>
          <w:rFonts w:ascii="Arial" w:eastAsia="Times New Roman" w:hAnsi="Arial" w:cs="Arial"/>
          <w:b/>
          <w:sz w:val="24"/>
          <w:szCs w:val="24"/>
          <w:lang w:val="en-US"/>
        </w:rPr>
        <w:t>PRACTICE DIRECTIVE 61</w:t>
      </w:r>
    </w:p>
    <w:tbl>
      <w:tblPr>
        <w:tblStyle w:val="TableGrid"/>
        <w:tblW w:w="10476" w:type="dxa"/>
        <w:tblInd w:w="-275" w:type="dxa"/>
        <w:tblLook w:val="04A0" w:firstRow="1" w:lastRow="0" w:firstColumn="1" w:lastColumn="0" w:noHBand="0" w:noVBand="1"/>
      </w:tblPr>
      <w:tblGrid>
        <w:gridCol w:w="5232"/>
        <w:gridCol w:w="1134"/>
        <w:gridCol w:w="4110"/>
      </w:tblGrid>
      <w:tr w:rsidR="00CA7995" w:rsidRPr="00CA7995" w:rsidTr="00002E9A">
        <w:trPr>
          <w:trHeight w:val="1396"/>
        </w:trPr>
        <w:tc>
          <w:tcPr>
            <w:tcW w:w="6366" w:type="dxa"/>
            <w:gridSpan w:val="2"/>
            <w:vMerge w:val="restart"/>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Case Title:</w:t>
            </w:r>
          </w:p>
          <w:p w:rsidR="00002E9A" w:rsidRDefault="00002E9A" w:rsidP="00002E9A">
            <w:pPr>
              <w:tabs>
                <w:tab w:val="left" w:pos="3564"/>
                <w:tab w:val="left" w:pos="3706"/>
                <w:tab w:val="left" w:pos="4273"/>
              </w:tabs>
              <w:spacing w:line="360" w:lineRule="auto"/>
              <w:jc w:val="both"/>
              <w:rPr>
                <w:rFonts w:ascii="Arial" w:hAnsi="Arial" w:cs="Arial"/>
                <w:sz w:val="24"/>
                <w:szCs w:val="24"/>
              </w:rPr>
            </w:pPr>
            <w:r>
              <w:rPr>
                <w:rFonts w:ascii="Arial" w:hAnsi="Arial" w:cs="Arial"/>
                <w:sz w:val="24"/>
                <w:szCs w:val="24"/>
              </w:rPr>
              <w:t>NEDBANK NAMIBIA LIMITED</w:t>
            </w:r>
          </w:p>
          <w:p w:rsidR="00B40844" w:rsidRDefault="00002E9A" w:rsidP="00002E9A">
            <w:pPr>
              <w:tabs>
                <w:tab w:val="left" w:pos="3564"/>
                <w:tab w:val="left" w:pos="3706"/>
                <w:tab w:val="left" w:pos="4273"/>
              </w:tabs>
              <w:spacing w:line="360" w:lineRule="auto"/>
              <w:ind w:left="3706" w:firstLine="1134"/>
              <w:jc w:val="both"/>
              <w:rPr>
                <w:rFonts w:ascii="Arial" w:hAnsi="Arial" w:cs="Arial"/>
                <w:sz w:val="24"/>
                <w:szCs w:val="24"/>
              </w:rPr>
            </w:pPr>
            <w:r>
              <w:rPr>
                <w:rFonts w:ascii="Arial" w:hAnsi="Arial" w:cs="Arial"/>
                <w:sz w:val="24"/>
                <w:szCs w:val="24"/>
              </w:rPr>
              <w:t>PLAINTIFF</w:t>
            </w:r>
          </w:p>
          <w:p w:rsidR="00002E9A" w:rsidRDefault="00002E9A" w:rsidP="00002E9A">
            <w:pPr>
              <w:spacing w:line="360" w:lineRule="auto"/>
              <w:jc w:val="both"/>
              <w:rPr>
                <w:rFonts w:ascii="Arial" w:hAnsi="Arial" w:cs="Arial"/>
                <w:sz w:val="24"/>
                <w:szCs w:val="24"/>
              </w:rPr>
            </w:pPr>
          </w:p>
          <w:p w:rsidR="00002E9A" w:rsidRDefault="00BB3DF3" w:rsidP="00002E9A">
            <w:pPr>
              <w:spacing w:line="360" w:lineRule="auto"/>
              <w:jc w:val="both"/>
              <w:rPr>
                <w:rFonts w:ascii="Arial" w:hAnsi="Arial" w:cs="Arial"/>
                <w:sz w:val="24"/>
                <w:szCs w:val="24"/>
              </w:rPr>
            </w:pPr>
            <w:r>
              <w:rPr>
                <w:rFonts w:ascii="Arial" w:hAnsi="Arial" w:cs="Arial"/>
                <w:sz w:val="24"/>
                <w:szCs w:val="24"/>
              </w:rPr>
              <w:t>v</w:t>
            </w:r>
            <w:bookmarkStart w:id="0" w:name="_GoBack"/>
            <w:bookmarkEnd w:id="0"/>
          </w:p>
          <w:p w:rsidR="00002E9A" w:rsidRDefault="00002E9A" w:rsidP="00002E9A">
            <w:pPr>
              <w:spacing w:line="360" w:lineRule="auto"/>
              <w:jc w:val="both"/>
              <w:rPr>
                <w:rFonts w:ascii="Arial" w:hAnsi="Arial" w:cs="Arial"/>
                <w:sz w:val="24"/>
                <w:szCs w:val="24"/>
              </w:rPr>
            </w:pPr>
          </w:p>
          <w:p w:rsidR="00002E9A" w:rsidRDefault="00002E9A" w:rsidP="00002E9A">
            <w:pPr>
              <w:spacing w:line="360" w:lineRule="auto"/>
              <w:jc w:val="both"/>
              <w:rPr>
                <w:rFonts w:ascii="Arial" w:hAnsi="Arial" w:cs="Arial"/>
                <w:sz w:val="24"/>
                <w:szCs w:val="24"/>
              </w:rPr>
            </w:pPr>
            <w:r w:rsidRPr="009455C8">
              <w:rPr>
                <w:rFonts w:ascii="Arial" w:eastAsia="Times New Roman" w:hAnsi="Arial" w:cs="Arial"/>
                <w:sz w:val="24"/>
                <w:szCs w:val="24"/>
              </w:rPr>
              <w:t xml:space="preserve">ALLY </w:t>
            </w:r>
            <w:r w:rsidR="00BB3DF3">
              <w:rPr>
                <w:rFonts w:ascii="Arial" w:eastAsia="Times New Roman" w:hAnsi="Arial" w:cs="Arial"/>
                <w:sz w:val="24"/>
                <w:szCs w:val="24"/>
              </w:rPr>
              <w:t>SHANINGWA INED</w:t>
            </w:r>
            <w:r>
              <w:rPr>
                <w:rFonts w:ascii="Arial" w:eastAsia="Times New Roman" w:hAnsi="Arial" w:cs="Arial"/>
                <w:sz w:val="24"/>
                <w:szCs w:val="24"/>
              </w:rPr>
              <w:t xml:space="preserve">HIMBWA </w:t>
            </w:r>
            <w:r w:rsidRPr="009455C8">
              <w:rPr>
                <w:rFonts w:ascii="Arial" w:eastAsia="Times New Roman" w:hAnsi="Arial" w:cs="Arial"/>
                <w:sz w:val="24"/>
                <w:szCs w:val="24"/>
              </w:rPr>
              <w:t>ANGULA</w:t>
            </w:r>
          </w:p>
          <w:p w:rsidR="00002E9A" w:rsidRDefault="00002E9A" w:rsidP="00002E9A">
            <w:pPr>
              <w:spacing w:line="360" w:lineRule="auto"/>
              <w:ind w:firstLine="3848"/>
              <w:jc w:val="both"/>
              <w:rPr>
                <w:rFonts w:ascii="Arial" w:hAnsi="Arial" w:cs="Arial"/>
                <w:sz w:val="24"/>
                <w:szCs w:val="24"/>
              </w:rPr>
            </w:pPr>
            <w:r>
              <w:rPr>
                <w:rFonts w:ascii="Arial" w:hAnsi="Arial" w:cs="Arial"/>
                <w:sz w:val="24"/>
                <w:szCs w:val="24"/>
              </w:rPr>
              <w:t>FIRST DEFENDANT</w:t>
            </w:r>
          </w:p>
          <w:p w:rsidR="00002E9A" w:rsidRDefault="00002E9A" w:rsidP="00002E9A">
            <w:pPr>
              <w:spacing w:line="360" w:lineRule="auto"/>
              <w:jc w:val="both"/>
              <w:rPr>
                <w:rFonts w:ascii="Arial" w:hAnsi="Arial" w:cs="Arial"/>
                <w:sz w:val="24"/>
                <w:szCs w:val="24"/>
              </w:rPr>
            </w:pPr>
          </w:p>
          <w:p w:rsidR="00002E9A" w:rsidRDefault="00002E9A" w:rsidP="00002E9A">
            <w:pPr>
              <w:spacing w:line="360" w:lineRule="auto"/>
              <w:jc w:val="both"/>
              <w:rPr>
                <w:rFonts w:ascii="Arial" w:hAnsi="Arial" w:cs="Arial"/>
                <w:sz w:val="24"/>
                <w:szCs w:val="24"/>
              </w:rPr>
            </w:pPr>
            <w:r w:rsidRPr="009455C8">
              <w:rPr>
                <w:rFonts w:ascii="Arial" w:eastAsia="Times New Roman" w:hAnsi="Arial" w:cs="Arial"/>
                <w:sz w:val="24"/>
                <w:szCs w:val="24"/>
              </w:rPr>
              <w:t xml:space="preserve">MANNA </w:t>
            </w:r>
            <w:r>
              <w:rPr>
                <w:rFonts w:ascii="Arial" w:eastAsia="Times New Roman" w:hAnsi="Arial" w:cs="Arial"/>
                <w:sz w:val="24"/>
                <w:szCs w:val="24"/>
              </w:rPr>
              <w:t xml:space="preserve">BLESSING JONAH </w:t>
            </w:r>
            <w:r w:rsidRPr="009455C8">
              <w:rPr>
                <w:rFonts w:ascii="Arial" w:eastAsia="Times New Roman" w:hAnsi="Arial" w:cs="Arial"/>
                <w:sz w:val="24"/>
                <w:szCs w:val="24"/>
              </w:rPr>
              <w:t>MATSWETU</w:t>
            </w:r>
          </w:p>
          <w:p w:rsidR="00002E9A" w:rsidRDefault="00002E9A" w:rsidP="00002E9A">
            <w:pPr>
              <w:spacing w:line="360" w:lineRule="auto"/>
              <w:ind w:firstLine="3564"/>
              <w:jc w:val="both"/>
              <w:rPr>
                <w:rFonts w:ascii="Arial" w:hAnsi="Arial" w:cs="Arial"/>
                <w:sz w:val="24"/>
                <w:szCs w:val="24"/>
              </w:rPr>
            </w:pPr>
            <w:r>
              <w:rPr>
                <w:rFonts w:ascii="Arial" w:hAnsi="Arial" w:cs="Arial"/>
                <w:sz w:val="24"/>
                <w:szCs w:val="24"/>
              </w:rPr>
              <w:t>SECOND DEFENDANT</w:t>
            </w:r>
          </w:p>
          <w:p w:rsidR="00002E9A" w:rsidRPr="00002E9A" w:rsidRDefault="00002E9A" w:rsidP="00002E9A">
            <w:pPr>
              <w:jc w:val="both"/>
              <w:rPr>
                <w:rFonts w:ascii="Arial" w:hAnsi="Arial" w:cs="Arial"/>
                <w:sz w:val="24"/>
                <w:szCs w:val="24"/>
              </w:rPr>
            </w:pP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B40844" w:rsidRPr="00C2633E" w:rsidRDefault="00002E9A" w:rsidP="00937C89">
            <w:pPr>
              <w:spacing w:line="360" w:lineRule="auto"/>
              <w:jc w:val="both"/>
              <w:rPr>
                <w:rFonts w:ascii="Arial" w:hAnsi="Arial" w:cs="Arial"/>
                <w:sz w:val="24"/>
                <w:szCs w:val="24"/>
                <w:shd w:val="clear" w:color="auto" w:fill="FFFFFF"/>
              </w:rPr>
            </w:pPr>
            <w:r w:rsidRPr="009455C8">
              <w:rPr>
                <w:rFonts w:ascii="Arial" w:eastAsia="Times New Roman" w:hAnsi="Arial" w:cs="Arial"/>
                <w:sz w:val="24"/>
                <w:szCs w:val="24"/>
              </w:rPr>
              <w:t>HC-MD-CIV-ACT-CON-2018/00589</w:t>
            </w:r>
          </w:p>
        </w:tc>
      </w:tr>
      <w:tr w:rsidR="00CA7995" w:rsidRPr="00CA7995" w:rsidTr="00002E9A">
        <w:trPr>
          <w:trHeight w:val="968"/>
        </w:trPr>
        <w:tc>
          <w:tcPr>
            <w:tcW w:w="6366" w:type="dxa"/>
            <w:gridSpan w:val="2"/>
            <w:vMerge/>
          </w:tcPr>
          <w:p w:rsidR="00B40844" w:rsidRPr="00CA7995" w:rsidRDefault="00B40844" w:rsidP="00937C89">
            <w:pPr>
              <w:spacing w:line="360" w:lineRule="auto"/>
              <w:jc w:val="both"/>
              <w:rPr>
                <w:rFonts w:ascii="Arial" w:hAnsi="Arial" w:cs="Arial"/>
                <w:sz w:val="24"/>
                <w:szCs w:val="24"/>
              </w:rPr>
            </w:pPr>
          </w:p>
        </w:tc>
        <w:tc>
          <w:tcPr>
            <w:tcW w:w="4110"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002E9A">
        <w:trPr>
          <w:trHeight w:val="965"/>
        </w:trPr>
        <w:tc>
          <w:tcPr>
            <w:tcW w:w="6366"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002E9A" w:rsidP="00937C89">
            <w:pPr>
              <w:spacing w:line="360" w:lineRule="auto"/>
              <w:jc w:val="both"/>
              <w:rPr>
                <w:rFonts w:ascii="Arial" w:hAnsi="Arial" w:cs="Arial"/>
                <w:sz w:val="24"/>
                <w:szCs w:val="24"/>
              </w:rPr>
            </w:pPr>
            <w:r w:rsidRPr="00806722">
              <w:rPr>
                <w:rFonts w:ascii="Arial" w:hAnsi="Arial" w:cs="Arial"/>
                <w:sz w:val="24"/>
                <w:szCs w:val="24"/>
                <w:lang w:val="en-US"/>
              </w:rPr>
              <w:t>HONOURABLE LADY JUSTICE PRINSLOO</w:t>
            </w: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Date of hearing:</w:t>
            </w:r>
          </w:p>
          <w:p w:rsidR="00B40844" w:rsidRPr="00CA7995" w:rsidRDefault="00002E9A" w:rsidP="00C2633E">
            <w:pPr>
              <w:spacing w:line="360" w:lineRule="auto"/>
              <w:jc w:val="both"/>
              <w:rPr>
                <w:rFonts w:ascii="Arial" w:hAnsi="Arial" w:cs="Arial"/>
                <w:sz w:val="24"/>
                <w:szCs w:val="24"/>
              </w:rPr>
            </w:pPr>
            <w:r>
              <w:rPr>
                <w:rFonts w:ascii="Arial" w:hAnsi="Arial" w:cs="Arial"/>
                <w:sz w:val="24"/>
                <w:szCs w:val="24"/>
                <w:lang w:val="en-US"/>
              </w:rPr>
              <w:t>27 JANUARY 2023</w:t>
            </w:r>
          </w:p>
        </w:tc>
      </w:tr>
      <w:tr w:rsidR="00CA7995" w:rsidRPr="00CA7995" w:rsidTr="00002E9A">
        <w:trPr>
          <w:trHeight w:val="991"/>
        </w:trPr>
        <w:tc>
          <w:tcPr>
            <w:tcW w:w="6366" w:type="dxa"/>
            <w:gridSpan w:val="2"/>
            <w:vMerge/>
          </w:tcPr>
          <w:p w:rsidR="00B40844" w:rsidRPr="00CA7995" w:rsidRDefault="00B40844" w:rsidP="00937C89">
            <w:pPr>
              <w:spacing w:line="360" w:lineRule="auto"/>
              <w:jc w:val="both"/>
              <w:rPr>
                <w:rFonts w:ascii="Arial" w:hAnsi="Arial" w:cs="Arial"/>
                <w:b/>
                <w:sz w:val="24"/>
                <w:szCs w:val="24"/>
              </w:rPr>
            </w:pP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0E099D" w:rsidP="00C2633E">
            <w:pPr>
              <w:spacing w:line="360" w:lineRule="auto"/>
              <w:jc w:val="both"/>
              <w:rPr>
                <w:rFonts w:ascii="Arial" w:hAnsi="Arial" w:cs="Arial"/>
                <w:b/>
                <w:sz w:val="24"/>
                <w:szCs w:val="24"/>
              </w:rPr>
            </w:pPr>
            <w:r>
              <w:rPr>
                <w:rFonts w:ascii="Arial" w:hAnsi="Arial" w:cs="Arial"/>
                <w:sz w:val="24"/>
                <w:szCs w:val="24"/>
                <w:lang w:val="en-US"/>
              </w:rPr>
              <w:t>9 MAY</w:t>
            </w:r>
            <w:r w:rsidR="00002E9A">
              <w:rPr>
                <w:rFonts w:ascii="Arial" w:hAnsi="Arial" w:cs="Arial"/>
                <w:sz w:val="24"/>
                <w:szCs w:val="24"/>
                <w:lang w:val="en-US"/>
              </w:rPr>
              <w:t xml:space="preserve"> 2023</w:t>
            </w:r>
          </w:p>
        </w:tc>
      </w:tr>
      <w:tr w:rsidR="00CA7995" w:rsidRPr="00CA7995" w:rsidTr="00002E9A">
        <w:trPr>
          <w:trHeight w:val="876"/>
        </w:trPr>
        <w:tc>
          <w:tcPr>
            <w:tcW w:w="10476" w:type="dxa"/>
            <w:gridSpan w:val="3"/>
          </w:tcPr>
          <w:p w:rsidR="00B40844" w:rsidRPr="00CA7995" w:rsidRDefault="00B40844" w:rsidP="002025F9">
            <w:pPr>
              <w:spacing w:line="360" w:lineRule="auto"/>
              <w:jc w:val="both"/>
              <w:rPr>
                <w:rFonts w:ascii="Arial" w:hAnsi="Arial" w:cs="Arial"/>
                <w:sz w:val="24"/>
                <w:szCs w:val="24"/>
              </w:rPr>
            </w:pPr>
            <w:r w:rsidRPr="00CA7995">
              <w:rPr>
                <w:rFonts w:ascii="Arial" w:hAnsi="Arial" w:cs="Arial"/>
                <w:b/>
                <w:sz w:val="24"/>
                <w:szCs w:val="24"/>
              </w:rPr>
              <w:t xml:space="preserve">Neutral citation: </w:t>
            </w:r>
            <w:proofErr w:type="spellStart"/>
            <w:r w:rsidR="00002E9A">
              <w:rPr>
                <w:rFonts w:ascii="Arial" w:eastAsia="Times New Roman" w:hAnsi="Arial" w:cs="Arial"/>
                <w:i/>
                <w:sz w:val="24"/>
                <w:szCs w:val="24"/>
              </w:rPr>
              <w:t>Nedbank</w:t>
            </w:r>
            <w:proofErr w:type="spellEnd"/>
            <w:r w:rsidR="00002E9A">
              <w:rPr>
                <w:rFonts w:ascii="Arial" w:eastAsia="Times New Roman" w:hAnsi="Arial" w:cs="Arial"/>
                <w:i/>
                <w:sz w:val="24"/>
                <w:szCs w:val="24"/>
              </w:rPr>
              <w:t xml:space="preserve"> Namibia Limited</w:t>
            </w:r>
            <w:r w:rsidR="00002E9A" w:rsidRPr="00A927F8">
              <w:rPr>
                <w:rFonts w:ascii="Arial" w:eastAsia="Times New Roman" w:hAnsi="Arial" w:cs="Arial"/>
                <w:i/>
                <w:sz w:val="24"/>
                <w:szCs w:val="24"/>
              </w:rPr>
              <w:t xml:space="preserve"> v </w:t>
            </w:r>
            <w:r w:rsidR="00002E9A">
              <w:rPr>
                <w:rFonts w:ascii="Arial" w:eastAsia="Times New Roman" w:hAnsi="Arial" w:cs="Arial"/>
                <w:i/>
                <w:sz w:val="24"/>
                <w:szCs w:val="24"/>
              </w:rPr>
              <w:t xml:space="preserve">Angula </w:t>
            </w:r>
            <w:r w:rsidR="00002E9A" w:rsidRPr="007B0507">
              <w:rPr>
                <w:rFonts w:ascii="Arial" w:eastAsia="Times New Roman" w:hAnsi="Arial" w:cs="Arial"/>
                <w:sz w:val="24"/>
                <w:szCs w:val="24"/>
              </w:rPr>
              <w:t>(</w:t>
            </w:r>
            <w:r w:rsidR="00002E9A" w:rsidRPr="009455C8">
              <w:rPr>
                <w:rFonts w:ascii="Arial" w:eastAsia="Times New Roman" w:hAnsi="Arial" w:cs="Arial"/>
                <w:sz w:val="24"/>
                <w:szCs w:val="24"/>
              </w:rPr>
              <w:t>HC-MD-CIV-ACT-CON-2018/00589</w:t>
            </w:r>
            <w:r w:rsidR="00002E9A">
              <w:rPr>
                <w:rFonts w:ascii="Arial" w:hAnsi="Arial" w:cs="Arial"/>
                <w:sz w:val="24"/>
                <w:szCs w:val="24"/>
              </w:rPr>
              <w:t>) [</w:t>
            </w:r>
            <w:r w:rsidR="00002E9A" w:rsidRPr="00FE3661">
              <w:rPr>
                <w:rFonts w:ascii="Arial" w:hAnsi="Arial" w:cs="Arial"/>
                <w:sz w:val="24"/>
                <w:szCs w:val="24"/>
              </w:rPr>
              <w:t>202</w:t>
            </w:r>
            <w:r w:rsidR="00002E9A">
              <w:rPr>
                <w:rFonts w:ascii="Arial" w:hAnsi="Arial" w:cs="Arial"/>
                <w:sz w:val="24"/>
                <w:szCs w:val="24"/>
              </w:rPr>
              <w:t>3</w:t>
            </w:r>
            <w:r w:rsidR="00002E9A" w:rsidRPr="00FE3661">
              <w:rPr>
                <w:rFonts w:ascii="Arial" w:hAnsi="Arial" w:cs="Arial"/>
                <w:sz w:val="24"/>
                <w:szCs w:val="24"/>
              </w:rPr>
              <w:t>]</w:t>
            </w:r>
            <w:r w:rsidR="00002E9A" w:rsidRPr="00FE3661">
              <w:rPr>
                <w:rFonts w:ascii="Arial" w:hAnsi="Arial" w:cs="Arial"/>
                <w:i/>
                <w:sz w:val="24"/>
                <w:szCs w:val="24"/>
              </w:rPr>
              <w:t xml:space="preserve"> </w:t>
            </w:r>
            <w:r w:rsidR="00002E9A" w:rsidRPr="00FE3661">
              <w:rPr>
                <w:rFonts w:ascii="Arial" w:hAnsi="Arial" w:cs="Arial"/>
                <w:sz w:val="24"/>
                <w:szCs w:val="24"/>
              </w:rPr>
              <w:t xml:space="preserve">NAHCMD </w:t>
            </w:r>
            <w:r w:rsidR="002025F9">
              <w:rPr>
                <w:rFonts w:ascii="Arial" w:hAnsi="Arial" w:cs="Arial"/>
                <w:sz w:val="24"/>
                <w:szCs w:val="24"/>
              </w:rPr>
              <w:t>246</w:t>
            </w:r>
            <w:r w:rsidR="00002E9A">
              <w:rPr>
                <w:rFonts w:ascii="Arial" w:hAnsi="Arial" w:cs="Arial"/>
                <w:sz w:val="24"/>
                <w:szCs w:val="24"/>
              </w:rPr>
              <w:t xml:space="preserve"> (9 May 2023)</w:t>
            </w:r>
          </w:p>
        </w:tc>
      </w:tr>
      <w:tr w:rsidR="00002E9A" w:rsidRPr="00CA7995" w:rsidTr="00002E9A">
        <w:trPr>
          <w:trHeight w:val="876"/>
        </w:trPr>
        <w:tc>
          <w:tcPr>
            <w:tcW w:w="10476" w:type="dxa"/>
            <w:gridSpan w:val="3"/>
          </w:tcPr>
          <w:p w:rsidR="00002E9A" w:rsidRDefault="00002E9A" w:rsidP="00002E9A">
            <w:pPr>
              <w:shd w:val="clear" w:color="auto" w:fill="FFFFFF"/>
              <w:rPr>
                <w:rFonts w:ascii="Arial" w:eastAsia="Times New Roman" w:hAnsi="Arial" w:cs="Arial"/>
                <w:b/>
                <w:sz w:val="24"/>
                <w:szCs w:val="24"/>
                <w:lang w:val="en-US"/>
              </w:rPr>
            </w:pPr>
            <w:r w:rsidRPr="007B2C80">
              <w:rPr>
                <w:rFonts w:ascii="Arial" w:eastAsia="Times New Roman" w:hAnsi="Arial" w:cs="Arial"/>
                <w:b/>
                <w:sz w:val="24"/>
                <w:szCs w:val="24"/>
                <w:lang w:val="en-US"/>
              </w:rPr>
              <w:t>Results on merits:</w:t>
            </w:r>
          </w:p>
          <w:p w:rsidR="00002E9A" w:rsidRPr="00002E9A" w:rsidRDefault="00002E9A" w:rsidP="00002E9A">
            <w:pPr>
              <w:shd w:val="clear" w:color="auto" w:fill="FFFFFF"/>
              <w:rPr>
                <w:rFonts w:ascii="Arial" w:eastAsia="Times New Roman" w:hAnsi="Arial" w:cs="Arial"/>
                <w:sz w:val="24"/>
                <w:szCs w:val="24"/>
                <w:lang w:val="en-US"/>
              </w:rPr>
            </w:pPr>
          </w:p>
          <w:p w:rsidR="00002E9A" w:rsidRPr="00CA7995" w:rsidRDefault="00002E9A" w:rsidP="00002E9A">
            <w:pPr>
              <w:spacing w:line="360" w:lineRule="auto"/>
              <w:jc w:val="both"/>
              <w:rPr>
                <w:rFonts w:ascii="Arial" w:hAnsi="Arial" w:cs="Arial"/>
                <w:b/>
                <w:sz w:val="24"/>
                <w:szCs w:val="24"/>
              </w:rPr>
            </w:pPr>
            <w:r w:rsidRPr="00A2352A">
              <w:rPr>
                <w:rFonts w:ascii="Arial" w:eastAsia="Times New Roman" w:hAnsi="Arial" w:cs="Arial"/>
                <w:sz w:val="24"/>
                <w:szCs w:val="24"/>
                <w:lang w:val="en-US"/>
              </w:rPr>
              <w:t>Merits not considered.</w:t>
            </w:r>
          </w:p>
        </w:tc>
      </w:tr>
      <w:tr w:rsidR="00CA7995" w:rsidRPr="00CA7995" w:rsidTr="00002E9A">
        <w:tc>
          <w:tcPr>
            <w:tcW w:w="10476" w:type="dxa"/>
            <w:gridSpan w:val="3"/>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The order:</w:t>
            </w:r>
          </w:p>
          <w:p w:rsidR="00B40844" w:rsidRPr="00B47800" w:rsidRDefault="00B40844" w:rsidP="00937C89">
            <w:pPr>
              <w:spacing w:line="360" w:lineRule="auto"/>
              <w:jc w:val="both"/>
              <w:rPr>
                <w:rFonts w:ascii="Arial" w:hAnsi="Arial" w:cs="Arial"/>
                <w:sz w:val="20"/>
                <w:szCs w:val="20"/>
              </w:rPr>
            </w:pPr>
          </w:p>
          <w:p w:rsidR="00B40844" w:rsidRPr="008F5871" w:rsidRDefault="008F5871" w:rsidP="00CA7995">
            <w:pPr>
              <w:pStyle w:val="NormalWeb"/>
              <w:numPr>
                <w:ilvl w:val="0"/>
                <w:numId w:val="1"/>
              </w:numPr>
              <w:shd w:val="clear" w:color="auto" w:fill="FFFFFF"/>
              <w:spacing w:before="0" w:beforeAutospacing="0" w:after="0" w:afterAutospacing="0" w:line="360" w:lineRule="auto"/>
              <w:ind w:left="460" w:hanging="437"/>
              <w:jc w:val="both"/>
              <w:rPr>
                <w:rFonts w:ascii="Arial" w:hAnsi="Arial" w:cs="Arial"/>
              </w:rPr>
            </w:pPr>
            <w:r w:rsidRPr="008F5871">
              <w:rPr>
                <w:rFonts w:ascii="Arial" w:hAnsi="Arial" w:cs="Arial"/>
              </w:rPr>
              <w:t>The application for absolution from the instance is dismissed</w:t>
            </w:r>
            <w:r w:rsidR="00AA3ECB" w:rsidRPr="008F5871">
              <w:rPr>
                <w:rFonts w:ascii="Arial" w:hAnsi="Arial" w:cs="Arial"/>
              </w:rPr>
              <w:t>.</w:t>
            </w:r>
          </w:p>
          <w:p w:rsidR="00CA7995" w:rsidRPr="008F5871" w:rsidRDefault="00CA7995" w:rsidP="00CA7995">
            <w:pPr>
              <w:pStyle w:val="NormalWeb"/>
              <w:shd w:val="clear" w:color="auto" w:fill="FFFFFF"/>
              <w:spacing w:before="0" w:beforeAutospacing="0" w:after="0" w:afterAutospacing="0" w:line="360" w:lineRule="auto"/>
              <w:ind w:left="23"/>
              <w:jc w:val="both"/>
              <w:rPr>
                <w:rFonts w:ascii="Arial" w:hAnsi="Arial" w:cs="Arial"/>
              </w:rPr>
            </w:pPr>
          </w:p>
          <w:p w:rsidR="00F72231" w:rsidRPr="008F5871" w:rsidRDefault="008F5871" w:rsidP="00CA7995">
            <w:pPr>
              <w:pStyle w:val="NormalWeb"/>
              <w:numPr>
                <w:ilvl w:val="0"/>
                <w:numId w:val="1"/>
              </w:numPr>
              <w:shd w:val="clear" w:color="auto" w:fill="FFFFFF"/>
              <w:spacing w:before="0" w:beforeAutospacing="0" w:after="0" w:afterAutospacing="0" w:line="360" w:lineRule="auto"/>
              <w:ind w:left="460" w:hanging="437"/>
              <w:jc w:val="both"/>
              <w:rPr>
                <w:rFonts w:ascii="Arial" w:hAnsi="Arial" w:cs="Arial"/>
              </w:rPr>
            </w:pPr>
            <w:r w:rsidRPr="008F5871">
              <w:rPr>
                <w:rFonts w:ascii="Arial" w:hAnsi="Arial" w:cs="Arial"/>
              </w:rPr>
              <w:t>Costs of the application to be costs in the cause</w:t>
            </w:r>
            <w:r w:rsidR="00D113DD" w:rsidRPr="008F5871">
              <w:rPr>
                <w:rFonts w:ascii="Arial" w:hAnsi="Arial" w:cs="Arial"/>
              </w:rPr>
              <w:t>.</w:t>
            </w:r>
          </w:p>
          <w:p w:rsidR="008F5871" w:rsidRPr="008F5871" w:rsidRDefault="008F5871" w:rsidP="008F5871">
            <w:pPr>
              <w:rPr>
                <w:rFonts w:ascii="Arial" w:hAnsi="Arial" w:cs="Arial"/>
              </w:rPr>
            </w:pPr>
          </w:p>
          <w:p w:rsidR="008F5871" w:rsidRPr="008F5871" w:rsidRDefault="008F5871" w:rsidP="00CA7995">
            <w:pPr>
              <w:pStyle w:val="NormalWeb"/>
              <w:numPr>
                <w:ilvl w:val="0"/>
                <w:numId w:val="1"/>
              </w:numPr>
              <w:shd w:val="clear" w:color="auto" w:fill="FFFFFF"/>
              <w:spacing w:before="0" w:beforeAutospacing="0" w:after="0" w:afterAutospacing="0" w:line="360" w:lineRule="auto"/>
              <w:ind w:left="460" w:hanging="437"/>
              <w:jc w:val="both"/>
              <w:rPr>
                <w:rFonts w:ascii="Arial" w:hAnsi="Arial" w:cs="Arial"/>
              </w:rPr>
            </w:pPr>
            <w:r w:rsidRPr="008F5871">
              <w:rPr>
                <w:rFonts w:ascii="Arial" w:hAnsi="Arial" w:cs="Arial"/>
              </w:rPr>
              <w:t xml:space="preserve">The matter is postponed to </w:t>
            </w:r>
            <w:r w:rsidR="002025F9" w:rsidRPr="0057544A">
              <w:rPr>
                <w:rFonts w:ascii="Arial" w:hAnsi="Arial" w:cs="Arial"/>
              </w:rPr>
              <w:t>17 May 2023</w:t>
            </w:r>
            <w:r w:rsidRPr="0057544A">
              <w:rPr>
                <w:rFonts w:ascii="Arial" w:hAnsi="Arial" w:cs="Arial"/>
              </w:rPr>
              <w:t xml:space="preserve"> at </w:t>
            </w:r>
            <w:r w:rsidR="002025F9" w:rsidRPr="0057544A">
              <w:rPr>
                <w:rFonts w:ascii="Arial" w:hAnsi="Arial" w:cs="Arial"/>
              </w:rPr>
              <w:t>09</w:t>
            </w:r>
            <w:r w:rsidRPr="0057544A">
              <w:rPr>
                <w:rFonts w:ascii="Arial" w:hAnsi="Arial" w:cs="Arial"/>
              </w:rPr>
              <w:t>h00</w:t>
            </w:r>
            <w:r w:rsidRPr="008F5871">
              <w:rPr>
                <w:rFonts w:ascii="Arial" w:hAnsi="Arial" w:cs="Arial"/>
              </w:rPr>
              <w:t xml:space="preserve"> to</w:t>
            </w:r>
            <w:r w:rsidR="002025F9">
              <w:rPr>
                <w:rFonts w:ascii="Arial" w:hAnsi="Arial" w:cs="Arial"/>
              </w:rPr>
              <w:t xml:space="preserve"> allocate</w:t>
            </w:r>
            <w:r w:rsidRPr="008F5871">
              <w:rPr>
                <w:rFonts w:ascii="Arial" w:hAnsi="Arial" w:cs="Arial"/>
              </w:rPr>
              <w:t xml:space="preserve"> a date for the continuation of the trial.</w:t>
            </w:r>
          </w:p>
          <w:p w:rsidR="008C2200" w:rsidRPr="00B47800" w:rsidRDefault="008C2200" w:rsidP="00B47800">
            <w:pPr>
              <w:pStyle w:val="NormalWeb"/>
              <w:shd w:val="clear" w:color="auto" w:fill="FFFFFF"/>
              <w:spacing w:before="0" w:beforeAutospacing="0" w:after="0" w:afterAutospacing="0" w:line="360" w:lineRule="auto"/>
              <w:ind w:left="23"/>
              <w:jc w:val="both"/>
              <w:rPr>
                <w:rFonts w:ascii="Arial" w:hAnsi="Arial" w:cs="Arial"/>
              </w:rPr>
            </w:pPr>
          </w:p>
        </w:tc>
      </w:tr>
      <w:tr w:rsidR="00CA7995" w:rsidRPr="00CA7995" w:rsidTr="00002E9A">
        <w:trPr>
          <w:trHeight w:val="548"/>
        </w:trPr>
        <w:tc>
          <w:tcPr>
            <w:tcW w:w="10476" w:type="dxa"/>
            <w:gridSpan w:val="3"/>
          </w:tcPr>
          <w:p w:rsidR="00B40844" w:rsidRPr="00CA7995" w:rsidRDefault="008F5871" w:rsidP="008F5871">
            <w:pPr>
              <w:tabs>
                <w:tab w:val="right" w:pos="9693"/>
              </w:tabs>
              <w:spacing w:line="360" w:lineRule="auto"/>
              <w:jc w:val="both"/>
              <w:rPr>
                <w:rFonts w:ascii="Arial" w:hAnsi="Arial" w:cs="Arial"/>
                <w:b/>
                <w:sz w:val="24"/>
                <w:szCs w:val="24"/>
              </w:rPr>
            </w:pPr>
            <w:r w:rsidRPr="00806722">
              <w:rPr>
                <w:rFonts w:ascii="Arial" w:hAnsi="Arial" w:cs="Arial"/>
                <w:b/>
                <w:sz w:val="24"/>
                <w:szCs w:val="24"/>
                <w:lang w:val="en-US"/>
              </w:rPr>
              <w:lastRenderedPageBreak/>
              <w:t>Reasons for orders:</w:t>
            </w:r>
          </w:p>
        </w:tc>
      </w:tr>
      <w:tr w:rsidR="00CA7995" w:rsidRPr="00CA7995" w:rsidTr="00002E9A">
        <w:tc>
          <w:tcPr>
            <w:tcW w:w="10476" w:type="dxa"/>
            <w:gridSpan w:val="3"/>
          </w:tcPr>
          <w:p w:rsidR="00EA2DE2" w:rsidRPr="00EA2DE2" w:rsidRDefault="00EA2DE2" w:rsidP="00ED76B2">
            <w:pPr>
              <w:spacing w:line="360" w:lineRule="auto"/>
              <w:jc w:val="both"/>
              <w:rPr>
                <w:rFonts w:ascii="Arial" w:hAnsi="Arial" w:cs="Arial"/>
                <w:sz w:val="24"/>
                <w:szCs w:val="24"/>
              </w:rPr>
            </w:pPr>
          </w:p>
          <w:p w:rsidR="00B40844" w:rsidRPr="00CA7995" w:rsidRDefault="00B40844" w:rsidP="00ED76B2">
            <w:pPr>
              <w:spacing w:line="360" w:lineRule="auto"/>
              <w:jc w:val="both"/>
              <w:rPr>
                <w:rFonts w:ascii="Arial" w:hAnsi="Arial" w:cs="Arial"/>
                <w:sz w:val="24"/>
                <w:szCs w:val="24"/>
                <w:u w:val="single"/>
              </w:rPr>
            </w:pPr>
            <w:r w:rsidRPr="00CA7995">
              <w:rPr>
                <w:rFonts w:ascii="Arial" w:hAnsi="Arial" w:cs="Arial"/>
                <w:sz w:val="24"/>
                <w:szCs w:val="24"/>
                <w:u w:val="single"/>
              </w:rPr>
              <w:t>Introduction</w:t>
            </w:r>
          </w:p>
          <w:p w:rsidR="00B40844" w:rsidRPr="00CA7995" w:rsidRDefault="00B40844" w:rsidP="00ED76B2">
            <w:pPr>
              <w:spacing w:line="360" w:lineRule="auto"/>
              <w:jc w:val="both"/>
              <w:rPr>
                <w:rFonts w:ascii="Arial" w:hAnsi="Arial" w:cs="Arial"/>
                <w:sz w:val="24"/>
                <w:szCs w:val="24"/>
              </w:rPr>
            </w:pPr>
          </w:p>
          <w:p w:rsidR="00B40844" w:rsidRDefault="00B40844" w:rsidP="00ED76B2">
            <w:pPr>
              <w:tabs>
                <w:tab w:val="left" w:pos="729"/>
              </w:tabs>
              <w:spacing w:line="360" w:lineRule="auto"/>
              <w:jc w:val="both"/>
              <w:rPr>
                <w:rFonts w:ascii="Arial" w:eastAsia="Times New Roman" w:hAnsi="Arial" w:cs="Arial"/>
                <w:sz w:val="24"/>
                <w:szCs w:val="24"/>
                <w:lang w:val="en-US"/>
              </w:rPr>
            </w:pPr>
            <w:r w:rsidRPr="00CA7995">
              <w:rPr>
                <w:rFonts w:ascii="Arial" w:hAnsi="Arial" w:cs="Arial"/>
                <w:sz w:val="24"/>
                <w:szCs w:val="24"/>
              </w:rPr>
              <w:t>[1]</w:t>
            </w:r>
            <w:r w:rsidRPr="00CA7995">
              <w:rPr>
                <w:rFonts w:ascii="Arial" w:hAnsi="Arial" w:cs="Arial"/>
                <w:sz w:val="24"/>
                <w:szCs w:val="24"/>
              </w:rPr>
              <w:tab/>
            </w:r>
            <w:r w:rsidR="008F5871" w:rsidRPr="00855156">
              <w:rPr>
                <w:rFonts w:ascii="Arial" w:hAnsi="Arial" w:cs="Arial"/>
                <w:sz w:val="24"/>
                <w:szCs w:val="24"/>
              </w:rPr>
              <w:t xml:space="preserve">This is an application for absolution from the instance at the close of the </w:t>
            </w:r>
            <w:r w:rsidR="008F5871" w:rsidRPr="00A2352A">
              <w:rPr>
                <w:rFonts w:ascii="Arial" w:hAnsi="Arial" w:cs="Arial"/>
                <w:sz w:val="24"/>
                <w:szCs w:val="24"/>
              </w:rPr>
              <w:t>plaintiff’s case</w:t>
            </w:r>
            <w:r w:rsidR="00F0783D">
              <w:rPr>
                <w:rFonts w:ascii="Arial" w:eastAsia="Times New Roman" w:hAnsi="Arial" w:cs="Arial"/>
                <w:sz w:val="24"/>
                <w:szCs w:val="24"/>
                <w:lang w:val="en-US"/>
              </w:rPr>
              <w:t>.</w:t>
            </w:r>
          </w:p>
          <w:p w:rsidR="00672C76" w:rsidRPr="00323E22" w:rsidRDefault="00672C76" w:rsidP="00ED76B2">
            <w:pPr>
              <w:spacing w:line="360" w:lineRule="auto"/>
              <w:ind w:left="20" w:hanging="20"/>
              <w:jc w:val="both"/>
              <w:rPr>
                <w:rFonts w:ascii="Arial" w:hAnsi="Arial" w:cs="Arial"/>
                <w:sz w:val="24"/>
                <w:szCs w:val="24"/>
              </w:rPr>
            </w:pPr>
          </w:p>
          <w:p w:rsidR="00FC2237" w:rsidRDefault="00672C76" w:rsidP="00ED76B2">
            <w:pPr>
              <w:spacing w:line="360" w:lineRule="auto"/>
              <w:ind w:left="20" w:hanging="20"/>
              <w:jc w:val="both"/>
              <w:rPr>
                <w:rFonts w:ascii="Arial" w:hAnsi="Arial" w:cs="Arial"/>
                <w:sz w:val="24"/>
                <w:szCs w:val="24"/>
              </w:rPr>
            </w:pPr>
            <w:r w:rsidRPr="00323E22">
              <w:rPr>
                <w:rFonts w:ascii="Arial" w:hAnsi="Arial" w:cs="Arial"/>
                <w:sz w:val="24"/>
                <w:szCs w:val="24"/>
              </w:rPr>
              <w:t>[2]</w:t>
            </w:r>
            <w:r w:rsidR="000A6E7F" w:rsidRPr="00323E22">
              <w:rPr>
                <w:rFonts w:ascii="Arial" w:hAnsi="Arial" w:cs="Arial"/>
                <w:sz w:val="24"/>
                <w:szCs w:val="24"/>
              </w:rPr>
              <w:tab/>
            </w:r>
            <w:r w:rsidR="008F5871" w:rsidRPr="00855156">
              <w:rPr>
                <w:rFonts w:ascii="Arial" w:hAnsi="Arial" w:cs="Arial"/>
                <w:sz w:val="24"/>
                <w:szCs w:val="24"/>
              </w:rPr>
              <w:t xml:space="preserve">The plaintiff, </w:t>
            </w:r>
            <w:proofErr w:type="spellStart"/>
            <w:r w:rsidR="008F5871" w:rsidRPr="00855156">
              <w:rPr>
                <w:rFonts w:ascii="Arial" w:hAnsi="Arial" w:cs="Arial"/>
                <w:sz w:val="24"/>
                <w:szCs w:val="24"/>
              </w:rPr>
              <w:t>Nedbank</w:t>
            </w:r>
            <w:proofErr w:type="spellEnd"/>
            <w:r w:rsidR="008F5871" w:rsidRPr="00855156">
              <w:rPr>
                <w:rFonts w:ascii="Arial" w:hAnsi="Arial" w:cs="Arial"/>
                <w:sz w:val="24"/>
                <w:szCs w:val="24"/>
              </w:rPr>
              <w:t xml:space="preserve"> Namibia Limited, instituted proceedings against the defendants arising from a loan agreement concluded between it and the first defendant</w:t>
            </w:r>
            <w:r w:rsidR="00224808">
              <w:rPr>
                <w:rFonts w:ascii="Arial" w:hAnsi="Arial" w:cs="Arial"/>
                <w:sz w:val="24"/>
                <w:szCs w:val="24"/>
              </w:rPr>
              <w:t>.</w:t>
            </w:r>
          </w:p>
          <w:p w:rsidR="00224808" w:rsidRDefault="00224808" w:rsidP="00ED76B2">
            <w:pPr>
              <w:spacing w:line="360" w:lineRule="auto"/>
              <w:ind w:left="20" w:hanging="20"/>
              <w:jc w:val="both"/>
              <w:rPr>
                <w:rFonts w:ascii="Arial" w:hAnsi="Arial" w:cs="Arial"/>
                <w:sz w:val="24"/>
                <w:szCs w:val="24"/>
              </w:rPr>
            </w:pPr>
          </w:p>
          <w:p w:rsidR="00224808" w:rsidRDefault="002D20C5" w:rsidP="00ED76B2">
            <w:pPr>
              <w:spacing w:line="360" w:lineRule="auto"/>
              <w:ind w:left="20" w:hanging="20"/>
              <w:jc w:val="both"/>
              <w:rPr>
                <w:rFonts w:ascii="Arial" w:hAnsi="Arial" w:cs="Arial"/>
                <w:sz w:val="24"/>
                <w:szCs w:val="24"/>
              </w:rPr>
            </w:pPr>
            <w:r>
              <w:rPr>
                <w:rFonts w:ascii="Arial" w:hAnsi="Arial" w:cs="Arial"/>
                <w:sz w:val="24"/>
                <w:szCs w:val="24"/>
              </w:rPr>
              <w:t>[3]</w:t>
            </w:r>
            <w:r w:rsidRPr="00323E22">
              <w:rPr>
                <w:rFonts w:ascii="Arial" w:hAnsi="Arial" w:cs="Arial"/>
                <w:sz w:val="24"/>
                <w:szCs w:val="24"/>
              </w:rPr>
              <w:tab/>
            </w:r>
            <w:r w:rsidR="008F5871" w:rsidRPr="00855156">
              <w:rPr>
                <w:rFonts w:ascii="Arial" w:hAnsi="Arial" w:cs="Arial"/>
                <w:sz w:val="24"/>
                <w:szCs w:val="24"/>
              </w:rPr>
              <w:t>The first defendant, Ally Angula, entered into a personal loan agreement with the plaintiff on 13 December 2014</w:t>
            </w:r>
            <w:r w:rsidR="008F5871">
              <w:rPr>
                <w:rFonts w:ascii="Arial" w:hAnsi="Arial" w:cs="Arial"/>
                <w:sz w:val="24"/>
                <w:szCs w:val="24"/>
              </w:rPr>
              <w:t>,</w:t>
            </w:r>
            <w:r w:rsidR="008F5871" w:rsidRPr="00855156">
              <w:rPr>
                <w:rFonts w:ascii="Arial" w:hAnsi="Arial" w:cs="Arial"/>
                <w:sz w:val="24"/>
                <w:szCs w:val="24"/>
              </w:rPr>
              <w:t xml:space="preserve"> in terms of which the plaintiff would advance a sum of N$4 742 184.95 at a floating interest rate linked to the prime interest rate</w:t>
            </w:r>
            <w:r w:rsidR="008A1447">
              <w:rPr>
                <w:rFonts w:ascii="Arial" w:hAnsi="Arial" w:cs="Arial"/>
                <w:sz w:val="24"/>
                <w:szCs w:val="24"/>
              </w:rPr>
              <w:t>.</w:t>
            </w:r>
          </w:p>
          <w:p w:rsidR="00FC2237" w:rsidRDefault="00FC2237" w:rsidP="00ED76B2">
            <w:pPr>
              <w:spacing w:line="360" w:lineRule="auto"/>
              <w:ind w:left="20" w:hanging="20"/>
              <w:jc w:val="both"/>
              <w:rPr>
                <w:rFonts w:ascii="Arial" w:hAnsi="Arial" w:cs="Arial"/>
                <w:sz w:val="24"/>
                <w:szCs w:val="24"/>
              </w:rPr>
            </w:pPr>
          </w:p>
          <w:p w:rsidR="00672C76" w:rsidRPr="00CA7995" w:rsidRDefault="002D20C5" w:rsidP="00ED76B2">
            <w:pPr>
              <w:spacing w:line="360" w:lineRule="auto"/>
              <w:ind w:left="20" w:hanging="20"/>
              <w:jc w:val="both"/>
              <w:rPr>
                <w:rFonts w:ascii="Arial" w:hAnsi="Arial" w:cs="Arial"/>
                <w:sz w:val="24"/>
                <w:szCs w:val="24"/>
              </w:rPr>
            </w:pPr>
            <w:r>
              <w:rPr>
                <w:rFonts w:ascii="Arial" w:eastAsia="Times New Roman" w:hAnsi="Arial" w:cs="Arial"/>
                <w:sz w:val="24"/>
                <w:szCs w:val="24"/>
                <w:lang w:val="en-US"/>
              </w:rPr>
              <w:t>[4]</w:t>
            </w:r>
            <w:r w:rsidRPr="00323E22">
              <w:rPr>
                <w:rFonts w:ascii="Arial" w:hAnsi="Arial" w:cs="Arial"/>
                <w:sz w:val="24"/>
                <w:szCs w:val="24"/>
              </w:rPr>
              <w:tab/>
            </w:r>
            <w:r w:rsidR="008F5871" w:rsidRPr="00855156">
              <w:rPr>
                <w:rFonts w:ascii="Arial" w:hAnsi="Arial" w:cs="Arial"/>
                <w:sz w:val="24"/>
                <w:szCs w:val="24"/>
              </w:rPr>
              <w:t xml:space="preserve">The second defendant, Manna </w:t>
            </w:r>
            <w:proofErr w:type="spellStart"/>
            <w:r w:rsidR="008F5871" w:rsidRPr="00855156">
              <w:rPr>
                <w:rFonts w:ascii="Arial" w:hAnsi="Arial" w:cs="Arial"/>
                <w:sz w:val="24"/>
                <w:szCs w:val="24"/>
              </w:rPr>
              <w:t>Matswetu</w:t>
            </w:r>
            <w:proofErr w:type="spellEnd"/>
            <w:r w:rsidR="008F5871" w:rsidRPr="00855156">
              <w:rPr>
                <w:rFonts w:ascii="Arial" w:hAnsi="Arial" w:cs="Arial"/>
                <w:sz w:val="24"/>
                <w:szCs w:val="24"/>
              </w:rPr>
              <w:t xml:space="preserve">, was married in community of property to the first defendant at the time, and it is the case of the plaintiff that the second defendant consented to the first defendant entering into </w:t>
            </w:r>
            <w:r w:rsidR="008F5871" w:rsidRPr="00A2352A">
              <w:rPr>
                <w:rFonts w:ascii="Arial" w:hAnsi="Arial" w:cs="Arial"/>
                <w:sz w:val="24"/>
                <w:szCs w:val="24"/>
              </w:rPr>
              <w:t>the written loan agreement</w:t>
            </w:r>
            <w:r>
              <w:rPr>
                <w:rFonts w:ascii="Arial" w:hAnsi="Arial" w:cs="Arial"/>
                <w:sz w:val="24"/>
                <w:szCs w:val="24"/>
              </w:rPr>
              <w:t>.</w:t>
            </w:r>
          </w:p>
          <w:p w:rsidR="00535F29" w:rsidRDefault="00535F29" w:rsidP="00ED76B2">
            <w:pPr>
              <w:spacing w:line="360" w:lineRule="auto"/>
              <w:jc w:val="both"/>
              <w:rPr>
                <w:rFonts w:ascii="Arial" w:hAnsi="Arial" w:cs="Arial"/>
                <w:sz w:val="24"/>
                <w:szCs w:val="24"/>
              </w:rPr>
            </w:pPr>
          </w:p>
          <w:p w:rsidR="008F5871" w:rsidRPr="008F5871" w:rsidRDefault="008F5871" w:rsidP="00ED76B2">
            <w:pPr>
              <w:spacing w:line="360" w:lineRule="auto"/>
              <w:jc w:val="both"/>
              <w:rPr>
                <w:rFonts w:ascii="Arial" w:hAnsi="Arial" w:cs="Arial"/>
                <w:sz w:val="24"/>
                <w:szCs w:val="24"/>
                <w:u w:val="single"/>
              </w:rPr>
            </w:pPr>
            <w:r w:rsidRPr="008F5871">
              <w:rPr>
                <w:rFonts w:ascii="Arial" w:hAnsi="Arial" w:cs="Arial"/>
                <w:sz w:val="24"/>
                <w:szCs w:val="24"/>
                <w:u w:val="single"/>
              </w:rPr>
              <w:t>Background</w:t>
            </w:r>
          </w:p>
          <w:p w:rsidR="008F5871" w:rsidRPr="00323E22" w:rsidRDefault="008F5871" w:rsidP="00ED76B2">
            <w:pPr>
              <w:spacing w:line="360" w:lineRule="auto"/>
              <w:jc w:val="both"/>
              <w:rPr>
                <w:rFonts w:ascii="Arial" w:hAnsi="Arial" w:cs="Arial"/>
                <w:sz w:val="24"/>
                <w:szCs w:val="24"/>
              </w:rPr>
            </w:pPr>
          </w:p>
          <w:p w:rsidR="00B40844" w:rsidRPr="00CA7995" w:rsidRDefault="00C06EB4" w:rsidP="00ED76B2">
            <w:pPr>
              <w:tabs>
                <w:tab w:val="left" w:pos="729"/>
              </w:tabs>
              <w:spacing w:line="360" w:lineRule="auto"/>
              <w:jc w:val="both"/>
              <w:rPr>
                <w:rFonts w:ascii="Arial" w:hAnsi="Arial" w:cs="Arial"/>
                <w:sz w:val="24"/>
                <w:szCs w:val="24"/>
              </w:rPr>
            </w:pPr>
            <w:r w:rsidRPr="00323E22">
              <w:rPr>
                <w:rFonts w:ascii="Arial" w:hAnsi="Arial" w:cs="Arial"/>
                <w:sz w:val="24"/>
                <w:szCs w:val="24"/>
              </w:rPr>
              <w:t>[</w:t>
            </w:r>
            <w:r w:rsidR="002D20C5">
              <w:rPr>
                <w:rFonts w:ascii="Arial" w:hAnsi="Arial" w:cs="Arial"/>
                <w:sz w:val="24"/>
                <w:szCs w:val="24"/>
              </w:rPr>
              <w:t>5</w:t>
            </w:r>
            <w:r w:rsidR="00B40844" w:rsidRPr="00323E22">
              <w:rPr>
                <w:rFonts w:ascii="Arial" w:hAnsi="Arial" w:cs="Arial"/>
                <w:sz w:val="24"/>
                <w:szCs w:val="24"/>
              </w:rPr>
              <w:t>]</w:t>
            </w:r>
            <w:r w:rsidR="00B40844" w:rsidRPr="00323E22">
              <w:rPr>
                <w:rFonts w:ascii="Arial" w:hAnsi="Arial" w:cs="Arial"/>
                <w:sz w:val="24"/>
                <w:szCs w:val="24"/>
              </w:rPr>
              <w:tab/>
            </w:r>
            <w:r w:rsidR="008F5871">
              <w:rPr>
                <w:rFonts w:ascii="Arial" w:hAnsi="Arial" w:cs="Arial"/>
                <w:sz w:val="24"/>
                <w:szCs w:val="24"/>
              </w:rPr>
              <w:t>To</w:t>
            </w:r>
            <w:r w:rsidR="008F5871" w:rsidRPr="00385C4B">
              <w:rPr>
                <w:rFonts w:ascii="Arial" w:hAnsi="Arial" w:cs="Arial"/>
                <w:sz w:val="24"/>
                <w:szCs w:val="24"/>
              </w:rPr>
              <w:t xml:space="preserve"> place the agreement between the plaintiff and the first defendant into context</w:t>
            </w:r>
            <w:r w:rsidR="008F5871">
              <w:rPr>
                <w:rFonts w:ascii="Arial" w:hAnsi="Arial" w:cs="Arial"/>
                <w:sz w:val="24"/>
                <w:szCs w:val="24"/>
              </w:rPr>
              <w:t>,</w:t>
            </w:r>
            <w:r w:rsidR="008F5871" w:rsidRPr="00385C4B">
              <w:rPr>
                <w:rFonts w:ascii="Arial" w:hAnsi="Arial" w:cs="Arial"/>
                <w:sz w:val="24"/>
                <w:szCs w:val="24"/>
              </w:rPr>
              <w:t xml:space="preserve"> it is necessary </w:t>
            </w:r>
            <w:r w:rsidR="008F5871" w:rsidRPr="00071BC2">
              <w:rPr>
                <w:rFonts w:ascii="Arial" w:hAnsi="Arial" w:cs="Arial"/>
                <w:sz w:val="24"/>
                <w:szCs w:val="24"/>
              </w:rPr>
              <w:t>to discuss</w:t>
            </w:r>
            <w:r w:rsidR="002025F9">
              <w:rPr>
                <w:rFonts w:ascii="Arial" w:hAnsi="Arial" w:cs="Arial"/>
                <w:sz w:val="24"/>
                <w:szCs w:val="24"/>
              </w:rPr>
              <w:t xml:space="preserve"> briefly</w:t>
            </w:r>
            <w:r w:rsidR="008F5871" w:rsidRPr="00071BC2">
              <w:rPr>
                <w:rFonts w:ascii="Arial" w:hAnsi="Arial" w:cs="Arial"/>
                <w:sz w:val="24"/>
                <w:szCs w:val="24"/>
              </w:rPr>
              <w:t xml:space="preserve"> what gave rise to the agreement</w:t>
            </w:r>
            <w:r w:rsidR="008F5871">
              <w:rPr>
                <w:rFonts w:ascii="Arial" w:hAnsi="Arial" w:cs="Arial"/>
                <w:sz w:val="24"/>
                <w:szCs w:val="24"/>
              </w:rPr>
              <w:t>.</w:t>
            </w:r>
          </w:p>
          <w:p w:rsidR="00404B70" w:rsidRDefault="00404B70" w:rsidP="00ED76B2">
            <w:pPr>
              <w:spacing w:line="360" w:lineRule="auto"/>
              <w:jc w:val="both"/>
              <w:rPr>
                <w:rFonts w:ascii="Arial" w:hAnsi="Arial" w:cs="Arial"/>
                <w:sz w:val="24"/>
                <w:szCs w:val="24"/>
              </w:rPr>
            </w:pPr>
          </w:p>
          <w:p w:rsidR="008A1447" w:rsidRDefault="00B40844" w:rsidP="00ED76B2">
            <w:pPr>
              <w:tabs>
                <w:tab w:val="left" w:pos="729"/>
              </w:tabs>
              <w:spacing w:line="360" w:lineRule="auto"/>
              <w:jc w:val="both"/>
              <w:rPr>
                <w:rFonts w:ascii="Arial" w:eastAsia="Times New Roman" w:hAnsi="Arial" w:cs="Arial"/>
                <w:sz w:val="24"/>
                <w:szCs w:val="24"/>
                <w:lang w:val="en-US"/>
              </w:rPr>
            </w:pPr>
            <w:r w:rsidRPr="00323E22">
              <w:rPr>
                <w:rFonts w:ascii="Arial" w:hAnsi="Arial" w:cs="Arial"/>
                <w:sz w:val="24"/>
                <w:szCs w:val="24"/>
              </w:rPr>
              <w:t>[</w:t>
            </w:r>
            <w:r w:rsidR="002D20C5">
              <w:rPr>
                <w:rFonts w:ascii="Arial" w:hAnsi="Arial" w:cs="Arial"/>
                <w:sz w:val="24"/>
                <w:szCs w:val="24"/>
              </w:rPr>
              <w:t>6</w:t>
            </w:r>
            <w:r w:rsidRPr="00323E22">
              <w:rPr>
                <w:rFonts w:ascii="Arial" w:hAnsi="Arial" w:cs="Arial"/>
                <w:sz w:val="24"/>
                <w:szCs w:val="24"/>
              </w:rPr>
              <w:t>]</w:t>
            </w:r>
            <w:r w:rsidRPr="00323E22">
              <w:rPr>
                <w:rFonts w:ascii="Arial" w:hAnsi="Arial" w:cs="Arial"/>
                <w:sz w:val="24"/>
                <w:szCs w:val="24"/>
              </w:rPr>
              <w:tab/>
            </w:r>
            <w:r w:rsidR="008F5871" w:rsidRPr="002D231B">
              <w:rPr>
                <w:rFonts w:ascii="Arial" w:hAnsi="Arial" w:cs="Arial"/>
                <w:sz w:val="24"/>
                <w:szCs w:val="24"/>
              </w:rPr>
              <w:t>Back in 2011, the plaintiff took legal action against</w:t>
            </w:r>
            <w:r w:rsidR="008F5871" w:rsidRPr="00C805EC">
              <w:t xml:space="preserve"> </w:t>
            </w:r>
            <w:r w:rsidR="008F5871" w:rsidRPr="00385C4B">
              <w:rPr>
                <w:rFonts w:ascii="Arial" w:hAnsi="Arial" w:cs="Arial"/>
                <w:sz w:val="24"/>
                <w:szCs w:val="24"/>
              </w:rPr>
              <w:t>Impact Distribution Namibia (Pty) Ltd (Impact Distribution) and three other defendants</w:t>
            </w:r>
            <w:r w:rsidR="008F5871">
              <w:rPr>
                <w:rFonts w:ascii="Arial" w:hAnsi="Arial" w:cs="Arial"/>
                <w:sz w:val="24"/>
                <w:szCs w:val="24"/>
              </w:rPr>
              <w:t>,</w:t>
            </w:r>
            <w:r w:rsidR="008F5871" w:rsidRPr="00385C4B">
              <w:rPr>
                <w:rFonts w:ascii="Arial" w:hAnsi="Arial" w:cs="Arial"/>
                <w:sz w:val="24"/>
                <w:szCs w:val="24"/>
              </w:rPr>
              <w:t xml:space="preserve"> with the first defendant being th</w:t>
            </w:r>
            <w:r w:rsidR="008F5871">
              <w:rPr>
                <w:rFonts w:ascii="Arial" w:hAnsi="Arial" w:cs="Arial"/>
                <w:sz w:val="24"/>
                <w:szCs w:val="24"/>
              </w:rPr>
              <w:t>e second defendant in that case</w:t>
            </w:r>
            <w:r w:rsidR="008F5871" w:rsidRPr="00385C4B">
              <w:rPr>
                <w:rFonts w:ascii="Arial" w:hAnsi="Arial" w:cs="Arial"/>
                <w:sz w:val="24"/>
                <w:szCs w:val="24"/>
              </w:rPr>
              <w:t>.</w:t>
            </w:r>
            <w:r w:rsidR="008F5871">
              <w:rPr>
                <w:rStyle w:val="FootnoteReference"/>
                <w:rFonts w:ascii="Arial" w:hAnsi="Arial" w:cs="Arial"/>
                <w:sz w:val="24"/>
                <w:szCs w:val="24"/>
              </w:rPr>
              <w:footnoteReference w:id="1"/>
            </w:r>
            <w:r w:rsidR="008F5871" w:rsidRPr="00385C4B">
              <w:rPr>
                <w:rFonts w:ascii="Arial" w:hAnsi="Arial" w:cs="Arial"/>
                <w:sz w:val="24"/>
                <w:szCs w:val="24"/>
              </w:rPr>
              <w:t xml:space="preserve"> As security for the due and timeous payment by Impact Distribution to the plaintiff, the second to fourth defendants bound themselves as surety in </w:t>
            </w:r>
            <w:proofErr w:type="spellStart"/>
            <w:r w:rsidR="008F5871" w:rsidRPr="00385C4B">
              <w:rPr>
                <w:rFonts w:ascii="Arial" w:hAnsi="Arial" w:cs="Arial"/>
                <w:sz w:val="24"/>
                <w:szCs w:val="24"/>
              </w:rPr>
              <w:t>solidum</w:t>
            </w:r>
            <w:proofErr w:type="spellEnd"/>
            <w:r w:rsidR="008F5871" w:rsidRPr="00385C4B">
              <w:rPr>
                <w:rFonts w:ascii="Arial" w:hAnsi="Arial" w:cs="Arial"/>
                <w:sz w:val="24"/>
                <w:szCs w:val="24"/>
              </w:rPr>
              <w:t xml:space="preserve"> for and as co-principal debtors jointly and severally for Impact Distribution. Consequent to the first </w:t>
            </w:r>
            <w:r w:rsidR="008F5871" w:rsidRPr="00A2352A">
              <w:rPr>
                <w:rFonts w:ascii="Arial" w:hAnsi="Arial" w:cs="Arial"/>
                <w:sz w:val="24"/>
                <w:szCs w:val="24"/>
              </w:rPr>
              <w:t>defendant (in the current matter) signing</w:t>
            </w:r>
            <w:r w:rsidR="008F5871" w:rsidRPr="00385C4B">
              <w:rPr>
                <w:rFonts w:ascii="Arial" w:hAnsi="Arial" w:cs="Arial"/>
                <w:sz w:val="24"/>
                <w:szCs w:val="24"/>
              </w:rPr>
              <w:t xml:space="preserve"> as surety</w:t>
            </w:r>
            <w:r w:rsidR="008F5871">
              <w:rPr>
                <w:rFonts w:ascii="Arial" w:hAnsi="Arial" w:cs="Arial"/>
                <w:sz w:val="24"/>
                <w:szCs w:val="24"/>
              </w:rPr>
              <w:t>,</w:t>
            </w:r>
            <w:r w:rsidR="008F5871" w:rsidRPr="00385C4B">
              <w:rPr>
                <w:rFonts w:ascii="Arial" w:hAnsi="Arial" w:cs="Arial"/>
                <w:sz w:val="24"/>
                <w:szCs w:val="24"/>
              </w:rPr>
              <w:t xml:space="preserve"> she accepted liability for Impact </w:t>
            </w:r>
            <w:r w:rsidR="008F5871" w:rsidRPr="00A2352A">
              <w:rPr>
                <w:rFonts w:ascii="Arial" w:hAnsi="Arial" w:cs="Arial"/>
                <w:sz w:val="24"/>
                <w:szCs w:val="24"/>
              </w:rPr>
              <w:t>Distribution’s</w:t>
            </w:r>
            <w:r w:rsidR="008F5871" w:rsidRPr="00385C4B">
              <w:rPr>
                <w:rFonts w:ascii="Arial" w:hAnsi="Arial" w:cs="Arial"/>
                <w:sz w:val="24"/>
                <w:szCs w:val="24"/>
              </w:rPr>
              <w:t xml:space="preserve"> full outstanding liability and </w:t>
            </w:r>
            <w:r w:rsidR="008F5871">
              <w:rPr>
                <w:rFonts w:ascii="Arial" w:hAnsi="Arial" w:cs="Arial"/>
                <w:sz w:val="24"/>
                <w:szCs w:val="24"/>
              </w:rPr>
              <w:t>entered</w:t>
            </w:r>
            <w:r w:rsidR="008F5871" w:rsidRPr="00385C4B">
              <w:rPr>
                <w:rFonts w:ascii="Arial" w:hAnsi="Arial" w:cs="Arial"/>
                <w:sz w:val="24"/>
                <w:szCs w:val="24"/>
              </w:rPr>
              <w:t xml:space="preserve"> into a personal loan agreement with the plaintiff, which gave rise to the current claim against the first defendant</w:t>
            </w:r>
            <w:r w:rsidR="002D20C5">
              <w:rPr>
                <w:rFonts w:ascii="Arial" w:eastAsia="Times New Roman" w:hAnsi="Arial" w:cs="Arial"/>
                <w:sz w:val="24"/>
                <w:szCs w:val="24"/>
                <w:lang w:val="en-US"/>
              </w:rPr>
              <w:t>.</w:t>
            </w:r>
          </w:p>
          <w:p w:rsidR="00821A0C" w:rsidRPr="00CA7995" w:rsidRDefault="00821A0C" w:rsidP="00ED76B2">
            <w:pPr>
              <w:spacing w:line="360" w:lineRule="auto"/>
              <w:jc w:val="both"/>
              <w:rPr>
                <w:rFonts w:ascii="Arial" w:hAnsi="Arial" w:cs="Arial"/>
                <w:sz w:val="24"/>
                <w:szCs w:val="24"/>
              </w:rPr>
            </w:pPr>
          </w:p>
          <w:p w:rsidR="00702C62" w:rsidRDefault="00B40844" w:rsidP="009C35C9">
            <w:pPr>
              <w:tabs>
                <w:tab w:val="left" w:pos="729"/>
              </w:tabs>
              <w:spacing w:line="360" w:lineRule="auto"/>
              <w:jc w:val="both"/>
              <w:rPr>
                <w:rFonts w:ascii="Arial" w:eastAsia="Times New Roman" w:hAnsi="Arial" w:cs="Arial"/>
                <w:sz w:val="24"/>
                <w:szCs w:val="24"/>
                <w:lang w:val="en-US"/>
              </w:rPr>
            </w:pPr>
            <w:r w:rsidRPr="00CA7995">
              <w:rPr>
                <w:rFonts w:ascii="Arial" w:hAnsi="Arial" w:cs="Arial"/>
                <w:sz w:val="24"/>
                <w:szCs w:val="24"/>
              </w:rPr>
              <w:lastRenderedPageBreak/>
              <w:t>[</w:t>
            </w:r>
            <w:r w:rsidR="002D20C5">
              <w:rPr>
                <w:rFonts w:ascii="Arial" w:hAnsi="Arial" w:cs="Arial"/>
                <w:sz w:val="24"/>
                <w:szCs w:val="24"/>
              </w:rPr>
              <w:t>7</w:t>
            </w:r>
            <w:r w:rsidRPr="00CA7995">
              <w:rPr>
                <w:rFonts w:ascii="Arial" w:hAnsi="Arial" w:cs="Arial"/>
                <w:sz w:val="24"/>
                <w:szCs w:val="24"/>
              </w:rPr>
              <w:t>]</w:t>
            </w:r>
            <w:r w:rsidRPr="00CA7995">
              <w:rPr>
                <w:rFonts w:ascii="Arial" w:hAnsi="Arial" w:cs="Arial"/>
                <w:sz w:val="24"/>
                <w:szCs w:val="24"/>
              </w:rPr>
              <w:tab/>
            </w:r>
            <w:r w:rsidR="008F5871" w:rsidRPr="00385C4B">
              <w:rPr>
                <w:rFonts w:ascii="Arial" w:hAnsi="Arial" w:cs="Arial"/>
                <w:sz w:val="24"/>
                <w:szCs w:val="24"/>
              </w:rPr>
              <w:t xml:space="preserve">The loan facility in the amount of N$4 743 831.36 was applied for and approved by the plaintiff, which amount consisted of the outstanding balances on the two Impact Distribution accounts, </w:t>
            </w:r>
            <w:proofErr w:type="spellStart"/>
            <w:r w:rsidR="008F5871" w:rsidRPr="00385C4B">
              <w:rPr>
                <w:rFonts w:ascii="Arial" w:hAnsi="Arial" w:cs="Arial"/>
                <w:sz w:val="24"/>
                <w:szCs w:val="24"/>
              </w:rPr>
              <w:t>i.e</w:t>
            </w:r>
            <w:proofErr w:type="spellEnd"/>
            <w:r w:rsidR="008F5871" w:rsidRPr="00385C4B">
              <w:rPr>
                <w:rFonts w:ascii="Arial" w:hAnsi="Arial" w:cs="Arial"/>
                <w:sz w:val="24"/>
                <w:szCs w:val="24"/>
              </w:rPr>
              <w:t xml:space="preserve"> </w:t>
            </w:r>
            <w:r w:rsidR="008F5871">
              <w:rPr>
                <w:rFonts w:ascii="Arial" w:hAnsi="Arial" w:cs="Arial"/>
                <w:sz w:val="24"/>
                <w:szCs w:val="24"/>
              </w:rPr>
              <w:t>(</w:t>
            </w:r>
            <w:r w:rsidR="008F5871" w:rsidRPr="00385C4B">
              <w:rPr>
                <w:rFonts w:ascii="Arial" w:hAnsi="Arial" w:cs="Arial"/>
                <w:sz w:val="24"/>
                <w:szCs w:val="24"/>
              </w:rPr>
              <w:t>a) N$733</w:t>
            </w:r>
            <w:r w:rsidR="008F5871">
              <w:rPr>
                <w:rFonts w:ascii="Arial" w:hAnsi="Arial" w:cs="Arial"/>
                <w:sz w:val="24"/>
                <w:szCs w:val="24"/>
              </w:rPr>
              <w:t xml:space="preserve"> </w:t>
            </w:r>
            <w:r w:rsidR="008F5871" w:rsidRPr="00385C4B">
              <w:rPr>
                <w:rFonts w:ascii="Arial" w:hAnsi="Arial" w:cs="Arial"/>
                <w:sz w:val="24"/>
                <w:szCs w:val="24"/>
              </w:rPr>
              <w:t>782.57</w:t>
            </w:r>
            <w:r w:rsidR="008F5871">
              <w:rPr>
                <w:rFonts w:ascii="Arial" w:hAnsi="Arial" w:cs="Arial"/>
                <w:sz w:val="24"/>
                <w:szCs w:val="24"/>
              </w:rPr>
              <w:t>,</w:t>
            </w:r>
            <w:r w:rsidR="008F5871" w:rsidRPr="00385C4B">
              <w:rPr>
                <w:rFonts w:ascii="Arial" w:hAnsi="Arial" w:cs="Arial"/>
                <w:sz w:val="24"/>
                <w:szCs w:val="24"/>
              </w:rPr>
              <w:t xml:space="preserve"> which included legal fees in the amount of N$30</w:t>
            </w:r>
            <w:r w:rsidR="008F5871">
              <w:rPr>
                <w:rFonts w:ascii="Arial" w:hAnsi="Arial" w:cs="Arial"/>
                <w:sz w:val="24"/>
                <w:szCs w:val="24"/>
              </w:rPr>
              <w:t xml:space="preserve"> </w:t>
            </w:r>
            <w:r w:rsidR="008F5871" w:rsidRPr="00385C4B">
              <w:rPr>
                <w:rFonts w:ascii="Arial" w:hAnsi="Arial" w:cs="Arial"/>
                <w:sz w:val="24"/>
                <w:szCs w:val="24"/>
              </w:rPr>
              <w:t xml:space="preserve">026.85 and </w:t>
            </w:r>
            <w:r w:rsidR="008F5871">
              <w:rPr>
                <w:rFonts w:ascii="Arial" w:hAnsi="Arial" w:cs="Arial"/>
                <w:sz w:val="24"/>
                <w:szCs w:val="24"/>
              </w:rPr>
              <w:t>(</w:t>
            </w:r>
            <w:r w:rsidR="008F5871" w:rsidRPr="00385C4B">
              <w:rPr>
                <w:rFonts w:ascii="Arial" w:hAnsi="Arial" w:cs="Arial"/>
                <w:sz w:val="24"/>
                <w:szCs w:val="24"/>
              </w:rPr>
              <w:t>b) N$4</w:t>
            </w:r>
            <w:r w:rsidR="008F5871">
              <w:rPr>
                <w:rFonts w:ascii="Arial" w:hAnsi="Arial" w:cs="Arial"/>
                <w:sz w:val="24"/>
                <w:szCs w:val="24"/>
              </w:rPr>
              <w:t xml:space="preserve"> </w:t>
            </w:r>
            <w:r w:rsidR="008F5871" w:rsidRPr="00385C4B">
              <w:rPr>
                <w:rFonts w:ascii="Arial" w:hAnsi="Arial" w:cs="Arial"/>
                <w:sz w:val="24"/>
                <w:szCs w:val="24"/>
              </w:rPr>
              <w:t>010</w:t>
            </w:r>
            <w:r w:rsidR="008F5871">
              <w:rPr>
                <w:rFonts w:ascii="Arial" w:hAnsi="Arial" w:cs="Arial"/>
                <w:sz w:val="24"/>
                <w:szCs w:val="24"/>
              </w:rPr>
              <w:t xml:space="preserve"> </w:t>
            </w:r>
            <w:r w:rsidR="008F5871" w:rsidRPr="00385C4B">
              <w:rPr>
                <w:rFonts w:ascii="Arial" w:hAnsi="Arial" w:cs="Arial"/>
                <w:sz w:val="24"/>
                <w:szCs w:val="24"/>
              </w:rPr>
              <w:t>048.79, which included legal fees in the amount of N$239</w:t>
            </w:r>
            <w:r w:rsidR="008F5871">
              <w:rPr>
                <w:rFonts w:ascii="Arial" w:hAnsi="Arial" w:cs="Arial"/>
                <w:sz w:val="24"/>
                <w:szCs w:val="24"/>
              </w:rPr>
              <w:t xml:space="preserve"> </w:t>
            </w:r>
            <w:r w:rsidR="008F5871" w:rsidRPr="00385C4B">
              <w:rPr>
                <w:rFonts w:ascii="Arial" w:hAnsi="Arial" w:cs="Arial"/>
                <w:sz w:val="24"/>
                <w:szCs w:val="24"/>
              </w:rPr>
              <w:t xml:space="preserve">530.22. The loan amount awarded to the first defendant </w:t>
            </w:r>
            <w:r w:rsidR="008F5871">
              <w:rPr>
                <w:rFonts w:ascii="Arial" w:hAnsi="Arial" w:cs="Arial"/>
                <w:sz w:val="24"/>
                <w:szCs w:val="24"/>
              </w:rPr>
              <w:t xml:space="preserve">fully </w:t>
            </w:r>
            <w:r w:rsidR="008F5871" w:rsidRPr="00385C4B">
              <w:rPr>
                <w:rFonts w:ascii="Arial" w:hAnsi="Arial" w:cs="Arial"/>
                <w:sz w:val="24"/>
                <w:szCs w:val="24"/>
              </w:rPr>
              <w:t>settled the outstanding balance on the Impact Distribution account</w:t>
            </w:r>
            <w:r w:rsidR="002D20C5">
              <w:rPr>
                <w:rFonts w:ascii="Arial" w:eastAsia="Times New Roman" w:hAnsi="Arial" w:cs="Arial"/>
                <w:sz w:val="24"/>
                <w:szCs w:val="24"/>
                <w:lang w:val="en-US"/>
              </w:rPr>
              <w:t>.</w:t>
            </w:r>
          </w:p>
          <w:p w:rsidR="009C35C9" w:rsidRPr="00702C62" w:rsidRDefault="009C35C9" w:rsidP="009C35C9">
            <w:pPr>
              <w:tabs>
                <w:tab w:val="left" w:pos="729"/>
              </w:tabs>
              <w:spacing w:line="360" w:lineRule="auto"/>
              <w:jc w:val="both"/>
              <w:rPr>
                <w:rFonts w:ascii="Arial" w:hAnsi="Arial" w:cs="Arial"/>
                <w:sz w:val="24"/>
                <w:szCs w:val="24"/>
              </w:rPr>
            </w:pPr>
          </w:p>
          <w:p w:rsidR="00D6224D" w:rsidRDefault="00BB13F4" w:rsidP="00ED76B2">
            <w:pPr>
              <w:tabs>
                <w:tab w:val="left" w:pos="729"/>
              </w:tabs>
              <w:spacing w:line="360" w:lineRule="auto"/>
              <w:jc w:val="both"/>
              <w:rPr>
                <w:rFonts w:ascii="Arial" w:eastAsia="Times New Roman" w:hAnsi="Arial" w:cs="Arial"/>
                <w:sz w:val="24"/>
                <w:szCs w:val="24"/>
                <w:lang w:val="en-US"/>
              </w:rPr>
            </w:pPr>
            <w:r w:rsidRPr="00702C62">
              <w:rPr>
                <w:rFonts w:ascii="Arial" w:hAnsi="Arial" w:cs="Arial"/>
                <w:sz w:val="24"/>
                <w:szCs w:val="24"/>
              </w:rPr>
              <w:t>[</w:t>
            </w:r>
            <w:r w:rsidR="002D20C5">
              <w:rPr>
                <w:rFonts w:ascii="Arial" w:hAnsi="Arial" w:cs="Arial"/>
                <w:sz w:val="24"/>
                <w:szCs w:val="24"/>
              </w:rPr>
              <w:t>8</w:t>
            </w:r>
            <w:r w:rsidRPr="00702C62">
              <w:rPr>
                <w:rFonts w:ascii="Arial" w:hAnsi="Arial" w:cs="Arial"/>
                <w:sz w:val="24"/>
                <w:szCs w:val="24"/>
              </w:rPr>
              <w:t>]</w:t>
            </w:r>
            <w:r w:rsidR="00B61AC7" w:rsidRPr="00702C62">
              <w:rPr>
                <w:rFonts w:ascii="Arial" w:hAnsi="Arial" w:cs="Arial"/>
                <w:sz w:val="24"/>
                <w:szCs w:val="24"/>
              </w:rPr>
              <w:tab/>
            </w:r>
            <w:r w:rsidR="008F5871" w:rsidRPr="00385C4B">
              <w:rPr>
                <w:rFonts w:ascii="Arial" w:hAnsi="Arial" w:cs="Arial"/>
                <w:sz w:val="24"/>
                <w:szCs w:val="24"/>
              </w:rPr>
              <w:t>It was further agreed between the parties that the plaintiff should utili</w:t>
            </w:r>
            <w:r w:rsidR="008F5871">
              <w:rPr>
                <w:rFonts w:ascii="Arial" w:hAnsi="Arial" w:cs="Arial"/>
                <w:sz w:val="24"/>
                <w:szCs w:val="24"/>
              </w:rPr>
              <w:t>s</w:t>
            </w:r>
            <w:r w:rsidR="008F5871" w:rsidRPr="00385C4B">
              <w:rPr>
                <w:rFonts w:ascii="Arial" w:hAnsi="Arial" w:cs="Arial"/>
                <w:sz w:val="24"/>
                <w:szCs w:val="24"/>
              </w:rPr>
              <w:t xml:space="preserve">e the proceeds it would receive in </w:t>
            </w:r>
            <w:r w:rsidR="008F5871">
              <w:rPr>
                <w:rFonts w:ascii="Arial" w:hAnsi="Arial" w:cs="Arial"/>
                <w:sz w:val="24"/>
                <w:szCs w:val="24"/>
              </w:rPr>
              <w:t xml:space="preserve">the </w:t>
            </w:r>
            <w:r w:rsidR="008F5871" w:rsidRPr="00385C4B">
              <w:rPr>
                <w:rFonts w:ascii="Arial" w:hAnsi="Arial" w:cs="Arial"/>
                <w:sz w:val="24"/>
                <w:szCs w:val="24"/>
              </w:rPr>
              <w:t xml:space="preserve">execution of a judgment granted against </w:t>
            </w:r>
            <w:proofErr w:type="spellStart"/>
            <w:r w:rsidR="008F5871" w:rsidRPr="00385C4B">
              <w:rPr>
                <w:rFonts w:ascii="Arial" w:hAnsi="Arial" w:cs="Arial"/>
                <w:sz w:val="24"/>
                <w:szCs w:val="24"/>
              </w:rPr>
              <w:t>Sonwabile</w:t>
            </w:r>
            <w:proofErr w:type="spellEnd"/>
            <w:r w:rsidR="008F5871" w:rsidRPr="00385C4B">
              <w:rPr>
                <w:rFonts w:ascii="Arial" w:hAnsi="Arial" w:cs="Arial"/>
                <w:sz w:val="24"/>
                <w:szCs w:val="24"/>
              </w:rPr>
              <w:t xml:space="preserve"> Holdings (Pty)</w:t>
            </w:r>
            <w:r w:rsidR="002025F9">
              <w:rPr>
                <w:rFonts w:ascii="Arial" w:hAnsi="Arial" w:cs="Arial"/>
                <w:sz w:val="24"/>
                <w:szCs w:val="24"/>
              </w:rPr>
              <w:t xml:space="preserve"> Ltd (</w:t>
            </w:r>
            <w:proofErr w:type="spellStart"/>
            <w:r w:rsidR="002025F9">
              <w:rPr>
                <w:rFonts w:ascii="Arial" w:hAnsi="Arial" w:cs="Arial"/>
                <w:sz w:val="24"/>
                <w:szCs w:val="24"/>
              </w:rPr>
              <w:t>Sonwabile</w:t>
            </w:r>
            <w:proofErr w:type="spellEnd"/>
            <w:r w:rsidR="002025F9">
              <w:rPr>
                <w:rFonts w:ascii="Arial" w:hAnsi="Arial" w:cs="Arial"/>
                <w:sz w:val="24"/>
                <w:szCs w:val="24"/>
              </w:rPr>
              <w:t xml:space="preserve"> Holdings)</w:t>
            </w:r>
            <w:r w:rsidR="008F5871" w:rsidRPr="00385C4B">
              <w:rPr>
                <w:rFonts w:ascii="Arial" w:hAnsi="Arial" w:cs="Arial"/>
                <w:sz w:val="24"/>
                <w:szCs w:val="24"/>
              </w:rPr>
              <w:t xml:space="preserve"> registered in South Africa. The fourth defendant in the settled matter (Impact Distribution matter) was a shareholder in </w:t>
            </w:r>
            <w:proofErr w:type="spellStart"/>
            <w:r w:rsidR="008F5871" w:rsidRPr="00385C4B">
              <w:rPr>
                <w:rFonts w:ascii="Arial" w:hAnsi="Arial" w:cs="Arial"/>
                <w:sz w:val="24"/>
                <w:szCs w:val="24"/>
              </w:rPr>
              <w:t>Sonwabile</w:t>
            </w:r>
            <w:proofErr w:type="spellEnd"/>
            <w:r w:rsidR="008F5871" w:rsidRPr="00385C4B">
              <w:rPr>
                <w:rFonts w:ascii="Arial" w:hAnsi="Arial" w:cs="Arial"/>
                <w:sz w:val="24"/>
                <w:szCs w:val="24"/>
              </w:rPr>
              <w:t xml:space="preserve"> Holdings</w:t>
            </w:r>
            <w:r w:rsidR="008F5871">
              <w:rPr>
                <w:rFonts w:ascii="Arial" w:hAnsi="Arial" w:cs="Arial"/>
                <w:sz w:val="24"/>
                <w:szCs w:val="24"/>
              </w:rPr>
              <w:t>,</w:t>
            </w:r>
            <w:r w:rsidR="008F5871" w:rsidRPr="00385C4B">
              <w:rPr>
                <w:rFonts w:ascii="Arial" w:hAnsi="Arial" w:cs="Arial"/>
                <w:sz w:val="24"/>
                <w:szCs w:val="24"/>
              </w:rPr>
              <w:t xml:space="preserve"> and he bound </w:t>
            </w:r>
            <w:proofErr w:type="spellStart"/>
            <w:r w:rsidR="008F5871" w:rsidRPr="00385C4B">
              <w:rPr>
                <w:rFonts w:ascii="Arial" w:hAnsi="Arial" w:cs="Arial"/>
                <w:sz w:val="24"/>
                <w:szCs w:val="24"/>
              </w:rPr>
              <w:t>Sonwabile</w:t>
            </w:r>
            <w:proofErr w:type="spellEnd"/>
            <w:r w:rsidR="008F5871" w:rsidRPr="00385C4B">
              <w:rPr>
                <w:rFonts w:ascii="Arial" w:hAnsi="Arial" w:cs="Arial"/>
                <w:sz w:val="24"/>
                <w:szCs w:val="24"/>
              </w:rPr>
              <w:t xml:space="preserve"> </w:t>
            </w:r>
            <w:r w:rsidR="002025F9">
              <w:rPr>
                <w:rFonts w:ascii="Arial" w:hAnsi="Arial" w:cs="Arial"/>
                <w:sz w:val="24"/>
                <w:szCs w:val="24"/>
              </w:rPr>
              <w:t xml:space="preserve">Holdings </w:t>
            </w:r>
            <w:r w:rsidR="008F5871" w:rsidRPr="00385C4B">
              <w:rPr>
                <w:rFonts w:ascii="Arial" w:hAnsi="Arial" w:cs="Arial"/>
                <w:sz w:val="24"/>
                <w:szCs w:val="24"/>
              </w:rPr>
              <w:t xml:space="preserve">as a surety and co-principal debtor in </w:t>
            </w:r>
            <w:r w:rsidR="008F5871">
              <w:rPr>
                <w:rFonts w:ascii="Arial" w:hAnsi="Arial" w:cs="Arial"/>
                <w:sz w:val="24"/>
                <w:szCs w:val="24"/>
              </w:rPr>
              <w:t>favour</w:t>
            </w:r>
            <w:r w:rsidR="008F5871" w:rsidRPr="00385C4B">
              <w:rPr>
                <w:rFonts w:ascii="Arial" w:hAnsi="Arial" w:cs="Arial"/>
                <w:sz w:val="24"/>
                <w:szCs w:val="24"/>
              </w:rPr>
              <w:t xml:space="preserve"> of the plaintiff</w:t>
            </w:r>
            <w:r w:rsidR="005F325C">
              <w:rPr>
                <w:rFonts w:ascii="Arial" w:eastAsia="Times New Roman" w:hAnsi="Arial" w:cs="Arial"/>
                <w:sz w:val="24"/>
                <w:szCs w:val="24"/>
                <w:lang w:val="en-US"/>
              </w:rPr>
              <w:t>.</w:t>
            </w:r>
          </w:p>
          <w:p w:rsidR="00D6224D" w:rsidRDefault="00D6224D" w:rsidP="00ED76B2">
            <w:pPr>
              <w:tabs>
                <w:tab w:val="left" w:pos="729"/>
              </w:tabs>
              <w:spacing w:line="360" w:lineRule="auto"/>
              <w:jc w:val="both"/>
              <w:rPr>
                <w:rFonts w:ascii="Arial" w:eastAsia="Times New Roman" w:hAnsi="Arial" w:cs="Arial"/>
                <w:sz w:val="24"/>
                <w:szCs w:val="24"/>
                <w:lang w:val="en-US"/>
              </w:rPr>
            </w:pPr>
          </w:p>
          <w:p w:rsidR="008F5871" w:rsidRDefault="008F5871" w:rsidP="00ED76B2">
            <w:pPr>
              <w:tabs>
                <w:tab w:val="left" w:pos="729"/>
              </w:tabs>
              <w:spacing w:line="360" w:lineRule="auto"/>
              <w:jc w:val="both"/>
              <w:rPr>
                <w:rFonts w:ascii="Arial" w:hAnsi="Arial" w:cs="Arial"/>
                <w:sz w:val="24"/>
                <w:szCs w:val="24"/>
                <w:u w:val="single"/>
              </w:rPr>
            </w:pPr>
            <w:r w:rsidRPr="007B2C80">
              <w:rPr>
                <w:rFonts w:ascii="Arial" w:hAnsi="Arial" w:cs="Arial"/>
                <w:sz w:val="24"/>
                <w:szCs w:val="24"/>
                <w:u w:val="single"/>
              </w:rPr>
              <w:t>The case advanced by the plaintiff</w:t>
            </w:r>
          </w:p>
          <w:p w:rsidR="008F5871" w:rsidRDefault="008F5871" w:rsidP="00ED76B2">
            <w:pPr>
              <w:tabs>
                <w:tab w:val="left" w:pos="729"/>
              </w:tabs>
              <w:spacing w:line="360" w:lineRule="auto"/>
              <w:jc w:val="both"/>
              <w:rPr>
                <w:rFonts w:ascii="Arial" w:hAnsi="Arial" w:cs="Arial"/>
                <w:sz w:val="24"/>
                <w:szCs w:val="24"/>
              </w:rPr>
            </w:pPr>
          </w:p>
          <w:p w:rsidR="008F5871" w:rsidRPr="008F5871" w:rsidRDefault="008F5871" w:rsidP="00ED76B2">
            <w:pPr>
              <w:tabs>
                <w:tab w:val="left" w:pos="729"/>
              </w:tabs>
              <w:spacing w:line="360" w:lineRule="auto"/>
              <w:jc w:val="both"/>
              <w:rPr>
                <w:rFonts w:ascii="Arial" w:hAnsi="Arial" w:cs="Arial"/>
                <w:i/>
                <w:sz w:val="24"/>
                <w:szCs w:val="24"/>
              </w:rPr>
            </w:pPr>
            <w:r w:rsidRPr="008F5871">
              <w:rPr>
                <w:rFonts w:ascii="Arial" w:hAnsi="Arial" w:cs="Arial"/>
                <w:i/>
                <w:sz w:val="24"/>
                <w:szCs w:val="24"/>
              </w:rPr>
              <w:t>The terms of the agreement</w:t>
            </w:r>
          </w:p>
          <w:p w:rsidR="008F5871" w:rsidRPr="008F5871" w:rsidRDefault="008F5871" w:rsidP="00ED76B2">
            <w:pPr>
              <w:tabs>
                <w:tab w:val="left" w:pos="729"/>
              </w:tabs>
              <w:spacing w:line="360" w:lineRule="auto"/>
              <w:jc w:val="both"/>
              <w:rPr>
                <w:rFonts w:ascii="Arial" w:eastAsia="Times New Roman" w:hAnsi="Arial" w:cs="Arial"/>
                <w:sz w:val="24"/>
                <w:szCs w:val="24"/>
                <w:lang w:val="en-US"/>
              </w:rPr>
            </w:pPr>
          </w:p>
          <w:p w:rsidR="00B40844" w:rsidRPr="00702C62" w:rsidRDefault="002D20C5" w:rsidP="00ED76B2">
            <w:pPr>
              <w:tabs>
                <w:tab w:val="left" w:pos="729"/>
              </w:tabs>
              <w:spacing w:line="360" w:lineRule="auto"/>
              <w:jc w:val="both"/>
              <w:rPr>
                <w:rFonts w:ascii="Arial" w:hAnsi="Arial" w:cs="Arial"/>
                <w:sz w:val="24"/>
                <w:szCs w:val="24"/>
              </w:rPr>
            </w:pPr>
            <w:r>
              <w:rPr>
                <w:rFonts w:ascii="Arial" w:eastAsia="Times New Roman" w:hAnsi="Arial" w:cs="Arial"/>
                <w:sz w:val="24"/>
                <w:szCs w:val="24"/>
                <w:lang w:val="en-US"/>
              </w:rPr>
              <w:t>[9]</w:t>
            </w:r>
            <w:r w:rsidRPr="00702C62">
              <w:rPr>
                <w:rFonts w:ascii="Arial" w:hAnsi="Arial" w:cs="Arial"/>
                <w:sz w:val="24"/>
                <w:szCs w:val="24"/>
              </w:rPr>
              <w:tab/>
            </w:r>
            <w:r w:rsidR="008F5871" w:rsidRPr="00385C4B">
              <w:rPr>
                <w:rFonts w:ascii="Arial" w:hAnsi="Arial" w:cs="Arial"/>
                <w:sz w:val="24"/>
                <w:szCs w:val="24"/>
              </w:rPr>
              <w:t xml:space="preserve">The plaintiff’s claim is based on an agreement between the parties with the material express, alternatively implied, alternatively tacit terms being the plaintiff having advanced the sum of </w:t>
            </w:r>
            <w:r w:rsidR="008F5871" w:rsidRPr="00CA1E97">
              <w:rPr>
                <w:rFonts w:ascii="Arial" w:hAnsi="Arial" w:cs="Arial"/>
                <w:sz w:val="24"/>
                <w:szCs w:val="24"/>
              </w:rPr>
              <w:t>N$4</w:t>
            </w:r>
            <w:r w:rsidR="008F5871">
              <w:rPr>
                <w:rFonts w:ascii="Arial" w:hAnsi="Arial" w:cs="Arial"/>
                <w:sz w:val="24"/>
                <w:szCs w:val="24"/>
              </w:rPr>
              <w:t xml:space="preserve"> </w:t>
            </w:r>
            <w:r w:rsidR="008F5871" w:rsidRPr="00CA1E97">
              <w:rPr>
                <w:rFonts w:ascii="Arial" w:hAnsi="Arial" w:cs="Arial"/>
                <w:sz w:val="24"/>
                <w:szCs w:val="24"/>
              </w:rPr>
              <w:t>742</w:t>
            </w:r>
            <w:r w:rsidR="008F5871">
              <w:rPr>
                <w:rFonts w:ascii="Arial" w:hAnsi="Arial" w:cs="Arial"/>
                <w:sz w:val="24"/>
                <w:szCs w:val="24"/>
              </w:rPr>
              <w:t xml:space="preserve"> </w:t>
            </w:r>
            <w:r w:rsidR="008F5871" w:rsidRPr="00CA1E97">
              <w:rPr>
                <w:rFonts w:ascii="Arial" w:hAnsi="Arial" w:cs="Arial"/>
                <w:sz w:val="24"/>
                <w:szCs w:val="24"/>
              </w:rPr>
              <w:t>184.95</w:t>
            </w:r>
            <w:r w:rsidR="008F5871" w:rsidRPr="00385C4B">
              <w:rPr>
                <w:rFonts w:ascii="Arial" w:hAnsi="Arial" w:cs="Arial"/>
                <w:sz w:val="24"/>
                <w:szCs w:val="24"/>
              </w:rPr>
              <w:t xml:space="preserve"> to first </w:t>
            </w:r>
            <w:r w:rsidR="008F5871">
              <w:rPr>
                <w:rFonts w:ascii="Arial" w:hAnsi="Arial" w:cs="Arial"/>
                <w:sz w:val="24"/>
                <w:szCs w:val="24"/>
              </w:rPr>
              <w:t>d</w:t>
            </w:r>
            <w:r w:rsidR="008F5871" w:rsidRPr="00385C4B">
              <w:rPr>
                <w:rFonts w:ascii="Arial" w:hAnsi="Arial" w:cs="Arial"/>
                <w:sz w:val="24"/>
                <w:szCs w:val="24"/>
              </w:rPr>
              <w:t xml:space="preserve">efendant at a floating interest rate linked to </w:t>
            </w:r>
            <w:r w:rsidR="008F5871" w:rsidRPr="00CA1E97">
              <w:rPr>
                <w:rFonts w:ascii="Arial" w:hAnsi="Arial" w:cs="Arial"/>
                <w:sz w:val="24"/>
                <w:szCs w:val="24"/>
              </w:rPr>
              <w:t>prime rate,</w:t>
            </w:r>
            <w:r w:rsidR="008F5871" w:rsidRPr="00385C4B">
              <w:rPr>
                <w:rFonts w:ascii="Arial" w:hAnsi="Arial" w:cs="Arial"/>
                <w:sz w:val="24"/>
                <w:szCs w:val="24"/>
              </w:rPr>
              <w:t xml:space="preserve"> which at the relevant time was at 9.25% per annum. Such interest was to be calculated on the daily balance of the amount of the loan plus any interest thereon outstanding from time to time</w:t>
            </w:r>
            <w:r w:rsidR="00BB13F4" w:rsidRPr="00702C62">
              <w:rPr>
                <w:rFonts w:ascii="Arial" w:hAnsi="Arial" w:cs="Arial"/>
                <w:sz w:val="24"/>
                <w:szCs w:val="24"/>
              </w:rPr>
              <w:t>.</w:t>
            </w:r>
          </w:p>
          <w:p w:rsidR="00702C62" w:rsidRPr="00702C62" w:rsidRDefault="00702C62" w:rsidP="00ED76B2">
            <w:pPr>
              <w:spacing w:line="360" w:lineRule="auto"/>
              <w:jc w:val="both"/>
              <w:rPr>
                <w:rFonts w:ascii="Arial" w:hAnsi="Arial" w:cs="Arial"/>
                <w:sz w:val="24"/>
                <w:szCs w:val="24"/>
              </w:rPr>
            </w:pPr>
          </w:p>
          <w:p w:rsidR="00323AAF" w:rsidRDefault="00B61AC7" w:rsidP="00ED76B2">
            <w:pPr>
              <w:tabs>
                <w:tab w:val="left" w:pos="729"/>
              </w:tabs>
              <w:spacing w:line="360" w:lineRule="auto"/>
              <w:jc w:val="both"/>
              <w:rPr>
                <w:rFonts w:ascii="Arial" w:hAnsi="Arial" w:cs="Arial"/>
                <w:sz w:val="24"/>
                <w:szCs w:val="24"/>
              </w:rPr>
            </w:pPr>
            <w:r w:rsidRPr="00702C62">
              <w:rPr>
                <w:rFonts w:ascii="Arial" w:hAnsi="Arial" w:cs="Arial"/>
                <w:sz w:val="24"/>
                <w:szCs w:val="24"/>
              </w:rPr>
              <w:t>[</w:t>
            </w:r>
            <w:r w:rsidR="00766C68">
              <w:rPr>
                <w:rFonts w:ascii="Arial" w:hAnsi="Arial" w:cs="Arial"/>
                <w:sz w:val="24"/>
                <w:szCs w:val="24"/>
              </w:rPr>
              <w:t>10</w:t>
            </w:r>
            <w:r w:rsidR="00B40844" w:rsidRPr="00702C62">
              <w:rPr>
                <w:rFonts w:ascii="Arial" w:hAnsi="Arial" w:cs="Arial"/>
                <w:sz w:val="24"/>
                <w:szCs w:val="24"/>
              </w:rPr>
              <w:t>]</w:t>
            </w:r>
            <w:r w:rsidR="00B40844" w:rsidRPr="00702C62">
              <w:rPr>
                <w:rFonts w:ascii="Arial" w:hAnsi="Arial" w:cs="Arial"/>
                <w:sz w:val="24"/>
                <w:szCs w:val="24"/>
              </w:rPr>
              <w:tab/>
            </w:r>
            <w:r w:rsidR="008F5871" w:rsidRPr="00385C4B">
              <w:rPr>
                <w:rFonts w:ascii="Arial" w:hAnsi="Arial" w:cs="Arial"/>
                <w:sz w:val="24"/>
                <w:szCs w:val="24"/>
              </w:rPr>
              <w:t>The first defendant had to repay the loan as follows:</w:t>
            </w:r>
          </w:p>
          <w:p w:rsidR="00015808" w:rsidRDefault="00015808" w:rsidP="00ED76B2">
            <w:pPr>
              <w:tabs>
                <w:tab w:val="left" w:pos="729"/>
              </w:tabs>
              <w:spacing w:line="360" w:lineRule="auto"/>
              <w:jc w:val="both"/>
              <w:rPr>
                <w:rFonts w:ascii="Arial" w:hAnsi="Arial" w:cs="Arial"/>
                <w:sz w:val="24"/>
                <w:szCs w:val="24"/>
              </w:rPr>
            </w:pPr>
          </w:p>
          <w:p w:rsidR="008F5871" w:rsidRPr="00805692" w:rsidRDefault="008F5871" w:rsidP="00805692">
            <w:pPr>
              <w:tabs>
                <w:tab w:val="left" w:pos="1296"/>
              </w:tabs>
              <w:spacing w:line="360" w:lineRule="auto"/>
              <w:ind w:left="729"/>
              <w:jc w:val="both"/>
              <w:rPr>
                <w:rFonts w:ascii="Arial" w:hAnsi="Arial" w:cs="Arial"/>
                <w:sz w:val="24"/>
                <w:szCs w:val="24"/>
              </w:rPr>
            </w:pPr>
            <w:r>
              <w:rPr>
                <w:rFonts w:ascii="Arial" w:hAnsi="Arial" w:cs="Arial"/>
                <w:sz w:val="24"/>
                <w:szCs w:val="24"/>
              </w:rPr>
              <w:t>(</w:t>
            </w:r>
            <w:r w:rsidRPr="00805692">
              <w:rPr>
                <w:rFonts w:ascii="Arial" w:hAnsi="Arial" w:cs="Arial"/>
                <w:sz w:val="24"/>
                <w:szCs w:val="24"/>
              </w:rPr>
              <w:t>a)</w:t>
            </w:r>
            <w:r w:rsidR="00805692" w:rsidRPr="00702C62">
              <w:rPr>
                <w:rFonts w:ascii="Arial" w:hAnsi="Arial" w:cs="Arial"/>
                <w:sz w:val="24"/>
                <w:szCs w:val="24"/>
              </w:rPr>
              <w:tab/>
            </w:r>
            <w:r w:rsidRPr="00805692">
              <w:rPr>
                <w:rFonts w:ascii="Arial" w:hAnsi="Arial" w:cs="Arial"/>
                <w:sz w:val="24"/>
                <w:szCs w:val="24"/>
              </w:rPr>
              <w:t>The loan would be repayable over a period of 56 months.</w:t>
            </w:r>
          </w:p>
          <w:p w:rsidR="008F5871" w:rsidRPr="00805692" w:rsidRDefault="008F5871" w:rsidP="00805692">
            <w:pPr>
              <w:tabs>
                <w:tab w:val="left" w:pos="1296"/>
              </w:tabs>
              <w:spacing w:line="360" w:lineRule="auto"/>
              <w:ind w:left="729"/>
              <w:jc w:val="both"/>
              <w:rPr>
                <w:rFonts w:ascii="Arial" w:hAnsi="Arial" w:cs="Arial"/>
                <w:sz w:val="24"/>
                <w:szCs w:val="24"/>
              </w:rPr>
            </w:pPr>
            <w:r w:rsidRPr="00805692">
              <w:rPr>
                <w:rFonts w:ascii="Arial" w:hAnsi="Arial" w:cs="Arial"/>
                <w:sz w:val="24"/>
                <w:szCs w:val="24"/>
              </w:rPr>
              <w:t>(b)</w:t>
            </w:r>
            <w:r w:rsidR="00805692" w:rsidRPr="00702C62">
              <w:rPr>
                <w:rFonts w:ascii="Arial" w:hAnsi="Arial" w:cs="Arial"/>
                <w:sz w:val="24"/>
                <w:szCs w:val="24"/>
              </w:rPr>
              <w:tab/>
            </w:r>
            <w:r w:rsidRPr="00805692">
              <w:rPr>
                <w:rFonts w:ascii="Arial" w:hAnsi="Arial" w:cs="Arial"/>
                <w:sz w:val="24"/>
                <w:szCs w:val="24"/>
              </w:rPr>
              <w:t>A lump sum of N$650,000 was payable on 21 December 2012.</w:t>
            </w:r>
          </w:p>
          <w:p w:rsidR="008F5871" w:rsidRPr="00805692" w:rsidRDefault="008F5871" w:rsidP="00805692">
            <w:pPr>
              <w:tabs>
                <w:tab w:val="left" w:pos="1296"/>
              </w:tabs>
              <w:spacing w:line="360" w:lineRule="auto"/>
              <w:ind w:left="1296" w:hanging="567"/>
              <w:jc w:val="both"/>
              <w:rPr>
                <w:rFonts w:ascii="Arial" w:hAnsi="Arial" w:cs="Arial"/>
                <w:sz w:val="24"/>
                <w:szCs w:val="24"/>
              </w:rPr>
            </w:pPr>
            <w:r w:rsidRPr="00805692">
              <w:rPr>
                <w:rFonts w:ascii="Arial" w:hAnsi="Arial" w:cs="Arial"/>
                <w:sz w:val="24"/>
                <w:szCs w:val="24"/>
              </w:rPr>
              <w:t>(c)</w:t>
            </w:r>
            <w:r w:rsidR="00805692" w:rsidRPr="00702C62">
              <w:rPr>
                <w:rFonts w:ascii="Arial" w:hAnsi="Arial" w:cs="Arial"/>
                <w:sz w:val="24"/>
                <w:szCs w:val="24"/>
              </w:rPr>
              <w:tab/>
            </w:r>
            <w:r w:rsidRPr="00805692">
              <w:rPr>
                <w:rFonts w:ascii="Arial" w:hAnsi="Arial" w:cs="Arial"/>
                <w:sz w:val="24"/>
                <w:szCs w:val="24"/>
              </w:rPr>
              <w:t>The first defendant would make an annual payment of N$650 000 on or before 30 November of each successive year until the debt was settled.</w:t>
            </w:r>
          </w:p>
          <w:p w:rsidR="008F5871" w:rsidRPr="00805692" w:rsidRDefault="008F5871" w:rsidP="00805692">
            <w:pPr>
              <w:spacing w:line="360" w:lineRule="auto"/>
              <w:ind w:left="1296" w:hanging="567"/>
              <w:jc w:val="both"/>
              <w:rPr>
                <w:rFonts w:ascii="Arial" w:hAnsi="Arial" w:cs="Arial"/>
                <w:sz w:val="24"/>
                <w:szCs w:val="24"/>
              </w:rPr>
            </w:pPr>
            <w:r w:rsidRPr="00805692">
              <w:rPr>
                <w:rFonts w:ascii="Arial" w:hAnsi="Arial" w:cs="Arial"/>
                <w:sz w:val="24"/>
                <w:szCs w:val="24"/>
              </w:rPr>
              <w:t>(d)</w:t>
            </w:r>
            <w:r w:rsidR="00805692" w:rsidRPr="00702C62">
              <w:rPr>
                <w:rFonts w:ascii="Arial" w:hAnsi="Arial" w:cs="Arial"/>
                <w:sz w:val="24"/>
                <w:szCs w:val="24"/>
              </w:rPr>
              <w:tab/>
            </w:r>
            <w:r w:rsidRPr="00805692">
              <w:rPr>
                <w:rFonts w:ascii="Arial" w:hAnsi="Arial" w:cs="Arial"/>
                <w:sz w:val="24"/>
                <w:szCs w:val="24"/>
              </w:rPr>
              <w:t>Interest was payable on the personal loan subject to variation depending on the existing market conditions. Interest would be charged at prime rate resulting in an instalment of N$45 000 per month.</w:t>
            </w:r>
          </w:p>
          <w:p w:rsidR="00805692" w:rsidRPr="00805692" w:rsidRDefault="00805692" w:rsidP="00805692">
            <w:pPr>
              <w:spacing w:line="360" w:lineRule="auto"/>
              <w:ind w:left="1296" w:hanging="567"/>
              <w:jc w:val="both"/>
              <w:rPr>
                <w:rFonts w:ascii="Arial" w:hAnsi="Arial" w:cs="Arial"/>
                <w:sz w:val="24"/>
                <w:szCs w:val="24"/>
              </w:rPr>
            </w:pPr>
            <w:r w:rsidRPr="00805692">
              <w:rPr>
                <w:rFonts w:ascii="Arial" w:hAnsi="Arial" w:cs="Arial"/>
                <w:sz w:val="24"/>
                <w:szCs w:val="24"/>
              </w:rPr>
              <w:t>(e)</w:t>
            </w:r>
            <w:r w:rsidRPr="00702C62">
              <w:rPr>
                <w:rFonts w:ascii="Arial" w:hAnsi="Arial" w:cs="Arial"/>
                <w:sz w:val="24"/>
                <w:szCs w:val="24"/>
              </w:rPr>
              <w:tab/>
            </w:r>
            <w:r w:rsidRPr="00805692">
              <w:rPr>
                <w:rFonts w:ascii="Arial" w:hAnsi="Arial" w:cs="Arial"/>
                <w:sz w:val="24"/>
                <w:szCs w:val="24"/>
              </w:rPr>
              <w:t xml:space="preserve">At the end of each calendar month, the first defendant had to pay the plaintiff a commitment fee/penalty equal to one-twelfth of one per cent per annum, calculated on the amount by which amounts owing to the Plaintiff as at the month-end in terms of the agreement are less than 95% of the cumulative amounts which, in terms of the </w:t>
            </w:r>
            <w:r w:rsidRPr="00805692">
              <w:rPr>
                <w:rFonts w:ascii="Arial" w:hAnsi="Arial" w:cs="Arial"/>
                <w:sz w:val="24"/>
                <w:szCs w:val="24"/>
              </w:rPr>
              <w:lastRenderedPageBreak/>
              <w:t>First Schedule referred to in the agreement, should then have been owing to the plaintiff.</w:t>
            </w:r>
          </w:p>
          <w:p w:rsidR="008F5871" w:rsidRDefault="008F5871" w:rsidP="00ED76B2">
            <w:pPr>
              <w:tabs>
                <w:tab w:val="left" w:pos="729"/>
              </w:tabs>
              <w:spacing w:line="360" w:lineRule="auto"/>
              <w:jc w:val="both"/>
              <w:rPr>
                <w:rFonts w:ascii="Arial" w:hAnsi="Arial" w:cs="Arial"/>
                <w:sz w:val="24"/>
                <w:szCs w:val="24"/>
              </w:rPr>
            </w:pPr>
          </w:p>
          <w:p w:rsidR="00015808" w:rsidRDefault="00766C68" w:rsidP="00ED76B2">
            <w:pPr>
              <w:tabs>
                <w:tab w:val="left" w:pos="729"/>
              </w:tabs>
              <w:spacing w:line="360" w:lineRule="auto"/>
              <w:jc w:val="both"/>
              <w:rPr>
                <w:rFonts w:ascii="Arial" w:hAnsi="Arial" w:cs="Arial"/>
                <w:sz w:val="24"/>
                <w:szCs w:val="24"/>
              </w:rPr>
            </w:pPr>
            <w:r>
              <w:rPr>
                <w:rFonts w:ascii="Arial" w:hAnsi="Arial" w:cs="Arial"/>
                <w:sz w:val="24"/>
                <w:szCs w:val="24"/>
              </w:rPr>
              <w:t>[11]</w:t>
            </w:r>
            <w:r w:rsidRPr="00702C62">
              <w:rPr>
                <w:rFonts w:ascii="Arial" w:hAnsi="Arial" w:cs="Arial"/>
                <w:sz w:val="24"/>
                <w:szCs w:val="24"/>
              </w:rPr>
              <w:tab/>
            </w:r>
            <w:r w:rsidR="00805692" w:rsidRPr="00385C4B">
              <w:rPr>
                <w:rFonts w:ascii="Arial" w:hAnsi="Arial" w:cs="Arial"/>
                <w:sz w:val="24"/>
                <w:szCs w:val="24"/>
              </w:rPr>
              <w:t xml:space="preserve">In the event of </w:t>
            </w:r>
            <w:r w:rsidR="00805692">
              <w:rPr>
                <w:rFonts w:ascii="Arial" w:hAnsi="Arial" w:cs="Arial"/>
                <w:sz w:val="24"/>
                <w:szCs w:val="24"/>
              </w:rPr>
              <w:t xml:space="preserve">a </w:t>
            </w:r>
            <w:r w:rsidR="00805692" w:rsidRPr="00385C4B">
              <w:rPr>
                <w:rFonts w:ascii="Arial" w:hAnsi="Arial" w:cs="Arial"/>
                <w:sz w:val="24"/>
                <w:szCs w:val="24"/>
              </w:rPr>
              <w:t>breach by the first defendant of any of the terms and conditions of the agreement, and should she fail to remedy the breach within seven days of written notice, the plaintiff may convert the first defendant’s loan to one repayable on demand and/or revise any of the terms and conditions and/or increase the interest rate charged</w:t>
            </w:r>
            <w:r w:rsidR="00015808">
              <w:rPr>
                <w:rFonts w:ascii="Arial" w:hAnsi="Arial" w:cs="Arial"/>
                <w:sz w:val="24"/>
                <w:szCs w:val="24"/>
              </w:rPr>
              <w:t>.</w:t>
            </w:r>
          </w:p>
          <w:p w:rsidR="00015808" w:rsidRDefault="00015808" w:rsidP="00ED76B2">
            <w:pPr>
              <w:tabs>
                <w:tab w:val="left" w:pos="729"/>
              </w:tabs>
              <w:spacing w:line="360" w:lineRule="auto"/>
              <w:jc w:val="both"/>
              <w:rPr>
                <w:rFonts w:ascii="Arial" w:hAnsi="Arial" w:cs="Arial"/>
                <w:sz w:val="24"/>
                <w:szCs w:val="24"/>
              </w:rPr>
            </w:pPr>
          </w:p>
          <w:p w:rsidR="009A7A59" w:rsidRDefault="00766C68" w:rsidP="00ED76B2">
            <w:pPr>
              <w:tabs>
                <w:tab w:val="left" w:pos="729"/>
              </w:tabs>
              <w:spacing w:line="360" w:lineRule="auto"/>
              <w:jc w:val="both"/>
              <w:rPr>
                <w:rFonts w:ascii="Arial" w:hAnsi="Arial" w:cs="Arial"/>
                <w:sz w:val="24"/>
                <w:szCs w:val="24"/>
              </w:rPr>
            </w:pPr>
            <w:r>
              <w:rPr>
                <w:rFonts w:ascii="Arial" w:hAnsi="Arial" w:cs="Arial"/>
                <w:sz w:val="24"/>
                <w:szCs w:val="24"/>
              </w:rPr>
              <w:t>[12]</w:t>
            </w:r>
            <w:r w:rsidRPr="00702C62">
              <w:rPr>
                <w:rFonts w:ascii="Arial" w:hAnsi="Arial" w:cs="Arial"/>
                <w:sz w:val="24"/>
                <w:szCs w:val="24"/>
              </w:rPr>
              <w:tab/>
            </w:r>
            <w:r w:rsidR="00805692">
              <w:rPr>
                <w:rFonts w:ascii="Arial" w:hAnsi="Arial" w:cs="Arial"/>
                <w:sz w:val="24"/>
                <w:szCs w:val="24"/>
              </w:rPr>
              <w:t xml:space="preserve">The first </w:t>
            </w:r>
            <w:r w:rsidR="00805692" w:rsidRPr="00CA1E97">
              <w:rPr>
                <w:rFonts w:ascii="Arial" w:hAnsi="Arial" w:cs="Arial"/>
                <w:sz w:val="24"/>
                <w:szCs w:val="24"/>
              </w:rPr>
              <w:t>d</w:t>
            </w:r>
            <w:r w:rsidR="00805692" w:rsidRPr="00385C4B">
              <w:rPr>
                <w:rFonts w:ascii="Arial" w:hAnsi="Arial" w:cs="Arial"/>
                <w:sz w:val="24"/>
                <w:szCs w:val="24"/>
              </w:rPr>
              <w:t>efendant undertook to be liable for all costs on the scale as between attorney and client incurred by the plaintiff in the recovery of any amount due</w:t>
            </w:r>
            <w:r w:rsidR="00805692">
              <w:rPr>
                <w:rFonts w:ascii="Arial" w:hAnsi="Arial" w:cs="Arial"/>
                <w:sz w:val="24"/>
                <w:szCs w:val="24"/>
              </w:rPr>
              <w:t>.</w:t>
            </w:r>
          </w:p>
          <w:p w:rsidR="009A7A59" w:rsidRPr="00805692" w:rsidRDefault="009A7A59" w:rsidP="00ED76B2">
            <w:pPr>
              <w:tabs>
                <w:tab w:val="left" w:pos="729"/>
              </w:tabs>
              <w:spacing w:line="360" w:lineRule="auto"/>
              <w:jc w:val="both"/>
              <w:rPr>
                <w:rFonts w:ascii="Arial" w:hAnsi="Arial" w:cs="Arial"/>
                <w:sz w:val="24"/>
                <w:szCs w:val="24"/>
              </w:rPr>
            </w:pPr>
          </w:p>
          <w:p w:rsidR="00015808" w:rsidRPr="00805692" w:rsidRDefault="00766C68" w:rsidP="00ED76B2">
            <w:pPr>
              <w:tabs>
                <w:tab w:val="left" w:pos="729"/>
              </w:tabs>
              <w:spacing w:line="360" w:lineRule="auto"/>
              <w:jc w:val="both"/>
              <w:rPr>
                <w:rFonts w:ascii="Arial" w:hAnsi="Arial" w:cs="Arial"/>
                <w:sz w:val="24"/>
                <w:szCs w:val="24"/>
              </w:rPr>
            </w:pPr>
            <w:r w:rsidRPr="00805692">
              <w:rPr>
                <w:rFonts w:ascii="Arial" w:hAnsi="Arial" w:cs="Arial"/>
                <w:sz w:val="24"/>
                <w:szCs w:val="24"/>
              </w:rPr>
              <w:t>[13]</w:t>
            </w:r>
            <w:r w:rsidRPr="00805692">
              <w:rPr>
                <w:rFonts w:ascii="Arial" w:hAnsi="Arial" w:cs="Arial"/>
                <w:sz w:val="24"/>
                <w:szCs w:val="24"/>
              </w:rPr>
              <w:tab/>
            </w:r>
            <w:r w:rsidR="00805692" w:rsidRPr="00805692">
              <w:rPr>
                <w:rFonts w:ascii="Arial" w:hAnsi="Arial" w:cs="Arial"/>
                <w:sz w:val="24"/>
                <w:szCs w:val="24"/>
              </w:rPr>
              <w:t>The plaintiff claims that the first defendant breached the conditions of the agreement as her account fell in arrears in the sum of N$1</w:t>
            </w:r>
            <w:r w:rsidR="00805692">
              <w:rPr>
                <w:rFonts w:ascii="Arial" w:hAnsi="Arial" w:cs="Arial"/>
                <w:sz w:val="24"/>
                <w:szCs w:val="24"/>
              </w:rPr>
              <w:t xml:space="preserve"> </w:t>
            </w:r>
            <w:r w:rsidR="00805692" w:rsidRPr="00805692">
              <w:rPr>
                <w:rFonts w:ascii="Arial" w:hAnsi="Arial" w:cs="Arial"/>
                <w:sz w:val="24"/>
                <w:szCs w:val="24"/>
              </w:rPr>
              <w:t>250 249.34, and the first defendant is, as a result, indebted to the plaintiff in the aggregate as confirmed in the certificate of indebtedness attached to the particulars of claim</w:t>
            </w:r>
            <w:r w:rsidR="008F5871" w:rsidRPr="00805692">
              <w:rPr>
                <w:rFonts w:ascii="Arial" w:hAnsi="Arial" w:cs="Arial"/>
                <w:sz w:val="24"/>
                <w:szCs w:val="24"/>
              </w:rPr>
              <w:t>.</w:t>
            </w:r>
          </w:p>
          <w:p w:rsidR="00323AAF" w:rsidRPr="00805692" w:rsidRDefault="00323AAF" w:rsidP="00ED76B2">
            <w:pPr>
              <w:spacing w:line="360" w:lineRule="auto"/>
              <w:jc w:val="both"/>
              <w:rPr>
                <w:rFonts w:ascii="Arial" w:hAnsi="Arial" w:cs="Arial"/>
                <w:sz w:val="24"/>
                <w:szCs w:val="24"/>
              </w:rPr>
            </w:pPr>
          </w:p>
          <w:p w:rsidR="00B40844" w:rsidRPr="00702C62" w:rsidRDefault="00323AAF" w:rsidP="00ED76B2">
            <w:pPr>
              <w:tabs>
                <w:tab w:val="left" w:pos="729"/>
              </w:tabs>
              <w:spacing w:line="360" w:lineRule="auto"/>
              <w:jc w:val="both"/>
              <w:rPr>
                <w:rFonts w:ascii="Arial" w:hAnsi="Arial" w:cs="Arial"/>
                <w:sz w:val="24"/>
                <w:szCs w:val="24"/>
              </w:rPr>
            </w:pPr>
            <w:r w:rsidRPr="00702C62">
              <w:rPr>
                <w:rFonts w:ascii="Arial" w:hAnsi="Arial" w:cs="Arial"/>
                <w:sz w:val="24"/>
                <w:szCs w:val="24"/>
              </w:rPr>
              <w:t>[</w:t>
            </w:r>
            <w:r w:rsidR="008C2200" w:rsidRPr="00702C62">
              <w:rPr>
                <w:rFonts w:ascii="Arial" w:hAnsi="Arial" w:cs="Arial"/>
                <w:sz w:val="24"/>
                <w:szCs w:val="24"/>
              </w:rPr>
              <w:t>1</w:t>
            </w:r>
            <w:r w:rsidR="00766C68">
              <w:rPr>
                <w:rFonts w:ascii="Arial" w:hAnsi="Arial" w:cs="Arial"/>
                <w:sz w:val="24"/>
                <w:szCs w:val="24"/>
              </w:rPr>
              <w:t>4</w:t>
            </w:r>
            <w:r w:rsidRPr="00702C62">
              <w:rPr>
                <w:rFonts w:ascii="Arial" w:hAnsi="Arial" w:cs="Arial"/>
                <w:sz w:val="24"/>
                <w:szCs w:val="24"/>
              </w:rPr>
              <w:t>]</w:t>
            </w:r>
            <w:r w:rsidR="00BB13F4" w:rsidRPr="00702C62">
              <w:rPr>
                <w:rFonts w:ascii="Arial" w:hAnsi="Arial" w:cs="Arial"/>
                <w:sz w:val="24"/>
                <w:szCs w:val="24"/>
              </w:rPr>
              <w:tab/>
            </w:r>
            <w:r w:rsidR="00805692" w:rsidRPr="00385C4B">
              <w:rPr>
                <w:rFonts w:ascii="Arial" w:hAnsi="Arial" w:cs="Arial"/>
                <w:sz w:val="24"/>
                <w:szCs w:val="24"/>
              </w:rPr>
              <w:t xml:space="preserve">In the alternative, the plaintiff contends that </w:t>
            </w:r>
            <w:r w:rsidR="00805692">
              <w:rPr>
                <w:rFonts w:ascii="Arial" w:hAnsi="Arial" w:cs="Arial"/>
                <w:sz w:val="24"/>
                <w:szCs w:val="24"/>
              </w:rPr>
              <w:t>if</w:t>
            </w:r>
            <w:r w:rsidR="00805692" w:rsidRPr="00385C4B">
              <w:rPr>
                <w:rFonts w:ascii="Arial" w:hAnsi="Arial" w:cs="Arial"/>
                <w:sz w:val="24"/>
                <w:szCs w:val="24"/>
              </w:rPr>
              <w:t xml:space="preserve"> the court should find that:</w:t>
            </w:r>
          </w:p>
          <w:p w:rsidR="003D3059" w:rsidRDefault="003D3059" w:rsidP="00ED76B2">
            <w:pPr>
              <w:spacing w:line="360" w:lineRule="auto"/>
              <w:jc w:val="both"/>
              <w:rPr>
                <w:rFonts w:ascii="Arial" w:hAnsi="Arial" w:cs="Arial"/>
                <w:sz w:val="24"/>
                <w:szCs w:val="24"/>
              </w:rPr>
            </w:pPr>
          </w:p>
          <w:p w:rsidR="00805692" w:rsidRDefault="00805692" w:rsidP="00805692">
            <w:pPr>
              <w:spacing w:line="360" w:lineRule="auto"/>
              <w:ind w:left="1296" w:hanging="567"/>
              <w:jc w:val="both"/>
              <w:rPr>
                <w:rFonts w:ascii="Arial" w:hAnsi="Arial" w:cs="Arial"/>
                <w:sz w:val="24"/>
                <w:szCs w:val="24"/>
              </w:rPr>
            </w:pPr>
            <w:r>
              <w:rPr>
                <w:rFonts w:ascii="Arial" w:hAnsi="Arial" w:cs="Arial"/>
                <w:sz w:val="24"/>
                <w:szCs w:val="24"/>
              </w:rPr>
              <w:t>(a)</w:t>
            </w:r>
            <w:r w:rsidRPr="00702C62">
              <w:rPr>
                <w:rFonts w:ascii="Arial" w:hAnsi="Arial" w:cs="Arial"/>
                <w:sz w:val="24"/>
                <w:szCs w:val="24"/>
              </w:rPr>
              <w:tab/>
            </w:r>
            <w:r w:rsidRPr="00385C4B">
              <w:rPr>
                <w:rFonts w:ascii="Arial" w:hAnsi="Arial" w:cs="Arial"/>
                <w:sz w:val="24"/>
                <w:szCs w:val="24"/>
              </w:rPr>
              <w:t>the loan agreement is a nullity or that the second defendant is not lawfully bound with the first defendant for the repayment of the claim</w:t>
            </w:r>
            <w:r>
              <w:rPr>
                <w:rFonts w:ascii="Arial" w:hAnsi="Arial" w:cs="Arial"/>
                <w:sz w:val="24"/>
                <w:szCs w:val="24"/>
              </w:rPr>
              <w:t xml:space="preserve"> </w:t>
            </w:r>
            <w:r w:rsidRPr="00385C4B">
              <w:rPr>
                <w:rFonts w:ascii="Arial" w:hAnsi="Arial" w:cs="Arial"/>
                <w:sz w:val="24"/>
                <w:szCs w:val="24"/>
              </w:rPr>
              <w:t>-</w:t>
            </w:r>
          </w:p>
          <w:p w:rsidR="00805692" w:rsidRDefault="00805692" w:rsidP="00ED76B2">
            <w:pPr>
              <w:spacing w:line="360" w:lineRule="auto"/>
              <w:jc w:val="both"/>
              <w:rPr>
                <w:rFonts w:ascii="Arial" w:hAnsi="Arial" w:cs="Arial"/>
                <w:sz w:val="24"/>
                <w:szCs w:val="24"/>
              </w:rPr>
            </w:pPr>
          </w:p>
          <w:p w:rsidR="00805692" w:rsidRPr="00805692" w:rsidRDefault="00805692" w:rsidP="00805692">
            <w:pPr>
              <w:spacing w:line="360" w:lineRule="auto"/>
              <w:ind w:left="1863" w:hanging="567"/>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sidRPr="00805692">
              <w:rPr>
                <w:rFonts w:ascii="Arial" w:hAnsi="Arial" w:cs="Arial"/>
                <w:sz w:val="24"/>
                <w:szCs w:val="24"/>
              </w:rPr>
              <w:t>)</w:t>
            </w:r>
            <w:r w:rsidRPr="00702C62">
              <w:rPr>
                <w:rFonts w:ascii="Arial" w:hAnsi="Arial" w:cs="Arial"/>
                <w:sz w:val="24"/>
                <w:szCs w:val="24"/>
              </w:rPr>
              <w:tab/>
            </w:r>
            <w:r w:rsidRPr="00805692">
              <w:rPr>
                <w:rFonts w:ascii="Arial" w:hAnsi="Arial" w:cs="Arial"/>
                <w:sz w:val="24"/>
                <w:szCs w:val="24"/>
              </w:rPr>
              <w:t>That plaintiff performed in terms of the agreement by advancing the said amount to the first defendant;</w:t>
            </w:r>
          </w:p>
          <w:p w:rsidR="00805692" w:rsidRPr="00805692" w:rsidRDefault="00805692" w:rsidP="00805692">
            <w:pPr>
              <w:tabs>
                <w:tab w:val="left" w:pos="1863"/>
              </w:tabs>
              <w:spacing w:line="360" w:lineRule="auto"/>
              <w:ind w:firstLine="1296"/>
              <w:jc w:val="both"/>
              <w:rPr>
                <w:rFonts w:ascii="Arial" w:hAnsi="Arial" w:cs="Arial"/>
                <w:sz w:val="24"/>
                <w:szCs w:val="24"/>
              </w:rPr>
            </w:pPr>
            <w:r w:rsidRPr="00805692">
              <w:rPr>
                <w:rFonts w:ascii="Arial" w:hAnsi="Arial" w:cs="Arial"/>
                <w:sz w:val="24"/>
                <w:szCs w:val="24"/>
              </w:rPr>
              <w:t>(ii)</w:t>
            </w:r>
            <w:r w:rsidRPr="00702C62">
              <w:rPr>
                <w:rFonts w:ascii="Arial" w:hAnsi="Arial" w:cs="Arial"/>
                <w:sz w:val="24"/>
                <w:szCs w:val="24"/>
              </w:rPr>
              <w:tab/>
            </w:r>
            <w:r w:rsidRPr="00805692">
              <w:rPr>
                <w:rFonts w:ascii="Arial" w:hAnsi="Arial" w:cs="Arial"/>
                <w:sz w:val="24"/>
                <w:szCs w:val="24"/>
              </w:rPr>
              <w:t>The first defendant performed in terms of the agreement;</w:t>
            </w:r>
          </w:p>
          <w:p w:rsidR="00805692" w:rsidRPr="00805692" w:rsidRDefault="00805692" w:rsidP="00805692">
            <w:pPr>
              <w:tabs>
                <w:tab w:val="left" w:pos="1863"/>
              </w:tabs>
              <w:spacing w:line="360" w:lineRule="auto"/>
              <w:ind w:left="1863" w:hanging="567"/>
              <w:jc w:val="both"/>
              <w:rPr>
                <w:rFonts w:ascii="Arial" w:hAnsi="Arial" w:cs="Arial"/>
                <w:sz w:val="24"/>
                <w:szCs w:val="24"/>
              </w:rPr>
            </w:pPr>
            <w:r w:rsidRPr="00805692">
              <w:rPr>
                <w:rFonts w:ascii="Arial" w:hAnsi="Arial" w:cs="Arial"/>
                <w:sz w:val="24"/>
                <w:szCs w:val="24"/>
              </w:rPr>
              <w:t>(iii)</w:t>
            </w:r>
            <w:r w:rsidRPr="00702C62">
              <w:rPr>
                <w:rFonts w:ascii="Arial" w:hAnsi="Arial" w:cs="Arial"/>
                <w:sz w:val="24"/>
                <w:szCs w:val="24"/>
              </w:rPr>
              <w:tab/>
            </w:r>
            <w:r w:rsidRPr="00805692">
              <w:rPr>
                <w:rFonts w:ascii="Arial" w:hAnsi="Arial" w:cs="Arial"/>
                <w:sz w:val="24"/>
                <w:szCs w:val="24"/>
              </w:rPr>
              <w:t>Neither party has been aware of the nullity of the agreement. The defendants were accordingly enriched with the claimed amount plus interest at the prescribed rate of 20% per annum from the enrichment date to the payment date.</w:t>
            </w:r>
          </w:p>
          <w:p w:rsidR="00805692" w:rsidRDefault="00805692" w:rsidP="00ED76B2">
            <w:pPr>
              <w:spacing w:line="360" w:lineRule="auto"/>
              <w:jc w:val="both"/>
              <w:rPr>
                <w:rFonts w:ascii="Arial" w:hAnsi="Arial" w:cs="Arial"/>
                <w:sz w:val="24"/>
                <w:szCs w:val="24"/>
              </w:rPr>
            </w:pPr>
          </w:p>
          <w:p w:rsidR="00805692" w:rsidRDefault="00805692" w:rsidP="00ED76B2">
            <w:pPr>
              <w:spacing w:line="360" w:lineRule="auto"/>
              <w:jc w:val="both"/>
              <w:rPr>
                <w:rFonts w:ascii="Arial" w:hAnsi="Arial" w:cs="Arial"/>
                <w:sz w:val="24"/>
                <w:szCs w:val="24"/>
                <w:u w:val="single"/>
              </w:rPr>
            </w:pPr>
            <w:r w:rsidRPr="007B2C80">
              <w:rPr>
                <w:rFonts w:ascii="Arial" w:hAnsi="Arial" w:cs="Arial"/>
                <w:sz w:val="24"/>
                <w:szCs w:val="24"/>
                <w:u w:val="single"/>
              </w:rPr>
              <w:t>The evidence adduced</w:t>
            </w:r>
          </w:p>
          <w:p w:rsidR="00805692" w:rsidRPr="00805692" w:rsidRDefault="00805692" w:rsidP="00ED76B2">
            <w:pPr>
              <w:spacing w:line="360" w:lineRule="auto"/>
              <w:jc w:val="both"/>
              <w:rPr>
                <w:rFonts w:ascii="Arial" w:hAnsi="Arial" w:cs="Arial"/>
                <w:sz w:val="24"/>
                <w:szCs w:val="24"/>
              </w:rPr>
            </w:pPr>
          </w:p>
          <w:p w:rsidR="00BC5931" w:rsidRPr="00805692" w:rsidRDefault="00B61AC7" w:rsidP="00ED76B2">
            <w:pPr>
              <w:tabs>
                <w:tab w:val="left" w:pos="729"/>
              </w:tabs>
              <w:spacing w:line="360" w:lineRule="auto"/>
              <w:jc w:val="both"/>
              <w:rPr>
                <w:rFonts w:ascii="Arial" w:hAnsi="Arial" w:cs="Arial"/>
                <w:sz w:val="24"/>
                <w:szCs w:val="24"/>
              </w:rPr>
            </w:pPr>
            <w:r w:rsidRPr="00805692">
              <w:rPr>
                <w:rFonts w:ascii="Arial" w:hAnsi="Arial" w:cs="Arial"/>
                <w:sz w:val="24"/>
                <w:szCs w:val="24"/>
              </w:rPr>
              <w:t>[1</w:t>
            </w:r>
            <w:r w:rsidR="00766C68" w:rsidRPr="00805692">
              <w:rPr>
                <w:rFonts w:ascii="Arial" w:hAnsi="Arial" w:cs="Arial"/>
                <w:sz w:val="24"/>
                <w:szCs w:val="24"/>
              </w:rPr>
              <w:t>5</w:t>
            </w:r>
            <w:r w:rsidR="00B40844" w:rsidRPr="00805692">
              <w:rPr>
                <w:rFonts w:ascii="Arial" w:hAnsi="Arial" w:cs="Arial"/>
                <w:sz w:val="24"/>
                <w:szCs w:val="24"/>
              </w:rPr>
              <w:t>]</w:t>
            </w:r>
            <w:r w:rsidR="00B40844" w:rsidRPr="00805692">
              <w:rPr>
                <w:rFonts w:ascii="Arial" w:hAnsi="Arial" w:cs="Arial"/>
                <w:sz w:val="24"/>
                <w:szCs w:val="24"/>
              </w:rPr>
              <w:tab/>
            </w:r>
            <w:r w:rsidR="00805692" w:rsidRPr="00805692">
              <w:rPr>
                <w:rFonts w:ascii="Arial" w:hAnsi="Arial" w:cs="Arial"/>
                <w:sz w:val="24"/>
                <w:szCs w:val="24"/>
              </w:rPr>
              <w:t xml:space="preserve">In support of the plaintiff’s case, two witnesses were called, </w:t>
            </w:r>
            <w:proofErr w:type="spellStart"/>
            <w:r w:rsidR="00805692" w:rsidRPr="00805692">
              <w:rPr>
                <w:rFonts w:ascii="Arial" w:hAnsi="Arial" w:cs="Arial"/>
                <w:sz w:val="24"/>
                <w:szCs w:val="24"/>
              </w:rPr>
              <w:t>i.e</w:t>
            </w:r>
            <w:proofErr w:type="spellEnd"/>
            <w:r w:rsidR="00805692" w:rsidRPr="00805692">
              <w:rPr>
                <w:rFonts w:ascii="Arial" w:hAnsi="Arial" w:cs="Arial"/>
                <w:sz w:val="24"/>
                <w:szCs w:val="24"/>
              </w:rPr>
              <w:t xml:space="preserve"> Ms </w:t>
            </w:r>
            <w:proofErr w:type="spellStart"/>
            <w:r w:rsidR="00805692" w:rsidRPr="00805692">
              <w:rPr>
                <w:rFonts w:ascii="Arial" w:hAnsi="Arial" w:cs="Arial"/>
                <w:sz w:val="24"/>
                <w:szCs w:val="24"/>
              </w:rPr>
              <w:t>Trula</w:t>
            </w:r>
            <w:proofErr w:type="spellEnd"/>
            <w:r w:rsidR="00805692" w:rsidRPr="00805692">
              <w:rPr>
                <w:rFonts w:ascii="Arial" w:hAnsi="Arial" w:cs="Arial"/>
                <w:sz w:val="24"/>
                <w:szCs w:val="24"/>
              </w:rPr>
              <w:t xml:space="preserve"> </w:t>
            </w:r>
            <w:proofErr w:type="spellStart"/>
            <w:r w:rsidR="00805692" w:rsidRPr="00805692">
              <w:rPr>
                <w:rFonts w:ascii="Arial" w:hAnsi="Arial" w:cs="Arial"/>
                <w:sz w:val="24"/>
                <w:szCs w:val="24"/>
              </w:rPr>
              <w:t>Zoganas</w:t>
            </w:r>
            <w:proofErr w:type="spellEnd"/>
            <w:r w:rsidR="00805692" w:rsidRPr="00805692">
              <w:rPr>
                <w:rFonts w:ascii="Arial" w:hAnsi="Arial" w:cs="Arial"/>
                <w:sz w:val="24"/>
                <w:szCs w:val="24"/>
              </w:rPr>
              <w:t xml:space="preserve"> and </w:t>
            </w:r>
            <w:r w:rsidR="00805692">
              <w:rPr>
                <w:rFonts w:ascii="Arial" w:hAnsi="Arial" w:cs="Arial"/>
                <w:sz w:val="24"/>
                <w:szCs w:val="24"/>
              </w:rPr>
              <w:br/>
            </w:r>
            <w:r w:rsidR="00805692" w:rsidRPr="00805692">
              <w:rPr>
                <w:rFonts w:ascii="Arial" w:hAnsi="Arial" w:cs="Arial"/>
                <w:sz w:val="24"/>
                <w:szCs w:val="24"/>
              </w:rPr>
              <w:t xml:space="preserve">Mr Sven </w:t>
            </w:r>
            <w:proofErr w:type="spellStart"/>
            <w:r w:rsidR="00805692" w:rsidRPr="00805692">
              <w:rPr>
                <w:rFonts w:ascii="Arial" w:hAnsi="Arial" w:cs="Arial"/>
                <w:sz w:val="24"/>
                <w:szCs w:val="24"/>
              </w:rPr>
              <w:t>Hanschen</w:t>
            </w:r>
            <w:proofErr w:type="spellEnd"/>
            <w:r w:rsidR="009A7A59" w:rsidRPr="00805692">
              <w:rPr>
                <w:rFonts w:ascii="Arial" w:hAnsi="Arial" w:cs="Arial"/>
                <w:sz w:val="24"/>
                <w:szCs w:val="24"/>
              </w:rPr>
              <w:t>.</w:t>
            </w:r>
          </w:p>
          <w:p w:rsidR="00BC5931" w:rsidRPr="00805692" w:rsidRDefault="00BC5931" w:rsidP="00ED76B2">
            <w:pPr>
              <w:tabs>
                <w:tab w:val="left" w:pos="729"/>
              </w:tabs>
              <w:spacing w:line="360" w:lineRule="auto"/>
              <w:jc w:val="both"/>
              <w:rPr>
                <w:rFonts w:ascii="Arial" w:hAnsi="Arial" w:cs="Arial"/>
                <w:sz w:val="24"/>
                <w:szCs w:val="24"/>
              </w:rPr>
            </w:pPr>
          </w:p>
          <w:p w:rsidR="00BE31AD" w:rsidRPr="00805692" w:rsidRDefault="00766C68" w:rsidP="00ED76B2">
            <w:pPr>
              <w:tabs>
                <w:tab w:val="left" w:pos="729"/>
              </w:tabs>
              <w:spacing w:line="360" w:lineRule="auto"/>
              <w:jc w:val="both"/>
              <w:rPr>
                <w:rFonts w:ascii="Arial" w:hAnsi="Arial" w:cs="Arial"/>
                <w:sz w:val="24"/>
                <w:szCs w:val="24"/>
              </w:rPr>
            </w:pPr>
            <w:r w:rsidRPr="00805692">
              <w:rPr>
                <w:rFonts w:ascii="Arial" w:hAnsi="Arial" w:cs="Arial"/>
                <w:sz w:val="24"/>
                <w:szCs w:val="24"/>
              </w:rPr>
              <w:t>[16]</w:t>
            </w:r>
            <w:r w:rsidRPr="00805692">
              <w:rPr>
                <w:rFonts w:ascii="Arial" w:hAnsi="Arial" w:cs="Arial"/>
                <w:sz w:val="24"/>
                <w:szCs w:val="24"/>
              </w:rPr>
              <w:tab/>
            </w:r>
            <w:r w:rsidR="00805692" w:rsidRPr="00805692">
              <w:rPr>
                <w:rFonts w:ascii="Arial" w:hAnsi="Arial" w:cs="Arial"/>
                <w:sz w:val="24"/>
                <w:szCs w:val="24"/>
              </w:rPr>
              <w:t>The loan agreement is common cause between the parties and need not be discussed further</w:t>
            </w:r>
            <w:r w:rsidR="002B38E0" w:rsidRPr="00805692">
              <w:rPr>
                <w:rFonts w:ascii="Arial" w:hAnsi="Arial" w:cs="Arial"/>
                <w:sz w:val="24"/>
                <w:szCs w:val="24"/>
              </w:rPr>
              <w:t>.</w:t>
            </w:r>
          </w:p>
          <w:p w:rsidR="008F59A0" w:rsidRPr="00805692" w:rsidRDefault="008F59A0" w:rsidP="00ED76B2">
            <w:pPr>
              <w:tabs>
                <w:tab w:val="left" w:pos="729"/>
              </w:tabs>
              <w:spacing w:line="360" w:lineRule="auto"/>
              <w:jc w:val="both"/>
              <w:rPr>
                <w:rFonts w:ascii="Arial" w:hAnsi="Arial" w:cs="Arial"/>
                <w:sz w:val="24"/>
                <w:szCs w:val="24"/>
              </w:rPr>
            </w:pPr>
          </w:p>
          <w:p w:rsidR="00BE31AD" w:rsidRDefault="00B9407E" w:rsidP="00BE31AD">
            <w:pPr>
              <w:tabs>
                <w:tab w:val="left" w:pos="729"/>
              </w:tabs>
              <w:spacing w:line="360" w:lineRule="auto"/>
              <w:jc w:val="both"/>
              <w:rPr>
                <w:rFonts w:ascii="Arial" w:hAnsi="Arial" w:cs="Arial"/>
                <w:sz w:val="24"/>
                <w:szCs w:val="24"/>
              </w:rPr>
            </w:pPr>
            <w:r>
              <w:rPr>
                <w:rFonts w:ascii="Arial" w:hAnsi="Arial" w:cs="Arial"/>
                <w:sz w:val="24"/>
                <w:szCs w:val="24"/>
              </w:rPr>
              <w:t>[17]</w:t>
            </w:r>
            <w:r w:rsidRPr="00812409">
              <w:rPr>
                <w:rFonts w:ascii="Arial" w:hAnsi="Arial" w:cs="Arial"/>
                <w:sz w:val="24"/>
                <w:szCs w:val="24"/>
              </w:rPr>
              <w:tab/>
            </w:r>
            <w:r w:rsidR="00805692" w:rsidRPr="00385C4B">
              <w:rPr>
                <w:rFonts w:ascii="Arial" w:hAnsi="Arial" w:cs="Arial"/>
                <w:sz w:val="24"/>
                <w:szCs w:val="24"/>
              </w:rPr>
              <w:t>I do not intend to repeat the evidence of the witnesses but will briefly summarise the evidence</w:t>
            </w:r>
            <w:r w:rsidR="00805692">
              <w:rPr>
                <w:rFonts w:ascii="Arial" w:hAnsi="Arial" w:cs="Arial"/>
                <w:sz w:val="24"/>
                <w:szCs w:val="24"/>
              </w:rPr>
              <w:t>.</w:t>
            </w:r>
          </w:p>
          <w:p w:rsidR="00BE31AD" w:rsidRDefault="00BE31AD" w:rsidP="008F5871">
            <w:pPr>
              <w:widowControl w:val="0"/>
              <w:autoSpaceDE w:val="0"/>
              <w:autoSpaceDN w:val="0"/>
              <w:adjustRightInd w:val="0"/>
              <w:spacing w:line="360" w:lineRule="auto"/>
              <w:jc w:val="both"/>
              <w:rPr>
                <w:rFonts w:ascii="Arial" w:hAnsi="Arial" w:cs="Arial"/>
                <w:sz w:val="24"/>
                <w:szCs w:val="24"/>
              </w:rPr>
            </w:pPr>
          </w:p>
          <w:p w:rsidR="00BE31AD" w:rsidRDefault="00B9407E" w:rsidP="00BE31AD">
            <w:pPr>
              <w:tabs>
                <w:tab w:val="left" w:pos="729"/>
              </w:tabs>
              <w:spacing w:line="360" w:lineRule="auto"/>
              <w:jc w:val="both"/>
              <w:rPr>
                <w:rFonts w:ascii="Arial" w:hAnsi="Arial" w:cs="Arial"/>
                <w:sz w:val="24"/>
                <w:szCs w:val="24"/>
              </w:rPr>
            </w:pPr>
            <w:r>
              <w:rPr>
                <w:rFonts w:ascii="Arial" w:hAnsi="Arial" w:cs="Arial"/>
                <w:sz w:val="24"/>
                <w:szCs w:val="24"/>
              </w:rPr>
              <w:t>[18]</w:t>
            </w:r>
            <w:r w:rsidRPr="00812409">
              <w:rPr>
                <w:rFonts w:ascii="Arial" w:hAnsi="Arial" w:cs="Arial"/>
                <w:sz w:val="24"/>
                <w:szCs w:val="24"/>
              </w:rPr>
              <w:tab/>
            </w:r>
            <w:r w:rsidR="00805692" w:rsidRPr="00385C4B">
              <w:rPr>
                <w:rFonts w:ascii="Arial" w:hAnsi="Arial" w:cs="Arial"/>
                <w:sz w:val="24"/>
                <w:szCs w:val="24"/>
              </w:rPr>
              <w:t xml:space="preserve">Ms </w:t>
            </w:r>
            <w:proofErr w:type="spellStart"/>
            <w:r w:rsidR="00805692" w:rsidRPr="00385C4B">
              <w:rPr>
                <w:rFonts w:ascii="Arial" w:hAnsi="Arial" w:cs="Arial"/>
                <w:sz w:val="24"/>
                <w:szCs w:val="24"/>
              </w:rPr>
              <w:t>Zoganas</w:t>
            </w:r>
            <w:proofErr w:type="spellEnd"/>
            <w:r w:rsidR="00805692" w:rsidRPr="00385C4B">
              <w:rPr>
                <w:rFonts w:ascii="Arial" w:hAnsi="Arial" w:cs="Arial"/>
                <w:sz w:val="24"/>
                <w:szCs w:val="24"/>
              </w:rPr>
              <w:t xml:space="preserve"> testified as follows:</w:t>
            </w:r>
          </w:p>
          <w:p w:rsidR="008F59A0" w:rsidRDefault="008F59A0" w:rsidP="00BE31AD">
            <w:pPr>
              <w:tabs>
                <w:tab w:val="left" w:pos="729"/>
              </w:tabs>
              <w:spacing w:line="360" w:lineRule="auto"/>
              <w:jc w:val="both"/>
              <w:rPr>
                <w:rFonts w:ascii="Arial" w:hAnsi="Arial" w:cs="Arial"/>
                <w:sz w:val="24"/>
                <w:szCs w:val="24"/>
              </w:rPr>
            </w:pPr>
          </w:p>
          <w:p w:rsidR="00805692" w:rsidRPr="00552964" w:rsidRDefault="00805692" w:rsidP="00552964">
            <w:pPr>
              <w:tabs>
                <w:tab w:val="left" w:pos="729"/>
                <w:tab w:val="left" w:pos="1296"/>
              </w:tabs>
              <w:spacing w:line="360" w:lineRule="auto"/>
              <w:ind w:left="729"/>
              <w:jc w:val="both"/>
              <w:rPr>
                <w:rFonts w:ascii="Arial" w:hAnsi="Arial" w:cs="Arial"/>
                <w:sz w:val="24"/>
                <w:szCs w:val="24"/>
              </w:rPr>
            </w:pPr>
            <w:r>
              <w:rPr>
                <w:rFonts w:ascii="Arial" w:hAnsi="Arial" w:cs="Arial"/>
                <w:sz w:val="24"/>
                <w:szCs w:val="24"/>
              </w:rPr>
              <w:t>(a)</w:t>
            </w:r>
            <w:r w:rsidRPr="00812409">
              <w:rPr>
                <w:rFonts w:ascii="Arial" w:hAnsi="Arial" w:cs="Arial"/>
                <w:sz w:val="24"/>
                <w:szCs w:val="24"/>
              </w:rPr>
              <w:tab/>
            </w:r>
            <w:r w:rsidR="00552964" w:rsidRPr="00552964">
              <w:rPr>
                <w:rFonts w:ascii="Arial" w:hAnsi="Arial" w:cs="Arial"/>
                <w:sz w:val="24"/>
                <w:szCs w:val="24"/>
              </w:rPr>
              <w:t xml:space="preserve">Ms </w:t>
            </w:r>
            <w:proofErr w:type="spellStart"/>
            <w:r w:rsidR="00552964" w:rsidRPr="00552964">
              <w:rPr>
                <w:rFonts w:ascii="Arial" w:hAnsi="Arial" w:cs="Arial"/>
                <w:sz w:val="24"/>
                <w:szCs w:val="24"/>
              </w:rPr>
              <w:t>Zoganas</w:t>
            </w:r>
            <w:proofErr w:type="spellEnd"/>
            <w:r w:rsidR="00552964" w:rsidRPr="00552964">
              <w:rPr>
                <w:rFonts w:ascii="Arial" w:hAnsi="Arial" w:cs="Arial"/>
                <w:sz w:val="24"/>
                <w:szCs w:val="24"/>
              </w:rPr>
              <w:t xml:space="preserve"> confirmed the terms of the agreement as set out above.</w:t>
            </w:r>
          </w:p>
          <w:p w:rsidR="00805692" w:rsidRPr="00552964" w:rsidRDefault="00805692" w:rsidP="00552964">
            <w:pPr>
              <w:spacing w:line="360" w:lineRule="auto"/>
              <w:ind w:left="1296" w:hanging="567"/>
              <w:jc w:val="both"/>
              <w:rPr>
                <w:rFonts w:ascii="Arial" w:hAnsi="Arial" w:cs="Arial"/>
                <w:sz w:val="24"/>
                <w:szCs w:val="24"/>
              </w:rPr>
            </w:pPr>
            <w:r w:rsidRPr="00552964">
              <w:rPr>
                <w:rFonts w:ascii="Arial" w:hAnsi="Arial" w:cs="Arial"/>
                <w:sz w:val="24"/>
                <w:szCs w:val="24"/>
              </w:rPr>
              <w:t>(b)</w:t>
            </w:r>
            <w:r w:rsidRPr="00552964">
              <w:rPr>
                <w:rFonts w:ascii="Arial" w:hAnsi="Arial" w:cs="Arial"/>
                <w:sz w:val="24"/>
                <w:szCs w:val="24"/>
              </w:rPr>
              <w:tab/>
            </w:r>
            <w:r w:rsidR="00552964" w:rsidRPr="00552964">
              <w:rPr>
                <w:rFonts w:ascii="Arial" w:hAnsi="Arial" w:cs="Arial"/>
                <w:sz w:val="24"/>
                <w:szCs w:val="24"/>
              </w:rPr>
              <w:t>In terms of the personal loan agreement, the first defendant authorised the plaintiff to debit her current account monthly for the instalments due. The debit orders are generated automatically by the system by debiting the first defendant’s current account and crediting the personal loan account.</w:t>
            </w:r>
          </w:p>
          <w:p w:rsidR="00805692" w:rsidRPr="00552964" w:rsidRDefault="00805692" w:rsidP="00552964">
            <w:pPr>
              <w:spacing w:line="360" w:lineRule="auto"/>
              <w:ind w:left="1296" w:hanging="567"/>
              <w:jc w:val="both"/>
              <w:rPr>
                <w:rFonts w:ascii="Arial" w:hAnsi="Arial" w:cs="Arial"/>
                <w:sz w:val="24"/>
                <w:szCs w:val="24"/>
              </w:rPr>
            </w:pPr>
            <w:r w:rsidRPr="00552964">
              <w:rPr>
                <w:rFonts w:ascii="Arial" w:hAnsi="Arial" w:cs="Arial"/>
                <w:sz w:val="24"/>
                <w:szCs w:val="24"/>
              </w:rPr>
              <w:t>(c)</w:t>
            </w:r>
            <w:r w:rsidRPr="00552964">
              <w:rPr>
                <w:rFonts w:ascii="Arial" w:hAnsi="Arial" w:cs="Arial"/>
                <w:sz w:val="24"/>
                <w:szCs w:val="24"/>
              </w:rPr>
              <w:tab/>
            </w:r>
            <w:r w:rsidR="00552964" w:rsidRPr="00552964">
              <w:rPr>
                <w:rFonts w:ascii="Arial" w:hAnsi="Arial" w:cs="Arial"/>
                <w:sz w:val="24"/>
                <w:szCs w:val="24"/>
              </w:rPr>
              <w:t xml:space="preserve">The second defendant signed the Spousal Consent form on 3 January 2013. On the same date, the first defendant signed the cession of her insurance policy no 209400468 with Momentum Insurance Life and disability cover limited to </w:t>
            </w:r>
            <w:r w:rsidR="00552964">
              <w:rPr>
                <w:rFonts w:ascii="Arial" w:hAnsi="Arial" w:cs="Arial"/>
                <w:sz w:val="24"/>
                <w:szCs w:val="24"/>
              </w:rPr>
              <w:br/>
            </w:r>
            <w:r w:rsidR="00552964" w:rsidRPr="00552964">
              <w:rPr>
                <w:rFonts w:ascii="Arial" w:hAnsi="Arial" w:cs="Arial"/>
                <w:sz w:val="24"/>
                <w:szCs w:val="24"/>
              </w:rPr>
              <w:t>N$4</w:t>
            </w:r>
            <w:r w:rsidR="00552964">
              <w:rPr>
                <w:rFonts w:ascii="Arial" w:hAnsi="Arial" w:cs="Arial"/>
                <w:sz w:val="24"/>
                <w:szCs w:val="24"/>
              </w:rPr>
              <w:t xml:space="preserve"> </w:t>
            </w:r>
            <w:r w:rsidR="00552964" w:rsidRPr="00552964">
              <w:rPr>
                <w:rFonts w:ascii="Arial" w:hAnsi="Arial" w:cs="Arial"/>
                <w:sz w:val="24"/>
                <w:szCs w:val="24"/>
              </w:rPr>
              <w:t>000 000.</w:t>
            </w:r>
          </w:p>
          <w:p w:rsidR="00805692" w:rsidRPr="00552964" w:rsidRDefault="00805692" w:rsidP="00552964">
            <w:pPr>
              <w:tabs>
                <w:tab w:val="left" w:pos="1296"/>
              </w:tabs>
              <w:spacing w:line="360" w:lineRule="auto"/>
              <w:ind w:left="1296" w:hanging="567"/>
              <w:jc w:val="both"/>
              <w:rPr>
                <w:rFonts w:ascii="Arial" w:hAnsi="Arial" w:cs="Arial"/>
                <w:sz w:val="24"/>
                <w:szCs w:val="24"/>
              </w:rPr>
            </w:pPr>
            <w:r w:rsidRPr="00552964">
              <w:rPr>
                <w:rFonts w:ascii="Arial" w:hAnsi="Arial" w:cs="Arial"/>
                <w:sz w:val="24"/>
                <w:szCs w:val="24"/>
              </w:rPr>
              <w:t>(d)</w:t>
            </w:r>
            <w:r w:rsidRPr="00552964">
              <w:rPr>
                <w:rFonts w:ascii="Arial" w:hAnsi="Arial" w:cs="Arial"/>
                <w:sz w:val="24"/>
                <w:szCs w:val="24"/>
              </w:rPr>
              <w:tab/>
            </w:r>
            <w:r w:rsidR="00552964" w:rsidRPr="00552964">
              <w:rPr>
                <w:rFonts w:ascii="Arial" w:hAnsi="Arial" w:cs="Arial"/>
                <w:sz w:val="24"/>
                <w:szCs w:val="24"/>
              </w:rPr>
              <w:t>The first defendant, on various occasions, requested indulgences to pay the lump sum on a date other than the agreed date. The first request from the first defendant was made in September 2013. However, the first defendant failed to make the lump sum payment for 2013 on the extended date of 31 May 2014 and only made the payment in July 2014.</w:t>
            </w:r>
          </w:p>
          <w:p w:rsidR="00805692" w:rsidRPr="00552964" w:rsidRDefault="00805692" w:rsidP="00552964">
            <w:pPr>
              <w:tabs>
                <w:tab w:val="left" w:pos="1296"/>
              </w:tabs>
              <w:spacing w:line="360" w:lineRule="auto"/>
              <w:ind w:left="1296" w:hanging="567"/>
              <w:jc w:val="both"/>
              <w:rPr>
                <w:rFonts w:ascii="Arial" w:hAnsi="Arial" w:cs="Arial"/>
                <w:sz w:val="24"/>
                <w:szCs w:val="24"/>
              </w:rPr>
            </w:pPr>
            <w:r w:rsidRPr="00552964">
              <w:rPr>
                <w:rFonts w:ascii="Arial" w:hAnsi="Arial" w:cs="Arial"/>
                <w:sz w:val="24"/>
                <w:szCs w:val="24"/>
              </w:rPr>
              <w:t>(e)</w:t>
            </w:r>
            <w:r w:rsidRPr="00552964">
              <w:rPr>
                <w:rFonts w:ascii="Arial" w:hAnsi="Arial" w:cs="Arial"/>
                <w:sz w:val="24"/>
                <w:szCs w:val="24"/>
              </w:rPr>
              <w:tab/>
            </w:r>
            <w:r w:rsidR="00552964" w:rsidRPr="00552964">
              <w:rPr>
                <w:rFonts w:ascii="Arial" w:hAnsi="Arial" w:cs="Arial"/>
                <w:sz w:val="24"/>
                <w:szCs w:val="24"/>
              </w:rPr>
              <w:t>On 1 September 2014, the first defendant requested a restructuring of the existing loan terms by extending the repayment period for a further three years and reducing the monthly payment to N$25 000 instead of the original N$45 000. The first defendant also requested a postponement of the next capital payment of N$650 000 due by the end of November 2014 to July 2015.</w:t>
            </w:r>
          </w:p>
          <w:p w:rsidR="00805692" w:rsidRDefault="00805692" w:rsidP="00552964">
            <w:pPr>
              <w:spacing w:line="360" w:lineRule="auto"/>
              <w:ind w:left="1296" w:hanging="567"/>
              <w:jc w:val="both"/>
              <w:rPr>
                <w:rFonts w:ascii="Arial" w:hAnsi="Arial" w:cs="Arial"/>
                <w:sz w:val="24"/>
                <w:szCs w:val="24"/>
              </w:rPr>
            </w:pPr>
            <w:r w:rsidRPr="00552964">
              <w:rPr>
                <w:rFonts w:ascii="Arial" w:hAnsi="Arial" w:cs="Arial"/>
                <w:sz w:val="24"/>
                <w:szCs w:val="24"/>
              </w:rPr>
              <w:t>(f)</w:t>
            </w:r>
            <w:r w:rsidRPr="00812409">
              <w:rPr>
                <w:rFonts w:ascii="Arial" w:hAnsi="Arial" w:cs="Arial"/>
                <w:sz w:val="24"/>
                <w:szCs w:val="24"/>
              </w:rPr>
              <w:tab/>
            </w:r>
            <w:r w:rsidR="00552964" w:rsidRPr="00385C4B">
              <w:rPr>
                <w:rFonts w:ascii="Arial" w:hAnsi="Arial" w:cs="Arial"/>
                <w:sz w:val="24"/>
                <w:szCs w:val="24"/>
              </w:rPr>
              <w:t>On 28 July 2015, an amount of N$1</w:t>
            </w:r>
            <w:r w:rsidR="00552964">
              <w:rPr>
                <w:rFonts w:ascii="Arial" w:hAnsi="Arial" w:cs="Arial"/>
                <w:sz w:val="24"/>
                <w:szCs w:val="24"/>
              </w:rPr>
              <w:t> </w:t>
            </w:r>
            <w:r w:rsidR="00552964" w:rsidRPr="00385C4B">
              <w:rPr>
                <w:rFonts w:ascii="Arial" w:hAnsi="Arial" w:cs="Arial"/>
                <w:sz w:val="24"/>
                <w:szCs w:val="24"/>
              </w:rPr>
              <w:t>750</w:t>
            </w:r>
            <w:r w:rsidR="00552964">
              <w:rPr>
                <w:rFonts w:ascii="Arial" w:hAnsi="Arial" w:cs="Arial"/>
                <w:sz w:val="24"/>
                <w:szCs w:val="24"/>
              </w:rPr>
              <w:t xml:space="preserve"> </w:t>
            </w:r>
            <w:r w:rsidR="00552964" w:rsidRPr="00385C4B">
              <w:rPr>
                <w:rFonts w:ascii="Arial" w:hAnsi="Arial" w:cs="Arial"/>
                <w:sz w:val="24"/>
                <w:szCs w:val="24"/>
              </w:rPr>
              <w:t>000</w:t>
            </w:r>
            <w:r w:rsidR="00552964">
              <w:rPr>
                <w:rFonts w:ascii="Arial" w:hAnsi="Arial" w:cs="Arial"/>
                <w:sz w:val="24"/>
                <w:szCs w:val="24"/>
              </w:rPr>
              <w:t xml:space="preserve"> </w:t>
            </w:r>
            <w:r w:rsidR="00552964" w:rsidRPr="00385C4B">
              <w:rPr>
                <w:rFonts w:ascii="Arial" w:hAnsi="Arial" w:cs="Arial"/>
                <w:sz w:val="24"/>
                <w:szCs w:val="24"/>
              </w:rPr>
              <w:t xml:space="preserve">was received from </w:t>
            </w:r>
            <w:proofErr w:type="spellStart"/>
            <w:r w:rsidR="00552964" w:rsidRPr="00385C4B">
              <w:rPr>
                <w:rFonts w:ascii="Arial" w:hAnsi="Arial" w:cs="Arial"/>
                <w:sz w:val="24"/>
                <w:szCs w:val="24"/>
              </w:rPr>
              <w:t>Sonwabile</w:t>
            </w:r>
            <w:proofErr w:type="spellEnd"/>
            <w:r w:rsidR="00552964" w:rsidRPr="00385C4B">
              <w:rPr>
                <w:rFonts w:ascii="Arial" w:hAnsi="Arial" w:cs="Arial"/>
                <w:sz w:val="24"/>
                <w:szCs w:val="24"/>
              </w:rPr>
              <w:t xml:space="preserve"> Holdings</w:t>
            </w:r>
            <w:r w:rsidR="00552964">
              <w:rPr>
                <w:rFonts w:ascii="Arial" w:hAnsi="Arial" w:cs="Arial"/>
                <w:sz w:val="24"/>
                <w:szCs w:val="24"/>
              </w:rPr>
              <w:t>,</w:t>
            </w:r>
            <w:r w:rsidR="00552964" w:rsidRPr="00385C4B">
              <w:rPr>
                <w:rFonts w:ascii="Arial" w:hAnsi="Arial" w:cs="Arial"/>
                <w:sz w:val="24"/>
                <w:szCs w:val="24"/>
              </w:rPr>
              <w:t xml:space="preserve"> and the payment was applied for the benefit of the first defendant. A further dividend payment of N$392 787.54 was received in the liquidation of </w:t>
            </w:r>
            <w:proofErr w:type="spellStart"/>
            <w:r w:rsidR="00552964" w:rsidRPr="00385C4B">
              <w:rPr>
                <w:rFonts w:ascii="Arial" w:hAnsi="Arial" w:cs="Arial"/>
                <w:sz w:val="24"/>
                <w:szCs w:val="24"/>
              </w:rPr>
              <w:t>Sonwabile</w:t>
            </w:r>
            <w:proofErr w:type="spellEnd"/>
            <w:r w:rsidR="00552964" w:rsidRPr="00385C4B">
              <w:rPr>
                <w:rFonts w:ascii="Arial" w:hAnsi="Arial" w:cs="Arial"/>
                <w:sz w:val="24"/>
                <w:szCs w:val="24"/>
              </w:rPr>
              <w:t xml:space="preserve"> Holdings in March 2016</w:t>
            </w:r>
            <w:r w:rsidR="00552964">
              <w:rPr>
                <w:rFonts w:ascii="Arial" w:hAnsi="Arial" w:cs="Arial"/>
                <w:sz w:val="24"/>
                <w:szCs w:val="24"/>
              </w:rPr>
              <w:t>. It</w:t>
            </w:r>
            <w:r w:rsidR="00552964" w:rsidRPr="00385C4B">
              <w:rPr>
                <w:rFonts w:ascii="Arial" w:hAnsi="Arial" w:cs="Arial"/>
                <w:sz w:val="24"/>
                <w:szCs w:val="24"/>
              </w:rPr>
              <w:t xml:space="preserve"> was similarly applied for the benefit of the first defendant</w:t>
            </w:r>
            <w:r w:rsidR="00552964">
              <w:rPr>
                <w:rFonts w:ascii="Arial" w:hAnsi="Arial" w:cs="Arial"/>
                <w:sz w:val="24"/>
                <w:szCs w:val="24"/>
              </w:rPr>
              <w:t>,</w:t>
            </w:r>
            <w:r w:rsidR="00552964" w:rsidRPr="00385C4B">
              <w:rPr>
                <w:rFonts w:ascii="Arial" w:hAnsi="Arial" w:cs="Arial"/>
                <w:sz w:val="24"/>
                <w:szCs w:val="24"/>
              </w:rPr>
              <w:t xml:space="preserve"> which settled the outstanding arrears of N$96 420.19, leaving a remaining balance of N$1 033 182.39</w:t>
            </w:r>
            <w:r w:rsidR="00552964">
              <w:rPr>
                <w:rFonts w:ascii="Arial" w:hAnsi="Arial" w:cs="Arial"/>
                <w:sz w:val="24"/>
                <w:szCs w:val="24"/>
              </w:rPr>
              <w:t>.</w:t>
            </w:r>
          </w:p>
          <w:p w:rsidR="00805692" w:rsidRDefault="00805692" w:rsidP="00552964">
            <w:pPr>
              <w:spacing w:line="360" w:lineRule="auto"/>
              <w:ind w:left="1296" w:hanging="567"/>
              <w:jc w:val="both"/>
              <w:rPr>
                <w:rFonts w:ascii="Arial" w:hAnsi="Arial" w:cs="Arial"/>
                <w:sz w:val="24"/>
                <w:szCs w:val="24"/>
              </w:rPr>
            </w:pPr>
            <w:r>
              <w:rPr>
                <w:rFonts w:ascii="Arial" w:hAnsi="Arial" w:cs="Arial"/>
                <w:sz w:val="24"/>
                <w:szCs w:val="24"/>
              </w:rPr>
              <w:t>(g)</w:t>
            </w:r>
            <w:r w:rsidRPr="00812409">
              <w:rPr>
                <w:rFonts w:ascii="Arial" w:hAnsi="Arial" w:cs="Arial"/>
                <w:sz w:val="24"/>
                <w:szCs w:val="24"/>
              </w:rPr>
              <w:tab/>
            </w:r>
            <w:r w:rsidR="00552964" w:rsidRPr="00385C4B">
              <w:rPr>
                <w:rFonts w:ascii="Arial" w:hAnsi="Arial" w:cs="Arial"/>
                <w:sz w:val="24"/>
                <w:szCs w:val="24"/>
              </w:rPr>
              <w:t>No further payment was received from the first defendant</w:t>
            </w:r>
            <w:r w:rsidR="00552964">
              <w:rPr>
                <w:rFonts w:ascii="Arial" w:hAnsi="Arial" w:cs="Arial"/>
                <w:sz w:val="24"/>
                <w:szCs w:val="24"/>
              </w:rPr>
              <w:t>. As</w:t>
            </w:r>
            <w:r w:rsidR="00552964" w:rsidRPr="00385C4B">
              <w:rPr>
                <w:rFonts w:ascii="Arial" w:hAnsi="Arial" w:cs="Arial"/>
                <w:sz w:val="24"/>
                <w:szCs w:val="24"/>
              </w:rPr>
              <w:t xml:space="preserve"> a result, the witness prepared a report for consideration by the credit committee to transfer the personal loan account of the first defendant to the legal department for further legal action</w:t>
            </w:r>
            <w:r w:rsidR="00552964">
              <w:rPr>
                <w:rFonts w:ascii="Arial" w:hAnsi="Arial" w:cs="Arial"/>
                <w:sz w:val="24"/>
                <w:szCs w:val="24"/>
              </w:rPr>
              <w:t>.</w:t>
            </w:r>
          </w:p>
          <w:p w:rsidR="00805692" w:rsidRDefault="00805692" w:rsidP="00BE31AD">
            <w:pPr>
              <w:tabs>
                <w:tab w:val="left" w:pos="729"/>
              </w:tabs>
              <w:spacing w:line="360" w:lineRule="auto"/>
              <w:jc w:val="both"/>
              <w:rPr>
                <w:rFonts w:ascii="Arial" w:hAnsi="Arial" w:cs="Arial"/>
                <w:sz w:val="24"/>
                <w:szCs w:val="24"/>
              </w:rPr>
            </w:pPr>
          </w:p>
          <w:p w:rsidR="008F59A0" w:rsidRDefault="00B9407E" w:rsidP="00BE31AD">
            <w:pPr>
              <w:tabs>
                <w:tab w:val="left" w:pos="729"/>
              </w:tabs>
              <w:spacing w:line="360" w:lineRule="auto"/>
              <w:jc w:val="both"/>
              <w:rPr>
                <w:rFonts w:ascii="Arial" w:hAnsi="Arial" w:cs="Arial"/>
                <w:sz w:val="24"/>
                <w:szCs w:val="24"/>
              </w:rPr>
            </w:pPr>
            <w:r>
              <w:rPr>
                <w:rFonts w:ascii="Arial" w:hAnsi="Arial" w:cs="Arial"/>
                <w:sz w:val="24"/>
                <w:szCs w:val="24"/>
              </w:rPr>
              <w:t>[19]</w:t>
            </w:r>
            <w:r w:rsidRPr="00812409">
              <w:rPr>
                <w:rFonts w:ascii="Arial" w:hAnsi="Arial" w:cs="Arial"/>
                <w:sz w:val="24"/>
                <w:szCs w:val="24"/>
              </w:rPr>
              <w:tab/>
            </w:r>
            <w:r w:rsidR="00796B9C" w:rsidRPr="00385C4B">
              <w:rPr>
                <w:rFonts w:ascii="Arial" w:hAnsi="Arial" w:cs="Arial"/>
                <w:sz w:val="24"/>
                <w:szCs w:val="24"/>
              </w:rPr>
              <w:t xml:space="preserve">The second witness, Mr Sven </w:t>
            </w:r>
            <w:proofErr w:type="spellStart"/>
            <w:r w:rsidR="00796B9C" w:rsidRPr="00385C4B">
              <w:rPr>
                <w:rFonts w:ascii="Arial" w:hAnsi="Arial" w:cs="Arial"/>
                <w:sz w:val="24"/>
                <w:szCs w:val="24"/>
              </w:rPr>
              <w:t>Hanschen’s</w:t>
            </w:r>
            <w:proofErr w:type="spellEnd"/>
            <w:r w:rsidR="00796B9C" w:rsidRPr="00385C4B">
              <w:rPr>
                <w:rFonts w:ascii="Arial" w:hAnsi="Arial" w:cs="Arial"/>
                <w:sz w:val="24"/>
                <w:szCs w:val="24"/>
              </w:rPr>
              <w:t xml:space="preserve"> evidence can be summari</w:t>
            </w:r>
            <w:r w:rsidR="00796B9C">
              <w:rPr>
                <w:rFonts w:ascii="Arial" w:hAnsi="Arial" w:cs="Arial"/>
                <w:sz w:val="24"/>
                <w:szCs w:val="24"/>
              </w:rPr>
              <w:t>s</w:t>
            </w:r>
            <w:r w:rsidR="00796B9C" w:rsidRPr="00385C4B">
              <w:rPr>
                <w:rFonts w:ascii="Arial" w:hAnsi="Arial" w:cs="Arial"/>
                <w:sz w:val="24"/>
                <w:szCs w:val="24"/>
              </w:rPr>
              <w:t>ed as follows:</w:t>
            </w:r>
          </w:p>
          <w:p w:rsidR="00890A20" w:rsidRDefault="00890A20" w:rsidP="00ED76B2">
            <w:pPr>
              <w:tabs>
                <w:tab w:val="left" w:pos="729"/>
              </w:tabs>
              <w:spacing w:line="360" w:lineRule="auto"/>
              <w:jc w:val="both"/>
              <w:rPr>
                <w:rFonts w:ascii="Arial" w:hAnsi="Arial" w:cs="Arial"/>
                <w:sz w:val="24"/>
                <w:szCs w:val="24"/>
              </w:rPr>
            </w:pPr>
          </w:p>
          <w:p w:rsidR="00796B9C" w:rsidRDefault="00796B9C" w:rsidP="00737C3D">
            <w:pPr>
              <w:tabs>
                <w:tab w:val="left" w:pos="1296"/>
              </w:tabs>
              <w:spacing w:line="360" w:lineRule="auto"/>
              <w:ind w:left="1296" w:hanging="567"/>
              <w:jc w:val="both"/>
              <w:rPr>
                <w:rFonts w:ascii="Arial" w:hAnsi="Arial" w:cs="Arial"/>
                <w:sz w:val="24"/>
                <w:szCs w:val="24"/>
              </w:rPr>
            </w:pPr>
            <w:r>
              <w:rPr>
                <w:rFonts w:ascii="Arial" w:hAnsi="Arial" w:cs="Arial"/>
                <w:sz w:val="24"/>
                <w:szCs w:val="24"/>
              </w:rPr>
              <w:t>(a)</w:t>
            </w:r>
            <w:r w:rsidRPr="00812409">
              <w:rPr>
                <w:rFonts w:ascii="Arial" w:hAnsi="Arial" w:cs="Arial"/>
                <w:sz w:val="24"/>
                <w:szCs w:val="24"/>
              </w:rPr>
              <w:tab/>
            </w:r>
            <w:r w:rsidR="00737C3D" w:rsidRPr="00385C4B">
              <w:rPr>
                <w:rFonts w:ascii="Arial" w:hAnsi="Arial" w:cs="Arial"/>
                <w:sz w:val="24"/>
                <w:szCs w:val="24"/>
              </w:rPr>
              <w:t xml:space="preserve">He was employed as the </w:t>
            </w:r>
            <w:r w:rsidR="002025F9">
              <w:rPr>
                <w:rFonts w:ascii="Arial" w:hAnsi="Arial" w:cs="Arial"/>
                <w:sz w:val="24"/>
                <w:szCs w:val="24"/>
              </w:rPr>
              <w:t>S</w:t>
            </w:r>
            <w:r w:rsidR="00737C3D" w:rsidRPr="00385C4B">
              <w:rPr>
                <w:rFonts w:ascii="Arial" w:hAnsi="Arial" w:cs="Arial"/>
                <w:sz w:val="24"/>
                <w:szCs w:val="24"/>
              </w:rPr>
              <w:t xml:space="preserve">enior </w:t>
            </w:r>
            <w:r w:rsidR="002025F9">
              <w:rPr>
                <w:rFonts w:ascii="Arial" w:hAnsi="Arial" w:cs="Arial"/>
                <w:sz w:val="24"/>
                <w:szCs w:val="24"/>
              </w:rPr>
              <w:t>M</w:t>
            </w:r>
            <w:r w:rsidR="00737C3D" w:rsidRPr="00385C4B">
              <w:rPr>
                <w:rFonts w:ascii="Arial" w:hAnsi="Arial" w:cs="Arial"/>
                <w:sz w:val="24"/>
                <w:szCs w:val="24"/>
              </w:rPr>
              <w:t>anager</w:t>
            </w:r>
            <w:r w:rsidR="002025F9">
              <w:rPr>
                <w:rFonts w:ascii="Arial" w:hAnsi="Arial" w:cs="Arial"/>
                <w:sz w:val="24"/>
                <w:szCs w:val="24"/>
              </w:rPr>
              <w:t>:</w:t>
            </w:r>
            <w:r w:rsidR="00737C3D" w:rsidRPr="00385C4B">
              <w:rPr>
                <w:rFonts w:ascii="Arial" w:hAnsi="Arial" w:cs="Arial"/>
                <w:sz w:val="24"/>
                <w:szCs w:val="24"/>
              </w:rPr>
              <w:t xml:space="preserve"> </w:t>
            </w:r>
            <w:r w:rsidR="002025F9">
              <w:rPr>
                <w:rFonts w:ascii="Arial" w:hAnsi="Arial" w:cs="Arial"/>
                <w:sz w:val="24"/>
                <w:szCs w:val="24"/>
              </w:rPr>
              <w:t>C</w:t>
            </w:r>
            <w:r w:rsidR="00737C3D" w:rsidRPr="00385C4B">
              <w:rPr>
                <w:rFonts w:ascii="Arial" w:hAnsi="Arial" w:cs="Arial"/>
                <w:sz w:val="24"/>
                <w:szCs w:val="24"/>
              </w:rPr>
              <w:t xml:space="preserve">redit </w:t>
            </w:r>
            <w:r w:rsidR="002025F9">
              <w:rPr>
                <w:rFonts w:ascii="Arial" w:hAnsi="Arial" w:cs="Arial"/>
                <w:sz w:val="24"/>
                <w:szCs w:val="24"/>
              </w:rPr>
              <w:t>R</w:t>
            </w:r>
            <w:r w:rsidR="00737C3D" w:rsidRPr="00385C4B">
              <w:rPr>
                <w:rFonts w:ascii="Arial" w:hAnsi="Arial" w:cs="Arial"/>
                <w:sz w:val="24"/>
                <w:szCs w:val="24"/>
              </w:rPr>
              <w:t xml:space="preserve">isk </w:t>
            </w:r>
            <w:r w:rsidR="002025F9">
              <w:rPr>
                <w:rFonts w:ascii="Arial" w:hAnsi="Arial" w:cs="Arial"/>
                <w:sz w:val="24"/>
                <w:szCs w:val="24"/>
              </w:rPr>
              <w:t>D</w:t>
            </w:r>
            <w:r w:rsidR="00737C3D" w:rsidRPr="00385C4B">
              <w:rPr>
                <w:rFonts w:ascii="Arial" w:hAnsi="Arial" w:cs="Arial"/>
                <w:sz w:val="24"/>
                <w:szCs w:val="24"/>
              </w:rPr>
              <w:t>epartment of the plaintiff at the time that the parties had concluded the agreement</w:t>
            </w:r>
            <w:r w:rsidR="00737C3D">
              <w:rPr>
                <w:rFonts w:ascii="Arial" w:hAnsi="Arial" w:cs="Arial"/>
                <w:sz w:val="24"/>
                <w:szCs w:val="24"/>
              </w:rPr>
              <w:t>.</w:t>
            </w:r>
          </w:p>
          <w:p w:rsidR="00796B9C" w:rsidRDefault="00796B9C" w:rsidP="00737C3D">
            <w:pPr>
              <w:tabs>
                <w:tab w:val="left" w:pos="1296"/>
              </w:tabs>
              <w:spacing w:line="360" w:lineRule="auto"/>
              <w:ind w:left="1296" w:hanging="567"/>
              <w:jc w:val="both"/>
              <w:rPr>
                <w:rFonts w:ascii="Arial" w:hAnsi="Arial" w:cs="Arial"/>
                <w:sz w:val="24"/>
                <w:szCs w:val="24"/>
              </w:rPr>
            </w:pPr>
            <w:r>
              <w:rPr>
                <w:rFonts w:ascii="Arial" w:hAnsi="Arial" w:cs="Arial"/>
                <w:sz w:val="24"/>
                <w:szCs w:val="24"/>
              </w:rPr>
              <w:t>(b)</w:t>
            </w:r>
            <w:r w:rsidRPr="00812409">
              <w:rPr>
                <w:rFonts w:ascii="Arial" w:hAnsi="Arial" w:cs="Arial"/>
                <w:sz w:val="24"/>
                <w:szCs w:val="24"/>
              </w:rPr>
              <w:tab/>
            </w:r>
            <w:r w:rsidR="00737C3D" w:rsidRPr="00680DFD">
              <w:rPr>
                <w:rFonts w:ascii="Arial" w:hAnsi="Arial" w:cs="Arial"/>
                <w:sz w:val="24"/>
                <w:szCs w:val="24"/>
              </w:rPr>
              <w:t xml:space="preserve">Mr </w:t>
            </w:r>
            <w:proofErr w:type="spellStart"/>
            <w:r w:rsidR="00737C3D" w:rsidRPr="00680DFD">
              <w:rPr>
                <w:rFonts w:ascii="Arial" w:hAnsi="Arial" w:cs="Arial"/>
                <w:sz w:val="24"/>
                <w:szCs w:val="24"/>
              </w:rPr>
              <w:t>Han</w:t>
            </w:r>
            <w:r w:rsidR="00737C3D">
              <w:rPr>
                <w:rFonts w:ascii="Arial" w:hAnsi="Arial" w:cs="Arial"/>
                <w:sz w:val="24"/>
                <w:szCs w:val="24"/>
              </w:rPr>
              <w:t>s</w:t>
            </w:r>
            <w:r w:rsidR="00737C3D" w:rsidRPr="00680DFD">
              <w:rPr>
                <w:rFonts w:ascii="Arial" w:hAnsi="Arial" w:cs="Arial"/>
                <w:sz w:val="24"/>
                <w:szCs w:val="24"/>
              </w:rPr>
              <w:t>chen</w:t>
            </w:r>
            <w:proofErr w:type="spellEnd"/>
            <w:r w:rsidR="00737C3D" w:rsidRPr="00680DFD">
              <w:rPr>
                <w:rFonts w:ascii="Arial" w:hAnsi="Arial" w:cs="Arial"/>
                <w:sz w:val="24"/>
                <w:szCs w:val="24"/>
              </w:rPr>
              <w:t xml:space="preserve"> confirmed the evidence of Ms </w:t>
            </w:r>
            <w:proofErr w:type="spellStart"/>
            <w:r w:rsidR="00737C3D" w:rsidRPr="00680DFD">
              <w:rPr>
                <w:rFonts w:ascii="Arial" w:hAnsi="Arial" w:cs="Arial"/>
                <w:sz w:val="24"/>
                <w:szCs w:val="24"/>
              </w:rPr>
              <w:t>Zoganas</w:t>
            </w:r>
            <w:proofErr w:type="spellEnd"/>
            <w:r w:rsidR="00737C3D" w:rsidRPr="00680DFD">
              <w:rPr>
                <w:rFonts w:ascii="Arial" w:hAnsi="Arial" w:cs="Arial"/>
                <w:sz w:val="24"/>
                <w:szCs w:val="24"/>
              </w:rPr>
              <w:t xml:space="preserve"> and further in an attempt to explain how the current agreement between the parties came into being referred back to the agreement between the plaintiff and Impact Distribution and the subsequent litigation that flowed from it. I </w:t>
            </w:r>
            <w:r w:rsidR="00737C3D">
              <w:rPr>
                <w:rFonts w:ascii="Arial" w:hAnsi="Arial" w:cs="Arial"/>
                <w:sz w:val="24"/>
                <w:szCs w:val="24"/>
              </w:rPr>
              <w:t>intend to avoid repeating</w:t>
            </w:r>
            <w:r w:rsidR="00737C3D" w:rsidRPr="00680DFD">
              <w:rPr>
                <w:rFonts w:ascii="Arial" w:hAnsi="Arial" w:cs="Arial"/>
                <w:sz w:val="24"/>
                <w:szCs w:val="24"/>
              </w:rPr>
              <w:t xml:space="preserve"> what was set out above already</w:t>
            </w:r>
            <w:r w:rsidR="00737C3D">
              <w:rPr>
                <w:rFonts w:ascii="Arial" w:hAnsi="Arial" w:cs="Arial"/>
                <w:sz w:val="24"/>
                <w:szCs w:val="24"/>
              </w:rPr>
              <w:t>.</w:t>
            </w:r>
          </w:p>
          <w:p w:rsidR="00796B9C" w:rsidRDefault="00796B9C" w:rsidP="00737C3D">
            <w:pPr>
              <w:tabs>
                <w:tab w:val="left" w:pos="1296"/>
              </w:tabs>
              <w:spacing w:line="360" w:lineRule="auto"/>
              <w:ind w:left="1296" w:hanging="567"/>
              <w:jc w:val="both"/>
              <w:rPr>
                <w:rFonts w:ascii="Arial" w:hAnsi="Arial" w:cs="Arial"/>
                <w:sz w:val="24"/>
                <w:szCs w:val="24"/>
              </w:rPr>
            </w:pPr>
            <w:r>
              <w:rPr>
                <w:rFonts w:ascii="Arial" w:hAnsi="Arial" w:cs="Arial"/>
                <w:sz w:val="24"/>
                <w:szCs w:val="24"/>
              </w:rPr>
              <w:t>(c)</w:t>
            </w:r>
            <w:r w:rsidRPr="00812409">
              <w:rPr>
                <w:rFonts w:ascii="Arial" w:hAnsi="Arial" w:cs="Arial"/>
                <w:sz w:val="24"/>
                <w:szCs w:val="24"/>
              </w:rPr>
              <w:tab/>
            </w:r>
            <w:r w:rsidR="00737C3D" w:rsidRPr="00680DFD">
              <w:rPr>
                <w:rFonts w:ascii="Arial" w:hAnsi="Arial" w:cs="Arial"/>
                <w:sz w:val="24"/>
                <w:szCs w:val="24"/>
              </w:rPr>
              <w:t xml:space="preserve">The witness further testified regarding the payment received from </w:t>
            </w:r>
            <w:proofErr w:type="spellStart"/>
            <w:r w:rsidR="00737C3D" w:rsidRPr="00680DFD">
              <w:rPr>
                <w:rFonts w:ascii="Arial" w:hAnsi="Arial" w:cs="Arial"/>
                <w:sz w:val="24"/>
                <w:szCs w:val="24"/>
              </w:rPr>
              <w:t>Sonwabile</w:t>
            </w:r>
            <w:proofErr w:type="spellEnd"/>
            <w:r w:rsidR="00737C3D" w:rsidRPr="00680DFD">
              <w:rPr>
                <w:rFonts w:ascii="Arial" w:hAnsi="Arial" w:cs="Arial"/>
                <w:sz w:val="24"/>
                <w:szCs w:val="24"/>
              </w:rPr>
              <w:t xml:space="preserve"> Holdings (Pty) Ltd</w:t>
            </w:r>
            <w:r w:rsidR="00737C3D">
              <w:rPr>
                <w:rFonts w:ascii="Arial" w:hAnsi="Arial" w:cs="Arial"/>
                <w:sz w:val="24"/>
                <w:szCs w:val="24"/>
              </w:rPr>
              <w:t>,</w:t>
            </w:r>
            <w:r w:rsidR="00737C3D" w:rsidRPr="00680DFD">
              <w:rPr>
                <w:rFonts w:ascii="Arial" w:hAnsi="Arial" w:cs="Arial"/>
                <w:sz w:val="24"/>
                <w:szCs w:val="24"/>
              </w:rPr>
              <w:t xml:space="preserve"> which was utili</w:t>
            </w:r>
            <w:r w:rsidR="00737C3D">
              <w:rPr>
                <w:rFonts w:ascii="Arial" w:hAnsi="Arial" w:cs="Arial"/>
                <w:sz w:val="24"/>
                <w:szCs w:val="24"/>
              </w:rPr>
              <w:t>s</w:t>
            </w:r>
            <w:r w:rsidR="00737C3D" w:rsidRPr="00680DFD">
              <w:rPr>
                <w:rFonts w:ascii="Arial" w:hAnsi="Arial" w:cs="Arial"/>
                <w:sz w:val="24"/>
                <w:szCs w:val="24"/>
              </w:rPr>
              <w:t>ed as a capital reduction of the first defendant’s loan</w:t>
            </w:r>
            <w:r w:rsidR="00737C3D">
              <w:rPr>
                <w:rFonts w:ascii="Arial" w:hAnsi="Arial" w:cs="Arial"/>
                <w:sz w:val="24"/>
                <w:szCs w:val="24"/>
              </w:rPr>
              <w:t>.</w:t>
            </w:r>
          </w:p>
          <w:p w:rsidR="00796B9C" w:rsidRDefault="00796B9C" w:rsidP="00737C3D">
            <w:pPr>
              <w:tabs>
                <w:tab w:val="left" w:pos="1296"/>
              </w:tabs>
              <w:spacing w:line="360" w:lineRule="auto"/>
              <w:ind w:left="1296" w:hanging="567"/>
              <w:jc w:val="both"/>
              <w:rPr>
                <w:rFonts w:ascii="Arial" w:hAnsi="Arial" w:cs="Arial"/>
                <w:sz w:val="24"/>
                <w:szCs w:val="24"/>
              </w:rPr>
            </w:pPr>
            <w:r>
              <w:rPr>
                <w:rFonts w:ascii="Arial" w:hAnsi="Arial" w:cs="Arial"/>
                <w:sz w:val="24"/>
                <w:szCs w:val="24"/>
              </w:rPr>
              <w:t>(d)</w:t>
            </w:r>
            <w:r w:rsidRPr="00812409">
              <w:rPr>
                <w:rFonts w:ascii="Arial" w:hAnsi="Arial" w:cs="Arial"/>
                <w:sz w:val="24"/>
                <w:szCs w:val="24"/>
              </w:rPr>
              <w:tab/>
            </w:r>
            <w:r w:rsidR="00737C3D" w:rsidRPr="00680DFD">
              <w:rPr>
                <w:rFonts w:ascii="Arial" w:hAnsi="Arial" w:cs="Arial"/>
                <w:sz w:val="24"/>
                <w:szCs w:val="24"/>
              </w:rPr>
              <w:t xml:space="preserve">During cross-examination, the witness confirmed that the first defendant entered into a stand-alone agreement with the plaintiff, which does not involve the sureties of Impact Distributors. The witness further confirmed that the default judgment obtained against the remaining sureties did not </w:t>
            </w:r>
            <w:r w:rsidR="00737C3D">
              <w:rPr>
                <w:rFonts w:ascii="Arial" w:hAnsi="Arial" w:cs="Arial"/>
                <w:sz w:val="24"/>
                <w:szCs w:val="24"/>
              </w:rPr>
              <w:t>satisfy</w:t>
            </w:r>
            <w:r w:rsidR="00737C3D" w:rsidRPr="00680DFD">
              <w:rPr>
                <w:rFonts w:ascii="Arial" w:hAnsi="Arial" w:cs="Arial"/>
                <w:sz w:val="24"/>
                <w:szCs w:val="24"/>
              </w:rPr>
              <w:t xml:space="preserve"> the claim amount </w:t>
            </w:r>
            <w:r w:rsidR="00737C3D">
              <w:rPr>
                <w:rFonts w:ascii="Arial" w:hAnsi="Arial" w:cs="Arial"/>
                <w:sz w:val="24"/>
                <w:szCs w:val="24"/>
              </w:rPr>
              <w:t>for</w:t>
            </w:r>
            <w:r w:rsidR="00737C3D" w:rsidRPr="00680DFD">
              <w:rPr>
                <w:rFonts w:ascii="Arial" w:hAnsi="Arial" w:cs="Arial"/>
                <w:sz w:val="24"/>
                <w:szCs w:val="24"/>
              </w:rPr>
              <w:t xml:space="preserve"> which these parties were co-principle debtors</w:t>
            </w:r>
            <w:r w:rsidR="00737C3D">
              <w:rPr>
                <w:rFonts w:ascii="Arial" w:hAnsi="Arial" w:cs="Arial"/>
                <w:sz w:val="24"/>
                <w:szCs w:val="24"/>
              </w:rPr>
              <w:t>.</w:t>
            </w:r>
          </w:p>
          <w:p w:rsidR="00796B9C" w:rsidRDefault="00796B9C" w:rsidP="00737C3D">
            <w:pPr>
              <w:tabs>
                <w:tab w:val="left" w:pos="1296"/>
              </w:tabs>
              <w:spacing w:line="360" w:lineRule="auto"/>
              <w:ind w:left="1296" w:hanging="567"/>
              <w:jc w:val="both"/>
              <w:rPr>
                <w:rFonts w:ascii="Arial" w:hAnsi="Arial" w:cs="Arial"/>
                <w:sz w:val="24"/>
                <w:szCs w:val="24"/>
              </w:rPr>
            </w:pPr>
            <w:r>
              <w:rPr>
                <w:rFonts w:ascii="Arial" w:hAnsi="Arial" w:cs="Arial"/>
                <w:sz w:val="24"/>
                <w:szCs w:val="24"/>
              </w:rPr>
              <w:t>(e)</w:t>
            </w:r>
            <w:r w:rsidRPr="00812409">
              <w:rPr>
                <w:rFonts w:ascii="Arial" w:hAnsi="Arial" w:cs="Arial"/>
                <w:sz w:val="24"/>
                <w:szCs w:val="24"/>
              </w:rPr>
              <w:tab/>
            </w:r>
            <w:r w:rsidR="00737C3D">
              <w:rPr>
                <w:rFonts w:ascii="Arial" w:hAnsi="Arial" w:cs="Arial"/>
                <w:sz w:val="24"/>
                <w:szCs w:val="24"/>
              </w:rPr>
              <w:t>T</w:t>
            </w:r>
            <w:r w:rsidR="00737C3D" w:rsidRPr="00680DFD">
              <w:rPr>
                <w:rFonts w:ascii="Arial" w:hAnsi="Arial" w:cs="Arial"/>
                <w:sz w:val="24"/>
                <w:szCs w:val="24"/>
              </w:rPr>
              <w:t xml:space="preserve">he witness confirmed that </w:t>
            </w:r>
            <w:r w:rsidR="00737C3D">
              <w:rPr>
                <w:rFonts w:ascii="Arial" w:hAnsi="Arial" w:cs="Arial"/>
                <w:sz w:val="24"/>
                <w:szCs w:val="24"/>
              </w:rPr>
              <w:t xml:space="preserve">the </w:t>
            </w:r>
            <w:r w:rsidR="00737C3D" w:rsidRPr="00680DFD">
              <w:rPr>
                <w:rFonts w:ascii="Arial" w:hAnsi="Arial" w:cs="Arial"/>
                <w:sz w:val="24"/>
                <w:szCs w:val="24"/>
              </w:rPr>
              <w:t>first defendant signed surety for Impact Distribution and not on behalf of the other sureties</w:t>
            </w:r>
            <w:r w:rsidR="00737C3D">
              <w:rPr>
                <w:rFonts w:ascii="Arial" w:hAnsi="Arial" w:cs="Arial"/>
                <w:sz w:val="24"/>
                <w:szCs w:val="24"/>
              </w:rPr>
              <w:t>. The</w:t>
            </w:r>
            <w:r w:rsidR="00737C3D" w:rsidRPr="00680DFD">
              <w:rPr>
                <w:rFonts w:ascii="Arial" w:hAnsi="Arial" w:cs="Arial"/>
                <w:sz w:val="24"/>
                <w:szCs w:val="24"/>
              </w:rPr>
              <w:t xml:space="preserve"> action in respect of Impact Distributors was not pursued any further</w:t>
            </w:r>
            <w:r w:rsidR="00737C3D">
              <w:rPr>
                <w:rFonts w:ascii="Arial" w:hAnsi="Arial" w:cs="Arial"/>
                <w:sz w:val="24"/>
                <w:szCs w:val="24"/>
              </w:rPr>
              <w:t>.</w:t>
            </w:r>
          </w:p>
          <w:p w:rsidR="00796B9C" w:rsidRDefault="00796B9C" w:rsidP="00737C3D">
            <w:pPr>
              <w:spacing w:line="360" w:lineRule="auto"/>
              <w:ind w:left="1296" w:hanging="567"/>
              <w:jc w:val="both"/>
              <w:rPr>
                <w:rFonts w:ascii="Arial" w:hAnsi="Arial" w:cs="Arial"/>
                <w:sz w:val="24"/>
                <w:szCs w:val="24"/>
              </w:rPr>
            </w:pPr>
            <w:r>
              <w:rPr>
                <w:rFonts w:ascii="Arial" w:hAnsi="Arial" w:cs="Arial"/>
                <w:sz w:val="24"/>
                <w:szCs w:val="24"/>
              </w:rPr>
              <w:t>(f)</w:t>
            </w:r>
            <w:r w:rsidRPr="00812409">
              <w:rPr>
                <w:rFonts w:ascii="Arial" w:hAnsi="Arial" w:cs="Arial"/>
                <w:sz w:val="24"/>
                <w:szCs w:val="24"/>
              </w:rPr>
              <w:tab/>
            </w:r>
            <w:r w:rsidR="00737C3D" w:rsidRPr="00680DFD">
              <w:rPr>
                <w:rFonts w:ascii="Arial" w:hAnsi="Arial" w:cs="Arial"/>
                <w:sz w:val="24"/>
                <w:szCs w:val="24"/>
              </w:rPr>
              <w:t>The witness was extensively questioned on the issue of legal fees charged and why the two accounts of Impact Distribution reflected two distinct amounts charged for legal fees. The witness was further questioned on the issue of compounded interest which was charged on the legal fees allocated to the Impact accounts and the journal entries processed on the two accounts in excess of the amounts reflected as outstanding on the two Impact Accounts and transferred as a liability for second defendant’s account</w:t>
            </w:r>
            <w:r w:rsidR="00737C3D">
              <w:rPr>
                <w:rFonts w:ascii="Arial" w:hAnsi="Arial" w:cs="Arial"/>
                <w:sz w:val="24"/>
                <w:szCs w:val="24"/>
              </w:rPr>
              <w:t>.</w:t>
            </w:r>
          </w:p>
          <w:p w:rsidR="00796B9C" w:rsidRDefault="00796B9C" w:rsidP="00737C3D">
            <w:pPr>
              <w:spacing w:line="360" w:lineRule="auto"/>
              <w:ind w:left="1296" w:hanging="567"/>
              <w:jc w:val="both"/>
              <w:rPr>
                <w:rFonts w:ascii="Arial" w:hAnsi="Arial" w:cs="Arial"/>
                <w:sz w:val="24"/>
                <w:szCs w:val="24"/>
              </w:rPr>
            </w:pPr>
            <w:r>
              <w:rPr>
                <w:rFonts w:ascii="Arial" w:hAnsi="Arial" w:cs="Arial"/>
                <w:sz w:val="24"/>
                <w:szCs w:val="24"/>
              </w:rPr>
              <w:t>(g)</w:t>
            </w:r>
            <w:r w:rsidRPr="00812409">
              <w:rPr>
                <w:rFonts w:ascii="Arial" w:hAnsi="Arial" w:cs="Arial"/>
                <w:sz w:val="24"/>
                <w:szCs w:val="24"/>
              </w:rPr>
              <w:tab/>
            </w:r>
            <w:r w:rsidR="00737C3D" w:rsidRPr="00680DFD">
              <w:rPr>
                <w:rFonts w:ascii="Arial" w:hAnsi="Arial" w:cs="Arial"/>
                <w:sz w:val="24"/>
                <w:szCs w:val="24"/>
              </w:rPr>
              <w:t>In this regard</w:t>
            </w:r>
            <w:r w:rsidR="00737C3D">
              <w:rPr>
                <w:rFonts w:ascii="Arial" w:hAnsi="Arial" w:cs="Arial"/>
                <w:sz w:val="24"/>
                <w:szCs w:val="24"/>
              </w:rPr>
              <w:t>,</w:t>
            </w:r>
            <w:r w:rsidR="00737C3D" w:rsidRPr="00680DFD">
              <w:rPr>
                <w:rFonts w:ascii="Arial" w:hAnsi="Arial" w:cs="Arial"/>
                <w:sz w:val="24"/>
                <w:szCs w:val="24"/>
              </w:rPr>
              <w:t xml:space="preserve"> the witness testified that liability only arose with respect to the second defendant’s personal loan account once drawdowns were made and that these were done not on the instructions of the first defendant but by means of journal entry passed internally</w:t>
            </w:r>
            <w:r w:rsidR="00737C3D">
              <w:rPr>
                <w:rFonts w:ascii="Arial" w:hAnsi="Arial" w:cs="Arial"/>
                <w:sz w:val="24"/>
                <w:szCs w:val="24"/>
              </w:rPr>
              <w:t>.</w:t>
            </w:r>
          </w:p>
          <w:p w:rsidR="00796B9C" w:rsidRDefault="00796B9C" w:rsidP="00ED76B2">
            <w:pPr>
              <w:tabs>
                <w:tab w:val="left" w:pos="729"/>
              </w:tabs>
              <w:spacing w:line="360" w:lineRule="auto"/>
              <w:jc w:val="both"/>
              <w:rPr>
                <w:rFonts w:ascii="Arial" w:hAnsi="Arial" w:cs="Arial"/>
                <w:sz w:val="24"/>
                <w:szCs w:val="24"/>
              </w:rPr>
            </w:pPr>
          </w:p>
          <w:p w:rsidR="00B463CA" w:rsidRDefault="00B463CA" w:rsidP="00ED76B2">
            <w:pPr>
              <w:tabs>
                <w:tab w:val="left" w:pos="729"/>
              </w:tabs>
              <w:spacing w:line="360" w:lineRule="auto"/>
              <w:jc w:val="both"/>
              <w:rPr>
                <w:rFonts w:ascii="Arial" w:hAnsi="Arial" w:cs="Arial"/>
                <w:sz w:val="24"/>
                <w:szCs w:val="24"/>
                <w:u w:val="single"/>
              </w:rPr>
            </w:pPr>
            <w:r w:rsidRPr="007B2C80">
              <w:rPr>
                <w:rFonts w:ascii="Arial" w:hAnsi="Arial" w:cs="Arial"/>
                <w:sz w:val="24"/>
                <w:szCs w:val="24"/>
                <w:u w:val="single"/>
              </w:rPr>
              <w:t>Arguments advanced on behalf of the parties</w:t>
            </w:r>
          </w:p>
          <w:p w:rsidR="00B463CA" w:rsidRPr="00B463CA" w:rsidRDefault="00B463CA" w:rsidP="00ED76B2">
            <w:pPr>
              <w:tabs>
                <w:tab w:val="left" w:pos="729"/>
              </w:tabs>
              <w:spacing w:line="360" w:lineRule="auto"/>
              <w:jc w:val="both"/>
              <w:rPr>
                <w:rFonts w:ascii="Arial" w:hAnsi="Arial" w:cs="Arial"/>
                <w:sz w:val="24"/>
                <w:szCs w:val="24"/>
              </w:rPr>
            </w:pPr>
          </w:p>
          <w:p w:rsidR="00B463CA" w:rsidRPr="00B463CA" w:rsidRDefault="00B463CA" w:rsidP="00ED76B2">
            <w:pPr>
              <w:tabs>
                <w:tab w:val="left" w:pos="729"/>
              </w:tabs>
              <w:spacing w:line="360" w:lineRule="auto"/>
              <w:jc w:val="both"/>
              <w:rPr>
                <w:rFonts w:ascii="Arial" w:hAnsi="Arial" w:cs="Arial"/>
                <w:i/>
                <w:sz w:val="24"/>
                <w:szCs w:val="24"/>
              </w:rPr>
            </w:pPr>
            <w:r w:rsidRPr="00B463CA">
              <w:rPr>
                <w:rFonts w:ascii="Arial" w:hAnsi="Arial" w:cs="Arial"/>
                <w:i/>
                <w:sz w:val="24"/>
                <w:szCs w:val="24"/>
              </w:rPr>
              <w:t>On behalf of the first defendant</w:t>
            </w:r>
          </w:p>
          <w:p w:rsidR="00B463CA" w:rsidRPr="00B463CA" w:rsidRDefault="00B463CA" w:rsidP="00ED76B2">
            <w:pPr>
              <w:tabs>
                <w:tab w:val="left" w:pos="729"/>
              </w:tabs>
              <w:spacing w:line="360" w:lineRule="auto"/>
              <w:jc w:val="both"/>
              <w:rPr>
                <w:rFonts w:ascii="Arial" w:hAnsi="Arial" w:cs="Arial"/>
                <w:sz w:val="24"/>
                <w:szCs w:val="24"/>
              </w:rPr>
            </w:pPr>
          </w:p>
          <w:p w:rsidR="00890A20" w:rsidRDefault="00B9407E" w:rsidP="00ED76B2">
            <w:pPr>
              <w:tabs>
                <w:tab w:val="left" w:pos="729"/>
              </w:tabs>
              <w:spacing w:line="360" w:lineRule="auto"/>
              <w:jc w:val="both"/>
              <w:rPr>
                <w:rFonts w:ascii="Arial" w:hAnsi="Arial" w:cs="Arial"/>
                <w:sz w:val="24"/>
                <w:szCs w:val="24"/>
              </w:rPr>
            </w:pPr>
            <w:r>
              <w:rPr>
                <w:rFonts w:ascii="Arial" w:hAnsi="Arial" w:cs="Arial"/>
                <w:sz w:val="24"/>
                <w:szCs w:val="24"/>
              </w:rPr>
              <w:t>[20]</w:t>
            </w:r>
            <w:r w:rsidRPr="00812409">
              <w:rPr>
                <w:rFonts w:ascii="Arial" w:hAnsi="Arial" w:cs="Arial"/>
                <w:sz w:val="24"/>
                <w:szCs w:val="24"/>
              </w:rPr>
              <w:tab/>
            </w:r>
            <w:r w:rsidR="00B463CA" w:rsidRPr="00680DFD">
              <w:rPr>
                <w:rFonts w:ascii="Arial" w:hAnsi="Arial" w:cs="Arial"/>
                <w:sz w:val="24"/>
                <w:szCs w:val="24"/>
              </w:rPr>
              <w:t xml:space="preserve">Ms </w:t>
            </w:r>
            <w:proofErr w:type="spellStart"/>
            <w:r w:rsidR="00B463CA" w:rsidRPr="00680DFD">
              <w:rPr>
                <w:rFonts w:ascii="Arial" w:hAnsi="Arial" w:cs="Arial"/>
                <w:sz w:val="24"/>
                <w:szCs w:val="24"/>
              </w:rPr>
              <w:t>Delport</w:t>
            </w:r>
            <w:proofErr w:type="spellEnd"/>
            <w:r w:rsidR="00B463CA" w:rsidRPr="00680DFD">
              <w:rPr>
                <w:rFonts w:ascii="Arial" w:hAnsi="Arial" w:cs="Arial"/>
                <w:sz w:val="24"/>
                <w:szCs w:val="24"/>
              </w:rPr>
              <w:t xml:space="preserve"> argues that it is clear that the first defendant made payment in the total amount of N$4</w:t>
            </w:r>
            <w:r w:rsidR="00B463CA">
              <w:rPr>
                <w:rFonts w:ascii="Arial" w:hAnsi="Arial" w:cs="Arial"/>
                <w:sz w:val="24"/>
                <w:szCs w:val="24"/>
              </w:rPr>
              <w:t xml:space="preserve"> </w:t>
            </w:r>
            <w:r w:rsidR="00B463CA" w:rsidRPr="00680DFD">
              <w:rPr>
                <w:rFonts w:ascii="Arial" w:hAnsi="Arial" w:cs="Arial"/>
                <w:sz w:val="24"/>
                <w:szCs w:val="24"/>
              </w:rPr>
              <w:t>794</w:t>
            </w:r>
            <w:r w:rsidR="00B463CA">
              <w:rPr>
                <w:rFonts w:ascii="Arial" w:hAnsi="Arial" w:cs="Arial"/>
                <w:sz w:val="24"/>
                <w:szCs w:val="24"/>
              </w:rPr>
              <w:t xml:space="preserve"> </w:t>
            </w:r>
            <w:r w:rsidR="00B463CA" w:rsidRPr="00680DFD">
              <w:rPr>
                <w:rFonts w:ascii="Arial" w:hAnsi="Arial" w:cs="Arial"/>
                <w:sz w:val="24"/>
                <w:szCs w:val="24"/>
              </w:rPr>
              <w:t>482.84 towards the settlement of the loan to the plaintiff</w:t>
            </w:r>
            <w:r w:rsidR="00B463CA">
              <w:rPr>
                <w:rFonts w:ascii="Arial" w:hAnsi="Arial" w:cs="Arial"/>
                <w:sz w:val="24"/>
                <w:szCs w:val="24"/>
              </w:rPr>
              <w:t>,</w:t>
            </w:r>
            <w:r w:rsidR="00B463CA" w:rsidRPr="00680DFD">
              <w:rPr>
                <w:rFonts w:ascii="Arial" w:hAnsi="Arial" w:cs="Arial"/>
                <w:sz w:val="24"/>
                <w:szCs w:val="24"/>
              </w:rPr>
              <w:t xml:space="preserve"> and the interest calculated </w:t>
            </w:r>
            <w:r w:rsidR="00B463CA" w:rsidRPr="00680DFD">
              <w:rPr>
                <w:rFonts w:ascii="Arial" w:hAnsi="Arial" w:cs="Arial"/>
                <w:sz w:val="24"/>
                <w:szCs w:val="24"/>
              </w:rPr>
              <w:lastRenderedPageBreak/>
              <w:t>only with respect to the total legal fees charged computing to N$539</w:t>
            </w:r>
            <w:r w:rsidR="00B463CA">
              <w:rPr>
                <w:rFonts w:ascii="Arial" w:hAnsi="Arial" w:cs="Arial"/>
                <w:sz w:val="24"/>
                <w:szCs w:val="24"/>
              </w:rPr>
              <w:t xml:space="preserve"> </w:t>
            </w:r>
            <w:r w:rsidR="00B463CA" w:rsidRPr="00680DFD">
              <w:rPr>
                <w:rFonts w:ascii="Arial" w:hAnsi="Arial" w:cs="Arial"/>
                <w:sz w:val="24"/>
                <w:szCs w:val="24"/>
              </w:rPr>
              <w:t xml:space="preserve">114.14 amounts to </w:t>
            </w:r>
            <w:r w:rsidR="0084650C">
              <w:rPr>
                <w:rFonts w:ascii="Arial" w:hAnsi="Arial" w:cs="Arial"/>
                <w:sz w:val="24"/>
                <w:szCs w:val="24"/>
              </w:rPr>
              <w:br/>
            </w:r>
            <w:r w:rsidR="00B463CA" w:rsidRPr="00680DFD">
              <w:rPr>
                <w:rFonts w:ascii="Arial" w:hAnsi="Arial" w:cs="Arial"/>
                <w:sz w:val="24"/>
                <w:szCs w:val="24"/>
              </w:rPr>
              <w:t>N$427</w:t>
            </w:r>
            <w:r w:rsidR="00B463CA">
              <w:rPr>
                <w:rFonts w:ascii="Arial" w:hAnsi="Arial" w:cs="Arial"/>
                <w:sz w:val="24"/>
                <w:szCs w:val="24"/>
              </w:rPr>
              <w:t xml:space="preserve"> </w:t>
            </w:r>
            <w:r w:rsidR="00B463CA" w:rsidRPr="00680DFD">
              <w:rPr>
                <w:rFonts w:ascii="Arial" w:hAnsi="Arial" w:cs="Arial"/>
                <w:sz w:val="24"/>
                <w:szCs w:val="24"/>
              </w:rPr>
              <w:t>263.93 total</w:t>
            </w:r>
            <w:r w:rsidR="00B463CA">
              <w:rPr>
                <w:rFonts w:ascii="Arial" w:hAnsi="Arial" w:cs="Arial"/>
                <w:sz w:val="24"/>
                <w:szCs w:val="24"/>
              </w:rPr>
              <w:t>l</w:t>
            </w:r>
            <w:r w:rsidR="00B463CA" w:rsidRPr="00680DFD">
              <w:rPr>
                <w:rFonts w:ascii="Arial" w:hAnsi="Arial" w:cs="Arial"/>
                <w:sz w:val="24"/>
                <w:szCs w:val="24"/>
              </w:rPr>
              <w:t>ing an amount of N$966,378.07, which essentially has to be deducted from the initial drawdown</w:t>
            </w:r>
            <w:r w:rsidR="0084650C">
              <w:rPr>
                <w:rFonts w:ascii="Arial" w:hAnsi="Arial" w:cs="Arial"/>
                <w:sz w:val="24"/>
                <w:szCs w:val="24"/>
              </w:rPr>
              <w:t>.</w:t>
            </w:r>
          </w:p>
          <w:p w:rsidR="001E097B" w:rsidRPr="00ED7008" w:rsidRDefault="001E097B" w:rsidP="008F5871">
            <w:pPr>
              <w:tabs>
                <w:tab w:val="left" w:pos="729"/>
              </w:tabs>
              <w:spacing w:line="360" w:lineRule="auto"/>
              <w:jc w:val="both"/>
              <w:rPr>
                <w:rFonts w:ascii="Arial" w:hAnsi="Arial" w:cs="Arial"/>
              </w:rPr>
            </w:pPr>
          </w:p>
          <w:p w:rsidR="00C73D5D" w:rsidRDefault="005B62A0" w:rsidP="00ED76B2">
            <w:pPr>
              <w:tabs>
                <w:tab w:val="left" w:pos="729"/>
              </w:tabs>
              <w:spacing w:line="360" w:lineRule="auto"/>
              <w:jc w:val="both"/>
              <w:rPr>
                <w:rFonts w:ascii="Arial" w:hAnsi="Arial" w:cs="Arial"/>
                <w:sz w:val="24"/>
                <w:szCs w:val="24"/>
              </w:rPr>
            </w:pPr>
            <w:r>
              <w:rPr>
                <w:rFonts w:ascii="Arial" w:hAnsi="Arial" w:cs="Arial"/>
                <w:sz w:val="24"/>
                <w:szCs w:val="24"/>
              </w:rPr>
              <w:t>[21]</w:t>
            </w:r>
            <w:r w:rsidRPr="00812409">
              <w:rPr>
                <w:rFonts w:ascii="Arial" w:hAnsi="Arial" w:cs="Arial"/>
                <w:sz w:val="24"/>
                <w:szCs w:val="24"/>
              </w:rPr>
              <w:tab/>
            </w:r>
            <w:r w:rsidR="0084650C" w:rsidRPr="00680DFD">
              <w:rPr>
                <w:rFonts w:ascii="Arial" w:hAnsi="Arial" w:cs="Arial"/>
                <w:sz w:val="24"/>
                <w:szCs w:val="24"/>
              </w:rPr>
              <w:t xml:space="preserve">Ms </w:t>
            </w:r>
            <w:proofErr w:type="spellStart"/>
            <w:r w:rsidR="0084650C" w:rsidRPr="00680DFD">
              <w:rPr>
                <w:rFonts w:ascii="Arial" w:hAnsi="Arial" w:cs="Arial"/>
                <w:sz w:val="24"/>
                <w:szCs w:val="24"/>
              </w:rPr>
              <w:t>Delport</w:t>
            </w:r>
            <w:proofErr w:type="spellEnd"/>
            <w:r w:rsidR="0084650C" w:rsidRPr="00680DFD">
              <w:rPr>
                <w:rFonts w:ascii="Arial" w:hAnsi="Arial" w:cs="Arial"/>
                <w:sz w:val="24"/>
                <w:szCs w:val="24"/>
              </w:rPr>
              <w:t xml:space="preserve"> submits that the facility advanced to the first defendant was based on manual calculations made by the plaintiff to calculate the liability of Impact Distribution. Ms </w:t>
            </w:r>
            <w:proofErr w:type="spellStart"/>
            <w:r w:rsidR="0084650C" w:rsidRPr="00680DFD">
              <w:rPr>
                <w:rFonts w:ascii="Arial" w:hAnsi="Arial" w:cs="Arial"/>
                <w:sz w:val="24"/>
                <w:szCs w:val="24"/>
              </w:rPr>
              <w:t>Delport</w:t>
            </w:r>
            <w:proofErr w:type="spellEnd"/>
            <w:r w:rsidR="0084650C" w:rsidRPr="00680DFD">
              <w:rPr>
                <w:rFonts w:ascii="Arial" w:hAnsi="Arial" w:cs="Arial"/>
                <w:sz w:val="24"/>
                <w:szCs w:val="24"/>
              </w:rPr>
              <w:t xml:space="preserve"> further submits that it was conceded on behalf of the plaintiff that an implied term of the loan agreement was that any recovery on the collection on the Impact Distribution account, which the bank agreed </w:t>
            </w:r>
            <w:r w:rsidR="0084650C">
              <w:rPr>
                <w:rFonts w:ascii="Arial" w:hAnsi="Arial" w:cs="Arial"/>
                <w:sz w:val="24"/>
                <w:szCs w:val="24"/>
              </w:rPr>
              <w:t>to pursue actively</w:t>
            </w:r>
            <w:r w:rsidR="0084650C" w:rsidRPr="00680DFD">
              <w:rPr>
                <w:rFonts w:ascii="Arial" w:hAnsi="Arial" w:cs="Arial"/>
                <w:sz w:val="24"/>
                <w:szCs w:val="24"/>
              </w:rPr>
              <w:t>, was to reduce the first defendant’s liability in terms of the stand-alone agreement concluded with her</w:t>
            </w:r>
            <w:r w:rsidR="0018718C">
              <w:rPr>
                <w:rFonts w:ascii="Arial" w:hAnsi="Arial" w:cs="Arial"/>
                <w:sz w:val="24"/>
                <w:szCs w:val="24"/>
              </w:rPr>
              <w:t>.</w:t>
            </w:r>
          </w:p>
          <w:p w:rsidR="00C73D5D" w:rsidRDefault="00C73D5D" w:rsidP="00ED76B2">
            <w:pPr>
              <w:tabs>
                <w:tab w:val="left" w:pos="729"/>
              </w:tabs>
              <w:spacing w:line="360" w:lineRule="auto"/>
              <w:jc w:val="both"/>
              <w:rPr>
                <w:rFonts w:ascii="Arial" w:hAnsi="Arial" w:cs="Arial"/>
                <w:sz w:val="24"/>
                <w:szCs w:val="24"/>
              </w:rPr>
            </w:pPr>
          </w:p>
          <w:p w:rsidR="005C21D7" w:rsidRDefault="005B62A0" w:rsidP="00937C89">
            <w:pPr>
              <w:tabs>
                <w:tab w:val="left" w:pos="729"/>
              </w:tabs>
              <w:spacing w:line="360" w:lineRule="auto"/>
              <w:jc w:val="both"/>
              <w:rPr>
                <w:rFonts w:ascii="Arial" w:hAnsi="Arial" w:cs="Arial"/>
                <w:sz w:val="24"/>
                <w:szCs w:val="24"/>
              </w:rPr>
            </w:pPr>
            <w:r>
              <w:rPr>
                <w:rFonts w:ascii="Arial" w:hAnsi="Arial" w:cs="Arial"/>
                <w:sz w:val="24"/>
                <w:szCs w:val="24"/>
              </w:rPr>
              <w:t>[22]</w:t>
            </w:r>
            <w:r w:rsidRPr="00812409">
              <w:rPr>
                <w:rFonts w:ascii="Arial" w:hAnsi="Arial" w:cs="Arial"/>
                <w:sz w:val="24"/>
                <w:szCs w:val="24"/>
              </w:rPr>
              <w:tab/>
            </w:r>
            <w:r w:rsidR="0084650C" w:rsidRPr="00680DFD">
              <w:rPr>
                <w:rFonts w:ascii="Arial" w:hAnsi="Arial" w:cs="Arial"/>
                <w:sz w:val="24"/>
                <w:szCs w:val="24"/>
              </w:rPr>
              <w:t xml:space="preserve">The calculation by the plaintiff </w:t>
            </w:r>
            <w:r w:rsidR="0084650C">
              <w:rPr>
                <w:rFonts w:ascii="Arial" w:hAnsi="Arial" w:cs="Arial"/>
                <w:sz w:val="24"/>
                <w:szCs w:val="24"/>
              </w:rPr>
              <w:t>when</w:t>
            </w:r>
            <w:r w:rsidR="0084650C" w:rsidRPr="00680DFD">
              <w:rPr>
                <w:rFonts w:ascii="Arial" w:hAnsi="Arial" w:cs="Arial"/>
                <w:sz w:val="24"/>
                <w:szCs w:val="24"/>
              </w:rPr>
              <w:t xml:space="preserve"> calculating the actual indebtedness of Impact Distribution included capitali</w:t>
            </w:r>
            <w:r w:rsidR="0084650C">
              <w:rPr>
                <w:rFonts w:ascii="Arial" w:hAnsi="Arial" w:cs="Arial"/>
                <w:sz w:val="24"/>
                <w:szCs w:val="24"/>
              </w:rPr>
              <w:t>s</w:t>
            </w:r>
            <w:r w:rsidR="0084650C" w:rsidRPr="00680DFD">
              <w:rPr>
                <w:rFonts w:ascii="Arial" w:hAnsi="Arial" w:cs="Arial"/>
                <w:sz w:val="24"/>
                <w:szCs w:val="24"/>
              </w:rPr>
              <w:t>ed interest on the outstanding balance as well as legal costs incurred in actions pursued against the two remaining sureties for which a s</w:t>
            </w:r>
            <w:r w:rsidR="0084650C">
              <w:rPr>
                <w:rFonts w:ascii="Arial" w:hAnsi="Arial" w:cs="Arial"/>
                <w:sz w:val="24"/>
                <w:szCs w:val="24"/>
              </w:rPr>
              <w:t xml:space="preserve">pecific amount of costs </w:t>
            </w:r>
            <w:r w:rsidR="0084650C" w:rsidRPr="0095681F">
              <w:rPr>
                <w:rFonts w:ascii="Arial" w:hAnsi="Arial" w:cs="Arial"/>
                <w:sz w:val="24"/>
                <w:szCs w:val="24"/>
              </w:rPr>
              <w:t>was</w:t>
            </w:r>
            <w:r w:rsidR="0084650C" w:rsidRPr="00680DFD">
              <w:rPr>
                <w:rFonts w:ascii="Arial" w:hAnsi="Arial" w:cs="Arial"/>
                <w:sz w:val="24"/>
                <w:szCs w:val="24"/>
              </w:rPr>
              <w:t xml:space="preserve"> awarded. The first defendant and</w:t>
            </w:r>
            <w:r w:rsidR="0084650C">
              <w:rPr>
                <w:rFonts w:ascii="Arial" w:hAnsi="Arial" w:cs="Arial"/>
                <w:sz w:val="24"/>
                <w:szCs w:val="24"/>
              </w:rPr>
              <w:t>,</w:t>
            </w:r>
            <w:r w:rsidR="0084650C" w:rsidRPr="00680DFD">
              <w:rPr>
                <w:rFonts w:ascii="Arial" w:hAnsi="Arial" w:cs="Arial"/>
                <w:sz w:val="24"/>
                <w:szCs w:val="24"/>
              </w:rPr>
              <w:t xml:space="preserve"> by operation of law</w:t>
            </w:r>
            <w:r w:rsidR="0084650C">
              <w:rPr>
                <w:rFonts w:ascii="Arial" w:hAnsi="Arial" w:cs="Arial"/>
                <w:sz w:val="24"/>
                <w:szCs w:val="24"/>
              </w:rPr>
              <w:t>,</w:t>
            </w:r>
            <w:r w:rsidR="0084650C" w:rsidRPr="00680DFD">
              <w:rPr>
                <w:rFonts w:ascii="Arial" w:hAnsi="Arial" w:cs="Arial"/>
                <w:sz w:val="24"/>
                <w:szCs w:val="24"/>
              </w:rPr>
              <w:t xml:space="preserve"> the second defendant, were</w:t>
            </w:r>
            <w:r w:rsidR="0084650C">
              <w:rPr>
                <w:rFonts w:ascii="Arial" w:hAnsi="Arial" w:cs="Arial"/>
                <w:sz w:val="24"/>
                <w:szCs w:val="24"/>
              </w:rPr>
              <w:t xml:space="preserve"> </w:t>
            </w:r>
            <w:r w:rsidR="0084650C" w:rsidRPr="00680DFD">
              <w:rPr>
                <w:rFonts w:ascii="Arial" w:hAnsi="Arial" w:cs="Arial"/>
                <w:sz w:val="24"/>
                <w:szCs w:val="24"/>
              </w:rPr>
              <w:t>held liable for these inflated amounts</w:t>
            </w:r>
            <w:r w:rsidR="00937C89">
              <w:rPr>
                <w:rFonts w:ascii="Arial" w:hAnsi="Arial" w:cs="Arial"/>
                <w:sz w:val="24"/>
                <w:szCs w:val="24"/>
              </w:rPr>
              <w:t>.</w:t>
            </w:r>
          </w:p>
          <w:p w:rsidR="005C21D7" w:rsidRDefault="005C21D7" w:rsidP="00937C89">
            <w:pPr>
              <w:tabs>
                <w:tab w:val="left" w:pos="729"/>
              </w:tabs>
              <w:spacing w:line="360" w:lineRule="auto"/>
              <w:jc w:val="both"/>
              <w:rPr>
                <w:rFonts w:ascii="Arial" w:hAnsi="Arial" w:cs="Arial"/>
                <w:sz w:val="24"/>
                <w:szCs w:val="24"/>
              </w:rPr>
            </w:pPr>
          </w:p>
          <w:p w:rsidR="00937C89" w:rsidRDefault="005B62A0" w:rsidP="00937C89">
            <w:pPr>
              <w:tabs>
                <w:tab w:val="left" w:pos="729"/>
              </w:tabs>
              <w:spacing w:line="360" w:lineRule="auto"/>
              <w:jc w:val="both"/>
              <w:rPr>
                <w:rFonts w:ascii="Arial" w:hAnsi="Arial" w:cs="Arial"/>
                <w:sz w:val="24"/>
                <w:szCs w:val="24"/>
              </w:rPr>
            </w:pPr>
            <w:r>
              <w:rPr>
                <w:rFonts w:ascii="Arial" w:hAnsi="Arial" w:cs="Arial"/>
                <w:sz w:val="24"/>
                <w:szCs w:val="24"/>
              </w:rPr>
              <w:t>[23]</w:t>
            </w:r>
            <w:r w:rsidRPr="00812409">
              <w:rPr>
                <w:rFonts w:ascii="Arial" w:hAnsi="Arial" w:cs="Arial"/>
                <w:sz w:val="24"/>
                <w:szCs w:val="24"/>
              </w:rPr>
              <w:tab/>
            </w:r>
            <w:r w:rsidR="0084650C" w:rsidRPr="00680DFD">
              <w:rPr>
                <w:rFonts w:ascii="Arial" w:hAnsi="Arial" w:cs="Arial"/>
                <w:sz w:val="24"/>
                <w:szCs w:val="24"/>
              </w:rPr>
              <w:t xml:space="preserve">Ms </w:t>
            </w:r>
            <w:proofErr w:type="spellStart"/>
            <w:r w:rsidR="0084650C" w:rsidRPr="00680DFD">
              <w:rPr>
                <w:rFonts w:ascii="Arial" w:hAnsi="Arial" w:cs="Arial"/>
                <w:sz w:val="24"/>
                <w:szCs w:val="24"/>
              </w:rPr>
              <w:t>Delport</w:t>
            </w:r>
            <w:proofErr w:type="spellEnd"/>
            <w:r w:rsidR="0084650C" w:rsidRPr="00680DFD">
              <w:rPr>
                <w:rFonts w:ascii="Arial" w:hAnsi="Arial" w:cs="Arial"/>
                <w:sz w:val="24"/>
                <w:szCs w:val="24"/>
              </w:rPr>
              <w:t xml:space="preserve"> acknowledges that the terms of the agreement are not in dispute, but what remains in contention is the calculation of the drawdown passed internally by the plaintiff without any written instruction issued by the first defendant or her having agreed to the computation</w:t>
            </w:r>
            <w:r w:rsidR="00E96F9E">
              <w:rPr>
                <w:rFonts w:ascii="Arial" w:hAnsi="Arial" w:cs="Arial"/>
                <w:sz w:val="24"/>
                <w:szCs w:val="24"/>
              </w:rPr>
              <w:t>.</w:t>
            </w:r>
          </w:p>
          <w:p w:rsidR="00937C89" w:rsidRDefault="00937C89" w:rsidP="00937C89">
            <w:pPr>
              <w:tabs>
                <w:tab w:val="left" w:pos="729"/>
              </w:tabs>
              <w:spacing w:line="360" w:lineRule="auto"/>
              <w:jc w:val="both"/>
              <w:rPr>
                <w:rFonts w:ascii="Arial" w:hAnsi="Arial" w:cs="Arial"/>
                <w:sz w:val="24"/>
                <w:szCs w:val="24"/>
              </w:rPr>
            </w:pPr>
          </w:p>
          <w:p w:rsidR="00FB2E9E" w:rsidRPr="00474C2A" w:rsidRDefault="005B62A0" w:rsidP="00474C2A">
            <w:pPr>
              <w:spacing w:line="360" w:lineRule="auto"/>
              <w:jc w:val="both"/>
              <w:rPr>
                <w:rFonts w:ascii="Arial" w:hAnsi="Arial" w:cs="Arial"/>
                <w:sz w:val="24"/>
                <w:szCs w:val="24"/>
              </w:rPr>
            </w:pPr>
            <w:r>
              <w:rPr>
                <w:rFonts w:ascii="Arial" w:hAnsi="Arial" w:cs="Arial"/>
                <w:sz w:val="24"/>
                <w:szCs w:val="24"/>
              </w:rPr>
              <w:t>[24]</w:t>
            </w:r>
            <w:r w:rsidRPr="00812409">
              <w:rPr>
                <w:rFonts w:ascii="Arial" w:hAnsi="Arial" w:cs="Arial"/>
                <w:sz w:val="24"/>
                <w:szCs w:val="24"/>
              </w:rPr>
              <w:tab/>
            </w:r>
            <w:r w:rsidR="000D3C9C" w:rsidRPr="00680DFD">
              <w:rPr>
                <w:rFonts w:ascii="Arial" w:hAnsi="Arial" w:cs="Arial"/>
                <w:sz w:val="24"/>
                <w:szCs w:val="24"/>
              </w:rPr>
              <w:t xml:space="preserve">Ms </w:t>
            </w:r>
            <w:proofErr w:type="spellStart"/>
            <w:r w:rsidR="000D3C9C" w:rsidRPr="00680DFD">
              <w:rPr>
                <w:rFonts w:ascii="Arial" w:hAnsi="Arial" w:cs="Arial"/>
                <w:sz w:val="24"/>
                <w:szCs w:val="24"/>
              </w:rPr>
              <w:t>Delport</w:t>
            </w:r>
            <w:proofErr w:type="spellEnd"/>
            <w:r w:rsidR="000D3C9C" w:rsidRPr="00680DFD">
              <w:rPr>
                <w:rFonts w:ascii="Arial" w:hAnsi="Arial" w:cs="Arial"/>
                <w:sz w:val="24"/>
                <w:szCs w:val="24"/>
              </w:rPr>
              <w:t xml:space="preserve"> submits that the plaintiff is guilty of a violation of a number of sections</w:t>
            </w:r>
            <w:r w:rsidR="000D3C9C">
              <w:rPr>
                <w:rFonts w:ascii="Arial" w:hAnsi="Arial" w:cs="Arial"/>
                <w:sz w:val="24"/>
                <w:szCs w:val="24"/>
              </w:rPr>
              <w:t xml:space="preserve"> of</w:t>
            </w:r>
            <w:r w:rsidR="000D3C9C" w:rsidRPr="00680DFD">
              <w:rPr>
                <w:rFonts w:ascii="Arial" w:hAnsi="Arial" w:cs="Arial"/>
                <w:sz w:val="24"/>
                <w:szCs w:val="24"/>
              </w:rPr>
              <w:t xml:space="preserve"> the Banking Institutions Act 2 of 1998, for example</w:t>
            </w:r>
            <w:r w:rsidR="000D3C9C">
              <w:rPr>
                <w:rFonts w:ascii="Arial" w:hAnsi="Arial" w:cs="Arial"/>
                <w:sz w:val="24"/>
                <w:szCs w:val="24"/>
              </w:rPr>
              <w:t>,</w:t>
            </w:r>
            <w:r w:rsidR="000D3C9C" w:rsidRPr="00680DFD">
              <w:rPr>
                <w:rFonts w:ascii="Arial" w:hAnsi="Arial" w:cs="Arial"/>
                <w:sz w:val="24"/>
                <w:szCs w:val="24"/>
              </w:rPr>
              <w:t xml:space="preserve"> charging capitalised interest on an account where it is clear that the debtor is unable to service the debt by creating manual statements in order to bypass the prohibition on capitali</w:t>
            </w:r>
            <w:r w:rsidR="000D3C9C">
              <w:rPr>
                <w:rFonts w:ascii="Arial" w:hAnsi="Arial" w:cs="Arial"/>
                <w:sz w:val="24"/>
                <w:szCs w:val="24"/>
              </w:rPr>
              <w:t>s</w:t>
            </w:r>
            <w:r w:rsidR="000D3C9C" w:rsidRPr="00680DFD">
              <w:rPr>
                <w:rFonts w:ascii="Arial" w:hAnsi="Arial" w:cs="Arial"/>
                <w:sz w:val="24"/>
                <w:szCs w:val="24"/>
              </w:rPr>
              <w:t>ed interest being charged</w:t>
            </w:r>
            <w:r w:rsidR="00436C2B" w:rsidRPr="00474C2A">
              <w:rPr>
                <w:rFonts w:ascii="Arial" w:hAnsi="Arial" w:cs="Arial"/>
                <w:sz w:val="24"/>
                <w:szCs w:val="24"/>
              </w:rPr>
              <w:t>.</w:t>
            </w:r>
          </w:p>
          <w:p w:rsidR="006976D9" w:rsidRPr="00474C2A" w:rsidRDefault="006976D9" w:rsidP="00474C2A">
            <w:pPr>
              <w:spacing w:line="360" w:lineRule="auto"/>
              <w:jc w:val="both"/>
              <w:rPr>
                <w:rStyle w:val="Mc"/>
                <w:rFonts w:ascii="Arial" w:eastAsiaTheme="minorEastAsia" w:hAnsi="Arial" w:cs="Arial"/>
                <w:color w:val="auto"/>
                <w:sz w:val="24"/>
                <w:szCs w:val="24"/>
                <w:lang w:val="en-US"/>
              </w:rPr>
            </w:pPr>
          </w:p>
          <w:p w:rsidR="006976D9" w:rsidRPr="00474C2A" w:rsidRDefault="00474C2A" w:rsidP="00474C2A">
            <w:pPr>
              <w:pStyle w:val="I"/>
              <w:tabs>
                <w:tab w:val="clear" w:pos="578"/>
              </w:tabs>
              <w:spacing w:after="0" w:line="360" w:lineRule="auto"/>
              <w:ind w:left="0" w:firstLine="0"/>
              <w:jc w:val="both"/>
            </w:pPr>
            <w:r w:rsidRPr="00474C2A">
              <w:t>[25]</w:t>
            </w:r>
            <w:r w:rsidRPr="00812409">
              <w:tab/>
            </w:r>
            <w:r w:rsidR="000D3C9C" w:rsidRPr="00680DFD">
              <w:t>Counsel submits that not only did the capitali</w:t>
            </w:r>
            <w:r w:rsidR="000D3C9C">
              <w:t>s</w:t>
            </w:r>
            <w:r w:rsidR="000D3C9C" w:rsidRPr="00680DFD">
              <w:t>ed interest component accrue to the first defendant as a drawdown on the facility, the amount further included legal costs, which resulted in the plaintiff having earned further interest on these amounts, despite it being a service rendered by a third party. The drawdown passed internally by the plaintiff is incorrect</w:t>
            </w:r>
            <w:r w:rsidR="000D3C9C">
              <w:t>,</w:t>
            </w:r>
            <w:r w:rsidR="000D3C9C" w:rsidRPr="00680DFD">
              <w:t xml:space="preserve"> which greatly impacts on the daily interest charged which was capitali</w:t>
            </w:r>
            <w:r w:rsidR="000D3C9C">
              <w:t>s</w:t>
            </w:r>
            <w:r w:rsidR="000D3C9C" w:rsidRPr="00680DFD">
              <w:t>ed monthly, which in turn impacted on the capital reductions made by the once-off payments and the capital reductions on each instalment made</w:t>
            </w:r>
            <w:r w:rsidR="00475B7A" w:rsidRPr="00474C2A">
              <w:t>.</w:t>
            </w:r>
          </w:p>
          <w:p w:rsidR="006976D9" w:rsidRPr="00474C2A" w:rsidRDefault="006976D9" w:rsidP="00474C2A">
            <w:pPr>
              <w:pStyle w:val="I"/>
              <w:spacing w:after="0" w:line="360" w:lineRule="auto"/>
              <w:jc w:val="both"/>
            </w:pPr>
          </w:p>
          <w:p w:rsidR="00FB2E9E" w:rsidRPr="00474C2A" w:rsidRDefault="00474C2A" w:rsidP="00474C2A">
            <w:pPr>
              <w:pStyle w:val="I"/>
              <w:tabs>
                <w:tab w:val="clear" w:pos="578"/>
                <w:tab w:val="left" w:pos="0"/>
              </w:tabs>
              <w:spacing w:after="0" w:line="360" w:lineRule="auto"/>
              <w:ind w:left="20" w:firstLine="0"/>
              <w:jc w:val="both"/>
            </w:pPr>
            <w:r>
              <w:t>[26]</w:t>
            </w:r>
            <w:r w:rsidRPr="00812409">
              <w:tab/>
            </w:r>
            <w:r w:rsidR="00EC29B1" w:rsidRPr="00680DFD">
              <w:t xml:space="preserve">Ms </w:t>
            </w:r>
            <w:proofErr w:type="spellStart"/>
            <w:r w:rsidR="00EC29B1" w:rsidRPr="00680DFD">
              <w:t>Delport</w:t>
            </w:r>
            <w:proofErr w:type="spellEnd"/>
            <w:r w:rsidR="00EC29B1" w:rsidRPr="00680DFD">
              <w:t xml:space="preserve"> contends that the plaintiff failed to prove the computation of its claim and the court cannot be tasked to calculate the actual balance due therefore</w:t>
            </w:r>
            <w:r w:rsidR="00EC29B1">
              <w:t>,</w:t>
            </w:r>
            <w:r w:rsidR="00EC29B1" w:rsidRPr="00680DFD">
              <w:t xml:space="preserve"> absolution from the instance must be granted</w:t>
            </w:r>
            <w:r w:rsidR="00EC29B1">
              <w:t>.</w:t>
            </w:r>
          </w:p>
          <w:p w:rsidR="006976D9" w:rsidRDefault="006976D9" w:rsidP="00474C2A">
            <w:pPr>
              <w:pStyle w:val="I"/>
              <w:spacing w:after="0" w:line="360" w:lineRule="auto"/>
              <w:jc w:val="both"/>
            </w:pPr>
          </w:p>
          <w:p w:rsidR="00EC29B1" w:rsidRPr="00EC29B1" w:rsidRDefault="00EC29B1" w:rsidP="00474C2A">
            <w:pPr>
              <w:pStyle w:val="I"/>
              <w:spacing w:after="0" w:line="360" w:lineRule="auto"/>
              <w:jc w:val="both"/>
              <w:rPr>
                <w:i/>
              </w:rPr>
            </w:pPr>
            <w:r w:rsidRPr="00EC29B1">
              <w:rPr>
                <w:i/>
              </w:rPr>
              <w:t>On behalf of the plaintiff</w:t>
            </w:r>
          </w:p>
          <w:p w:rsidR="00EC29B1" w:rsidRPr="00474C2A" w:rsidRDefault="00EC29B1" w:rsidP="00474C2A">
            <w:pPr>
              <w:pStyle w:val="I"/>
              <w:spacing w:after="0" w:line="360" w:lineRule="auto"/>
              <w:jc w:val="both"/>
            </w:pPr>
          </w:p>
          <w:p w:rsidR="006976D9" w:rsidRPr="00474C2A" w:rsidRDefault="00474C2A" w:rsidP="00C04F28">
            <w:pPr>
              <w:pStyle w:val="I"/>
              <w:tabs>
                <w:tab w:val="clear" w:pos="578"/>
                <w:tab w:val="left" w:pos="0"/>
              </w:tabs>
              <w:spacing w:after="0" w:line="360" w:lineRule="auto"/>
              <w:ind w:left="20" w:hanging="20"/>
              <w:jc w:val="both"/>
            </w:pPr>
            <w:r>
              <w:t>[27]</w:t>
            </w:r>
            <w:r w:rsidR="00C04F28" w:rsidRPr="00812409">
              <w:tab/>
            </w:r>
            <w:r w:rsidR="00E540B7" w:rsidRPr="00680DFD">
              <w:t xml:space="preserve">Ms </w:t>
            </w:r>
            <w:proofErr w:type="spellStart"/>
            <w:r w:rsidR="00E540B7" w:rsidRPr="00680DFD">
              <w:t>Kuzeeko</w:t>
            </w:r>
            <w:proofErr w:type="spellEnd"/>
            <w:r w:rsidR="00E540B7" w:rsidRPr="00680DFD">
              <w:t xml:space="preserve"> argued that the plaintiff made out a prima facie case to which the first defendant must answer. Ms </w:t>
            </w:r>
            <w:proofErr w:type="spellStart"/>
            <w:r w:rsidR="00E540B7" w:rsidRPr="00680DFD">
              <w:t>Kuzeeko</w:t>
            </w:r>
            <w:proofErr w:type="spellEnd"/>
            <w:r w:rsidR="00E540B7" w:rsidRPr="00680DFD">
              <w:t xml:space="preserve"> argued that the agreement relied upon is a written agreement and the trite principles of </w:t>
            </w:r>
            <w:r w:rsidR="00E540B7" w:rsidRPr="0095681F">
              <w:t>the</w:t>
            </w:r>
            <w:r w:rsidR="00E540B7">
              <w:t xml:space="preserve"> </w:t>
            </w:r>
            <w:r w:rsidR="00E540B7" w:rsidRPr="00680DFD">
              <w:t xml:space="preserve">caveat </w:t>
            </w:r>
            <w:proofErr w:type="spellStart"/>
            <w:r w:rsidR="00E540B7" w:rsidRPr="00680DFD">
              <w:t>subscripto</w:t>
            </w:r>
            <w:r w:rsidR="00E540B7">
              <w:t>r</w:t>
            </w:r>
            <w:proofErr w:type="spellEnd"/>
            <w:r w:rsidR="00E540B7" w:rsidRPr="00680DFD">
              <w:t xml:space="preserve"> rule and </w:t>
            </w:r>
            <w:proofErr w:type="spellStart"/>
            <w:r w:rsidR="00E540B7" w:rsidRPr="00680DFD">
              <w:t>parol</w:t>
            </w:r>
            <w:proofErr w:type="spellEnd"/>
            <w:r w:rsidR="00E540B7" w:rsidRPr="00680DFD">
              <w:t xml:space="preserve"> evidence rule find application and that there is evidence upon which this court, applying these principles to such </w:t>
            </w:r>
            <w:r w:rsidR="00E540B7" w:rsidRPr="0095681F">
              <w:t>facts,</w:t>
            </w:r>
            <w:r w:rsidR="00E540B7" w:rsidRPr="00680DFD">
              <w:t xml:space="preserve"> could or might find for the plaintiff</w:t>
            </w:r>
            <w:r w:rsidR="006976D9" w:rsidRPr="00474C2A">
              <w:t>.</w:t>
            </w:r>
          </w:p>
          <w:p w:rsidR="009A7A59" w:rsidRPr="00474C2A" w:rsidRDefault="009A7A59" w:rsidP="00474C2A">
            <w:pPr>
              <w:tabs>
                <w:tab w:val="left" w:pos="729"/>
              </w:tabs>
              <w:spacing w:line="360" w:lineRule="auto"/>
              <w:jc w:val="both"/>
              <w:rPr>
                <w:rFonts w:ascii="Arial" w:hAnsi="Arial" w:cs="Arial"/>
                <w:sz w:val="24"/>
                <w:szCs w:val="24"/>
              </w:rPr>
            </w:pPr>
          </w:p>
          <w:p w:rsidR="00736DA4" w:rsidRPr="00474C2A" w:rsidRDefault="00474C2A" w:rsidP="00474C2A">
            <w:pPr>
              <w:spacing w:line="360" w:lineRule="auto"/>
              <w:jc w:val="both"/>
              <w:rPr>
                <w:rFonts w:ascii="Arial" w:eastAsia="Times New Roman" w:hAnsi="Arial" w:cs="Arial"/>
                <w:sz w:val="24"/>
                <w:szCs w:val="24"/>
                <w:lang w:val="en-GB"/>
              </w:rPr>
            </w:pPr>
            <w:r>
              <w:rPr>
                <w:rFonts w:ascii="Arial" w:eastAsia="Times New Roman" w:hAnsi="Arial" w:cs="Arial"/>
                <w:sz w:val="24"/>
                <w:szCs w:val="24"/>
                <w:lang w:val="en-GB"/>
              </w:rPr>
              <w:t>[28]</w:t>
            </w:r>
            <w:r w:rsidR="00C04F28" w:rsidRPr="00812409">
              <w:rPr>
                <w:rFonts w:ascii="Arial" w:hAnsi="Arial" w:cs="Arial"/>
                <w:sz w:val="24"/>
                <w:szCs w:val="24"/>
              </w:rPr>
              <w:tab/>
            </w:r>
            <w:r w:rsidR="00E540B7" w:rsidRPr="00680DFD">
              <w:rPr>
                <w:rFonts w:ascii="Arial" w:hAnsi="Arial" w:cs="Arial"/>
                <w:sz w:val="24"/>
                <w:szCs w:val="24"/>
              </w:rPr>
              <w:t xml:space="preserve">Ms </w:t>
            </w:r>
            <w:proofErr w:type="spellStart"/>
            <w:r w:rsidR="00E540B7" w:rsidRPr="00680DFD">
              <w:rPr>
                <w:rFonts w:ascii="Arial" w:hAnsi="Arial" w:cs="Arial"/>
                <w:sz w:val="24"/>
                <w:szCs w:val="24"/>
              </w:rPr>
              <w:t>Kuzeeko</w:t>
            </w:r>
            <w:proofErr w:type="spellEnd"/>
            <w:r w:rsidR="00E540B7" w:rsidRPr="00680DFD">
              <w:rPr>
                <w:rFonts w:ascii="Arial" w:hAnsi="Arial" w:cs="Arial"/>
                <w:sz w:val="24"/>
                <w:szCs w:val="24"/>
              </w:rPr>
              <w:t xml:space="preserve"> argues that the caveat </w:t>
            </w:r>
            <w:proofErr w:type="spellStart"/>
            <w:r w:rsidR="00E540B7" w:rsidRPr="00680DFD">
              <w:rPr>
                <w:rFonts w:ascii="Arial" w:hAnsi="Arial" w:cs="Arial"/>
                <w:sz w:val="24"/>
                <w:szCs w:val="24"/>
              </w:rPr>
              <w:t>subscriptor</w:t>
            </w:r>
            <w:proofErr w:type="spellEnd"/>
            <w:r w:rsidR="00E540B7" w:rsidRPr="00680DFD">
              <w:rPr>
                <w:rFonts w:ascii="Arial" w:hAnsi="Arial" w:cs="Arial"/>
                <w:sz w:val="24"/>
                <w:szCs w:val="24"/>
              </w:rPr>
              <w:t xml:space="preserve"> rule provides that a person who signs a contractual document thereby signifies his assent to the contents of the document and if the contents subsequently turn out not to be to his or her liking, as is in the present case, he or she has no one to blame but him</w:t>
            </w:r>
            <w:r w:rsidR="00E540B7">
              <w:rPr>
                <w:rFonts w:ascii="Arial" w:hAnsi="Arial" w:cs="Arial"/>
                <w:sz w:val="24"/>
                <w:szCs w:val="24"/>
              </w:rPr>
              <w:t>/her</w:t>
            </w:r>
            <w:r w:rsidR="00E540B7" w:rsidRPr="00680DFD">
              <w:rPr>
                <w:rFonts w:ascii="Arial" w:hAnsi="Arial" w:cs="Arial"/>
                <w:sz w:val="24"/>
                <w:szCs w:val="24"/>
              </w:rPr>
              <w:t>self. In this regard</w:t>
            </w:r>
            <w:r w:rsidR="00E540B7">
              <w:rPr>
                <w:rFonts w:ascii="Arial" w:hAnsi="Arial" w:cs="Arial"/>
                <w:sz w:val="24"/>
                <w:szCs w:val="24"/>
              </w:rPr>
              <w:t>,</w:t>
            </w:r>
            <w:r w:rsidR="00E540B7" w:rsidRPr="00680DFD">
              <w:rPr>
                <w:rFonts w:ascii="Arial" w:hAnsi="Arial" w:cs="Arial"/>
                <w:sz w:val="24"/>
                <w:szCs w:val="24"/>
              </w:rPr>
              <w:t xml:space="preserve"> the defendants have not raised any of the qualifications to the caveat </w:t>
            </w:r>
            <w:proofErr w:type="spellStart"/>
            <w:r w:rsidR="00E540B7" w:rsidRPr="00680DFD">
              <w:rPr>
                <w:rFonts w:ascii="Arial" w:hAnsi="Arial" w:cs="Arial"/>
                <w:sz w:val="24"/>
                <w:szCs w:val="24"/>
              </w:rPr>
              <w:t>subscripto</w:t>
            </w:r>
            <w:r w:rsidR="00E540B7">
              <w:rPr>
                <w:rFonts w:ascii="Arial" w:hAnsi="Arial" w:cs="Arial"/>
                <w:sz w:val="24"/>
                <w:szCs w:val="24"/>
              </w:rPr>
              <w:t>r</w:t>
            </w:r>
            <w:proofErr w:type="spellEnd"/>
            <w:r w:rsidR="00E540B7" w:rsidRPr="00680DFD">
              <w:rPr>
                <w:rFonts w:ascii="Arial" w:hAnsi="Arial" w:cs="Arial"/>
                <w:sz w:val="24"/>
                <w:szCs w:val="24"/>
              </w:rPr>
              <w:t xml:space="preserve"> rule. Consequently, the caveat </w:t>
            </w:r>
            <w:proofErr w:type="spellStart"/>
            <w:r w:rsidR="00E540B7" w:rsidRPr="00680DFD">
              <w:rPr>
                <w:rFonts w:ascii="Arial" w:hAnsi="Arial" w:cs="Arial"/>
                <w:sz w:val="24"/>
                <w:szCs w:val="24"/>
              </w:rPr>
              <w:t>subscripto</w:t>
            </w:r>
            <w:r w:rsidR="00E540B7">
              <w:rPr>
                <w:rFonts w:ascii="Arial" w:hAnsi="Arial" w:cs="Arial"/>
                <w:sz w:val="24"/>
                <w:szCs w:val="24"/>
              </w:rPr>
              <w:t>r</w:t>
            </w:r>
            <w:proofErr w:type="spellEnd"/>
            <w:r w:rsidR="00E540B7" w:rsidRPr="00680DFD">
              <w:rPr>
                <w:rFonts w:ascii="Arial" w:hAnsi="Arial" w:cs="Arial"/>
                <w:sz w:val="24"/>
                <w:szCs w:val="24"/>
              </w:rPr>
              <w:t xml:space="preserve"> rule must apply to these proceedings and the first defendant should be taken to have, amongst other</w:t>
            </w:r>
            <w:r w:rsidR="00E540B7">
              <w:rPr>
                <w:rFonts w:ascii="Arial" w:hAnsi="Arial" w:cs="Arial"/>
                <w:sz w:val="24"/>
                <w:szCs w:val="24"/>
              </w:rPr>
              <w:t xml:space="preserve"> </w:t>
            </w:r>
            <w:r w:rsidR="00E540B7" w:rsidRPr="00507B45">
              <w:rPr>
                <w:rFonts w:ascii="Arial" w:hAnsi="Arial" w:cs="Arial"/>
                <w:sz w:val="24"/>
                <w:szCs w:val="24"/>
              </w:rPr>
              <w:t>things</w:t>
            </w:r>
            <w:r w:rsidR="00E540B7" w:rsidRPr="00680DFD">
              <w:rPr>
                <w:rFonts w:ascii="Arial" w:hAnsi="Arial" w:cs="Arial"/>
                <w:sz w:val="24"/>
                <w:szCs w:val="24"/>
              </w:rPr>
              <w:t>, assented to the express terms in the agreement</w:t>
            </w:r>
            <w:r w:rsidR="00892D9A" w:rsidRPr="00474C2A">
              <w:rPr>
                <w:rFonts w:ascii="Arial" w:eastAsia="Times New Roman" w:hAnsi="Arial" w:cs="Arial"/>
                <w:sz w:val="24"/>
                <w:szCs w:val="24"/>
                <w:lang w:val="en-GB"/>
              </w:rPr>
              <w:t>.</w:t>
            </w:r>
          </w:p>
          <w:p w:rsidR="00736DA4" w:rsidRPr="00474C2A" w:rsidRDefault="00736DA4" w:rsidP="00474C2A">
            <w:pPr>
              <w:spacing w:line="360" w:lineRule="auto"/>
              <w:jc w:val="both"/>
              <w:rPr>
                <w:rFonts w:ascii="Arial" w:eastAsia="Times New Roman" w:hAnsi="Arial" w:cs="Arial"/>
                <w:sz w:val="24"/>
                <w:szCs w:val="24"/>
                <w:lang w:val="en-GB"/>
              </w:rPr>
            </w:pPr>
          </w:p>
          <w:p w:rsidR="00A26B7B" w:rsidRDefault="00474C2A" w:rsidP="00474C2A">
            <w:pPr>
              <w:spacing w:line="360" w:lineRule="auto"/>
              <w:jc w:val="both"/>
              <w:rPr>
                <w:rFonts w:ascii="Arial" w:eastAsia="Times New Roman" w:hAnsi="Arial" w:cs="Arial"/>
                <w:sz w:val="24"/>
                <w:szCs w:val="24"/>
                <w:lang w:val="en-GB"/>
              </w:rPr>
            </w:pPr>
            <w:r>
              <w:rPr>
                <w:rFonts w:ascii="Arial" w:eastAsia="Times New Roman" w:hAnsi="Arial" w:cs="Arial"/>
                <w:sz w:val="24"/>
                <w:szCs w:val="24"/>
                <w:lang w:val="en-GB"/>
              </w:rPr>
              <w:t>[29]</w:t>
            </w:r>
            <w:r w:rsidR="00C04F28" w:rsidRPr="00812409">
              <w:rPr>
                <w:rFonts w:ascii="Arial" w:hAnsi="Arial" w:cs="Arial"/>
                <w:sz w:val="24"/>
                <w:szCs w:val="24"/>
              </w:rPr>
              <w:tab/>
            </w:r>
            <w:r w:rsidR="00E540B7" w:rsidRPr="00680DFD">
              <w:rPr>
                <w:rFonts w:ascii="Arial" w:hAnsi="Arial" w:cs="Arial"/>
                <w:sz w:val="24"/>
                <w:szCs w:val="24"/>
              </w:rPr>
              <w:t xml:space="preserve">Ms </w:t>
            </w:r>
            <w:proofErr w:type="spellStart"/>
            <w:r w:rsidR="00E540B7" w:rsidRPr="00680DFD">
              <w:rPr>
                <w:rFonts w:ascii="Arial" w:hAnsi="Arial" w:cs="Arial"/>
                <w:sz w:val="24"/>
                <w:szCs w:val="24"/>
              </w:rPr>
              <w:t>Kuzeeko</w:t>
            </w:r>
            <w:proofErr w:type="spellEnd"/>
            <w:r w:rsidR="00E540B7" w:rsidRPr="00680DFD">
              <w:rPr>
                <w:rFonts w:ascii="Arial" w:hAnsi="Arial" w:cs="Arial"/>
                <w:sz w:val="24"/>
                <w:szCs w:val="24"/>
              </w:rPr>
              <w:t xml:space="preserve"> submits that the evidence of the plaintiff’s witnesses establishes that the first defendant breached the agreement between the parties and that consequent upon that breach</w:t>
            </w:r>
            <w:r w:rsidR="00E540B7">
              <w:rPr>
                <w:rFonts w:ascii="Arial" w:hAnsi="Arial" w:cs="Arial"/>
                <w:sz w:val="24"/>
                <w:szCs w:val="24"/>
              </w:rPr>
              <w:t>,</w:t>
            </w:r>
            <w:r w:rsidR="00E540B7" w:rsidRPr="00680DFD">
              <w:rPr>
                <w:rFonts w:ascii="Arial" w:hAnsi="Arial" w:cs="Arial"/>
                <w:sz w:val="24"/>
                <w:szCs w:val="24"/>
              </w:rPr>
              <w:t xml:space="preserve"> the plaintiff was entitled to charge penalty interest in addition to the interest rate applicable to the loan as from the date of that breach. Ms </w:t>
            </w:r>
            <w:proofErr w:type="spellStart"/>
            <w:r w:rsidR="00E540B7" w:rsidRPr="00680DFD">
              <w:rPr>
                <w:rFonts w:ascii="Arial" w:hAnsi="Arial" w:cs="Arial"/>
                <w:sz w:val="24"/>
                <w:szCs w:val="24"/>
              </w:rPr>
              <w:t>Kuzeeko</w:t>
            </w:r>
            <w:proofErr w:type="spellEnd"/>
            <w:r w:rsidR="00E540B7" w:rsidRPr="00680DFD">
              <w:rPr>
                <w:rFonts w:ascii="Arial" w:hAnsi="Arial" w:cs="Arial"/>
                <w:sz w:val="24"/>
                <w:szCs w:val="24"/>
              </w:rPr>
              <w:t xml:space="preserve"> furthermore</w:t>
            </w:r>
            <w:r w:rsidR="00E540B7">
              <w:rPr>
                <w:rFonts w:ascii="Arial" w:hAnsi="Arial" w:cs="Arial"/>
                <w:sz w:val="24"/>
                <w:szCs w:val="24"/>
              </w:rPr>
              <w:t>,</w:t>
            </w:r>
            <w:r w:rsidR="00E540B7" w:rsidRPr="00680DFD">
              <w:rPr>
                <w:rFonts w:ascii="Arial" w:hAnsi="Arial" w:cs="Arial"/>
                <w:sz w:val="24"/>
                <w:szCs w:val="24"/>
              </w:rPr>
              <w:t xml:space="preserve"> urged the court to apply the caveat </w:t>
            </w:r>
            <w:proofErr w:type="spellStart"/>
            <w:r w:rsidR="00E540B7" w:rsidRPr="00680DFD">
              <w:rPr>
                <w:rFonts w:ascii="Arial" w:hAnsi="Arial" w:cs="Arial"/>
                <w:sz w:val="24"/>
                <w:szCs w:val="24"/>
              </w:rPr>
              <w:t>subscripto</w:t>
            </w:r>
            <w:r w:rsidR="00E540B7">
              <w:rPr>
                <w:rFonts w:ascii="Arial" w:hAnsi="Arial" w:cs="Arial"/>
                <w:sz w:val="24"/>
                <w:szCs w:val="24"/>
              </w:rPr>
              <w:t>r</w:t>
            </w:r>
            <w:proofErr w:type="spellEnd"/>
            <w:r w:rsidR="00E540B7" w:rsidRPr="00680DFD">
              <w:rPr>
                <w:rFonts w:ascii="Arial" w:hAnsi="Arial" w:cs="Arial"/>
                <w:sz w:val="24"/>
                <w:szCs w:val="24"/>
              </w:rPr>
              <w:t xml:space="preserve"> rule and dismiss the defendants’ attack on the calculation of the capital amount (the loan amount) of N$4 742 184.95 and that the court should disregard the impact, if any, of the amortization schedule dispatched by the first defendant</w:t>
            </w:r>
            <w:r w:rsidR="00C04F28">
              <w:rPr>
                <w:rFonts w:ascii="Arial" w:eastAsia="Times New Roman" w:hAnsi="Arial" w:cs="Arial"/>
                <w:sz w:val="24"/>
                <w:szCs w:val="24"/>
                <w:lang w:val="en-GB"/>
              </w:rPr>
              <w:t>.</w:t>
            </w:r>
          </w:p>
          <w:p w:rsidR="00C04F28" w:rsidRPr="00D14EF6" w:rsidRDefault="00C04F28" w:rsidP="00474C2A">
            <w:pPr>
              <w:spacing w:line="360" w:lineRule="auto"/>
              <w:jc w:val="both"/>
              <w:rPr>
                <w:rFonts w:ascii="Arial" w:hAnsi="Arial" w:cs="Arial"/>
                <w:sz w:val="24"/>
                <w:szCs w:val="24"/>
                <w:u w:val="single"/>
              </w:rPr>
            </w:pPr>
          </w:p>
          <w:p w:rsidR="00D14EF6" w:rsidRPr="00D14EF6" w:rsidRDefault="00D14EF6" w:rsidP="00474C2A">
            <w:pPr>
              <w:spacing w:line="360" w:lineRule="auto"/>
              <w:jc w:val="both"/>
              <w:rPr>
                <w:rFonts w:ascii="Arial" w:hAnsi="Arial" w:cs="Arial"/>
                <w:sz w:val="24"/>
                <w:szCs w:val="24"/>
                <w:u w:val="single"/>
              </w:rPr>
            </w:pPr>
            <w:r w:rsidRPr="00D14EF6">
              <w:rPr>
                <w:rFonts w:ascii="Arial" w:hAnsi="Arial" w:cs="Arial"/>
                <w:sz w:val="24"/>
                <w:szCs w:val="24"/>
                <w:u w:val="single"/>
              </w:rPr>
              <w:t>The relevant applicable legal principles</w:t>
            </w:r>
          </w:p>
          <w:p w:rsidR="00D14EF6" w:rsidRPr="00D14EF6" w:rsidRDefault="00D14EF6" w:rsidP="00474C2A">
            <w:pPr>
              <w:spacing w:line="360" w:lineRule="auto"/>
              <w:jc w:val="both"/>
              <w:rPr>
                <w:rFonts w:ascii="Arial" w:hAnsi="Arial" w:cs="Arial"/>
                <w:sz w:val="24"/>
                <w:szCs w:val="24"/>
                <w:u w:val="single"/>
              </w:rPr>
            </w:pPr>
          </w:p>
          <w:p w:rsidR="00B40844" w:rsidRDefault="006E0FD4" w:rsidP="00474C2A">
            <w:pPr>
              <w:tabs>
                <w:tab w:val="left" w:pos="837"/>
              </w:tabs>
              <w:spacing w:line="360" w:lineRule="auto"/>
              <w:jc w:val="both"/>
              <w:rPr>
                <w:rFonts w:ascii="Arial" w:hAnsi="Arial" w:cs="Arial"/>
                <w:sz w:val="24"/>
                <w:szCs w:val="24"/>
              </w:rPr>
            </w:pPr>
            <w:r w:rsidRPr="00CA7995">
              <w:rPr>
                <w:rFonts w:ascii="Arial" w:hAnsi="Arial" w:cs="Arial"/>
                <w:sz w:val="24"/>
                <w:szCs w:val="24"/>
              </w:rPr>
              <w:t>[</w:t>
            </w:r>
            <w:r w:rsidR="00474C2A">
              <w:rPr>
                <w:rFonts w:ascii="Arial" w:hAnsi="Arial" w:cs="Arial"/>
                <w:sz w:val="24"/>
                <w:szCs w:val="24"/>
              </w:rPr>
              <w:t>30</w:t>
            </w:r>
            <w:r w:rsidR="006A0BA4">
              <w:rPr>
                <w:rFonts w:ascii="Arial" w:hAnsi="Arial" w:cs="Arial"/>
                <w:sz w:val="24"/>
                <w:szCs w:val="24"/>
              </w:rPr>
              <w:t>]</w:t>
            </w:r>
            <w:r w:rsidR="006A0BA4" w:rsidRPr="00CA7995">
              <w:rPr>
                <w:rFonts w:ascii="Arial" w:hAnsi="Arial" w:cs="Arial"/>
                <w:sz w:val="24"/>
                <w:szCs w:val="24"/>
              </w:rPr>
              <w:tab/>
            </w:r>
            <w:r w:rsidR="00D14EF6" w:rsidRPr="00680DFD">
              <w:rPr>
                <w:rFonts w:ascii="Arial" w:hAnsi="Arial" w:cs="Arial"/>
                <w:sz w:val="24"/>
                <w:szCs w:val="24"/>
              </w:rPr>
              <w:t xml:space="preserve">The law in respect of absolution applications is settled and it is unnecessary to deal with the principles </w:t>
            </w:r>
            <w:r w:rsidR="00D14EF6">
              <w:rPr>
                <w:rFonts w:ascii="Arial" w:hAnsi="Arial" w:cs="Arial"/>
                <w:sz w:val="24"/>
                <w:szCs w:val="24"/>
              </w:rPr>
              <w:t>in</w:t>
            </w:r>
            <w:r w:rsidR="00D14EF6" w:rsidRPr="00680DFD">
              <w:rPr>
                <w:rFonts w:ascii="Arial" w:hAnsi="Arial" w:cs="Arial"/>
                <w:sz w:val="24"/>
                <w:szCs w:val="24"/>
              </w:rPr>
              <w:t xml:space="preserve"> much detail. To the extent necessary</w:t>
            </w:r>
            <w:r w:rsidR="00D14EF6">
              <w:rPr>
                <w:rFonts w:ascii="Arial" w:hAnsi="Arial" w:cs="Arial"/>
                <w:sz w:val="24"/>
                <w:szCs w:val="24"/>
              </w:rPr>
              <w:t>,</w:t>
            </w:r>
            <w:r w:rsidR="00D14EF6" w:rsidRPr="00680DFD">
              <w:rPr>
                <w:rFonts w:ascii="Arial" w:hAnsi="Arial" w:cs="Arial"/>
                <w:sz w:val="24"/>
                <w:szCs w:val="24"/>
              </w:rPr>
              <w:t xml:space="preserve"> our Apex Court sta</w:t>
            </w:r>
            <w:r w:rsidR="00D14EF6">
              <w:rPr>
                <w:rFonts w:ascii="Arial" w:hAnsi="Arial" w:cs="Arial"/>
                <w:sz w:val="24"/>
                <w:szCs w:val="24"/>
              </w:rPr>
              <w:t xml:space="preserve">ted as follows in </w:t>
            </w:r>
            <w:proofErr w:type="spellStart"/>
            <w:r w:rsidR="00D14EF6" w:rsidRPr="00E61250">
              <w:rPr>
                <w:rFonts w:ascii="Arial" w:hAnsi="Arial" w:cs="Arial"/>
                <w:i/>
                <w:sz w:val="24"/>
                <w:szCs w:val="24"/>
              </w:rPr>
              <w:t>Stier</w:t>
            </w:r>
            <w:proofErr w:type="spellEnd"/>
            <w:r w:rsidR="00D14EF6" w:rsidRPr="00E61250">
              <w:rPr>
                <w:rFonts w:ascii="Arial" w:hAnsi="Arial" w:cs="Arial"/>
                <w:i/>
                <w:sz w:val="24"/>
                <w:szCs w:val="24"/>
              </w:rPr>
              <w:t xml:space="preserve"> v Henke</w:t>
            </w:r>
            <w:r w:rsidR="00D14EF6" w:rsidRPr="00680DFD">
              <w:rPr>
                <w:rFonts w:ascii="Arial" w:hAnsi="Arial" w:cs="Arial"/>
                <w:sz w:val="24"/>
                <w:szCs w:val="24"/>
              </w:rPr>
              <w:t>:</w:t>
            </w:r>
            <w:r w:rsidR="00D14EF6">
              <w:rPr>
                <w:rStyle w:val="FootnoteReference"/>
                <w:rFonts w:ascii="Arial" w:hAnsi="Arial" w:cs="Arial"/>
                <w:sz w:val="24"/>
                <w:szCs w:val="24"/>
              </w:rPr>
              <w:footnoteReference w:id="2"/>
            </w:r>
          </w:p>
          <w:p w:rsidR="00737C3D" w:rsidRDefault="00737C3D" w:rsidP="00474C2A">
            <w:pPr>
              <w:tabs>
                <w:tab w:val="left" w:pos="837"/>
              </w:tabs>
              <w:spacing w:line="360" w:lineRule="auto"/>
              <w:jc w:val="both"/>
              <w:rPr>
                <w:rFonts w:ascii="Arial" w:hAnsi="Arial" w:cs="Arial"/>
                <w:sz w:val="24"/>
                <w:szCs w:val="24"/>
              </w:rPr>
            </w:pPr>
          </w:p>
          <w:p w:rsidR="00D14EF6" w:rsidRPr="00D14EF6" w:rsidRDefault="00D14EF6" w:rsidP="00D14EF6">
            <w:pPr>
              <w:tabs>
                <w:tab w:val="left" w:pos="837"/>
              </w:tabs>
              <w:spacing w:line="360" w:lineRule="auto"/>
              <w:ind w:firstLine="871"/>
              <w:jc w:val="both"/>
              <w:rPr>
                <w:rFonts w:ascii="Arial" w:hAnsi="Arial" w:cs="Arial"/>
              </w:rPr>
            </w:pPr>
            <w:r w:rsidRPr="00D14EF6">
              <w:rPr>
                <w:rFonts w:ascii="Arial" w:hAnsi="Arial" w:cs="Arial"/>
              </w:rPr>
              <w:t xml:space="preserve">‘At 92F-G Harms JA in </w:t>
            </w:r>
            <w:r w:rsidRPr="00D14EF6">
              <w:rPr>
                <w:rFonts w:ascii="Arial" w:hAnsi="Arial" w:cs="Arial"/>
                <w:i/>
              </w:rPr>
              <w:t>Gordon Lloyd Page &amp; Associates v Rivera and Another</w:t>
            </w:r>
            <w:r w:rsidRPr="00D14EF6">
              <w:rPr>
                <w:rFonts w:ascii="Arial" w:hAnsi="Arial" w:cs="Arial"/>
              </w:rPr>
              <w:t xml:space="preserve"> 2001(1) SA 88 referred to the formulation of the test to be applied by a trial court when absolution is applied for at the end of an appellant’s case as appears in </w:t>
            </w:r>
            <w:r w:rsidRPr="00D14EF6">
              <w:rPr>
                <w:rFonts w:ascii="Arial" w:hAnsi="Arial" w:cs="Arial"/>
                <w:i/>
              </w:rPr>
              <w:t>Claude Neon Lights (SA) v Daniel</w:t>
            </w:r>
            <w:r w:rsidRPr="00D14EF6">
              <w:rPr>
                <w:rFonts w:ascii="Arial" w:hAnsi="Arial" w:cs="Arial"/>
              </w:rPr>
              <w:t xml:space="preserve"> 1976 (4) SA 403(A) at 409G-H:</w:t>
            </w:r>
          </w:p>
          <w:p w:rsidR="00D14EF6" w:rsidRPr="00D14EF6" w:rsidRDefault="00D14EF6" w:rsidP="00D14EF6">
            <w:pPr>
              <w:tabs>
                <w:tab w:val="left" w:pos="837"/>
              </w:tabs>
              <w:spacing w:line="360" w:lineRule="auto"/>
              <w:ind w:firstLine="871"/>
              <w:jc w:val="both"/>
              <w:rPr>
                <w:rFonts w:ascii="Arial" w:hAnsi="Arial" w:cs="Arial"/>
              </w:rPr>
            </w:pPr>
          </w:p>
          <w:p w:rsidR="00D14EF6" w:rsidRPr="00D14EF6" w:rsidRDefault="00D14EF6" w:rsidP="00D14EF6">
            <w:pPr>
              <w:tabs>
                <w:tab w:val="left" w:pos="837"/>
              </w:tabs>
              <w:spacing w:line="360" w:lineRule="auto"/>
              <w:ind w:left="871" w:firstLine="567"/>
              <w:jc w:val="both"/>
              <w:rPr>
                <w:rFonts w:ascii="Arial" w:hAnsi="Arial" w:cs="Arial"/>
              </w:rPr>
            </w:pPr>
            <w:r w:rsidRPr="00D14EF6">
              <w:rPr>
                <w:rFonts w:ascii="Arial" w:hAnsi="Arial" w:cs="Arial"/>
              </w:rPr>
              <w:lastRenderedPageBreak/>
              <w:t>“When absolution from the instance is sought at the close of the plaintiff’s case, the test to be applied is not whether the evidence led by the plaintiff establishes what would finally be established, but whether there is any evidence upon which a Court, applying its mind reasonably to such evidence, could or might (not should, nor ought to) find for the plaintiff.”</w:t>
            </w:r>
            <w:r>
              <w:rPr>
                <w:rFonts w:ascii="Arial" w:hAnsi="Arial" w:cs="Arial"/>
              </w:rPr>
              <w:t xml:space="preserve"> </w:t>
            </w:r>
            <w:r w:rsidRPr="00D14EF6">
              <w:rPr>
                <w:rFonts w:ascii="Arial" w:hAnsi="Arial" w:cs="Arial"/>
              </w:rPr>
              <w:t>’</w:t>
            </w:r>
          </w:p>
          <w:p w:rsidR="00D14EF6" w:rsidRDefault="00D14EF6" w:rsidP="00474C2A">
            <w:pPr>
              <w:tabs>
                <w:tab w:val="left" w:pos="837"/>
              </w:tabs>
              <w:spacing w:line="360" w:lineRule="auto"/>
              <w:jc w:val="both"/>
              <w:rPr>
                <w:rFonts w:ascii="Arial" w:hAnsi="Arial" w:cs="Arial"/>
                <w:sz w:val="24"/>
                <w:szCs w:val="24"/>
              </w:rPr>
            </w:pPr>
          </w:p>
          <w:p w:rsidR="00D14EF6" w:rsidRDefault="00D14EF6" w:rsidP="00474C2A">
            <w:pPr>
              <w:tabs>
                <w:tab w:val="left" w:pos="837"/>
              </w:tabs>
              <w:spacing w:line="360" w:lineRule="auto"/>
              <w:jc w:val="both"/>
              <w:rPr>
                <w:rFonts w:ascii="Arial" w:hAnsi="Arial" w:cs="Arial"/>
                <w:sz w:val="24"/>
                <w:szCs w:val="24"/>
                <w:u w:val="single"/>
              </w:rPr>
            </w:pPr>
            <w:r w:rsidRPr="00550744">
              <w:rPr>
                <w:rFonts w:ascii="Arial" w:hAnsi="Arial" w:cs="Arial"/>
                <w:sz w:val="24"/>
                <w:szCs w:val="24"/>
                <w:u w:val="single"/>
              </w:rPr>
              <w:t>Discussion</w:t>
            </w:r>
          </w:p>
          <w:p w:rsidR="00D14EF6" w:rsidRPr="00D14EF6" w:rsidRDefault="00D14EF6" w:rsidP="00474C2A">
            <w:pPr>
              <w:tabs>
                <w:tab w:val="left" w:pos="837"/>
              </w:tabs>
              <w:spacing w:line="360" w:lineRule="auto"/>
              <w:jc w:val="both"/>
              <w:rPr>
                <w:rFonts w:ascii="Arial" w:hAnsi="Arial" w:cs="Arial"/>
                <w:sz w:val="24"/>
                <w:szCs w:val="24"/>
              </w:rPr>
            </w:pPr>
          </w:p>
          <w:p w:rsidR="00737C3D" w:rsidRDefault="00737C3D" w:rsidP="00474C2A">
            <w:pPr>
              <w:tabs>
                <w:tab w:val="left" w:pos="837"/>
              </w:tabs>
              <w:spacing w:line="360" w:lineRule="auto"/>
              <w:jc w:val="both"/>
              <w:rPr>
                <w:rFonts w:ascii="Arial" w:hAnsi="Arial" w:cs="Arial"/>
                <w:sz w:val="24"/>
                <w:szCs w:val="24"/>
              </w:rPr>
            </w:pPr>
            <w:r>
              <w:rPr>
                <w:rFonts w:ascii="Arial" w:hAnsi="Arial" w:cs="Arial"/>
                <w:sz w:val="24"/>
                <w:szCs w:val="24"/>
              </w:rPr>
              <w:t>[31]</w:t>
            </w:r>
            <w:r w:rsidRPr="00812409">
              <w:rPr>
                <w:rFonts w:ascii="Arial" w:hAnsi="Arial" w:cs="Arial"/>
                <w:sz w:val="24"/>
                <w:szCs w:val="24"/>
              </w:rPr>
              <w:tab/>
            </w:r>
            <w:r w:rsidR="003A49EA" w:rsidRPr="00680DFD">
              <w:rPr>
                <w:rFonts w:ascii="Arial" w:hAnsi="Arial" w:cs="Arial"/>
                <w:sz w:val="24"/>
                <w:szCs w:val="24"/>
              </w:rPr>
              <w:t xml:space="preserve">In </w:t>
            </w:r>
            <w:proofErr w:type="spellStart"/>
            <w:r w:rsidR="003A49EA" w:rsidRPr="00E61250">
              <w:rPr>
                <w:rFonts w:ascii="Arial" w:hAnsi="Arial" w:cs="Arial"/>
                <w:i/>
                <w:sz w:val="24"/>
                <w:szCs w:val="24"/>
              </w:rPr>
              <w:t>Rosherville</w:t>
            </w:r>
            <w:proofErr w:type="spellEnd"/>
            <w:r w:rsidR="003A49EA" w:rsidRPr="00E61250">
              <w:rPr>
                <w:rFonts w:ascii="Arial" w:hAnsi="Arial" w:cs="Arial"/>
                <w:i/>
                <w:sz w:val="24"/>
                <w:szCs w:val="24"/>
              </w:rPr>
              <w:t xml:space="preserve"> Vehicle Services (</w:t>
            </w:r>
            <w:proofErr w:type="spellStart"/>
            <w:r w:rsidR="003A49EA" w:rsidRPr="00E61250">
              <w:rPr>
                <w:rFonts w:ascii="Arial" w:hAnsi="Arial" w:cs="Arial"/>
                <w:i/>
                <w:sz w:val="24"/>
                <w:szCs w:val="24"/>
              </w:rPr>
              <w:t>Edms</w:t>
            </w:r>
            <w:proofErr w:type="spellEnd"/>
            <w:r w:rsidR="003A49EA" w:rsidRPr="00E61250">
              <w:rPr>
                <w:rFonts w:ascii="Arial" w:hAnsi="Arial" w:cs="Arial"/>
                <w:i/>
                <w:sz w:val="24"/>
                <w:szCs w:val="24"/>
              </w:rPr>
              <w:t xml:space="preserve">) </w:t>
            </w:r>
            <w:proofErr w:type="spellStart"/>
            <w:r w:rsidR="003A49EA" w:rsidRPr="00E61250">
              <w:rPr>
                <w:rFonts w:ascii="Arial" w:hAnsi="Arial" w:cs="Arial"/>
                <w:i/>
                <w:sz w:val="24"/>
                <w:szCs w:val="24"/>
              </w:rPr>
              <w:t>Bpk</w:t>
            </w:r>
            <w:proofErr w:type="spellEnd"/>
            <w:r w:rsidR="003A49EA" w:rsidRPr="00E61250">
              <w:rPr>
                <w:rFonts w:ascii="Arial" w:hAnsi="Arial" w:cs="Arial"/>
                <w:i/>
                <w:sz w:val="24"/>
                <w:szCs w:val="24"/>
              </w:rPr>
              <w:t xml:space="preserve"> v </w:t>
            </w:r>
            <w:proofErr w:type="spellStart"/>
            <w:r w:rsidR="003A49EA" w:rsidRPr="00E61250">
              <w:rPr>
                <w:rFonts w:ascii="Arial" w:hAnsi="Arial" w:cs="Arial"/>
                <w:i/>
                <w:sz w:val="24"/>
                <w:szCs w:val="24"/>
              </w:rPr>
              <w:t>Bloemfonteinse</w:t>
            </w:r>
            <w:proofErr w:type="spellEnd"/>
            <w:r w:rsidR="003A49EA" w:rsidRPr="00E61250">
              <w:rPr>
                <w:rFonts w:ascii="Arial" w:hAnsi="Arial" w:cs="Arial"/>
                <w:i/>
                <w:sz w:val="24"/>
                <w:szCs w:val="24"/>
              </w:rPr>
              <w:t xml:space="preserve"> </w:t>
            </w:r>
            <w:proofErr w:type="spellStart"/>
            <w:r w:rsidR="003A49EA" w:rsidRPr="00E61250">
              <w:rPr>
                <w:rFonts w:ascii="Arial" w:hAnsi="Arial" w:cs="Arial"/>
                <w:i/>
                <w:sz w:val="24"/>
                <w:szCs w:val="24"/>
              </w:rPr>
              <w:t>Plaaslike</w:t>
            </w:r>
            <w:proofErr w:type="spellEnd"/>
            <w:r w:rsidR="003A49EA" w:rsidRPr="00E61250">
              <w:rPr>
                <w:rFonts w:ascii="Arial" w:hAnsi="Arial" w:cs="Arial"/>
                <w:i/>
                <w:sz w:val="24"/>
                <w:szCs w:val="24"/>
              </w:rPr>
              <w:t xml:space="preserve"> </w:t>
            </w:r>
            <w:proofErr w:type="spellStart"/>
            <w:r w:rsidR="003A49EA" w:rsidRPr="00E61250">
              <w:rPr>
                <w:rFonts w:ascii="Arial" w:hAnsi="Arial" w:cs="Arial"/>
                <w:i/>
                <w:sz w:val="24"/>
                <w:szCs w:val="24"/>
              </w:rPr>
              <w:t>Oorgangsraad</w:t>
            </w:r>
            <w:proofErr w:type="spellEnd"/>
            <w:r w:rsidR="003A49EA">
              <w:rPr>
                <w:rStyle w:val="FootnoteReference"/>
                <w:rFonts w:ascii="Arial" w:hAnsi="Arial" w:cs="Arial"/>
                <w:sz w:val="24"/>
                <w:szCs w:val="24"/>
              </w:rPr>
              <w:footnoteReference w:id="3"/>
            </w:r>
            <w:r w:rsidR="003A49EA" w:rsidRPr="00680DFD">
              <w:rPr>
                <w:rFonts w:ascii="Arial" w:hAnsi="Arial" w:cs="Arial"/>
                <w:sz w:val="24"/>
                <w:szCs w:val="24"/>
              </w:rPr>
              <w:t xml:space="preserve"> it was held that:</w:t>
            </w:r>
          </w:p>
          <w:p w:rsidR="00737C3D" w:rsidRDefault="00737C3D" w:rsidP="00474C2A">
            <w:pPr>
              <w:tabs>
                <w:tab w:val="left" w:pos="837"/>
              </w:tabs>
              <w:spacing w:line="360" w:lineRule="auto"/>
              <w:jc w:val="both"/>
              <w:rPr>
                <w:rFonts w:ascii="Arial" w:hAnsi="Arial" w:cs="Arial"/>
                <w:sz w:val="24"/>
                <w:szCs w:val="24"/>
              </w:rPr>
            </w:pPr>
          </w:p>
          <w:p w:rsidR="003A49EA" w:rsidRPr="003A49EA" w:rsidRDefault="003A49EA" w:rsidP="003A49EA">
            <w:pPr>
              <w:tabs>
                <w:tab w:val="left" w:pos="837"/>
              </w:tabs>
              <w:spacing w:line="360" w:lineRule="auto"/>
              <w:ind w:firstLine="871"/>
              <w:jc w:val="both"/>
              <w:rPr>
                <w:rFonts w:ascii="Arial" w:hAnsi="Arial" w:cs="Arial"/>
              </w:rPr>
            </w:pPr>
            <w:r w:rsidRPr="007B2C80">
              <w:rPr>
                <w:rFonts w:ascii="Arial" w:hAnsi="Arial" w:cs="Arial"/>
              </w:rPr>
              <w:t>‘</w:t>
            </w:r>
            <w:r w:rsidRPr="003A49EA">
              <w:rPr>
                <w:rFonts w:ascii="Arial" w:hAnsi="Arial" w:cs="Arial"/>
              </w:rPr>
              <w:t>When absolution from the instance is sought at the close of the plaintiff's case, the test to be applied is not whether the evidence led by the plaintiff established what would finally be required to be established, but whether there is evidence upon which a court, applying its mind reasonably to such evidence, could or might (not should, nor ought to) find for the plaintiff. Where the plaintiff's case rests on the interpretation of a document, the interpretation of which is in dispute, the interpretation on which the defendant relies has to be beyond question before its application for absolution will succeed. Where the defendant bears the onus in a dispute, absolution should not be granted.’</w:t>
            </w:r>
          </w:p>
          <w:p w:rsidR="003A49EA" w:rsidRDefault="003A49EA" w:rsidP="00474C2A">
            <w:pPr>
              <w:tabs>
                <w:tab w:val="left" w:pos="837"/>
              </w:tabs>
              <w:spacing w:line="360" w:lineRule="auto"/>
              <w:jc w:val="both"/>
              <w:rPr>
                <w:rFonts w:ascii="Arial" w:hAnsi="Arial" w:cs="Arial"/>
                <w:sz w:val="24"/>
                <w:szCs w:val="24"/>
              </w:rPr>
            </w:pPr>
          </w:p>
          <w:p w:rsidR="00737C3D" w:rsidRDefault="00737C3D" w:rsidP="00474C2A">
            <w:pPr>
              <w:tabs>
                <w:tab w:val="left" w:pos="837"/>
              </w:tabs>
              <w:spacing w:line="360" w:lineRule="auto"/>
              <w:jc w:val="both"/>
              <w:rPr>
                <w:rFonts w:ascii="Arial" w:hAnsi="Arial" w:cs="Arial"/>
                <w:sz w:val="24"/>
                <w:szCs w:val="24"/>
              </w:rPr>
            </w:pPr>
            <w:r>
              <w:rPr>
                <w:rFonts w:ascii="Arial" w:hAnsi="Arial" w:cs="Arial"/>
                <w:sz w:val="24"/>
                <w:szCs w:val="24"/>
              </w:rPr>
              <w:t>[32]</w:t>
            </w:r>
            <w:r w:rsidRPr="00812409">
              <w:rPr>
                <w:rFonts w:ascii="Arial" w:hAnsi="Arial" w:cs="Arial"/>
                <w:sz w:val="24"/>
                <w:szCs w:val="24"/>
              </w:rPr>
              <w:tab/>
            </w:r>
            <w:r w:rsidR="0000513F" w:rsidRPr="00680DFD">
              <w:rPr>
                <w:rFonts w:ascii="Arial" w:hAnsi="Arial" w:cs="Arial"/>
                <w:sz w:val="24"/>
                <w:szCs w:val="24"/>
              </w:rPr>
              <w:t>The plaintiff’s claim is founded on breach of contract and the plaintiff had an onus to make out a prima facie case for the breach of contract and the elements of the claim</w:t>
            </w:r>
            <w:r w:rsidR="0000513F">
              <w:rPr>
                <w:rFonts w:ascii="Arial" w:hAnsi="Arial" w:cs="Arial"/>
                <w:sz w:val="24"/>
                <w:szCs w:val="24"/>
              </w:rPr>
              <w:t>.</w:t>
            </w:r>
          </w:p>
          <w:p w:rsidR="00737C3D" w:rsidRDefault="00737C3D" w:rsidP="00474C2A">
            <w:pPr>
              <w:tabs>
                <w:tab w:val="left" w:pos="837"/>
              </w:tabs>
              <w:spacing w:line="360" w:lineRule="auto"/>
              <w:jc w:val="both"/>
              <w:rPr>
                <w:rFonts w:ascii="Arial" w:hAnsi="Arial" w:cs="Arial"/>
                <w:sz w:val="24"/>
                <w:szCs w:val="24"/>
              </w:rPr>
            </w:pPr>
          </w:p>
          <w:p w:rsidR="00737C3D" w:rsidRDefault="00737C3D" w:rsidP="00474C2A">
            <w:pPr>
              <w:tabs>
                <w:tab w:val="left" w:pos="837"/>
              </w:tabs>
              <w:spacing w:line="360" w:lineRule="auto"/>
              <w:jc w:val="both"/>
              <w:rPr>
                <w:rFonts w:ascii="Arial" w:hAnsi="Arial" w:cs="Arial"/>
                <w:sz w:val="24"/>
                <w:szCs w:val="24"/>
              </w:rPr>
            </w:pPr>
            <w:r>
              <w:rPr>
                <w:rFonts w:ascii="Arial" w:hAnsi="Arial" w:cs="Arial"/>
                <w:sz w:val="24"/>
                <w:szCs w:val="24"/>
              </w:rPr>
              <w:t>[33]</w:t>
            </w:r>
            <w:r w:rsidRPr="00812409">
              <w:rPr>
                <w:rFonts w:ascii="Arial" w:hAnsi="Arial" w:cs="Arial"/>
                <w:sz w:val="24"/>
                <w:szCs w:val="24"/>
              </w:rPr>
              <w:tab/>
            </w:r>
            <w:r w:rsidR="0000513F" w:rsidRPr="00680DFD">
              <w:rPr>
                <w:rFonts w:ascii="Arial" w:hAnsi="Arial" w:cs="Arial"/>
                <w:sz w:val="24"/>
                <w:szCs w:val="24"/>
              </w:rPr>
              <w:t>In the current instance, the terms and conditions of the agreement between the parties are common cause. It is further common cause that there was a performance by the plaintiff and that the first defendant failed to perform in terms of the agreement</w:t>
            </w:r>
            <w:r w:rsidR="0000513F">
              <w:rPr>
                <w:rFonts w:ascii="Arial" w:hAnsi="Arial" w:cs="Arial"/>
                <w:sz w:val="24"/>
                <w:szCs w:val="24"/>
              </w:rPr>
              <w:t>.</w:t>
            </w:r>
          </w:p>
          <w:p w:rsidR="00737C3D" w:rsidRDefault="00737C3D" w:rsidP="00474C2A">
            <w:pPr>
              <w:tabs>
                <w:tab w:val="left" w:pos="837"/>
              </w:tabs>
              <w:spacing w:line="360" w:lineRule="auto"/>
              <w:jc w:val="both"/>
              <w:rPr>
                <w:rFonts w:ascii="Arial" w:hAnsi="Arial" w:cs="Arial"/>
                <w:sz w:val="24"/>
                <w:szCs w:val="24"/>
              </w:rPr>
            </w:pPr>
          </w:p>
          <w:p w:rsidR="00737C3D" w:rsidRDefault="00737C3D" w:rsidP="00474C2A">
            <w:pPr>
              <w:tabs>
                <w:tab w:val="left" w:pos="837"/>
              </w:tabs>
              <w:spacing w:line="360" w:lineRule="auto"/>
              <w:jc w:val="both"/>
              <w:rPr>
                <w:rFonts w:ascii="Arial" w:hAnsi="Arial" w:cs="Arial"/>
                <w:sz w:val="24"/>
                <w:szCs w:val="24"/>
              </w:rPr>
            </w:pPr>
            <w:r>
              <w:rPr>
                <w:rFonts w:ascii="Arial" w:hAnsi="Arial" w:cs="Arial"/>
                <w:sz w:val="24"/>
                <w:szCs w:val="24"/>
              </w:rPr>
              <w:t>[34]</w:t>
            </w:r>
            <w:r w:rsidRPr="00812409">
              <w:rPr>
                <w:rFonts w:ascii="Arial" w:hAnsi="Arial" w:cs="Arial"/>
                <w:sz w:val="24"/>
                <w:szCs w:val="24"/>
              </w:rPr>
              <w:tab/>
            </w:r>
            <w:r w:rsidR="0000513F" w:rsidRPr="00680DFD">
              <w:rPr>
                <w:rFonts w:ascii="Arial" w:hAnsi="Arial" w:cs="Arial"/>
                <w:sz w:val="24"/>
                <w:szCs w:val="24"/>
              </w:rPr>
              <w:t>In the alternative, the plaintiff claims unjust enrichment and had to make out a prima facie case that the first defendant received a benefit at the expense of the plaintiff and that it would be under the circumstances unjust for the first defendant to retain the benefit without the corresponding compensation</w:t>
            </w:r>
            <w:r w:rsidR="0000513F">
              <w:rPr>
                <w:rFonts w:ascii="Arial" w:hAnsi="Arial" w:cs="Arial"/>
                <w:sz w:val="24"/>
                <w:szCs w:val="24"/>
              </w:rPr>
              <w:t>.</w:t>
            </w:r>
          </w:p>
          <w:p w:rsidR="00737C3D" w:rsidRDefault="00737C3D" w:rsidP="00474C2A">
            <w:pPr>
              <w:tabs>
                <w:tab w:val="left" w:pos="837"/>
              </w:tabs>
              <w:spacing w:line="360" w:lineRule="auto"/>
              <w:jc w:val="both"/>
              <w:rPr>
                <w:rFonts w:ascii="Arial" w:hAnsi="Arial" w:cs="Arial"/>
                <w:sz w:val="24"/>
                <w:szCs w:val="24"/>
              </w:rPr>
            </w:pPr>
          </w:p>
          <w:p w:rsidR="00737C3D" w:rsidRDefault="00737C3D" w:rsidP="00474C2A">
            <w:pPr>
              <w:tabs>
                <w:tab w:val="left" w:pos="837"/>
              </w:tabs>
              <w:spacing w:line="360" w:lineRule="auto"/>
              <w:jc w:val="both"/>
              <w:rPr>
                <w:rFonts w:ascii="Arial" w:hAnsi="Arial" w:cs="Arial"/>
                <w:sz w:val="24"/>
                <w:szCs w:val="24"/>
              </w:rPr>
            </w:pPr>
            <w:r>
              <w:rPr>
                <w:rFonts w:ascii="Arial" w:hAnsi="Arial" w:cs="Arial"/>
                <w:sz w:val="24"/>
                <w:szCs w:val="24"/>
              </w:rPr>
              <w:t>[35]</w:t>
            </w:r>
            <w:r w:rsidRPr="00812409">
              <w:rPr>
                <w:rFonts w:ascii="Arial" w:hAnsi="Arial" w:cs="Arial"/>
                <w:sz w:val="24"/>
                <w:szCs w:val="24"/>
              </w:rPr>
              <w:tab/>
            </w:r>
            <w:r w:rsidR="0000513F" w:rsidRPr="00680DFD">
              <w:rPr>
                <w:rFonts w:ascii="Arial" w:hAnsi="Arial" w:cs="Arial"/>
                <w:sz w:val="24"/>
                <w:szCs w:val="24"/>
              </w:rPr>
              <w:t>I am satisfied that the plaintiff successfully crossed the threshold set at the close of the plaintiff’s case in order for the case to advance further. The first defendant relies on calculations and an amortization schedule in defence to the claim of the plaintiff. I am of the view that for reasons advanced on behalf of the pla</w:t>
            </w:r>
            <w:r w:rsidR="0000513F">
              <w:rPr>
                <w:rFonts w:ascii="Arial" w:hAnsi="Arial" w:cs="Arial"/>
                <w:sz w:val="24"/>
                <w:szCs w:val="24"/>
              </w:rPr>
              <w:t>intiff set out above that there</w:t>
            </w:r>
            <w:r w:rsidR="0000513F" w:rsidRPr="00680DFD">
              <w:rPr>
                <w:rFonts w:ascii="Arial" w:hAnsi="Arial" w:cs="Arial"/>
                <w:sz w:val="24"/>
                <w:szCs w:val="24"/>
              </w:rPr>
              <w:t xml:space="preserve"> is </w:t>
            </w:r>
            <w:r w:rsidR="0000513F">
              <w:rPr>
                <w:rFonts w:ascii="Arial" w:hAnsi="Arial" w:cs="Arial"/>
                <w:sz w:val="24"/>
                <w:szCs w:val="24"/>
              </w:rPr>
              <w:t xml:space="preserve">indeed </w:t>
            </w:r>
            <w:r w:rsidR="0000513F" w:rsidRPr="00680DFD">
              <w:rPr>
                <w:rFonts w:ascii="Arial" w:hAnsi="Arial" w:cs="Arial"/>
                <w:sz w:val="24"/>
                <w:szCs w:val="24"/>
              </w:rPr>
              <w:t xml:space="preserve">an onus of rebuttal </w:t>
            </w:r>
            <w:r w:rsidR="0000513F" w:rsidRPr="00680DFD">
              <w:rPr>
                <w:rFonts w:ascii="Arial" w:hAnsi="Arial" w:cs="Arial"/>
                <w:sz w:val="24"/>
                <w:szCs w:val="24"/>
              </w:rPr>
              <w:lastRenderedPageBreak/>
              <w:t>on the first defendant. At this stage</w:t>
            </w:r>
            <w:r w:rsidR="0000513F">
              <w:rPr>
                <w:rFonts w:ascii="Arial" w:hAnsi="Arial" w:cs="Arial"/>
                <w:sz w:val="24"/>
                <w:szCs w:val="24"/>
              </w:rPr>
              <w:t>,</w:t>
            </w:r>
            <w:r w:rsidR="0000513F" w:rsidRPr="00680DFD">
              <w:rPr>
                <w:rFonts w:ascii="Arial" w:hAnsi="Arial" w:cs="Arial"/>
                <w:sz w:val="24"/>
                <w:szCs w:val="24"/>
              </w:rPr>
              <w:t xml:space="preserve"> there is no evidence before this court in support of the cross-examination directed to the plaintiff’s witnesses</w:t>
            </w:r>
            <w:r w:rsidR="0000513F">
              <w:rPr>
                <w:rFonts w:ascii="Arial" w:hAnsi="Arial" w:cs="Arial"/>
                <w:sz w:val="24"/>
                <w:szCs w:val="24"/>
              </w:rPr>
              <w:t>.</w:t>
            </w:r>
          </w:p>
          <w:p w:rsidR="00737C3D" w:rsidRDefault="00737C3D" w:rsidP="00474C2A">
            <w:pPr>
              <w:tabs>
                <w:tab w:val="left" w:pos="837"/>
              </w:tabs>
              <w:spacing w:line="360" w:lineRule="auto"/>
              <w:jc w:val="both"/>
              <w:rPr>
                <w:rFonts w:ascii="Arial" w:hAnsi="Arial" w:cs="Arial"/>
                <w:sz w:val="24"/>
                <w:szCs w:val="24"/>
              </w:rPr>
            </w:pPr>
          </w:p>
          <w:p w:rsidR="00737C3D" w:rsidRDefault="00737C3D" w:rsidP="00474C2A">
            <w:pPr>
              <w:tabs>
                <w:tab w:val="left" w:pos="837"/>
              </w:tabs>
              <w:spacing w:line="360" w:lineRule="auto"/>
              <w:jc w:val="both"/>
              <w:rPr>
                <w:rFonts w:ascii="Arial" w:hAnsi="Arial" w:cs="Arial"/>
                <w:sz w:val="24"/>
                <w:szCs w:val="24"/>
              </w:rPr>
            </w:pPr>
            <w:r>
              <w:rPr>
                <w:rFonts w:ascii="Arial" w:hAnsi="Arial" w:cs="Arial"/>
                <w:sz w:val="24"/>
                <w:szCs w:val="24"/>
              </w:rPr>
              <w:t>[36]</w:t>
            </w:r>
            <w:r w:rsidRPr="00812409">
              <w:rPr>
                <w:rFonts w:ascii="Arial" w:hAnsi="Arial" w:cs="Arial"/>
                <w:sz w:val="24"/>
                <w:szCs w:val="24"/>
              </w:rPr>
              <w:tab/>
            </w:r>
            <w:r w:rsidR="0000513F" w:rsidRPr="00680DFD">
              <w:rPr>
                <w:rFonts w:ascii="Arial" w:hAnsi="Arial" w:cs="Arial"/>
                <w:sz w:val="24"/>
                <w:szCs w:val="24"/>
              </w:rPr>
              <w:t>For these reasons, I find that the plaintiff indeed tendered evidence upon which a court, properly directed and applying its mind reasonably to such evidence, could or might find for the plaintiff</w:t>
            </w:r>
            <w:r w:rsidR="0000513F">
              <w:rPr>
                <w:rFonts w:ascii="Arial" w:hAnsi="Arial" w:cs="Arial"/>
                <w:sz w:val="24"/>
                <w:szCs w:val="24"/>
              </w:rPr>
              <w:t>. Accordingly,</w:t>
            </w:r>
            <w:r w:rsidR="0000513F" w:rsidRPr="00680DFD">
              <w:rPr>
                <w:rFonts w:ascii="Arial" w:hAnsi="Arial" w:cs="Arial"/>
                <w:sz w:val="24"/>
                <w:szCs w:val="24"/>
              </w:rPr>
              <w:t xml:space="preserve"> the application for absolution is dismissed</w:t>
            </w:r>
            <w:r w:rsidR="0000513F">
              <w:rPr>
                <w:rFonts w:ascii="Arial" w:hAnsi="Arial" w:cs="Arial"/>
                <w:sz w:val="24"/>
                <w:szCs w:val="24"/>
              </w:rPr>
              <w:t>.</w:t>
            </w:r>
          </w:p>
          <w:p w:rsidR="00737C3D" w:rsidRDefault="00737C3D" w:rsidP="00474C2A">
            <w:pPr>
              <w:tabs>
                <w:tab w:val="left" w:pos="837"/>
              </w:tabs>
              <w:spacing w:line="360" w:lineRule="auto"/>
              <w:jc w:val="both"/>
              <w:rPr>
                <w:rFonts w:ascii="Arial" w:hAnsi="Arial" w:cs="Arial"/>
                <w:sz w:val="24"/>
                <w:szCs w:val="24"/>
              </w:rPr>
            </w:pPr>
          </w:p>
          <w:p w:rsidR="00737C3D" w:rsidRDefault="00737C3D" w:rsidP="00474C2A">
            <w:pPr>
              <w:tabs>
                <w:tab w:val="left" w:pos="837"/>
              </w:tabs>
              <w:spacing w:line="360" w:lineRule="auto"/>
              <w:jc w:val="both"/>
              <w:rPr>
                <w:rFonts w:ascii="Arial" w:hAnsi="Arial" w:cs="Arial"/>
                <w:sz w:val="24"/>
                <w:szCs w:val="24"/>
              </w:rPr>
            </w:pPr>
            <w:r>
              <w:rPr>
                <w:rFonts w:ascii="Arial" w:hAnsi="Arial" w:cs="Arial"/>
                <w:sz w:val="24"/>
                <w:szCs w:val="24"/>
              </w:rPr>
              <w:t>[37]</w:t>
            </w:r>
            <w:r w:rsidRPr="00812409">
              <w:rPr>
                <w:rFonts w:ascii="Arial" w:hAnsi="Arial" w:cs="Arial"/>
                <w:sz w:val="24"/>
                <w:szCs w:val="24"/>
              </w:rPr>
              <w:tab/>
            </w:r>
            <w:r w:rsidR="0000513F">
              <w:rPr>
                <w:rFonts w:ascii="Arial" w:hAnsi="Arial" w:cs="Arial"/>
                <w:sz w:val="24"/>
                <w:szCs w:val="24"/>
              </w:rPr>
              <w:t>As a</w:t>
            </w:r>
            <w:r w:rsidR="0000513F" w:rsidRPr="00680DFD">
              <w:rPr>
                <w:rFonts w:ascii="Arial" w:hAnsi="Arial" w:cs="Arial"/>
                <w:sz w:val="24"/>
                <w:szCs w:val="24"/>
              </w:rPr>
              <w:t xml:space="preserve"> result, I make </w:t>
            </w:r>
            <w:r w:rsidR="0000513F">
              <w:rPr>
                <w:rFonts w:ascii="Arial" w:hAnsi="Arial" w:cs="Arial"/>
                <w:sz w:val="24"/>
                <w:szCs w:val="24"/>
              </w:rPr>
              <w:t xml:space="preserve">the </w:t>
            </w:r>
            <w:r w:rsidR="0000513F" w:rsidRPr="00680DFD">
              <w:rPr>
                <w:rFonts w:ascii="Arial" w:hAnsi="Arial" w:cs="Arial"/>
                <w:sz w:val="24"/>
                <w:szCs w:val="24"/>
              </w:rPr>
              <w:t>order</w:t>
            </w:r>
            <w:r w:rsidR="0000513F">
              <w:rPr>
                <w:rFonts w:ascii="Arial" w:hAnsi="Arial" w:cs="Arial"/>
                <w:sz w:val="24"/>
                <w:szCs w:val="24"/>
              </w:rPr>
              <w:t xml:space="preserve"> as set out above.</w:t>
            </w:r>
          </w:p>
          <w:p w:rsidR="00C04F28" w:rsidRPr="00CA7995" w:rsidRDefault="00C04F28" w:rsidP="00474C2A">
            <w:pPr>
              <w:tabs>
                <w:tab w:val="left" w:pos="837"/>
              </w:tabs>
              <w:spacing w:line="360" w:lineRule="auto"/>
              <w:jc w:val="both"/>
              <w:rPr>
                <w:rFonts w:ascii="Arial" w:hAnsi="Arial" w:cs="Arial"/>
                <w:sz w:val="24"/>
                <w:szCs w:val="24"/>
              </w:rPr>
            </w:pPr>
          </w:p>
        </w:tc>
      </w:tr>
      <w:tr w:rsidR="00CA7995" w:rsidRPr="00CA7995" w:rsidTr="0000513F">
        <w:tc>
          <w:tcPr>
            <w:tcW w:w="5232"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244"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00513F">
        <w:trPr>
          <w:trHeight w:val="1114"/>
        </w:trPr>
        <w:tc>
          <w:tcPr>
            <w:tcW w:w="5232" w:type="dxa"/>
          </w:tcPr>
          <w:p w:rsidR="00B40844" w:rsidRPr="00CA7995" w:rsidRDefault="00B40844" w:rsidP="00937C89">
            <w:pPr>
              <w:spacing w:line="360" w:lineRule="auto"/>
              <w:jc w:val="both"/>
              <w:rPr>
                <w:rFonts w:ascii="Arial" w:hAnsi="Arial" w:cs="Arial"/>
                <w:sz w:val="24"/>
                <w:szCs w:val="24"/>
              </w:rPr>
            </w:pPr>
          </w:p>
          <w:p w:rsidR="0000513F" w:rsidRPr="00CA7995" w:rsidRDefault="0000513F"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244"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002E9A">
        <w:tc>
          <w:tcPr>
            <w:tcW w:w="10476"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00513F">
        <w:tc>
          <w:tcPr>
            <w:tcW w:w="5232" w:type="dxa"/>
          </w:tcPr>
          <w:p w:rsidR="00B40844" w:rsidRPr="00CA7995" w:rsidRDefault="00D24453" w:rsidP="00937C89">
            <w:pPr>
              <w:spacing w:line="360" w:lineRule="auto"/>
              <w:jc w:val="center"/>
              <w:rPr>
                <w:rFonts w:ascii="Arial" w:hAnsi="Arial" w:cs="Arial"/>
                <w:b/>
                <w:sz w:val="24"/>
                <w:szCs w:val="24"/>
              </w:rPr>
            </w:pPr>
            <w:r>
              <w:rPr>
                <w:rFonts w:ascii="Arial" w:hAnsi="Arial" w:cs="Arial"/>
                <w:b/>
                <w:sz w:val="24"/>
                <w:szCs w:val="24"/>
              </w:rPr>
              <w:t>Plaintiff</w:t>
            </w:r>
          </w:p>
        </w:tc>
        <w:tc>
          <w:tcPr>
            <w:tcW w:w="5244" w:type="dxa"/>
            <w:gridSpan w:val="2"/>
          </w:tcPr>
          <w:p w:rsidR="00B40844" w:rsidRPr="00CA7995" w:rsidRDefault="0000513F" w:rsidP="00937C89">
            <w:pPr>
              <w:spacing w:line="360" w:lineRule="auto"/>
              <w:jc w:val="center"/>
              <w:rPr>
                <w:rFonts w:ascii="Arial" w:hAnsi="Arial" w:cs="Arial"/>
                <w:b/>
                <w:sz w:val="24"/>
                <w:szCs w:val="24"/>
              </w:rPr>
            </w:pPr>
            <w:r>
              <w:rPr>
                <w:rFonts w:ascii="Arial" w:hAnsi="Arial" w:cs="Arial"/>
                <w:b/>
                <w:sz w:val="24"/>
                <w:szCs w:val="24"/>
              </w:rPr>
              <w:t>First Defendant</w:t>
            </w:r>
          </w:p>
        </w:tc>
      </w:tr>
      <w:tr w:rsidR="00CA7995" w:rsidRPr="00CA7995" w:rsidTr="0000513F">
        <w:tc>
          <w:tcPr>
            <w:tcW w:w="5232" w:type="dxa"/>
          </w:tcPr>
          <w:p w:rsidR="00B40844" w:rsidRPr="00D24453" w:rsidRDefault="0000513F" w:rsidP="00937C89">
            <w:pPr>
              <w:spacing w:line="360" w:lineRule="auto"/>
              <w:jc w:val="center"/>
              <w:rPr>
                <w:rFonts w:ascii="Arial" w:hAnsi="Arial" w:cs="Arial"/>
                <w:sz w:val="24"/>
                <w:szCs w:val="24"/>
              </w:rPr>
            </w:pPr>
            <w:r>
              <w:rPr>
                <w:rFonts w:ascii="Arial" w:hAnsi="Arial" w:cs="Arial"/>
                <w:sz w:val="24"/>
                <w:szCs w:val="24"/>
              </w:rPr>
              <w:t>M KUZEEKO</w:t>
            </w:r>
          </w:p>
          <w:p w:rsidR="00B40844" w:rsidRPr="00D24453" w:rsidRDefault="00B40844" w:rsidP="00937C89">
            <w:pPr>
              <w:spacing w:line="360" w:lineRule="auto"/>
              <w:jc w:val="center"/>
              <w:rPr>
                <w:rFonts w:ascii="Arial" w:hAnsi="Arial" w:cs="Arial"/>
                <w:i/>
                <w:sz w:val="24"/>
                <w:szCs w:val="24"/>
              </w:rPr>
            </w:pPr>
            <w:r w:rsidRPr="00D24453">
              <w:rPr>
                <w:rFonts w:ascii="Arial" w:hAnsi="Arial" w:cs="Arial"/>
                <w:i/>
                <w:sz w:val="24"/>
                <w:szCs w:val="24"/>
              </w:rPr>
              <w:t>of</w:t>
            </w:r>
          </w:p>
          <w:p w:rsidR="00B40844" w:rsidRPr="00D24453" w:rsidRDefault="0000513F" w:rsidP="00937C89">
            <w:pPr>
              <w:spacing w:line="360" w:lineRule="auto"/>
              <w:jc w:val="center"/>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Weder</w:t>
            </w:r>
            <w:proofErr w:type="spellEnd"/>
            <w:r>
              <w:rPr>
                <w:rFonts w:ascii="Arial" w:hAnsi="Arial" w:cs="Arial"/>
                <w:sz w:val="24"/>
                <w:szCs w:val="24"/>
              </w:rPr>
              <w:t xml:space="preserve">, </w:t>
            </w:r>
            <w:proofErr w:type="spellStart"/>
            <w:r>
              <w:rPr>
                <w:rFonts w:ascii="Arial" w:hAnsi="Arial" w:cs="Arial"/>
                <w:sz w:val="24"/>
                <w:szCs w:val="24"/>
              </w:rPr>
              <w:t>Kauta</w:t>
            </w:r>
            <w:proofErr w:type="spellEnd"/>
            <w:r>
              <w:rPr>
                <w:rFonts w:ascii="Arial" w:hAnsi="Arial" w:cs="Arial"/>
                <w:sz w:val="24"/>
                <w:szCs w:val="24"/>
              </w:rPr>
              <w:t xml:space="preserve"> &amp; </w:t>
            </w:r>
            <w:proofErr w:type="spellStart"/>
            <w:r>
              <w:rPr>
                <w:rFonts w:ascii="Arial" w:hAnsi="Arial" w:cs="Arial"/>
                <w:sz w:val="24"/>
                <w:szCs w:val="24"/>
              </w:rPr>
              <w:t>Hoveka</w:t>
            </w:r>
            <w:proofErr w:type="spellEnd"/>
            <w:r>
              <w:rPr>
                <w:rFonts w:ascii="Arial" w:hAnsi="Arial" w:cs="Arial"/>
                <w:sz w:val="24"/>
                <w:szCs w:val="24"/>
              </w:rPr>
              <w:t xml:space="preserve"> Inc.</w:t>
            </w:r>
            <w:r w:rsidR="00B40844" w:rsidRPr="00D24453">
              <w:rPr>
                <w:rFonts w:ascii="Arial" w:hAnsi="Arial" w:cs="Arial"/>
                <w:sz w:val="24"/>
                <w:szCs w:val="24"/>
              </w:rPr>
              <w:t>, Windhoek</w:t>
            </w:r>
          </w:p>
          <w:p w:rsidR="00B40844" w:rsidRPr="00D24453" w:rsidRDefault="00B40844" w:rsidP="00937C89">
            <w:pPr>
              <w:spacing w:line="360" w:lineRule="auto"/>
              <w:jc w:val="center"/>
              <w:rPr>
                <w:rFonts w:ascii="Arial" w:hAnsi="Arial" w:cs="Arial"/>
                <w:sz w:val="24"/>
                <w:szCs w:val="24"/>
              </w:rPr>
            </w:pPr>
          </w:p>
        </w:tc>
        <w:tc>
          <w:tcPr>
            <w:tcW w:w="5244" w:type="dxa"/>
            <w:gridSpan w:val="2"/>
          </w:tcPr>
          <w:p w:rsidR="00B40844" w:rsidRPr="00CA7995" w:rsidRDefault="0000513F" w:rsidP="00937C89">
            <w:pPr>
              <w:spacing w:line="360" w:lineRule="auto"/>
              <w:jc w:val="center"/>
              <w:rPr>
                <w:rFonts w:ascii="Arial" w:hAnsi="Arial" w:cs="Arial"/>
                <w:sz w:val="24"/>
                <w:szCs w:val="24"/>
              </w:rPr>
            </w:pPr>
            <w:r>
              <w:rPr>
                <w:rFonts w:ascii="Arial" w:hAnsi="Arial" w:cs="Arial"/>
                <w:sz w:val="24"/>
                <w:szCs w:val="24"/>
              </w:rPr>
              <w:t>A DELPORT</w:t>
            </w:r>
          </w:p>
          <w:p w:rsidR="00B40844" w:rsidRPr="0000513F" w:rsidRDefault="0000513F" w:rsidP="00937C89">
            <w:pPr>
              <w:spacing w:line="360" w:lineRule="auto"/>
              <w:jc w:val="center"/>
              <w:rPr>
                <w:rFonts w:ascii="Arial" w:hAnsi="Arial" w:cs="Arial"/>
                <w:i/>
                <w:sz w:val="24"/>
                <w:szCs w:val="24"/>
              </w:rPr>
            </w:pPr>
            <w:r>
              <w:rPr>
                <w:rFonts w:ascii="Arial" w:hAnsi="Arial" w:cs="Arial"/>
                <w:i/>
                <w:sz w:val="24"/>
                <w:szCs w:val="24"/>
              </w:rPr>
              <w:t>o</w:t>
            </w:r>
            <w:r w:rsidRPr="0000513F">
              <w:rPr>
                <w:rFonts w:ascii="Arial" w:hAnsi="Arial" w:cs="Arial"/>
                <w:i/>
                <w:sz w:val="24"/>
                <w:szCs w:val="24"/>
              </w:rPr>
              <w:t>f</w:t>
            </w:r>
          </w:p>
          <w:p w:rsidR="0000513F" w:rsidRPr="00CA7995" w:rsidRDefault="0000513F" w:rsidP="00937C89">
            <w:pPr>
              <w:spacing w:line="360" w:lineRule="auto"/>
              <w:jc w:val="center"/>
              <w:rPr>
                <w:rFonts w:ascii="Arial" w:hAnsi="Arial" w:cs="Arial"/>
                <w:sz w:val="24"/>
                <w:szCs w:val="24"/>
              </w:rPr>
            </w:pPr>
            <w:proofErr w:type="spellStart"/>
            <w:r>
              <w:rPr>
                <w:rFonts w:ascii="Arial" w:hAnsi="Arial" w:cs="Arial"/>
                <w:sz w:val="24"/>
                <w:szCs w:val="24"/>
              </w:rPr>
              <w:t>Delport</w:t>
            </w:r>
            <w:proofErr w:type="spellEnd"/>
            <w:r>
              <w:rPr>
                <w:rFonts w:ascii="Arial" w:hAnsi="Arial" w:cs="Arial"/>
                <w:sz w:val="24"/>
                <w:szCs w:val="24"/>
              </w:rPr>
              <w:t xml:space="preserve"> Legal Practitioners, Windhoek</w:t>
            </w:r>
          </w:p>
        </w:tc>
      </w:tr>
      <w:tr w:rsidR="0000513F" w:rsidRPr="00CA7995" w:rsidTr="0000513F">
        <w:tc>
          <w:tcPr>
            <w:tcW w:w="5232" w:type="dxa"/>
          </w:tcPr>
          <w:p w:rsidR="0000513F" w:rsidRDefault="0000513F" w:rsidP="00937C89">
            <w:pPr>
              <w:spacing w:line="360" w:lineRule="auto"/>
              <w:jc w:val="center"/>
              <w:rPr>
                <w:rFonts w:ascii="Arial" w:hAnsi="Arial" w:cs="Arial"/>
                <w:sz w:val="24"/>
                <w:szCs w:val="24"/>
              </w:rPr>
            </w:pPr>
          </w:p>
        </w:tc>
        <w:tc>
          <w:tcPr>
            <w:tcW w:w="5244" w:type="dxa"/>
            <w:gridSpan w:val="2"/>
          </w:tcPr>
          <w:p w:rsidR="0000513F" w:rsidRPr="0000513F" w:rsidRDefault="0000513F" w:rsidP="00937C89">
            <w:pPr>
              <w:spacing w:line="360" w:lineRule="auto"/>
              <w:jc w:val="center"/>
              <w:rPr>
                <w:rFonts w:ascii="Arial" w:hAnsi="Arial" w:cs="Arial"/>
                <w:b/>
                <w:sz w:val="24"/>
                <w:szCs w:val="24"/>
              </w:rPr>
            </w:pPr>
            <w:r w:rsidRPr="0000513F">
              <w:rPr>
                <w:rFonts w:ascii="Arial" w:hAnsi="Arial" w:cs="Arial"/>
                <w:b/>
                <w:sz w:val="24"/>
                <w:szCs w:val="24"/>
              </w:rPr>
              <w:t>Second Defendant</w:t>
            </w:r>
          </w:p>
        </w:tc>
      </w:tr>
      <w:tr w:rsidR="0000513F" w:rsidRPr="00CA7995" w:rsidTr="0000513F">
        <w:tc>
          <w:tcPr>
            <w:tcW w:w="5232" w:type="dxa"/>
          </w:tcPr>
          <w:p w:rsidR="0000513F" w:rsidRDefault="0000513F" w:rsidP="00937C89">
            <w:pPr>
              <w:spacing w:line="360" w:lineRule="auto"/>
              <w:jc w:val="center"/>
              <w:rPr>
                <w:rFonts w:ascii="Arial" w:hAnsi="Arial" w:cs="Arial"/>
                <w:sz w:val="24"/>
                <w:szCs w:val="24"/>
              </w:rPr>
            </w:pPr>
          </w:p>
        </w:tc>
        <w:tc>
          <w:tcPr>
            <w:tcW w:w="5244" w:type="dxa"/>
            <w:gridSpan w:val="2"/>
          </w:tcPr>
          <w:p w:rsidR="0000513F" w:rsidRDefault="0000513F" w:rsidP="00937C89">
            <w:pPr>
              <w:spacing w:line="360" w:lineRule="auto"/>
              <w:jc w:val="center"/>
              <w:rPr>
                <w:rFonts w:ascii="Arial" w:hAnsi="Arial" w:cs="Arial"/>
                <w:sz w:val="24"/>
                <w:szCs w:val="24"/>
              </w:rPr>
            </w:pPr>
            <w:r>
              <w:rPr>
                <w:rFonts w:ascii="Arial" w:hAnsi="Arial" w:cs="Arial"/>
                <w:sz w:val="24"/>
                <w:szCs w:val="24"/>
              </w:rPr>
              <w:t>D HANS-KAUMBI</w:t>
            </w:r>
          </w:p>
          <w:p w:rsidR="0000513F" w:rsidRPr="0000513F" w:rsidRDefault="0000513F" w:rsidP="00937C89">
            <w:pPr>
              <w:spacing w:line="360" w:lineRule="auto"/>
              <w:jc w:val="center"/>
              <w:rPr>
                <w:rFonts w:ascii="Arial" w:hAnsi="Arial" w:cs="Arial"/>
                <w:i/>
                <w:sz w:val="24"/>
                <w:szCs w:val="24"/>
              </w:rPr>
            </w:pPr>
            <w:r w:rsidRPr="0000513F">
              <w:rPr>
                <w:rFonts w:ascii="Arial" w:hAnsi="Arial" w:cs="Arial"/>
                <w:i/>
                <w:sz w:val="24"/>
                <w:szCs w:val="24"/>
              </w:rPr>
              <w:t>of</w:t>
            </w:r>
          </w:p>
          <w:p w:rsidR="0000513F" w:rsidRDefault="0000513F" w:rsidP="00937C89">
            <w:pPr>
              <w:spacing w:line="360" w:lineRule="auto"/>
              <w:jc w:val="center"/>
              <w:rPr>
                <w:rFonts w:ascii="Arial" w:hAnsi="Arial" w:cs="Arial"/>
                <w:sz w:val="24"/>
                <w:szCs w:val="24"/>
              </w:rPr>
            </w:pPr>
            <w:proofErr w:type="spellStart"/>
            <w:r w:rsidRPr="007B2C80">
              <w:rPr>
                <w:rFonts w:ascii="Arial" w:hAnsi="Arial" w:cs="Arial"/>
                <w:sz w:val="24"/>
                <w:szCs w:val="24"/>
              </w:rPr>
              <w:t>Ueitele</w:t>
            </w:r>
            <w:proofErr w:type="spellEnd"/>
            <w:r w:rsidRPr="007B2C80">
              <w:rPr>
                <w:rFonts w:ascii="Arial" w:hAnsi="Arial" w:cs="Arial"/>
                <w:sz w:val="24"/>
                <w:szCs w:val="24"/>
              </w:rPr>
              <w:t xml:space="preserve"> &amp; Hans Inc</w:t>
            </w:r>
            <w:r>
              <w:rPr>
                <w:rFonts w:ascii="Arial" w:hAnsi="Arial" w:cs="Arial"/>
                <w:sz w:val="24"/>
                <w:szCs w:val="24"/>
              </w:rPr>
              <w:t>., Windhoek</w:t>
            </w:r>
          </w:p>
          <w:p w:rsidR="0000513F" w:rsidRDefault="0000513F" w:rsidP="00937C89">
            <w:pPr>
              <w:spacing w:line="360" w:lineRule="auto"/>
              <w:jc w:val="center"/>
              <w:rPr>
                <w:rFonts w:ascii="Arial" w:hAnsi="Arial" w:cs="Arial"/>
                <w:sz w:val="24"/>
                <w:szCs w:val="24"/>
              </w:rPr>
            </w:pPr>
          </w:p>
        </w:tc>
      </w:tr>
    </w:tbl>
    <w:p w:rsidR="00B845CF" w:rsidRDefault="00B845CF"/>
    <w:sectPr w:rsidR="00B845CF" w:rsidSect="00002E9A">
      <w:footerReference w:type="default" r:id="rId9"/>
      <w:pgSz w:w="11906" w:h="16838"/>
      <w:pgMar w:top="851" w:right="1080" w:bottom="851" w:left="108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E4E" w:rsidRDefault="00FB2E4E" w:rsidP="00B40844">
      <w:pPr>
        <w:spacing w:after="0" w:line="240" w:lineRule="auto"/>
      </w:pPr>
      <w:r>
        <w:separator/>
      </w:r>
    </w:p>
  </w:endnote>
  <w:endnote w:type="continuationSeparator" w:id="0">
    <w:p w:rsidR="00FB2E4E" w:rsidRDefault="00FB2E4E"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255899"/>
      <w:docPartObj>
        <w:docPartGallery w:val="Page Numbers (Bottom of Page)"/>
        <w:docPartUnique/>
      </w:docPartObj>
    </w:sdtPr>
    <w:sdtEndPr>
      <w:rPr>
        <w:rFonts w:ascii="Arial" w:hAnsi="Arial" w:cs="Arial"/>
        <w:noProof/>
        <w:sz w:val="20"/>
        <w:szCs w:val="20"/>
      </w:rPr>
    </w:sdtEndPr>
    <w:sdtContent>
      <w:p w:rsidR="00937C89" w:rsidRPr="00F674F4" w:rsidRDefault="00937C89">
        <w:pPr>
          <w:pStyle w:val="Footer"/>
          <w:jc w:val="right"/>
          <w:rPr>
            <w:rFonts w:ascii="Arial" w:hAnsi="Arial" w:cs="Arial"/>
            <w:sz w:val="20"/>
            <w:szCs w:val="20"/>
          </w:rPr>
        </w:pPr>
        <w:r w:rsidRPr="00F674F4">
          <w:rPr>
            <w:rFonts w:ascii="Arial" w:hAnsi="Arial" w:cs="Arial"/>
            <w:sz w:val="20"/>
            <w:szCs w:val="20"/>
          </w:rPr>
          <w:fldChar w:fldCharType="begin"/>
        </w:r>
        <w:r w:rsidRPr="00F674F4">
          <w:rPr>
            <w:rFonts w:ascii="Arial" w:hAnsi="Arial" w:cs="Arial"/>
            <w:sz w:val="20"/>
            <w:szCs w:val="20"/>
          </w:rPr>
          <w:instrText xml:space="preserve"> PAGE   \* MERGEFORMAT </w:instrText>
        </w:r>
        <w:r w:rsidRPr="00F674F4">
          <w:rPr>
            <w:rFonts w:ascii="Arial" w:hAnsi="Arial" w:cs="Arial"/>
            <w:sz w:val="20"/>
            <w:szCs w:val="20"/>
          </w:rPr>
          <w:fldChar w:fldCharType="separate"/>
        </w:r>
        <w:r w:rsidR="00BB3DF3">
          <w:rPr>
            <w:rFonts w:ascii="Arial" w:hAnsi="Arial" w:cs="Arial"/>
            <w:noProof/>
            <w:sz w:val="20"/>
            <w:szCs w:val="20"/>
          </w:rPr>
          <w:t>2</w:t>
        </w:r>
        <w:r w:rsidRPr="00F674F4">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E4E" w:rsidRDefault="00FB2E4E" w:rsidP="00B40844">
      <w:pPr>
        <w:spacing w:after="0" w:line="240" w:lineRule="auto"/>
      </w:pPr>
      <w:r>
        <w:separator/>
      </w:r>
    </w:p>
  </w:footnote>
  <w:footnote w:type="continuationSeparator" w:id="0">
    <w:p w:rsidR="00FB2E4E" w:rsidRDefault="00FB2E4E" w:rsidP="00B40844">
      <w:pPr>
        <w:spacing w:after="0" w:line="240" w:lineRule="auto"/>
      </w:pPr>
      <w:r>
        <w:continuationSeparator/>
      </w:r>
    </w:p>
  </w:footnote>
  <w:footnote w:id="1">
    <w:p w:rsidR="008F5871" w:rsidRPr="008F5871" w:rsidRDefault="008F5871" w:rsidP="008F5871">
      <w:pPr>
        <w:pStyle w:val="FootnoteText"/>
        <w:jc w:val="both"/>
        <w:rPr>
          <w:rFonts w:ascii="Arial" w:hAnsi="Arial" w:cs="Arial"/>
          <w:lang w:val="en-US"/>
        </w:rPr>
      </w:pPr>
      <w:r w:rsidRPr="008F5871">
        <w:rPr>
          <w:rStyle w:val="FootnoteReference"/>
          <w:rFonts w:ascii="Arial" w:hAnsi="Arial" w:cs="Arial"/>
        </w:rPr>
        <w:footnoteRef/>
      </w:r>
      <w:r w:rsidRPr="008F5871">
        <w:rPr>
          <w:rFonts w:ascii="Arial" w:hAnsi="Arial" w:cs="Arial"/>
        </w:rPr>
        <w:t xml:space="preserve"> Case number I 3421/2011.</w:t>
      </w:r>
    </w:p>
  </w:footnote>
  <w:footnote w:id="2">
    <w:p w:rsidR="00D14EF6" w:rsidRPr="00D14EF6" w:rsidRDefault="00D14EF6" w:rsidP="00D14EF6">
      <w:pPr>
        <w:pStyle w:val="FootnoteText"/>
        <w:rPr>
          <w:rFonts w:ascii="Arial" w:hAnsi="Arial" w:cs="Arial"/>
          <w:lang w:val="en-US"/>
        </w:rPr>
      </w:pPr>
      <w:r w:rsidRPr="00D14EF6">
        <w:rPr>
          <w:rStyle w:val="FootnoteReference"/>
          <w:rFonts w:ascii="Arial" w:hAnsi="Arial" w:cs="Arial"/>
        </w:rPr>
        <w:footnoteRef/>
      </w:r>
      <w:r w:rsidRPr="00D14EF6">
        <w:rPr>
          <w:rFonts w:ascii="Arial" w:hAnsi="Arial" w:cs="Arial"/>
        </w:rPr>
        <w:t xml:space="preserve"> </w:t>
      </w:r>
      <w:proofErr w:type="spellStart"/>
      <w:r w:rsidRPr="00D14EF6">
        <w:rPr>
          <w:rFonts w:ascii="Arial" w:hAnsi="Arial" w:cs="Arial"/>
          <w:i/>
        </w:rPr>
        <w:t>Stier</w:t>
      </w:r>
      <w:proofErr w:type="spellEnd"/>
      <w:r w:rsidRPr="00D14EF6">
        <w:rPr>
          <w:rFonts w:ascii="Arial" w:hAnsi="Arial" w:cs="Arial"/>
          <w:i/>
        </w:rPr>
        <w:t xml:space="preserve"> v Henke</w:t>
      </w:r>
      <w:r w:rsidRPr="00D14EF6">
        <w:rPr>
          <w:rFonts w:ascii="Arial" w:hAnsi="Arial" w:cs="Arial"/>
        </w:rPr>
        <w:t xml:space="preserve"> 2012 (1) NR 370 (SC) at para 4.</w:t>
      </w:r>
    </w:p>
  </w:footnote>
  <w:footnote w:id="3">
    <w:p w:rsidR="003A49EA" w:rsidRPr="00E61250" w:rsidRDefault="003A49EA" w:rsidP="003A49EA">
      <w:pPr>
        <w:pStyle w:val="FootnoteText"/>
        <w:jc w:val="both"/>
        <w:rPr>
          <w:rFonts w:ascii="Arial" w:hAnsi="Arial" w:cs="Arial"/>
          <w:lang w:val="en-US"/>
        </w:rPr>
      </w:pPr>
      <w:r w:rsidRPr="00E61250">
        <w:rPr>
          <w:rStyle w:val="FootnoteReference"/>
          <w:rFonts w:ascii="Arial" w:hAnsi="Arial" w:cs="Arial"/>
        </w:rPr>
        <w:footnoteRef/>
      </w:r>
      <w:r w:rsidRPr="00E61250">
        <w:rPr>
          <w:rFonts w:ascii="Arial" w:hAnsi="Arial" w:cs="Arial"/>
        </w:rPr>
        <w:t xml:space="preserve"> </w:t>
      </w:r>
      <w:proofErr w:type="spellStart"/>
      <w:r w:rsidRPr="00E61250">
        <w:rPr>
          <w:rFonts w:ascii="Arial" w:hAnsi="Arial" w:cs="Arial"/>
          <w:i/>
        </w:rPr>
        <w:t>Rosherville</w:t>
      </w:r>
      <w:proofErr w:type="spellEnd"/>
      <w:r w:rsidRPr="00E61250">
        <w:rPr>
          <w:rFonts w:ascii="Arial" w:hAnsi="Arial" w:cs="Arial"/>
          <w:i/>
        </w:rPr>
        <w:t xml:space="preserve"> Vehicle Services (</w:t>
      </w:r>
      <w:proofErr w:type="spellStart"/>
      <w:r w:rsidRPr="00E61250">
        <w:rPr>
          <w:rFonts w:ascii="Arial" w:hAnsi="Arial" w:cs="Arial"/>
          <w:i/>
        </w:rPr>
        <w:t>Edms</w:t>
      </w:r>
      <w:proofErr w:type="spellEnd"/>
      <w:r w:rsidRPr="00E61250">
        <w:rPr>
          <w:rFonts w:ascii="Arial" w:hAnsi="Arial" w:cs="Arial"/>
          <w:i/>
        </w:rPr>
        <w:t xml:space="preserve">) </w:t>
      </w:r>
      <w:proofErr w:type="spellStart"/>
      <w:r w:rsidRPr="00E61250">
        <w:rPr>
          <w:rFonts w:ascii="Arial" w:hAnsi="Arial" w:cs="Arial"/>
          <w:i/>
        </w:rPr>
        <w:t>Bpk</w:t>
      </w:r>
      <w:proofErr w:type="spellEnd"/>
      <w:r w:rsidRPr="00E61250">
        <w:rPr>
          <w:rFonts w:ascii="Arial" w:hAnsi="Arial" w:cs="Arial"/>
          <w:i/>
        </w:rPr>
        <w:t xml:space="preserve"> v </w:t>
      </w:r>
      <w:proofErr w:type="spellStart"/>
      <w:r w:rsidRPr="00E61250">
        <w:rPr>
          <w:rFonts w:ascii="Arial" w:hAnsi="Arial" w:cs="Arial"/>
          <w:i/>
        </w:rPr>
        <w:t>Bloemfonteinse</w:t>
      </w:r>
      <w:proofErr w:type="spellEnd"/>
      <w:r w:rsidRPr="00E61250">
        <w:rPr>
          <w:rFonts w:ascii="Arial" w:hAnsi="Arial" w:cs="Arial"/>
          <w:i/>
        </w:rPr>
        <w:t xml:space="preserve"> </w:t>
      </w:r>
      <w:proofErr w:type="spellStart"/>
      <w:r w:rsidRPr="00E61250">
        <w:rPr>
          <w:rFonts w:ascii="Arial" w:hAnsi="Arial" w:cs="Arial"/>
          <w:i/>
        </w:rPr>
        <w:t>Plaaslike</w:t>
      </w:r>
      <w:proofErr w:type="spellEnd"/>
      <w:r w:rsidRPr="00E61250">
        <w:rPr>
          <w:rFonts w:ascii="Arial" w:hAnsi="Arial" w:cs="Arial"/>
          <w:i/>
        </w:rPr>
        <w:t xml:space="preserve"> </w:t>
      </w:r>
      <w:proofErr w:type="spellStart"/>
      <w:r w:rsidRPr="00E61250">
        <w:rPr>
          <w:rFonts w:ascii="Arial" w:hAnsi="Arial" w:cs="Arial"/>
          <w:i/>
        </w:rPr>
        <w:t>Oorgangsraad</w:t>
      </w:r>
      <w:proofErr w:type="spellEnd"/>
      <w:r w:rsidRPr="00E61250">
        <w:rPr>
          <w:rFonts w:ascii="Arial" w:hAnsi="Arial" w:cs="Arial"/>
        </w:rPr>
        <w:t xml:space="preserve"> 1998 (2) SA 289 (O) at 293 B-C and 293 G-H and 296 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6">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2E9A"/>
    <w:rsid w:val="0000513F"/>
    <w:rsid w:val="000142CE"/>
    <w:rsid w:val="00015808"/>
    <w:rsid w:val="00030A66"/>
    <w:rsid w:val="00052806"/>
    <w:rsid w:val="00053646"/>
    <w:rsid w:val="000929C5"/>
    <w:rsid w:val="000A6E7F"/>
    <w:rsid w:val="000D3C9C"/>
    <w:rsid w:val="000E099D"/>
    <w:rsid w:val="000F39A3"/>
    <w:rsid w:val="000F681E"/>
    <w:rsid w:val="00116AFB"/>
    <w:rsid w:val="001223B7"/>
    <w:rsid w:val="00124C63"/>
    <w:rsid w:val="00152FEA"/>
    <w:rsid w:val="0018718C"/>
    <w:rsid w:val="001B3825"/>
    <w:rsid w:val="001C20BF"/>
    <w:rsid w:val="001E097B"/>
    <w:rsid w:val="002025F9"/>
    <w:rsid w:val="00217744"/>
    <w:rsid w:val="00224808"/>
    <w:rsid w:val="002317B0"/>
    <w:rsid w:val="0023549A"/>
    <w:rsid w:val="002536EA"/>
    <w:rsid w:val="00276736"/>
    <w:rsid w:val="002A4AA3"/>
    <w:rsid w:val="002B38E0"/>
    <w:rsid w:val="002B7A2A"/>
    <w:rsid w:val="002C1EF6"/>
    <w:rsid w:val="002D20C5"/>
    <w:rsid w:val="002E738E"/>
    <w:rsid w:val="0031523D"/>
    <w:rsid w:val="00322F39"/>
    <w:rsid w:val="00323AAF"/>
    <w:rsid w:val="00323E22"/>
    <w:rsid w:val="00340EA6"/>
    <w:rsid w:val="0035617B"/>
    <w:rsid w:val="00371B8F"/>
    <w:rsid w:val="0038382D"/>
    <w:rsid w:val="003A18AD"/>
    <w:rsid w:val="003A49EA"/>
    <w:rsid w:val="003C2574"/>
    <w:rsid w:val="003D165C"/>
    <w:rsid w:val="003D3059"/>
    <w:rsid w:val="00404B70"/>
    <w:rsid w:val="00412278"/>
    <w:rsid w:val="00426C60"/>
    <w:rsid w:val="00431A65"/>
    <w:rsid w:val="004352E5"/>
    <w:rsid w:val="004358E2"/>
    <w:rsid w:val="00436C2B"/>
    <w:rsid w:val="00463486"/>
    <w:rsid w:val="004665B1"/>
    <w:rsid w:val="00466B36"/>
    <w:rsid w:val="00474C2A"/>
    <w:rsid w:val="00475B7A"/>
    <w:rsid w:val="004907E4"/>
    <w:rsid w:val="004936A7"/>
    <w:rsid w:val="004A2D48"/>
    <w:rsid w:val="004C646F"/>
    <w:rsid w:val="00503F36"/>
    <w:rsid w:val="00535F29"/>
    <w:rsid w:val="00536EFF"/>
    <w:rsid w:val="00552964"/>
    <w:rsid w:val="005629DA"/>
    <w:rsid w:val="0057544A"/>
    <w:rsid w:val="00594F6C"/>
    <w:rsid w:val="005A4D90"/>
    <w:rsid w:val="005B62A0"/>
    <w:rsid w:val="005C0E24"/>
    <w:rsid w:val="005C21D7"/>
    <w:rsid w:val="005C3354"/>
    <w:rsid w:val="005D7BD0"/>
    <w:rsid w:val="005F325C"/>
    <w:rsid w:val="005F32EB"/>
    <w:rsid w:val="00610BF1"/>
    <w:rsid w:val="006115E2"/>
    <w:rsid w:val="00672C76"/>
    <w:rsid w:val="00695745"/>
    <w:rsid w:val="006976D9"/>
    <w:rsid w:val="006A0BA4"/>
    <w:rsid w:val="006B7521"/>
    <w:rsid w:val="006D0991"/>
    <w:rsid w:val="006D7450"/>
    <w:rsid w:val="006E0FD4"/>
    <w:rsid w:val="00702C62"/>
    <w:rsid w:val="00703171"/>
    <w:rsid w:val="00736DA4"/>
    <w:rsid w:val="00737C3D"/>
    <w:rsid w:val="00746C0C"/>
    <w:rsid w:val="00766C68"/>
    <w:rsid w:val="0078274D"/>
    <w:rsid w:val="007853D8"/>
    <w:rsid w:val="007950C8"/>
    <w:rsid w:val="00796B9C"/>
    <w:rsid w:val="007D0792"/>
    <w:rsid w:val="007D6C74"/>
    <w:rsid w:val="007F68C4"/>
    <w:rsid w:val="008006A3"/>
    <w:rsid w:val="00805692"/>
    <w:rsid w:val="00812409"/>
    <w:rsid w:val="00816D5D"/>
    <w:rsid w:val="00821A0C"/>
    <w:rsid w:val="008275AC"/>
    <w:rsid w:val="00835300"/>
    <w:rsid w:val="0084650C"/>
    <w:rsid w:val="00882F73"/>
    <w:rsid w:val="00890A20"/>
    <w:rsid w:val="00892D9A"/>
    <w:rsid w:val="008A1447"/>
    <w:rsid w:val="008C2200"/>
    <w:rsid w:val="008E0730"/>
    <w:rsid w:val="008F5871"/>
    <w:rsid w:val="008F59A0"/>
    <w:rsid w:val="0091061F"/>
    <w:rsid w:val="009279BE"/>
    <w:rsid w:val="00937C89"/>
    <w:rsid w:val="009733A9"/>
    <w:rsid w:val="009919F6"/>
    <w:rsid w:val="00997C11"/>
    <w:rsid w:val="009A7A59"/>
    <w:rsid w:val="009C35C9"/>
    <w:rsid w:val="009C6F3F"/>
    <w:rsid w:val="009D27E8"/>
    <w:rsid w:val="00A10E40"/>
    <w:rsid w:val="00A15CD1"/>
    <w:rsid w:val="00A22E0F"/>
    <w:rsid w:val="00A26B7B"/>
    <w:rsid w:val="00A3327E"/>
    <w:rsid w:val="00A50F13"/>
    <w:rsid w:val="00A66511"/>
    <w:rsid w:val="00A75ED6"/>
    <w:rsid w:val="00AA3ECB"/>
    <w:rsid w:val="00AD72DD"/>
    <w:rsid w:val="00B01B6C"/>
    <w:rsid w:val="00B121EA"/>
    <w:rsid w:val="00B40844"/>
    <w:rsid w:val="00B463CA"/>
    <w:rsid w:val="00B47800"/>
    <w:rsid w:val="00B50C99"/>
    <w:rsid w:val="00B56E34"/>
    <w:rsid w:val="00B5737E"/>
    <w:rsid w:val="00B61AC7"/>
    <w:rsid w:val="00B808CB"/>
    <w:rsid w:val="00B845CF"/>
    <w:rsid w:val="00B92DE7"/>
    <w:rsid w:val="00B9407E"/>
    <w:rsid w:val="00BB13F4"/>
    <w:rsid w:val="00BB3273"/>
    <w:rsid w:val="00BB3DF3"/>
    <w:rsid w:val="00BC5931"/>
    <w:rsid w:val="00BE31AD"/>
    <w:rsid w:val="00C04F28"/>
    <w:rsid w:val="00C06EB4"/>
    <w:rsid w:val="00C2633E"/>
    <w:rsid w:val="00C73D5D"/>
    <w:rsid w:val="00CA7995"/>
    <w:rsid w:val="00CC7431"/>
    <w:rsid w:val="00CD62C0"/>
    <w:rsid w:val="00D113DD"/>
    <w:rsid w:val="00D14EF6"/>
    <w:rsid w:val="00D24453"/>
    <w:rsid w:val="00D25285"/>
    <w:rsid w:val="00D30D4D"/>
    <w:rsid w:val="00D37DAA"/>
    <w:rsid w:val="00D5070E"/>
    <w:rsid w:val="00D547B6"/>
    <w:rsid w:val="00D6224D"/>
    <w:rsid w:val="00D80947"/>
    <w:rsid w:val="00D960EA"/>
    <w:rsid w:val="00DB5AA2"/>
    <w:rsid w:val="00DD76E7"/>
    <w:rsid w:val="00E0573A"/>
    <w:rsid w:val="00E221FD"/>
    <w:rsid w:val="00E33022"/>
    <w:rsid w:val="00E41BE5"/>
    <w:rsid w:val="00E4742C"/>
    <w:rsid w:val="00E533BE"/>
    <w:rsid w:val="00E540B7"/>
    <w:rsid w:val="00E62DB3"/>
    <w:rsid w:val="00E96F9E"/>
    <w:rsid w:val="00EA2DE2"/>
    <w:rsid w:val="00EB1AE0"/>
    <w:rsid w:val="00EC29B1"/>
    <w:rsid w:val="00ED5B76"/>
    <w:rsid w:val="00ED7008"/>
    <w:rsid w:val="00ED76B2"/>
    <w:rsid w:val="00EF184A"/>
    <w:rsid w:val="00EF2FFD"/>
    <w:rsid w:val="00F0235A"/>
    <w:rsid w:val="00F05CAB"/>
    <w:rsid w:val="00F0783D"/>
    <w:rsid w:val="00F502F0"/>
    <w:rsid w:val="00F65529"/>
    <w:rsid w:val="00F65903"/>
    <w:rsid w:val="00F72231"/>
    <w:rsid w:val="00F7691A"/>
    <w:rsid w:val="00F82EDF"/>
    <w:rsid w:val="00F92D04"/>
    <w:rsid w:val="00FB2E4E"/>
    <w:rsid w:val="00FB2E9E"/>
    <w:rsid w:val="00FB5F14"/>
    <w:rsid w:val="00FC2237"/>
    <w:rsid w:val="00FC6F2E"/>
    <w:rsid w:val="00FD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2023-05-08T18:30:00+00:00</Judgment_x0020_Date>
    <Year xmlns="c1afb1bd-f2fb-40fd-9abb-aea55b4d7662">2023</Year>
  </documentManagement>
</p:properties>
</file>

<file path=customXml/itemProps1.xml><?xml version="1.0" encoding="utf-8"?>
<ds:datastoreItem xmlns:ds="http://schemas.openxmlformats.org/officeDocument/2006/customXml" ds:itemID="{3337EF93-B2A6-4D06-8356-E6EFF51E7617}"/>
</file>

<file path=customXml/itemProps2.xml><?xml version="1.0" encoding="utf-8"?>
<ds:datastoreItem xmlns:ds="http://schemas.openxmlformats.org/officeDocument/2006/customXml" ds:itemID="{88FD4038-19F8-44CE-B9CF-03B2379CC133}"/>
</file>

<file path=customXml/itemProps3.xml><?xml version="1.0" encoding="utf-8"?>
<ds:datastoreItem xmlns:ds="http://schemas.openxmlformats.org/officeDocument/2006/customXml" ds:itemID="{B14FF926-5098-4FFC-A1CB-01ABF12C9D8A}"/>
</file>

<file path=customXml/itemProps4.xml><?xml version="1.0" encoding="utf-8"?>
<ds:datastoreItem xmlns:ds="http://schemas.openxmlformats.org/officeDocument/2006/customXml" ds:itemID="{D8DE088A-C9DA-4C90-B3CD-759C6040BAE1}"/>
</file>

<file path=docProps/app.xml><?xml version="1.0" encoding="utf-8"?>
<Properties xmlns="http://schemas.openxmlformats.org/officeDocument/2006/extended-properties" xmlns:vt="http://schemas.openxmlformats.org/officeDocument/2006/docPropsVTypes">
  <Template>Normal</Template>
  <TotalTime>1</TotalTime>
  <Pages>10</Pages>
  <Words>2855</Words>
  <Characters>16279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Nedbank Namibia Limited v Angula (HC-MD-CIV-ACT-CON-2018-00589) [2023] NAHCMD 246 (9 May 2023)</dc:title>
  <dc:subject/>
  <dc:creator>shomany keister</dc:creator>
  <cp:keywords/>
  <dc:description/>
  <cp:lastModifiedBy>Charlet Mokomele</cp:lastModifiedBy>
  <cp:revision>3</cp:revision>
  <cp:lastPrinted>2023-05-09T14:07:00Z</cp:lastPrinted>
  <dcterms:created xsi:type="dcterms:W3CDTF">2023-05-12T08:29:00Z</dcterms:created>
  <dcterms:modified xsi:type="dcterms:W3CDTF">2023-05-12T08:45:00Z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d8be6512da92a6948ea95179fe35cff526bd05e9f9a4a2df3634717c190f4585</vt:lpwstr>
  </property>
  <property fmtid="{D5CDD505-2E9C-101B-9397-08002B2CF9AE}" pid="3" name="ContentTypeId">
    <vt:lpwstr>0x0101000ECE0F99B3F8644397ECB0C536651393</vt:lpwstr>
  </property>
</Properties>
</file>