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4C" w:rsidRPr="00DC6B0D" w:rsidRDefault="0001774C" w:rsidP="0001774C">
      <w:pPr>
        <w:spacing w:after="0" w:line="360" w:lineRule="auto"/>
        <w:jc w:val="center"/>
        <w:rPr>
          <w:rFonts w:ascii="Arial" w:hAnsi="Arial" w:cs="Arial"/>
          <w:b/>
          <w:sz w:val="24"/>
          <w:szCs w:val="24"/>
        </w:rPr>
      </w:pPr>
      <w:r w:rsidRPr="00DC6B0D">
        <w:rPr>
          <w:rFonts w:ascii="Arial" w:hAnsi="Arial" w:cs="Arial"/>
          <w:b/>
          <w:sz w:val="24"/>
          <w:szCs w:val="24"/>
        </w:rPr>
        <w:t>REPUBLIC OF NAMIBIA</w:t>
      </w:r>
    </w:p>
    <w:p w:rsidR="0001774C" w:rsidRPr="00DC6B0D" w:rsidRDefault="0001774C" w:rsidP="0001774C">
      <w:pPr>
        <w:spacing w:after="0" w:line="360" w:lineRule="auto"/>
        <w:jc w:val="center"/>
        <w:rPr>
          <w:rFonts w:ascii="Arial" w:hAnsi="Arial" w:cs="Arial"/>
          <w:b/>
          <w:sz w:val="24"/>
          <w:szCs w:val="24"/>
        </w:rPr>
      </w:pPr>
      <w:r w:rsidRPr="00DC6B0D">
        <w:rPr>
          <w:rFonts w:ascii="Arial" w:hAnsi="Arial" w:cs="Arial"/>
          <w:b/>
          <w:noProof/>
          <w:sz w:val="24"/>
          <w:szCs w:val="24"/>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1774C" w:rsidRPr="00DC6B0D" w:rsidRDefault="0001774C" w:rsidP="0001774C">
      <w:pPr>
        <w:tabs>
          <w:tab w:val="center" w:pos="4153"/>
          <w:tab w:val="right" w:pos="8306"/>
        </w:tabs>
        <w:spacing w:after="0" w:line="360" w:lineRule="auto"/>
        <w:jc w:val="center"/>
        <w:rPr>
          <w:rFonts w:ascii="Arial" w:hAnsi="Arial" w:cs="Arial"/>
          <w:bCs/>
          <w:sz w:val="24"/>
          <w:szCs w:val="24"/>
        </w:rPr>
      </w:pPr>
      <w:r w:rsidRPr="00DC6B0D">
        <w:rPr>
          <w:rFonts w:ascii="Arial" w:hAnsi="Arial" w:cs="Arial"/>
          <w:b/>
          <w:sz w:val="24"/>
          <w:szCs w:val="24"/>
        </w:rPr>
        <w:t>HIGH COURT OF NAMIBIA MAIN DIVISION, WINDHOEK</w:t>
      </w:r>
    </w:p>
    <w:p w:rsidR="0001774C" w:rsidRDefault="0001774C" w:rsidP="0001774C">
      <w:pPr>
        <w:spacing w:after="0" w:line="360" w:lineRule="auto"/>
        <w:jc w:val="center"/>
        <w:rPr>
          <w:rFonts w:ascii="Arial" w:hAnsi="Arial" w:cs="Arial"/>
          <w:b/>
          <w:sz w:val="24"/>
          <w:szCs w:val="24"/>
        </w:rPr>
      </w:pPr>
      <w:r>
        <w:rPr>
          <w:rFonts w:ascii="Arial" w:hAnsi="Arial" w:cs="Arial"/>
          <w:b/>
          <w:sz w:val="24"/>
          <w:szCs w:val="24"/>
        </w:rPr>
        <w:t>APPEAL</w:t>
      </w:r>
      <w:r w:rsidRPr="00DC6B0D">
        <w:rPr>
          <w:rFonts w:ascii="Arial" w:hAnsi="Arial" w:cs="Arial"/>
          <w:b/>
          <w:sz w:val="24"/>
          <w:szCs w:val="24"/>
        </w:rPr>
        <w:t xml:space="preserve"> JUDGMENT</w:t>
      </w:r>
    </w:p>
    <w:p w:rsidR="006631E6" w:rsidRPr="00DC6B0D" w:rsidRDefault="006631E6" w:rsidP="0001774C">
      <w:pPr>
        <w:spacing w:after="0" w:line="360" w:lineRule="auto"/>
        <w:jc w:val="center"/>
        <w:rPr>
          <w:rFonts w:ascii="Arial" w:hAnsi="Arial" w:cs="Arial"/>
          <w:b/>
        </w:rPr>
      </w:pPr>
      <w:r>
        <w:rPr>
          <w:rFonts w:ascii="Arial" w:hAnsi="Arial" w:cs="Arial"/>
          <w:b/>
          <w:sz w:val="24"/>
          <w:szCs w:val="24"/>
        </w:rPr>
        <w:t>PRACTICE DIRECTIVE 61</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01774C" w:rsidRPr="00DC6B0D" w:rsidTr="006631E6">
        <w:trPr>
          <w:trHeight w:val="1133"/>
        </w:trPr>
        <w:tc>
          <w:tcPr>
            <w:tcW w:w="5397" w:type="dxa"/>
            <w:gridSpan w:val="2"/>
            <w:shd w:val="clear" w:color="auto" w:fill="auto"/>
          </w:tcPr>
          <w:p w:rsidR="0001774C" w:rsidRPr="00DC6B0D" w:rsidRDefault="0001774C" w:rsidP="0057536C">
            <w:pPr>
              <w:spacing w:before="240" w:after="0" w:line="360" w:lineRule="auto"/>
              <w:jc w:val="both"/>
              <w:rPr>
                <w:rFonts w:ascii="Arial" w:hAnsi="Arial" w:cs="Arial"/>
                <w:sz w:val="24"/>
                <w:szCs w:val="24"/>
              </w:rPr>
            </w:pPr>
            <w:r w:rsidRPr="00DC6B0D">
              <w:rPr>
                <w:rFonts w:ascii="Arial" w:hAnsi="Arial" w:cs="Arial"/>
                <w:b/>
                <w:sz w:val="24"/>
                <w:szCs w:val="24"/>
              </w:rPr>
              <w:t>Case Title:</w:t>
            </w:r>
          </w:p>
          <w:p w:rsidR="0001774C" w:rsidRPr="0001774C" w:rsidRDefault="0001774C" w:rsidP="0001774C">
            <w:pPr>
              <w:spacing w:after="0" w:line="360" w:lineRule="auto"/>
              <w:jc w:val="both"/>
              <w:rPr>
                <w:rFonts w:ascii="Arial" w:hAnsi="Arial" w:cs="Arial"/>
                <w:sz w:val="24"/>
                <w:szCs w:val="24"/>
              </w:rPr>
            </w:pPr>
            <w:r w:rsidRPr="0001774C">
              <w:rPr>
                <w:rFonts w:ascii="Arial" w:hAnsi="Arial" w:cs="Arial"/>
                <w:sz w:val="24"/>
                <w:szCs w:val="24"/>
              </w:rPr>
              <w:t>Lukas Conrad</w:t>
            </w:r>
            <w:r w:rsidR="00257AD5">
              <w:rPr>
                <w:rFonts w:ascii="Arial" w:hAnsi="Arial" w:cs="Arial"/>
                <w:sz w:val="24"/>
                <w:szCs w:val="24"/>
              </w:rPr>
              <w:t xml:space="preserve"> v The State</w:t>
            </w:r>
          </w:p>
        </w:tc>
        <w:tc>
          <w:tcPr>
            <w:tcW w:w="4323" w:type="dxa"/>
            <w:shd w:val="clear" w:color="auto" w:fill="auto"/>
          </w:tcPr>
          <w:p w:rsidR="0001774C" w:rsidRPr="0001774C" w:rsidRDefault="0001774C" w:rsidP="0057536C">
            <w:pPr>
              <w:spacing w:before="240" w:after="0" w:line="360" w:lineRule="auto"/>
              <w:jc w:val="both"/>
              <w:rPr>
                <w:rFonts w:ascii="Arial" w:hAnsi="Arial" w:cs="Arial"/>
                <w:sz w:val="24"/>
                <w:szCs w:val="24"/>
              </w:rPr>
            </w:pPr>
            <w:r w:rsidRPr="00DC6B0D">
              <w:rPr>
                <w:rFonts w:ascii="Arial" w:hAnsi="Arial" w:cs="Arial"/>
                <w:b/>
                <w:sz w:val="24"/>
                <w:szCs w:val="24"/>
              </w:rPr>
              <w:t>Case No:</w:t>
            </w:r>
            <w:r>
              <w:rPr>
                <w:rFonts w:ascii="Arial" w:hAnsi="Arial" w:cs="Arial"/>
                <w:b/>
                <w:sz w:val="24"/>
                <w:szCs w:val="24"/>
              </w:rPr>
              <w:t xml:space="preserve"> </w:t>
            </w:r>
            <w:r w:rsidRPr="0001774C">
              <w:rPr>
                <w:rFonts w:ascii="Arial" w:hAnsi="Arial" w:cs="Arial"/>
                <w:sz w:val="24"/>
                <w:szCs w:val="24"/>
              </w:rPr>
              <w:t>HC-MD-CRI-APP-CAL-2022/00030</w:t>
            </w:r>
          </w:p>
          <w:p w:rsidR="0001774C" w:rsidRPr="00DC6B0D" w:rsidRDefault="0001774C" w:rsidP="0057536C">
            <w:pPr>
              <w:spacing w:after="0" w:line="360" w:lineRule="auto"/>
              <w:jc w:val="both"/>
              <w:rPr>
                <w:rFonts w:ascii="Arial" w:hAnsi="Arial" w:cs="Arial"/>
                <w:sz w:val="24"/>
                <w:szCs w:val="24"/>
              </w:rPr>
            </w:pPr>
          </w:p>
        </w:tc>
      </w:tr>
      <w:tr w:rsidR="006631E6" w:rsidRPr="00DC6B0D" w:rsidTr="0057536C">
        <w:trPr>
          <w:trHeight w:val="872"/>
        </w:trPr>
        <w:tc>
          <w:tcPr>
            <w:tcW w:w="5397" w:type="dxa"/>
            <w:gridSpan w:val="2"/>
            <w:vMerge w:val="restart"/>
            <w:shd w:val="clear" w:color="auto" w:fill="auto"/>
          </w:tcPr>
          <w:p w:rsidR="006631E6" w:rsidRDefault="006631E6" w:rsidP="006631E6">
            <w:pPr>
              <w:spacing w:before="240" w:after="0" w:line="360" w:lineRule="auto"/>
              <w:jc w:val="both"/>
              <w:rPr>
                <w:rFonts w:ascii="Arial" w:hAnsi="Arial" w:cs="Arial"/>
                <w:b/>
                <w:sz w:val="24"/>
                <w:szCs w:val="24"/>
              </w:rPr>
            </w:pPr>
            <w:r w:rsidRPr="00DC6B0D">
              <w:rPr>
                <w:rFonts w:ascii="Arial" w:hAnsi="Arial" w:cs="Arial"/>
                <w:b/>
                <w:sz w:val="24"/>
                <w:szCs w:val="24"/>
              </w:rPr>
              <w:t>Heard before:</w:t>
            </w:r>
          </w:p>
          <w:p w:rsidR="006631E6" w:rsidRPr="006631E6" w:rsidRDefault="006631E6" w:rsidP="006631E6">
            <w:pPr>
              <w:spacing w:before="240" w:after="0" w:line="360" w:lineRule="auto"/>
              <w:jc w:val="both"/>
              <w:rPr>
                <w:rFonts w:ascii="Arial" w:hAnsi="Arial" w:cs="Arial"/>
                <w:b/>
                <w:sz w:val="24"/>
                <w:szCs w:val="24"/>
              </w:rPr>
            </w:pPr>
            <w:r w:rsidRPr="00DC6B0D">
              <w:rPr>
                <w:rFonts w:ascii="Arial" w:hAnsi="Arial" w:cs="Arial"/>
                <w:sz w:val="24"/>
                <w:szCs w:val="24"/>
              </w:rPr>
              <w:t xml:space="preserve">Lady Justice </w:t>
            </w:r>
            <w:proofErr w:type="spellStart"/>
            <w:r w:rsidRPr="00DC6B0D">
              <w:rPr>
                <w:rFonts w:ascii="Arial" w:hAnsi="Arial" w:cs="Arial"/>
                <w:sz w:val="24"/>
                <w:szCs w:val="24"/>
              </w:rPr>
              <w:t>Shivute</w:t>
            </w:r>
            <w:proofErr w:type="spellEnd"/>
            <w:r>
              <w:rPr>
                <w:rFonts w:ascii="Arial" w:hAnsi="Arial" w:cs="Arial"/>
                <w:sz w:val="24"/>
                <w:szCs w:val="24"/>
              </w:rPr>
              <w:t xml:space="preserve"> et Mr Justice January</w:t>
            </w:r>
          </w:p>
        </w:tc>
        <w:tc>
          <w:tcPr>
            <w:tcW w:w="4323" w:type="dxa"/>
            <w:shd w:val="clear" w:color="auto" w:fill="auto"/>
          </w:tcPr>
          <w:p w:rsidR="006631E6" w:rsidRPr="00DC6B0D" w:rsidRDefault="006631E6" w:rsidP="0057536C">
            <w:pPr>
              <w:spacing w:before="240" w:after="0" w:line="360" w:lineRule="auto"/>
              <w:jc w:val="both"/>
              <w:rPr>
                <w:rFonts w:ascii="Arial" w:hAnsi="Arial" w:cs="Arial"/>
                <w:sz w:val="24"/>
                <w:szCs w:val="24"/>
              </w:rPr>
            </w:pPr>
            <w:r w:rsidRPr="00DC6B0D">
              <w:rPr>
                <w:rFonts w:ascii="Arial" w:hAnsi="Arial" w:cs="Arial"/>
                <w:b/>
                <w:sz w:val="24"/>
                <w:szCs w:val="24"/>
              </w:rPr>
              <w:t>Division of Court:</w:t>
            </w:r>
          </w:p>
          <w:p w:rsidR="006631E6" w:rsidRPr="00DC6B0D" w:rsidRDefault="006631E6" w:rsidP="0057536C">
            <w:pPr>
              <w:spacing w:after="0" w:line="360" w:lineRule="auto"/>
              <w:jc w:val="both"/>
              <w:rPr>
                <w:rFonts w:ascii="Arial" w:hAnsi="Arial" w:cs="Arial"/>
                <w:sz w:val="24"/>
                <w:szCs w:val="24"/>
              </w:rPr>
            </w:pPr>
            <w:r w:rsidRPr="00DC6B0D">
              <w:rPr>
                <w:rFonts w:ascii="Arial" w:hAnsi="Arial" w:cs="Arial"/>
                <w:sz w:val="24"/>
                <w:szCs w:val="24"/>
              </w:rPr>
              <w:t>Main Division</w:t>
            </w:r>
          </w:p>
        </w:tc>
      </w:tr>
      <w:tr w:rsidR="006631E6" w:rsidRPr="00DC6B0D" w:rsidTr="006631E6">
        <w:trPr>
          <w:trHeight w:val="728"/>
        </w:trPr>
        <w:tc>
          <w:tcPr>
            <w:tcW w:w="5397" w:type="dxa"/>
            <w:gridSpan w:val="2"/>
            <w:vMerge/>
            <w:shd w:val="clear" w:color="auto" w:fill="auto"/>
          </w:tcPr>
          <w:p w:rsidR="006631E6" w:rsidRPr="0001774C" w:rsidRDefault="006631E6" w:rsidP="0057536C">
            <w:pPr>
              <w:spacing w:after="0" w:line="360" w:lineRule="auto"/>
              <w:jc w:val="both"/>
              <w:rPr>
                <w:rFonts w:ascii="Arial" w:hAnsi="Arial" w:cs="Arial"/>
                <w:i/>
                <w:sz w:val="24"/>
                <w:szCs w:val="24"/>
              </w:rPr>
            </w:pPr>
          </w:p>
        </w:tc>
        <w:tc>
          <w:tcPr>
            <w:tcW w:w="4323" w:type="dxa"/>
            <w:shd w:val="clear" w:color="auto" w:fill="auto"/>
          </w:tcPr>
          <w:p w:rsidR="006631E6" w:rsidRPr="00DC6B0D" w:rsidRDefault="006631E6" w:rsidP="0057536C">
            <w:pPr>
              <w:spacing w:before="240" w:after="0" w:line="360" w:lineRule="auto"/>
              <w:jc w:val="both"/>
              <w:rPr>
                <w:rFonts w:ascii="Arial" w:hAnsi="Arial" w:cs="Arial"/>
                <w:b/>
                <w:sz w:val="24"/>
                <w:szCs w:val="24"/>
              </w:rPr>
            </w:pPr>
            <w:r w:rsidRPr="00DC6B0D">
              <w:rPr>
                <w:rFonts w:ascii="Arial" w:hAnsi="Arial" w:cs="Arial"/>
                <w:b/>
                <w:sz w:val="24"/>
                <w:szCs w:val="24"/>
              </w:rPr>
              <w:t>Delivered on:</w:t>
            </w:r>
          </w:p>
          <w:p w:rsidR="006631E6" w:rsidRPr="00DC6B0D" w:rsidRDefault="006631E6" w:rsidP="0057536C">
            <w:pPr>
              <w:spacing w:after="0" w:line="360" w:lineRule="auto"/>
              <w:jc w:val="both"/>
              <w:rPr>
                <w:rFonts w:ascii="Arial" w:hAnsi="Arial" w:cs="Arial"/>
                <w:sz w:val="24"/>
                <w:szCs w:val="24"/>
              </w:rPr>
            </w:pPr>
            <w:r>
              <w:rPr>
                <w:rFonts w:ascii="Arial" w:hAnsi="Arial" w:cs="Arial"/>
                <w:sz w:val="24"/>
                <w:szCs w:val="24"/>
              </w:rPr>
              <w:t>12 May</w:t>
            </w:r>
            <w:r w:rsidR="00F07CC4">
              <w:rPr>
                <w:rFonts w:ascii="Arial" w:hAnsi="Arial" w:cs="Arial"/>
                <w:sz w:val="24"/>
                <w:szCs w:val="24"/>
              </w:rPr>
              <w:t xml:space="preserve"> 2023</w:t>
            </w:r>
          </w:p>
        </w:tc>
      </w:tr>
      <w:tr w:rsidR="0001774C" w:rsidRPr="00DC6B0D" w:rsidTr="0057536C">
        <w:tc>
          <w:tcPr>
            <w:tcW w:w="9720" w:type="dxa"/>
            <w:gridSpan w:val="3"/>
            <w:shd w:val="clear" w:color="auto" w:fill="auto"/>
          </w:tcPr>
          <w:p w:rsidR="0001774C" w:rsidRPr="00DC6B0D" w:rsidRDefault="0001774C" w:rsidP="0057536C">
            <w:pPr>
              <w:spacing w:before="240" w:after="0" w:line="360" w:lineRule="auto"/>
              <w:jc w:val="both"/>
              <w:rPr>
                <w:rFonts w:ascii="Arial" w:hAnsi="Arial" w:cs="Arial"/>
                <w:sz w:val="24"/>
                <w:szCs w:val="24"/>
              </w:rPr>
            </w:pPr>
            <w:r w:rsidRPr="00DC6B0D">
              <w:rPr>
                <w:rFonts w:ascii="Arial" w:hAnsi="Arial" w:cs="Arial"/>
                <w:b/>
                <w:sz w:val="24"/>
                <w:szCs w:val="24"/>
              </w:rPr>
              <w:t xml:space="preserve">Neutral citation: </w:t>
            </w:r>
            <w:r w:rsidR="00257AD5">
              <w:rPr>
                <w:rFonts w:ascii="Arial" w:hAnsi="Arial" w:cs="Arial"/>
                <w:i/>
                <w:sz w:val="24"/>
                <w:szCs w:val="24"/>
              </w:rPr>
              <w:t>Conrad v S</w:t>
            </w:r>
            <w:r w:rsidRPr="00DC6B0D">
              <w:rPr>
                <w:rFonts w:ascii="Arial" w:hAnsi="Arial" w:cs="Arial"/>
                <w:i/>
                <w:sz w:val="24"/>
                <w:szCs w:val="24"/>
              </w:rPr>
              <w:t xml:space="preserve"> </w:t>
            </w:r>
            <w:r w:rsidRPr="00DC6B0D">
              <w:rPr>
                <w:rFonts w:ascii="Arial" w:hAnsi="Arial" w:cs="Arial"/>
                <w:sz w:val="24"/>
                <w:szCs w:val="24"/>
              </w:rPr>
              <w:t>(</w:t>
            </w:r>
            <w:r w:rsidRPr="0001774C">
              <w:rPr>
                <w:rFonts w:ascii="Arial" w:hAnsi="Arial" w:cs="Arial"/>
                <w:sz w:val="24"/>
                <w:szCs w:val="24"/>
              </w:rPr>
              <w:t>HC-MD-CRI-APP-CAL-2022/00030</w:t>
            </w:r>
            <w:r w:rsidRPr="00DC6B0D">
              <w:rPr>
                <w:rFonts w:ascii="Arial" w:hAnsi="Arial" w:cs="Arial"/>
                <w:sz w:val="24"/>
                <w:szCs w:val="24"/>
              </w:rPr>
              <w:t>) [202</w:t>
            </w:r>
            <w:r>
              <w:rPr>
                <w:rFonts w:ascii="Arial" w:hAnsi="Arial" w:cs="Arial"/>
                <w:sz w:val="24"/>
                <w:szCs w:val="24"/>
              </w:rPr>
              <w:t>3</w:t>
            </w:r>
            <w:r w:rsidRPr="00DC6B0D">
              <w:rPr>
                <w:rFonts w:ascii="Arial" w:hAnsi="Arial" w:cs="Arial"/>
                <w:sz w:val="24"/>
                <w:szCs w:val="24"/>
              </w:rPr>
              <w:t xml:space="preserve">] NAHCMD </w:t>
            </w:r>
            <w:r w:rsidR="00D32399">
              <w:rPr>
                <w:rFonts w:ascii="Arial" w:hAnsi="Arial" w:cs="Arial"/>
                <w:sz w:val="24"/>
                <w:szCs w:val="24"/>
              </w:rPr>
              <w:t>258</w:t>
            </w:r>
            <w:r w:rsidRPr="00DC6B0D">
              <w:rPr>
                <w:rFonts w:ascii="Arial" w:hAnsi="Arial" w:cs="Arial"/>
                <w:sz w:val="24"/>
                <w:szCs w:val="24"/>
              </w:rPr>
              <w:t xml:space="preserve"> (</w:t>
            </w:r>
            <w:r>
              <w:rPr>
                <w:rFonts w:ascii="Arial" w:hAnsi="Arial" w:cs="Arial"/>
                <w:sz w:val="24"/>
                <w:szCs w:val="24"/>
              </w:rPr>
              <w:t>12 May 2023</w:t>
            </w:r>
            <w:r w:rsidRPr="00DC6B0D">
              <w:rPr>
                <w:rFonts w:ascii="Arial" w:hAnsi="Arial" w:cs="Arial"/>
                <w:sz w:val="24"/>
                <w:szCs w:val="24"/>
              </w:rPr>
              <w:t>)</w:t>
            </w:r>
          </w:p>
          <w:p w:rsidR="0001774C" w:rsidRPr="00DC6B0D" w:rsidRDefault="0001774C" w:rsidP="0057536C">
            <w:pPr>
              <w:spacing w:after="0" w:line="360" w:lineRule="auto"/>
              <w:jc w:val="both"/>
              <w:rPr>
                <w:rFonts w:ascii="Arial" w:hAnsi="Arial" w:cs="Arial"/>
                <w:b/>
                <w:sz w:val="24"/>
                <w:szCs w:val="24"/>
              </w:rPr>
            </w:pPr>
          </w:p>
        </w:tc>
      </w:tr>
      <w:tr w:rsidR="0001774C" w:rsidRPr="00DC6B0D" w:rsidTr="0057536C">
        <w:tc>
          <w:tcPr>
            <w:tcW w:w="9720" w:type="dxa"/>
            <w:gridSpan w:val="3"/>
            <w:shd w:val="clear" w:color="auto" w:fill="auto"/>
          </w:tcPr>
          <w:p w:rsidR="0001774C" w:rsidRPr="00DC6B0D" w:rsidRDefault="0001774C" w:rsidP="0057536C">
            <w:pPr>
              <w:spacing w:before="240" w:after="0" w:line="360" w:lineRule="auto"/>
              <w:jc w:val="both"/>
              <w:rPr>
                <w:rFonts w:ascii="Arial" w:hAnsi="Arial" w:cs="Arial"/>
                <w:sz w:val="24"/>
                <w:szCs w:val="24"/>
              </w:rPr>
            </w:pPr>
            <w:r w:rsidRPr="00DC6B0D">
              <w:rPr>
                <w:rFonts w:ascii="Arial" w:hAnsi="Arial" w:cs="Arial"/>
                <w:b/>
                <w:sz w:val="24"/>
                <w:szCs w:val="24"/>
              </w:rPr>
              <w:t>The order:</w:t>
            </w:r>
          </w:p>
          <w:p w:rsidR="0001774C" w:rsidRPr="0013154D" w:rsidRDefault="0013154D" w:rsidP="0001774C">
            <w:pPr>
              <w:pStyle w:val="ListParagraph"/>
              <w:numPr>
                <w:ilvl w:val="0"/>
                <w:numId w:val="2"/>
              </w:numPr>
              <w:tabs>
                <w:tab w:val="left" w:pos="851"/>
              </w:tabs>
              <w:spacing w:after="0" w:line="360" w:lineRule="auto"/>
              <w:jc w:val="both"/>
              <w:rPr>
                <w:rFonts w:ascii="Arial" w:hAnsi="Arial" w:cs="Arial"/>
                <w:sz w:val="24"/>
                <w:szCs w:val="24"/>
              </w:rPr>
            </w:pPr>
            <w:r>
              <w:rPr>
                <w:rFonts w:ascii="Arial" w:hAnsi="Arial" w:cs="Arial"/>
                <w:sz w:val="24"/>
                <w:szCs w:val="24"/>
                <w:lang w:val="en-US"/>
              </w:rPr>
              <w:t>Condonation is granted.</w:t>
            </w:r>
          </w:p>
          <w:p w:rsidR="0013154D" w:rsidRPr="0013154D" w:rsidRDefault="0013154D" w:rsidP="0001774C">
            <w:pPr>
              <w:pStyle w:val="ListParagraph"/>
              <w:numPr>
                <w:ilvl w:val="0"/>
                <w:numId w:val="2"/>
              </w:numPr>
              <w:tabs>
                <w:tab w:val="left" w:pos="851"/>
              </w:tabs>
              <w:spacing w:after="0" w:line="360" w:lineRule="auto"/>
              <w:jc w:val="both"/>
              <w:rPr>
                <w:rFonts w:ascii="Arial" w:hAnsi="Arial" w:cs="Arial"/>
                <w:sz w:val="24"/>
                <w:szCs w:val="24"/>
              </w:rPr>
            </w:pPr>
            <w:r>
              <w:rPr>
                <w:rFonts w:ascii="Arial" w:hAnsi="Arial" w:cs="Arial"/>
                <w:sz w:val="24"/>
                <w:szCs w:val="24"/>
                <w:lang w:val="en-US"/>
              </w:rPr>
              <w:t>The appeal is upheld.</w:t>
            </w:r>
          </w:p>
          <w:p w:rsidR="0013154D" w:rsidRPr="00DC6B0D" w:rsidRDefault="0013154D" w:rsidP="0001774C">
            <w:pPr>
              <w:pStyle w:val="ListParagraph"/>
              <w:numPr>
                <w:ilvl w:val="0"/>
                <w:numId w:val="2"/>
              </w:numPr>
              <w:tabs>
                <w:tab w:val="left" w:pos="851"/>
              </w:tabs>
              <w:spacing w:after="0" w:line="360" w:lineRule="auto"/>
              <w:jc w:val="both"/>
              <w:rPr>
                <w:rFonts w:ascii="Arial" w:hAnsi="Arial" w:cs="Arial"/>
                <w:sz w:val="24"/>
                <w:szCs w:val="24"/>
              </w:rPr>
            </w:pPr>
            <w:r>
              <w:rPr>
                <w:rFonts w:ascii="Arial" w:hAnsi="Arial" w:cs="Arial"/>
                <w:sz w:val="24"/>
                <w:szCs w:val="24"/>
                <w:lang w:val="en-US"/>
              </w:rPr>
              <w:t>The con</w:t>
            </w:r>
            <w:bookmarkStart w:id="0" w:name="_GoBack"/>
            <w:bookmarkEnd w:id="0"/>
            <w:r>
              <w:rPr>
                <w:rFonts w:ascii="Arial" w:hAnsi="Arial" w:cs="Arial"/>
                <w:sz w:val="24"/>
                <w:szCs w:val="24"/>
                <w:lang w:val="en-US"/>
              </w:rPr>
              <w:t>viction and sentence are set aside.</w:t>
            </w:r>
          </w:p>
        </w:tc>
      </w:tr>
      <w:tr w:rsidR="0001774C" w:rsidRPr="00DC6B0D" w:rsidTr="0057536C">
        <w:tc>
          <w:tcPr>
            <w:tcW w:w="9720" w:type="dxa"/>
            <w:gridSpan w:val="3"/>
            <w:shd w:val="clear" w:color="auto" w:fill="auto"/>
          </w:tcPr>
          <w:p w:rsidR="0001774C" w:rsidRPr="00DC6B0D" w:rsidRDefault="0001774C" w:rsidP="0057536C">
            <w:pPr>
              <w:spacing w:before="240" w:after="0" w:line="360" w:lineRule="auto"/>
              <w:jc w:val="both"/>
              <w:rPr>
                <w:rFonts w:ascii="Arial" w:hAnsi="Arial" w:cs="Arial"/>
                <w:b/>
                <w:sz w:val="24"/>
                <w:szCs w:val="24"/>
              </w:rPr>
            </w:pPr>
            <w:r w:rsidRPr="00DC6B0D">
              <w:rPr>
                <w:rFonts w:ascii="Arial" w:hAnsi="Arial" w:cs="Arial"/>
                <w:b/>
                <w:sz w:val="24"/>
                <w:szCs w:val="24"/>
              </w:rPr>
              <w:t>Reasons for order:</w:t>
            </w:r>
          </w:p>
        </w:tc>
      </w:tr>
      <w:tr w:rsidR="0001774C" w:rsidRPr="00DC6B0D" w:rsidTr="0057536C">
        <w:tc>
          <w:tcPr>
            <w:tcW w:w="9720" w:type="dxa"/>
            <w:gridSpan w:val="3"/>
            <w:shd w:val="clear" w:color="auto" w:fill="auto"/>
          </w:tcPr>
          <w:p w:rsidR="0001774C" w:rsidRPr="00DC6B0D" w:rsidRDefault="0001774C" w:rsidP="0057536C">
            <w:pPr>
              <w:spacing w:after="0" w:line="360" w:lineRule="auto"/>
              <w:jc w:val="both"/>
              <w:rPr>
                <w:rFonts w:ascii="Arial" w:hAnsi="Arial" w:cs="Arial"/>
                <w:sz w:val="24"/>
                <w:szCs w:val="24"/>
              </w:rPr>
            </w:pPr>
          </w:p>
          <w:p w:rsidR="0001774C" w:rsidRPr="00DC6B0D" w:rsidRDefault="0001774C" w:rsidP="0057536C">
            <w:pPr>
              <w:spacing w:after="0" w:line="360" w:lineRule="auto"/>
              <w:jc w:val="both"/>
              <w:rPr>
                <w:rFonts w:ascii="Arial" w:hAnsi="Arial" w:cs="Arial"/>
                <w:sz w:val="24"/>
                <w:szCs w:val="24"/>
              </w:rPr>
            </w:pPr>
            <w:r>
              <w:rPr>
                <w:rFonts w:ascii="Arial" w:hAnsi="Arial" w:cs="Arial"/>
                <w:sz w:val="24"/>
                <w:szCs w:val="24"/>
              </w:rPr>
              <w:t>January J</w:t>
            </w:r>
            <w:r w:rsidRPr="00DC6B0D">
              <w:rPr>
                <w:rFonts w:ascii="Arial" w:hAnsi="Arial" w:cs="Arial"/>
                <w:sz w:val="24"/>
                <w:szCs w:val="24"/>
              </w:rPr>
              <w:t xml:space="preserve"> (concurring </w:t>
            </w:r>
            <w:proofErr w:type="spellStart"/>
            <w:r>
              <w:rPr>
                <w:rFonts w:ascii="Arial" w:hAnsi="Arial" w:cs="Arial"/>
                <w:sz w:val="24"/>
                <w:szCs w:val="24"/>
              </w:rPr>
              <w:t>Shivute</w:t>
            </w:r>
            <w:proofErr w:type="spellEnd"/>
            <w:r w:rsidRPr="00DC6B0D">
              <w:rPr>
                <w:rFonts w:ascii="Arial" w:hAnsi="Arial" w:cs="Arial"/>
                <w:sz w:val="24"/>
                <w:szCs w:val="24"/>
              </w:rPr>
              <w:t xml:space="preserve"> J) </w:t>
            </w:r>
          </w:p>
          <w:p w:rsidR="0001774C" w:rsidRPr="00DC6B0D" w:rsidRDefault="0001774C" w:rsidP="0057536C">
            <w:pPr>
              <w:pStyle w:val="ListParagraph"/>
              <w:spacing w:after="0" w:line="360" w:lineRule="auto"/>
              <w:jc w:val="both"/>
              <w:rPr>
                <w:rFonts w:ascii="Arial" w:hAnsi="Arial" w:cs="Arial"/>
              </w:rPr>
            </w:pPr>
          </w:p>
          <w:p w:rsidR="0001774C" w:rsidRPr="00DC6B0D" w:rsidRDefault="0001774C" w:rsidP="0001774C">
            <w:pPr>
              <w:numPr>
                <w:ilvl w:val="0"/>
                <w:numId w:val="1"/>
              </w:numPr>
              <w:tabs>
                <w:tab w:val="left" w:pos="851"/>
              </w:tabs>
              <w:spacing w:after="0" w:line="360" w:lineRule="auto"/>
              <w:ind w:left="0" w:hanging="14"/>
              <w:jc w:val="both"/>
              <w:rPr>
                <w:rFonts w:ascii="Arial" w:hAnsi="Arial" w:cs="Arial"/>
                <w:sz w:val="24"/>
                <w:szCs w:val="24"/>
                <w:lang w:val="en-US"/>
              </w:rPr>
            </w:pPr>
            <w:r w:rsidRPr="00DC6B0D">
              <w:rPr>
                <w:rFonts w:ascii="Arial" w:hAnsi="Arial" w:cs="Arial"/>
                <w:sz w:val="24"/>
                <w:szCs w:val="24"/>
              </w:rPr>
              <w:lastRenderedPageBreak/>
              <w:t xml:space="preserve"> </w:t>
            </w:r>
            <w:r w:rsidRPr="00DC6B0D">
              <w:rPr>
                <w:rFonts w:ascii="Arial" w:eastAsia="Times New Roman" w:hAnsi="Arial" w:cs="Arial"/>
                <w:sz w:val="24"/>
                <w:szCs w:val="24"/>
                <w:lang w:val="en-GB" w:eastAsia="en-GB"/>
              </w:rPr>
              <w:t xml:space="preserve">The </w:t>
            </w:r>
            <w:r w:rsidR="00DA18EA">
              <w:rPr>
                <w:rFonts w:ascii="Arial" w:eastAsia="Times New Roman" w:hAnsi="Arial" w:cs="Arial"/>
                <w:sz w:val="24"/>
                <w:szCs w:val="24"/>
                <w:lang w:val="en-GB" w:eastAsia="en-GB"/>
              </w:rPr>
              <w:t>appellant</w:t>
            </w:r>
            <w:r w:rsidRPr="00DC6B0D">
              <w:rPr>
                <w:rFonts w:ascii="Arial" w:eastAsia="Times New Roman" w:hAnsi="Arial" w:cs="Arial"/>
                <w:sz w:val="24"/>
                <w:szCs w:val="24"/>
                <w:lang w:val="en-GB" w:eastAsia="en-GB"/>
              </w:rPr>
              <w:t xml:space="preserve"> appeared before the </w:t>
            </w:r>
            <w:r w:rsidR="00E602CA">
              <w:rPr>
                <w:rFonts w:ascii="Arial" w:eastAsia="Times New Roman" w:hAnsi="Arial" w:cs="Arial"/>
                <w:sz w:val="24"/>
                <w:szCs w:val="24"/>
                <w:lang w:val="en-GB" w:eastAsia="en-GB"/>
              </w:rPr>
              <w:t>M</w:t>
            </w:r>
            <w:r w:rsidRPr="00DC6B0D">
              <w:rPr>
                <w:rFonts w:ascii="Arial" w:eastAsia="Times New Roman" w:hAnsi="Arial" w:cs="Arial"/>
                <w:sz w:val="24"/>
                <w:szCs w:val="24"/>
                <w:lang w:val="en-GB" w:eastAsia="en-GB"/>
              </w:rPr>
              <w:t xml:space="preserve">agistrate sitting at </w:t>
            </w:r>
            <w:r>
              <w:rPr>
                <w:rFonts w:ascii="Arial" w:eastAsia="Times New Roman" w:hAnsi="Arial" w:cs="Arial"/>
                <w:sz w:val="24"/>
                <w:szCs w:val="24"/>
                <w:lang w:val="en-GB" w:eastAsia="en-GB"/>
              </w:rPr>
              <w:t>Bethanie on a charge of Stock Theft</w:t>
            </w:r>
            <w:r w:rsidR="00DA18EA">
              <w:rPr>
                <w:rFonts w:ascii="Arial" w:eastAsia="Times New Roman" w:hAnsi="Arial" w:cs="Arial"/>
                <w:sz w:val="24"/>
                <w:szCs w:val="24"/>
                <w:lang w:val="en-GB" w:eastAsia="en-GB"/>
              </w:rPr>
              <w:t xml:space="preserve"> taking into consideration the provis</w:t>
            </w:r>
            <w:r w:rsidR="00286D68">
              <w:rPr>
                <w:rFonts w:ascii="Arial" w:eastAsia="Times New Roman" w:hAnsi="Arial" w:cs="Arial"/>
                <w:sz w:val="24"/>
                <w:szCs w:val="24"/>
                <w:lang w:val="en-GB" w:eastAsia="en-GB"/>
              </w:rPr>
              <w:t>ions of the Stock Theft Act 12 o</w:t>
            </w:r>
            <w:r w:rsidR="00DA18EA">
              <w:rPr>
                <w:rFonts w:ascii="Arial" w:eastAsia="Times New Roman" w:hAnsi="Arial" w:cs="Arial"/>
                <w:sz w:val="24"/>
                <w:szCs w:val="24"/>
                <w:lang w:val="en-GB" w:eastAsia="en-GB"/>
              </w:rPr>
              <w:t>f 1990, as amended</w:t>
            </w:r>
            <w:r w:rsidR="00DF2B2B">
              <w:rPr>
                <w:rFonts w:ascii="Arial" w:eastAsia="Times New Roman" w:hAnsi="Arial" w:cs="Arial"/>
                <w:sz w:val="24"/>
                <w:szCs w:val="24"/>
                <w:lang w:val="en-GB" w:eastAsia="en-GB"/>
              </w:rPr>
              <w:t>,</w:t>
            </w:r>
            <w:r w:rsidR="00E602CA">
              <w:rPr>
                <w:rFonts w:ascii="Arial" w:eastAsia="Times New Roman" w:hAnsi="Arial" w:cs="Arial"/>
                <w:sz w:val="24"/>
                <w:szCs w:val="24"/>
                <w:lang w:val="en-GB" w:eastAsia="en-GB"/>
              </w:rPr>
              <w:t xml:space="preserve"> with an alternative charge of possession of suspected</w:t>
            </w:r>
            <w:r w:rsidR="00494848">
              <w:rPr>
                <w:rFonts w:ascii="Arial" w:eastAsia="Times New Roman" w:hAnsi="Arial" w:cs="Arial"/>
                <w:sz w:val="24"/>
                <w:szCs w:val="24"/>
                <w:lang w:val="en-GB" w:eastAsia="en-GB"/>
              </w:rPr>
              <w:t xml:space="preserve"> stolen stock</w:t>
            </w:r>
            <w:r w:rsidR="00E602CA">
              <w:rPr>
                <w:rFonts w:ascii="Arial" w:eastAsia="Times New Roman" w:hAnsi="Arial" w:cs="Arial"/>
                <w:sz w:val="24"/>
                <w:szCs w:val="24"/>
                <w:lang w:val="en-GB" w:eastAsia="en-GB"/>
              </w:rPr>
              <w:t xml:space="preserve"> in contravention of s 2 read with </w:t>
            </w:r>
            <w:proofErr w:type="spellStart"/>
            <w:r w:rsidR="00E602CA">
              <w:rPr>
                <w:rFonts w:ascii="Arial" w:eastAsia="Times New Roman" w:hAnsi="Arial" w:cs="Arial"/>
                <w:sz w:val="24"/>
                <w:szCs w:val="24"/>
                <w:lang w:val="en-GB" w:eastAsia="en-GB"/>
              </w:rPr>
              <w:t>ss</w:t>
            </w:r>
            <w:proofErr w:type="spellEnd"/>
            <w:r w:rsidR="00E602CA">
              <w:rPr>
                <w:rFonts w:ascii="Arial" w:eastAsia="Times New Roman" w:hAnsi="Arial" w:cs="Arial"/>
                <w:sz w:val="24"/>
                <w:szCs w:val="24"/>
                <w:lang w:val="en-GB" w:eastAsia="en-GB"/>
              </w:rPr>
              <w:t xml:space="preserve"> 1, 11(1</w:t>
            </w:r>
            <w:proofErr w:type="gramStart"/>
            <w:r w:rsidR="00E602CA">
              <w:rPr>
                <w:rFonts w:ascii="Arial" w:eastAsia="Times New Roman" w:hAnsi="Arial" w:cs="Arial"/>
                <w:sz w:val="24"/>
                <w:szCs w:val="24"/>
                <w:lang w:val="en-GB" w:eastAsia="en-GB"/>
              </w:rPr>
              <w:t>)</w:t>
            </w:r>
            <w:r w:rsidR="00E602CA" w:rsidRPr="00E602CA">
              <w:rPr>
                <w:rFonts w:ascii="Arial" w:eastAsia="Times New Roman" w:hAnsi="Arial" w:cs="Arial"/>
                <w:i/>
                <w:sz w:val="24"/>
                <w:szCs w:val="24"/>
                <w:lang w:val="en-GB" w:eastAsia="en-GB"/>
              </w:rPr>
              <w:t>(</w:t>
            </w:r>
            <w:proofErr w:type="gramEnd"/>
            <w:r w:rsidR="00E602CA" w:rsidRPr="00E602CA">
              <w:rPr>
                <w:rFonts w:ascii="Arial" w:eastAsia="Times New Roman" w:hAnsi="Arial" w:cs="Arial"/>
                <w:i/>
                <w:sz w:val="24"/>
                <w:szCs w:val="24"/>
                <w:lang w:val="en-GB" w:eastAsia="en-GB"/>
              </w:rPr>
              <w:t>a)</w:t>
            </w:r>
            <w:r w:rsidR="00E602CA">
              <w:rPr>
                <w:rFonts w:ascii="Arial" w:eastAsia="Times New Roman" w:hAnsi="Arial" w:cs="Arial"/>
                <w:sz w:val="24"/>
                <w:szCs w:val="24"/>
                <w:lang w:val="en-GB" w:eastAsia="en-GB"/>
              </w:rPr>
              <w:t>, 15 and 17 of the Stock Theft Act, as amended</w:t>
            </w:r>
            <w:r w:rsidR="00DA18EA">
              <w:rPr>
                <w:rFonts w:ascii="Arial" w:eastAsia="Times New Roman" w:hAnsi="Arial" w:cs="Arial"/>
                <w:sz w:val="24"/>
                <w:szCs w:val="24"/>
                <w:lang w:val="en-GB" w:eastAsia="en-GB"/>
              </w:rPr>
              <w:t>. He was undefended and the Magistrate explained his rights to legal representation. He opted to conduct his own defence where after the matter was postponed for further investigation.</w:t>
            </w:r>
          </w:p>
          <w:p w:rsidR="0001774C" w:rsidRPr="00DC6B0D" w:rsidRDefault="0001774C" w:rsidP="0057536C">
            <w:pPr>
              <w:tabs>
                <w:tab w:val="left" w:pos="851"/>
              </w:tabs>
              <w:spacing w:after="0" w:line="360" w:lineRule="auto"/>
              <w:jc w:val="both"/>
              <w:rPr>
                <w:rFonts w:ascii="Arial" w:hAnsi="Arial" w:cs="Arial"/>
                <w:sz w:val="24"/>
                <w:szCs w:val="24"/>
                <w:lang w:val="en-US"/>
              </w:rPr>
            </w:pPr>
          </w:p>
          <w:p w:rsidR="0001774C" w:rsidRPr="00DC6B0D" w:rsidRDefault="00E602CA" w:rsidP="0001774C">
            <w:pPr>
              <w:numPr>
                <w:ilvl w:val="0"/>
                <w:numId w:val="1"/>
              </w:numPr>
              <w:tabs>
                <w:tab w:val="left" w:pos="851"/>
              </w:tabs>
              <w:spacing w:after="0" w:line="360" w:lineRule="auto"/>
              <w:ind w:left="0" w:hanging="14"/>
              <w:jc w:val="both"/>
              <w:rPr>
                <w:rFonts w:ascii="Arial" w:hAnsi="Arial" w:cs="Arial"/>
                <w:sz w:val="24"/>
                <w:szCs w:val="24"/>
                <w:lang w:val="en-US"/>
              </w:rPr>
            </w:pPr>
            <w:r>
              <w:rPr>
                <w:rFonts w:ascii="Arial" w:eastAsia="Times New Roman" w:hAnsi="Arial" w:cs="Arial"/>
                <w:sz w:val="24"/>
                <w:szCs w:val="24"/>
                <w:lang w:val="en-GB" w:eastAsia="en-GB"/>
              </w:rPr>
              <w:t xml:space="preserve">Eventually, the appellant was asked to plead upon which </w:t>
            </w:r>
            <w:r w:rsidR="00DF2B2B">
              <w:rPr>
                <w:rFonts w:ascii="Arial" w:eastAsia="Times New Roman" w:hAnsi="Arial" w:cs="Arial"/>
                <w:sz w:val="24"/>
                <w:szCs w:val="24"/>
                <w:lang w:val="en-GB" w:eastAsia="en-GB"/>
              </w:rPr>
              <w:t>h</w:t>
            </w:r>
            <w:r w:rsidR="00DA18EA">
              <w:rPr>
                <w:rFonts w:ascii="Arial" w:eastAsia="Times New Roman" w:hAnsi="Arial" w:cs="Arial"/>
                <w:sz w:val="24"/>
                <w:szCs w:val="24"/>
                <w:lang w:val="en-GB" w:eastAsia="en-GB"/>
              </w:rPr>
              <w:t>e pleaded not guilty. After evidence was led, he was convicted on 18 November 2021 and sentenced to two years’ imprisonment.</w:t>
            </w:r>
          </w:p>
          <w:p w:rsidR="0001774C" w:rsidRPr="00DC6B0D" w:rsidRDefault="0001774C" w:rsidP="0057536C">
            <w:pPr>
              <w:tabs>
                <w:tab w:val="left" w:pos="851"/>
              </w:tabs>
              <w:spacing w:after="0" w:line="360" w:lineRule="auto"/>
              <w:jc w:val="both"/>
              <w:rPr>
                <w:rFonts w:ascii="Arial" w:hAnsi="Arial" w:cs="Arial"/>
                <w:sz w:val="24"/>
                <w:szCs w:val="24"/>
                <w:lang w:val="en-US"/>
              </w:rPr>
            </w:pPr>
          </w:p>
          <w:p w:rsidR="00DF2B2B" w:rsidRPr="00DF2B2B" w:rsidRDefault="00DF2B2B" w:rsidP="00DF2B2B">
            <w:pPr>
              <w:numPr>
                <w:ilvl w:val="0"/>
                <w:numId w:val="1"/>
              </w:numPr>
              <w:tabs>
                <w:tab w:val="left" w:pos="851"/>
              </w:tabs>
              <w:spacing w:after="0" w:line="360" w:lineRule="auto"/>
              <w:ind w:left="0" w:hanging="14"/>
              <w:jc w:val="both"/>
              <w:rPr>
                <w:rFonts w:ascii="Arial" w:hAnsi="Arial" w:cs="Arial"/>
                <w:lang w:val="en-US"/>
              </w:rPr>
            </w:pPr>
            <w:r w:rsidRPr="00DF2B2B">
              <w:rPr>
                <w:rFonts w:ascii="Arial" w:eastAsia="Times New Roman" w:hAnsi="Arial" w:cs="Arial"/>
                <w:sz w:val="24"/>
                <w:szCs w:val="24"/>
                <w:lang w:val="en-GB" w:eastAsia="en-GB"/>
              </w:rPr>
              <w:t xml:space="preserve">The appellant is represented by Mr Andreas and the respondent by Mr </w:t>
            </w:r>
            <w:proofErr w:type="spellStart"/>
            <w:r w:rsidRPr="00DF2B2B">
              <w:rPr>
                <w:rFonts w:ascii="Arial" w:eastAsia="Times New Roman" w:hAnsi="Arial" w:cs="Arial"/>
                <w:sz w:val="24"/>
                <w:szCs w:val="24"/>
                <w:lang w:val="en-GB" w:eastAsia="en-GB"/>
              </w:rPr>
              <w:t>Lilungwe</w:t>
            </w:r>
            <w:proofErr w:type="spellEnd"/>
            <w:r w:rsidRPr="00DF2B2B">
              <w:rPr>
                <w:rFonts w:ascii="Arial" w:eastAsia="Times New Roman" w:hAnsi="Arial" w:cs="Arial"/>
                <w:sz w:val="24"/>
                <w:szCs w:val="24"/>
                <w:lang w:val="en-GB" w:eastAsia="en-GB"/>
              </w:rPr>
              <w:t>.</w:t>
            </w:r>
          </w:p>
          <w:p w:rsidR="00DF2B2B" w:rsidRDefault="00DF2B2B" w:rsidP="00DF2B2B">
            <w:pPr>
              <w:pStyle w:val="ListParagraph"/>
              <w:rPr>
                <w:rFonts w:ascii="Arial" w:hAnsi="Arial" w:cs="Arial"/>
                <w:lang w:val="en-US"/>
              </w:rPr>
            </w:pPr>
          </w:p>
          <w:p w:rsidR="00DF2B2B" w:rsidRPr="0073561D" w:rsidRDefault="00DF2B2B" w:rsidP="00DF2B2B">
            <w:pPr>
              <w:numPr>
                <w:ilvl w:val="0"/>
                <w:numId w:val="1"/>
              </w:numPr>
              <w:tabs>
                <w:tab w:val="left" w:pos="851"/>
              </w:tabs>
              <w:spacing w:after="0" w:line="360" w:lineRule="auto"/>
              <w:ind w:left="0" w:hanging="14"/>
              <w:jc w:val="both"/>
              <w:rPr>
                <w:rFonts w:ascii="Arial" w:hAnsi="Arial" w:cs="Arial"/>
                <w:lang w:val="en-US"/>
              </w:rPr>
            </w:pPr>
            <w:r w:rsidRPr="00DF2B2B">
              <w:rPr>
                <w:rFonts w:ascii="Arial" w:eastAsia="Times New Roman" w:hAnsi="Arial" w:cs="Arial"/>
                <w:sz w:val="24"/>
                <w:szCs w:val="24"/>
                <w:lang w:val="en-GB" w:eastAsia="en-GB"/>
              </w:rPr>
              <w:t>This appeal is against conviction.</w:t>
            </w:r>
            <w:r>
              <w:rPr>
                <w:rFonts w:ascii="Arial" w:eastAsia="Times New Roman" w:hAnsi="Arial" w:cs="Arial"/>
                <w:sz w:val="24"/>
                <w:szCs w:val="24"/>
                <w:lang w:val="en-GB" w:eastAsia="en-GB"/>
              </w:rPr>
              <w:t xml:space="preserve"> The a</w:t>
            </w:r>
            <w:r w:rsidR="0073561D">
              <w:rPr>
                <w:rFonts w:ascii="Arial" w:eastAsia="Times New Roman" w:hAnsi="Arial" w:cs="Arial"/>
                <w:sz w:val="24"/>
                <w:szCs w:val="24"/>
                <w:lang w:val="en-GB" w:eastAsia="en-GB"/>
              </w:rPr>
              <w:t>ppellant filed his notice of appeal about three months and seven days late. He consequently applied for condonation with a supporting affidavit.</w:t>
            </w:r>
          </w:p>
          <w:p w:rsidR="0073561D" w:rsidRDefault="0073561D" w:rsidP="0073561D">
            <w:pPr>
              <w:pStyle w:val="ListParagraph"/>
              <w:rPr>
                <w:rFonts w:ascii="Arial" w:hAnsi="Arial" w:cs="Arial"/>
                <w:lang w:val="en-US"/>
              </w:rPr>
            </w:pPr>
          </w:p>
          <w:p w:rsidR="00DF2B2B" w:rsidRPr="006E58F8" w:rsidRDefault="0073561D" w:rsidP="006E58F8">
            <w:pPr>
              <w:numPr>
                <w:ilvl w:val="0"/>
                <w:numId w:val="1"/>
              </w:numPr>
              <w:tabs>
                <w:tab w:val="left" w:pos="851"/>
              </w:tabs>
              <w:spacing w:after="0" w:line="360" w:lineRule="auto"/>
              <w:ind w:left="0" w:hanging="14"/>
              <w:jc w:val="both"/>
              <w:rPr>
                <w:rFonts w:ascii="Arial" w:hAnsi="Arial" w:cs="Arial"/>
                <w:sz w:val="24"/>
                <w:szCs w:val="24"/>
                <w:lang w:val="en-US"/>
              </w:rPr>
            </w:pPr>
            <w:r w:rsidRPr="0073561D">
              <w:rPr>
                <w:rFonts w:ascii="Arial" w:hAnsi="Arial" w:cs="Arial"/>
                <w:sz w:val="24"/>
                <w:szCs w:val="24"/>
                <w:lang w:val="en-US"/>
              </w:rPr>
              <w:t xml:space="preserve">He </w:t>
            </w:r>
            <w:r>
              <w:rPr>
                <w:rFonts w:ascii="Arial" w:hAnsi="Arial" w:cs="Arial"/>
                <w:sz w:val="24"/>
                <w:szCs w:val="24"/>
                <w:lang w:val="en-US"/>
              </w:rPr>
              <w:t>stated that he was represented by a legal representative in the court a quo. After conviction and sentencing the legal representative, however withdrew. The appellant stated that he wanted to appeal and indicated that in court to the legal representative. He was challenged to obtain the court record. In addition, he stated that he is a lay person</w:t>
            </w:r>
            <w:r w:rsidR="006137BD">
              <w:rPr>
                <w:rFonts w:ascii="Arial" w:hAnsi="Arial" w:cs="Arial"/>
                <w:sz w:val="24"/>
                <w:szCs w:val="24"/>
                <w:lang w:val="en-US"/>
              </w:rPr>
              <w:t xml:space="preserve"> and had difficulty to find examples of a notice of appeal and an application for condonation. Consequently</w:t>
            </w:r>
            <w:r w:rsidR="006631E6">
              <w:rPr>
                <w:rFonts w:ascii="Arial" w:hAnsi="Arial" w:cs="Arial"/>
                <w:sz w:val="24"/>
                <w:szCs w:val="24"/>
                <w:lang w:val="en-US"/>
              </w:rPr>
              <w:t>,</w:t>
            </w:r>
            <w:r w:rsidR="006137BD">
              <w:rPr>
                <w:rFonts w:ascii="Arial" w:hAnsi="Arial" w:cs="Arial"/>
                <w:sz w:val="24"/>
                <w:szCs w:val="24"/>
                <w:lang w:val="en-US"/>
              </w:rPr>
              <w:t xml:space="preserve"> he could find examples on 25 January 2022 and </w:t>
            </w:r>
            <w:proofErr w:type="spellStart"/>
            <w:r w:rsidR="00494848">
              <w:rPr>
                <w:rFonts w:ascii="Arial" w:hAnsi="Arial" w:cs="Arial"/>
                <w:sz w:val="24"/>
                <w:szCs w:val="24"/>
                <w:lang w:val="en-US"/>
              </w:rPr>
              <w:t>finalis</w:t>
            </w:r>
            <w:r w:rsidR="004220F4" w:rsidRPr="006E58F8">
              <w:rPr>
                <w:rFonts w:ascii="Arial" w:hAnsi="Arial" w:cs="Arial"/>
                <w:sz w:val="24"/>
                <w:szCs w:val="24"/>
                <w:lang w:val="en-US"/>
              </w:rPr>
              <w:t>ed</w:t>
            </w:r>
            <w:proofErr w:type="spellEnd"/>
            <w:r w:rsidR="006137BD" w:rsidRPr="006E58F8">
              <w:rPr>
                <w:rFonts w:ascii="Arial" w:hAnsi="Arial" w:cs="Arial"/>
                <w:sz w:val="24"/>
                <w:szCs w:val="24"/>
                <w:lang w:val="en-US"/>
              </w:rPr>
              <w:t xml:space="preserve"> the application and notice of appeal on 27 January 2022.</w:t>
            </w:r>
            <w:r w:rsidR="00B55B15" w:rsidRPr="006E58F8">
              <w:rPr>
                <w:rFonts w:ascii="Arial" w:hAnsi="Arial" w:cs="Arial"/>
                <w:sz w:val="24"/>
                <w:szCs w:val="24"/>
                <w:lang w:val="en-US"/>
              </w:rPr>
              <w:t xml:space="preserve"> The date stamp of the clerk of court reflects that the documents were only certified as correct on 08 April 2022.</w:t>
            </w:r>
          </w:p>
          <w:p w:rsidR="004220F4" w:rsidRDefault="004220F4" w:rsidP="004220F4">
            <w:pPr>
              <w:pStyle w:val="ListParagraph"/>
              <w:rPr>
                <w:rFonts w:ascii="Arial" w:hAnsi="Arial" w:cs="Arial"/>
                <w:sz w:val="24"/>
                <w:szCs w:val="24"/>
                <w:lang w:val="en-US"/>
              </w:rPr>
            </w:pPr>
          </w:p>
          <w:p w:rsidR="004220F4" w:rsidRDefault="004220F4" w:rsidP="00DF2B2B">
            <w:pPr>
              <w:numPr>
                <w:ilvl w:val="0"/>
                <w:numId w:val="1"/>
              </w:numPr>
              <w:tabs>
                <w:tab w:val="left" w:pos="851"/>
              </w:tabs>
              <w:spacing w:after="0" w:line="360" w:lineRule="auto"/>
              <w:ind w:left="0" w:hanging="14"/>
              <w:jc w:val="both"/>
              <w:rPr>
                <w:rFonts w:ascii="Arial" w:hAnsi="Arial" w:cs="Arial"/>
                <w:sz w:val="24"/>
                <w:szCs w:val="24"/>
                <w:lang w:val="en-US"/>
              </w:rPr>
            </w:pP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Lilungwe</w:t>
            </w:r>
            <w:proofErr w:type="spellEnd"/>
            <w:r>
              <w:rPr>
                <w:rFonts w:ascii="Arial" w:hAnsi="Arial" w:cs="Arial"/>
                <w:sz w:val="24"/>
                <w:szCs w:val="24"/>
                <w:lang w:val="en-US"/>
              </w:rPr>
              <w:t xml:space="preserve"> submitted that the application for condonation should be dismissed as the appellant’s explanation is not reasonable and he did not pass the first hurdle in that he needed to provide a reasonable explanation for the delay and secondly, </w:t>
            </w:r>
            <w:r w:rsidR="00B55B15">
              <w:rPr>
                <w:rFonts w:ascii="Arial" w:hAnsi="Arial" w:cs="Arial"/>
                <w:sz w:val="24"/>
                <w:szCs w:val="24"/>
                <w:lang w:val="en-US"/>
              </w:rPr>
              <w:t xml:space="preserve">convince </w:t>
            </w:r>
            <w:r w:rsidR="00B55B15">
              <w:rPr>
                <w:rFonts w:ascii="Arial" w:hAnsi="Arial" w:cs="Arial"/>
                <w:sz w:val="24"/>
                <w:szCs w:val="24"/>
                <w:lang w:val="en-US"/>
              </w:rPr>
              <w:lastRenderedPageBreak/>
              <w:t>the court that he has reasonable prospects of success in accordance with</w:t>
            </w:r>
            <w:r w:rsidR="006631E6">
              <w:rPr>
                <w:rFonts w:ascii="Arial" w:hAnsi="Arial" w:cs="Arial"/>
                <w:sz w:val="24"/>
                <w:szCs w:val="24"/>
                <w:lang w:val="en-US"/>
              </w:rPr>
              <w:t xml:space="preserve"> the</w:t>
            </w:r>
            <w:r w:rsidR="00B55B15">
              <w:rPr>
                <w:rFonts w:ascii="Arial" w:hAnsi="Arial" w:cs="Arial"/>
                <w:sz w:val="24"/>
                <w:szCs w:val="24"/>
                <w:lang w:val="en-US"/>
              </w:rPr>
              <w:t xml:space="preserve"> trite principles in an application for condonation.</w:t>
            </w:r>
          </w:p>
          <w:p w:rsidR="00B55B15" w:rsidRDefault="00B55B15" w:rsidP="00B55B15">
            <w:pPr>
              <w:pStyle w:val="ListParagraph"/>
              <w:rPr>
                <w:rFonts w:ascii="Arial" w:hAnsi="Arial" w:cs="Arial"/>
                <w:sz w:val="24"/>
                <w:szCs w:val="24"/>
                <w:lang w:val="en-US"/>
              </w:rPr>
            </w:pPr>
          </w:p>
          <w:p w:rsidR="00494848" w:rsidRDefault="00B55B15" w:rsidP="00DF2B2B">
            <w:pPr>
              <w:numPr>
                <w:ilvl w:val="0"/>
                <w:numId w:val="1"/>
              </w:numPr>
              <w:tabs>
                <w:tab w:val="left" w:pos="851"/>
              </w:tabs>
              <w:spacing w:after="0" w:line="360" w:lineRule="auto"/>
              <w:ind w:left="0" w:hanging="14"/>
              <w:jc w:val="both"/>
              <w:rPr>
                <w:rFonts w:ascii="Arial" w:hAnsi="Arial" w:cs="Arial"/>
                <w:sz w:val="24"/>
                <w:szCs w:val="24"/>
                <w:lang w:val="en-US"/>
              </w:rPr>
            </w:pPr>
            <w:proofErr w:type="spellStart"/>
            <w:r>
              <w:rPr>
                <w:rFonts w:ascii="Arial" w:hAnsi="Arial" w:cs="Arial"/>
                <w:sz w:val="24"/>
                <w:szCs w:val="24"/>
                <w:lang w:val="en-US"/>
              </w:rPr>
              <w:t>Mr</w:t>
            </w:r>
            <w:proofErr w:type="spellEnd"/>
            <w:r>
              <w:rPr>
                <w:rFonts w:ascii="Arial" w:hAnsi="Arial" w:cs="Arial"/>
                <w:sz w:val="24"/>
                <w:szCs w:val="24"/>
                <w:lang w:val="en-US"/>
              </w:rPr>
              <w:t xml:space="preserve"> Andreas submitted that the explanation for the delay is reasonable considering that the court was in recess during December 2021 and the applicant completed the application in January 2022. He pointed out that the date</w:t>
            </w:r>
            <w:r w:rsidR="00E67BC4">
              <w:rPr>
                <w:rFonts w:ascii="Arial" w:hAnsi="Arial" w:cs="Arial"/>
                <w:sz w:val="24"/>
                <w:szCs w:val="24"/>
                <w:lang w:val="en-US"/>
              </w:rPr>
              <w:t xml:space="preserve"> stamp of 08 April 2022 reflects the date when the record was certified as a true copy of the original and not the date of filing. </w:t>
            </w:r>
            <w:r w:rsidR="00494848">
              <w:rPr>
                <w:rFonts w:ascii="Arial" w:hAnsi="Arial" w:cs="Arial"/>
                <w:sz w:val="24"/>
                <w:szCs w:val="24"/>
                <w:lang w:val="en-US"/>
              </w:rPr>
              <w:t xml:space="preserve">The record of proceedings further reflects that the Magistrate only certified the proceedings to be accurate and provided additional reasons on 11 March 2022. </w:t>
            </w:r>
            <w:r w:rsidR="002F6B09">
              <w:rPr>
                <w:rFonts w:ascii="Arial" w:hAnsi="Arial" w:cs="Arial"/>
                <w:sz w:val="24"/>
                <w:szCs w:val="24"/>
                <w:lang w:val="en-US"/>
              </w:rPr>
              <w:t xml:space="preserve">In addition, the case originated in Bethanie but was </w:t>
            </w:r>
            <w:proofErr w:type="spellStart"/>
            <w:r w:rsidR="002F6B09">
              <w:rPr>
                <w:rFonts w:ascii="Arial" w:hAnsi="Arial" w:cs="Arial"/>
                <w:sz w:val="24"/>
                <w:szCs w:val="24"/>
                <w:lang w:val="en-US"/>
              </w:rPr>
              <w:t>finalised</w:t>
            </w:r>
            <w:proofErr w:type="spellEnd"/>
            <w:r w:rsidR="002F6B09">
              <w:rPr>
                <w:rFonts w:ascii="Arial" w:hAnsi="Arial" w:cs="Arial"/>
                <w:sz w:val="24"/>
                <w:szCs w:val="24"/>
                <w:lang w:val="en-US"/>
              </w:rPr>
              <w:t xml:space="preserve"> in </w:t>
            </w:r>
            <w:proofErr w:type="spellStart"/>
            <w:r w:rsidR="002F6B09">
              <w:rPr>
                <w:rFonts w:ascii="Arial" w:hAnsi="Arial" w:cs="Arial"/>
                <w:sz w:val="24"/>
                <w:szCs w:val="24"/>
                <w:lang w:val="en-US"/>
              </w:rPr>
              <w:t>Keetmanshoop</w:t>
            </w:r>
            <w:proofErr w:type="spellEnd"/>
            <w:r w:rsidR="002F6B09">
              <w:rPr>
                <w:rFonts w:ascii="Arial" w:hAnsi="Arial" w:cs="Arial"/>
                <w:sz w:val="24"/>
                <w:szCs w:val="24"/>
                <w:lang w:val="en-US"/>
              </w:rPr>
              <w:t>. This fact in all probability contributed to further delays which cannot be ascribed to inaction of the appellant.</w:t>
            </w:r>
          </w:p>
          <w:p w:rsidR="00494848" w:rsidRDefault="00494848" w:rsidP="00494848">
            <w:pPr>
              <w:pStyle w:val="ListParagraph"/>
              <w:rPr>
                <w:rFonts w:ascii="Arial" w:hAnsi="Arial" w:cs="Arial"/>
                <w:sz w:val="24"/>
                <w:szCs w:val="24"/>
                <w:lang w:val="en-US"/>
              </w:rPr>
            </w:pPr>
          </w:p>
          <w:p w:rsidR="00B55B15" w:rsidRDefault="002F6B09" w:rsidP="00DF2B2B">
            <w:pPr>
              <w:numPr>
                <w:ilvl w:val="0"/>
                <w:numId w:val="1"/>
              </w:numPr>
              <w:tabs>
                <w:tab w:val="left" w:pos="851"/>
              </w:tabs>
              <w:spacing w:after="0" w:line="360" w:lineRule="auto"/>
              <w:ind w:left="0" w:hanging="14"/>
              <w:jc w:val="both"/>
              <w:rPr>
                <w:rFonts w:ascii="Arial" w:hAnsi="Arial" w:cs="Arial"/>
                <w:sz w:val="24"/>
                <w:szCs w:val="24"/>
                <w:lang w:val="en-US"/>
              </w:rPr>
            </w:pPr>
            <w:r>
              <w:rPr>
                <w:rFonts w:ascii="Arial" w:hAnsi="Arial" w:cs="Arial"/>
                <w:sz w:val="24"/>
                <w:szCs w:val="24"/>
                <w:lang w:val="en-US"/>
              </w:rPr>
              <w:t>In the circumstances, w</w:t>
            </w:r>
            <w:r w:rsidR="00E67BC4">
              <w:rPr>
                <w:rFonts w:ascii="Arial" w:hAnsi="Arial" w:cs="Arial"/>
                <w:sz w:val="24"/>
                <w:szCs w:val="24"/>
                <w:lang w:val="en-US"/>
              </w:rPr>
              <w:t>e accepted the explanation to be reasonable.</w:t>
            </w:r>
          </w:p>
          <w:p w:rsidR="002F6B09" w:rsidRDefault="002F6B09" w:rsidP="002F6B09">
            <w:pPr>
              <w:pStyle w:val="ListParagraph"/>
              <w:rPr>
                <w:rFonts w:ascii="Arial" w:hAnsi="Arial" w:cs="Arial"/>
                <w:sz w:val="24"/>
                <w:szCs w:val="24"/>
                <w:lang w:val="en-US"/>
              </w:rPr>
            </w:pPr>
          </w:p>
          <w:p w:rsidR="002F6B09" w:rsidRDefault="00DE7DB8" w:rsidP="00DF2B2B">
            <w:pPr>
              <w:numPr>
                <w:ilvl w:val="0"/>
                <w:numId w:val="1"/>
              </w:numPr>
              <w:tabs>
                <w:tab w:val="left" w:pos="851"/>
              </w:tabs>
              <w:spacing w:after="0" w:line="360" w:lineRule="auto"/>
              <w:ind w:left="0" w:hanging="14"/>
              <w:jc w:val="both"/>
              <w:rPr>
                <w:rFonts w:ascii="Arial" w:hAnsi="Arial" w:cs="Arial"/>
                <w:sz w:val="24"/>
                <w:szCs w:val="24"/>
                <w:lang w:val="en-US"/>
              </w:rPr>
            </w:pPr>
            <w:r>
              <w:rPr>
                <w:rFonts w:ascii="Arial" w:hAnsi="Arial" w:cs="Arial"/>
                <w:sz w:val="24"/>
                <w:szCs w:val="24"/>
                <w:lang w:val="en-US"/>
              </w:rPr>
              <w:t xml:space="preserve">With reference to the prospects of success on appeal, </w:t>
            </w:r>
            <w:proofErr w:type="spellStart"/>
            <w:r w:rsidR="002F6B09">
              <w:rPr>
                <w:rFonts w:ascii="Arial" w:hAnsi="Arial" w:cs="Arial"/>
                <w:sz w:val="24"/>
                <w:szCs w:val="24"/>
                <w:lang w:val="en-US"/>
              </w:rPr>
              <w:t>Mr</w:t>
            </w:r>
            <w:proofErr w:type="spellEnd"/>
            <w:r w:rsidR="002F6B09">
              <w:rPr>
                <w:rFonts w:ascii="Arial" w:hAnsi="Arial" w:cs="Arial"/>
                <w:sz w:val="24"/>
                <w:szCs w:val="24"/>
                <w:lang w:val="en-US"/>
              </w:rPr>
              <w:t xml:space="preserve"> Andreas submitted that it is evident from the record of proceedings that the magistrate omitted and failed to explain to the appellant his right to disclosure of evidential material which the State intended to use against him in the trial. Further, that it is evident from the record that</w:t>
            </w:r>
            <w:r>
              <w:rPr>
                <w:rFonts w:ascii="Arial" w:hAnsi="Arial" w:cs="Arial"/>
                <w:sz w:val="24"/>
                <w:szCs w:val="24"/>
                <w:lang w:val="en-US"/>
              </w:rPr>
              <w:t>,</w:t>
            </w:r>
            <w:r w:rsidR="002F6B09">
              <w:rPr>
                <w:rFonts w:ascii="Arial" w:hAnsi="Arial" w:cs="Arial"/>
                <w:sz w:val="24"/>
                <w:szCs w:val="24"/>
                <w:lang w:val="en-US"/>
              </w:rPr>
              <w:t xml:space="preserve"> in fact</w:t>
            </w:r>
            <w:r>
              <w:rPr>
                <w:rFonts w:ascii="Arial" w:hAnsi="Arial" w:cs="Arial"/>
                <w:sz w:val="24"/>
                <w:szCs w:val="24"/>
                <w:lang w:val="en-US"/>
              </w:rPr>
              <w:t>,</w:t>
            </w:r>
            <w:r w:rsidR="002F6B09">
              <w:rPr>
                <w:rFonts w:ascii="Arial" w:hAnsi="Arial" w:cs="Arial"/>
                <w:sz w:val="24"/>
                <w:szCs w:val="24"/>
                <w:lang w:val="en-US"/>
              </w:rPr>
              <w:t xml:space="preserve"> the undefended appellant was </w:t>
            </w:r>
            <w:r>
              <w:rPr>
                <w:rFonts w:ascii="Arial" w:hAnsi="Arial" w:cs="Arial"/>
                <w:sz w:val="24"/>
                <w:szCs w:val="24"/>
                <w:lang w:val="en-US"/>
              </w:rPr>
              <w:t>not provided with disclosure. Counsel submitted, correctly so, that it has become an entrenched legal principle that the appellant</w:t>
            </w:r>
            <w:r w:rsidR="006631E6">
              <w:rPr>
                <w:rFonts w:ascii="Arial" w:hAnsi="Arial" w:cs="Arial"/>
                <w:sz w:val="24"/>
                <w:szCs w:val="24"/>
                <w:lang w:val="en-US"/>
              </w:rPr>
              <w:t>`s</w:t>
            </w:r>
            <w:r>
              <w:rPr>
                <w:rFonts w:ascii="Arial" w:hAnsi="Arial" w:cs="Arial"/>
                <w:sz w:val="24"/>
                <w:szCs w:val="24"/>
                <w:lang w:val="en-US"/>
              </w:rPr>
              <w:t xml:space="preserve"> fundamental rights include the right to disclosure. Consequently, a presiding officer has a duty to inform an unrepresented accused of his right to apply for disclosure.</w:t>
            </w:r>
          </w:p>
          <w:p w:rsidR="00E67BC4" w:rsidRDefault="00E67BC4" w:rsidP="00E67BC4">
            <w:pPr>
              <w:pStyle w:val="ListParagraph"/>
              <w:rPr>
                <w:rFonts w:ascii="Arial" w:hAnsi="Arial" w:cs="Arial"/>
                <w:sz w:val="24"/>
                <w:szCs w:val="24"/>
                <w:lang w:val="en-US"/>
              </w:rPr>
            </w:pPr>
          </w:p>
          <w:p w:rsidR="00C44BEE" w:rsidRDefault="00E67BC4" w:rsidP="00C44BEE">
            <w:pPr>
              <w:numPr>
                <w:ilvl w:val="0"/>
                <w:numId w:val="1"/>
              </w:numPr>
              <w:tabs>
                <w:tab w:val="left" w:pos="851"/>
              </w:tabs>
              <w:spacing w:after="0" w:line="360" w:lineRule="auto"/>
              <w:ind w:left="0" w:hanging="14"/>
              <w:jc w:val="both"/>
              <w:rPr>
                <w:rFonts w:ascii="Arial" w:hAnsi="Arial" w:cs="Arial"/>
                <w:sz w:val="24"/>
                <w:szCs w:val="24"/>
                <w:lang w:val="en-US"/>
              </w:rPr>
            </w:pPr>
            <w:r w:rsidRPr="009E41C3">
              <w:rPr>
                <w:rFonts w:ascii="Arial" w:hAnsi="Arial" w:cs="Arial"/>
                <w:sz w:val="24"/>
                <w:szCs w:val="24"/>
                <w:lang w:val="en-US"/>
              </w:rPr>
              <w:t>It is evident from the record of proceedings that the appellant was unrepresented at the stage of plea and indicated that he was conducting his own defense. Subsequent thereto, the prosecution led the evidence of the complainant</w:t>
            </w:r>
            <w:r w:rsidR="002A5A4D" w:rsidRPr="009E41C3">
              <w:rPr>
                <w:rFonts w:ascii="Arial" w:hAnsi="Arial" w:cs="Arial"/>
                <w:sz w:val="24"/>
                <w:szCs w:val="24"/>
                <w:lang w:val="en-US"/>
              </w:rPr>
              <w:t xml:space="preserve"> and a second witness</w:t>
            </w:r>
            <w:r w:rsidRPr="009E41C3">
              <w:rPr>
                <w:rFonts w:ascii="Arial" w:hAnsi="Arial" w:cs="Arial"/>
                <w:sz w:val="24"/>
                <w:szCs w:val="24"/>
                <w:lang w:val="en-US"/>
              </w:rPr>
              <w:t xml:space="preserve"> when the appellant was still undefended. His legal representative only came on board</w:t>
            </w:r>
            <w:r w:rsidR="002A5A4D" w:rsidRPr="009E41C3">
              <w:rPr>
                <w:rFonts w:ascii="Arial" w:hAnsi="Arial" w:cs="Arial"/>
                <w:sz w:val="24"/>
                <w:szCs w:val="24"/>
                <w:lang w:val="en-US"/>
              </w:rPr>
              <w:t xml:space="preserve"> on a date thereafter when the second State witness had to be cross-examined. It was only during the course of these proceedings that the legal representative requested for disclosure </w:t>
            </w:r>
            <w:r w:rsidR="002A5A4D" w:rsidRPr="009E41C3">
              <w:rPr>
                <w:rFonts w:ascii="Arial" w:hAnsi="Arial" w:cs="Arial"/>
                <w:sz w:val="24"/>
                <w:szCs w:val="24"/>
                <w:lang w:val="en-US"/>
              </w:rPr>
              <w:lastRenderedPageBreak/>
              <w:t>and the record of previous proceedings</w:t>
            </w:r>
            <w:r w:rsidR="00286D68">
              <w:rPr>
                <w:rFonts w:ascii="Arial" w:hAnsi="Arial" w:cs="Arial"/>
                <w:sz w:val="24"/>
                <w:szCs w:val="24"/>
                <w:lang w:val="en-US"/>
              </w:rPr>
              <w:t xml:space="preserve"> </w:t>
            </w:r>
            <w:r w:rsidR="002A5A4D" w:rsidRPr="009E41C3">
              <w:rPr>
                <w:rFonts w:ascii="Arial" w:hAnsi="Arial" w:cs="Arial"/>
                <w:sz w:val="24"/>
                <w:szCs w:val="24"/>
                <w:lang w:val="en-US"/>
              </w:rPr>
              <w:t>for perusal. It is evident that the Magistrate at no stage before informed the accused about his right to disclosure</w:t>
            </w:r>
            <w:r w:rsidR="009E41C3" w:rsidRPr="009E41C3">
              <w:rPr>
                <w:rFonts w:ascii="Arial" w:hAnsi="Arial" w:cs="Arial"/>
                <w:sz w:val="24"/>
                <w:szCs w:val="24"/>
                <w:lang w:val="en-US"/>
              </w:rPr>
              <w:t>.</w:t>
            </w:r>
            <w:r w:rsidR="002A5A4D" w:rsidRPr="009E41C3">
              <w:rPr>
                <w:rFonts w:ascii="Arial" w:hAnsi="Arial" w:cs="Arial"/>
                <w:sz w:val="24"/>
                <w:szCs w:val="24"/>
                <w:lang w:val="en-US"/>
              </w:rPr>
              <w:t xml:space="preserve"> </w:t>
            </w:r>
          </w:p>
          <w:p w:rsidR="009E41C3" w:rsidRDefault="009E41C3" w:rsidP="009E41C3">
            <w:pPr>
              <w:pStyle w:val="ListParagraph"/>
              <w:rPr>
                <w:rFonts w:ascii="Arial" w:hAnsi="Arial" w:cs="Arial"/>
                <w:sz w:val="24"/>
                <w:szCs w:val="24"/>
                <w:lang w:val="en-US"/>
              </w:rPr>
            </w:pPr>
          </w:p>
          <w:p w:rsidR="00C44BEE" w:rsidRDefault="00C44BEE" w:rsidP="00DF2B2B">
            <w:pPr>
              <w:numPr>
                <w:ilvl w:val="0"/>
                <w:numId w:val="1"/>
              </w:numPr>
              <w:tabs>
                <w:tab w:val="left" w:pos="851"/>
              </w:tabs>
              <w:spacing w:after="0" w:line="360" w:lineRule="auto"/>
              <w:ind w:left="0" w:hanging="14"/>
              <w:jc w:val="both"/>
              <w:rPr>
                <w:rFonts w:ascii="Arial" w:hAnsi="Arial" w:cs="Arial"/>
                <w:sz w:val="24"/>
                <w:szCs w:val="24"/>
                <w:lang w:val="en-US"/>
              </w:rPr>
            </w:pPr>
            <w:r>
              <w:rPr>
                <w:rFonts w:ascii="Arial" w:hAnsi="Arial" w:cs="Arial"/>
                <w:sz w:val="24"/>
                <w:szCs w:val="24"/>
                <w:lang w:val="en-US"/>
              </w:rPr>
              <w:t>It is</w:t>
            </w:r>
            <w:r w:rsidR="009E41C3">
              <w:rPr>
                <w:rFonts w:ascii="Arial" w:hAnsi="Arial" w:cs="Arial"/>
                <w:sz w:val="24"/>
                <w:szCs w:val="24"/>
                <w:lang w:val="en-US"/>
              </w:rPr>
              <w:t xml:space="preserve"> further</w:t>
            </w:r>
            <w:r>
              <w:rPr>
                <w:rFonts w:ascii="Arial" w:hAnsi="Arial" w:cs="Arial"/>
                <w:sz w:val="24"/>
                <w:szCs w:val="24"/>
                <w:lang w:val="en-US"/>
              </w:rPr>
              <w:t xml:space="preserve"> clear from the record that there was no disclosure of the content of the police docket to the appellant before the trial commenced. We alerted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Lilungwe</w:t>
            </w:r>
            <w:proofErr w:type="spellEnd"/>
            <w:r>
              <w:rPr>
                <w:rFonts w:ascii="Arial" w:hAnsi="Arial" w:cs="Arial"/>
                <w:sz w:val="24"/>
                <w:szCs w:val="24"/>
                <w:lang w:val="en-US"/>
              </w:rPr>
              <w:t xml:space="preserve"> to this omission and the right to a fair trial. He conceded that the accused in the circumstances did not receive a fair trial.</w:t>
            </w:r>
            <w:r w:rsidR="0056091E">
              <w:rPr>
                <w:rFonts w:ascii="Arial" w:hAnsi="Arial" w:cs="Arial"/>
                <w:sz w:val="24"/>
                <w:szCs w:val="24"/>
                <w:lang w:val="en-US"/>
              </w:rPr>
              <w:t xml:space="preserve"> </w:t>
            </w:r>
          </w:p>
          <w:p w:rsidR="0056091E" w:rsidRDefault="0056091E" w:rsidP="0056091E">
            <w:pPr>
              <w:pStyle w:val="ListParagraph"/>
              <w:rPr>
                <w:rFonts w:ascii="Arial" w:hAnsi="Arial" w:cs="Arial"/>
                <w:sz w:val="24"/>
                <w:szCs w:val="24"/>
                <w:lang w:val="en-US"/>
              </w:rPr>
            </w:pPr>
          </w:p>
          <w:p w:rsidR="0056091E" w:rsidRDefault="009E41C3" w:rsidP="00DF2B2B">
            <w:pPr>
              <w:numPr>
                <w:ilvl w:val="0"/>
                <w:numId w:val="1"/>
              </w:numPr>
              <w:tabs>
                <w:tab w:val="left" w:pos="851"/>
              </w:tabs>
              <w:spacing w:after="0" w:line="360" w:lineRule="auto"/>
              <w:ind w:left="0" w:hanging="14"/>
              <w:jc w:val="both"/>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omission to inform the accused of his right to disclosure and to ensure that the docket is disclosed constitute</w:t>
            </w:r>
            <w:proofErr w:type="gramEnd"/>
            <w:r>
              <w:rPr>
                <w:rFonts w:ascii="Arial" w:hAnsi="Arial" w:cs="Arial"/>
                <w:sz w:val="24"/>
                <w:szCs w:val="24"/>
                <w:lang w:val="en-US"/>
              </w:rPr>
              <w:t xml:space="preserve"> serious </w:t>
            </w:r>
            <w:proofErr w:type="spellStart"/>
            <w:r>
              <w:rPr>
                <w:rFonts w:ascii="Arial" w:hAnsi="Arial" w:cs="Arial"/>
                <w:sz w:val="24"/>
                <w:szCs w:val="24"/>
                <w:lang w:val="en-US"/>
              </w:rPr>
              <w:t>misdirection</w:t>
            </w:r>
            <w:r w:rsidR="00E74D99">
              <w:rPr>
                <w:rFonts w:ascii="Arial" w:hAnsi="Arial" w:cs="Arial"/>
                <w:sz w:val="24"/>
                <w:szCs w:val="24"/>
                <w:lang w:val="en-US"/>
              </w:rPr>
              <w:t>s</w:t>
            </w:r>
            <w:proofErr w:type="spellEnd"/>
            <w:r>
              <w:rPr>
                <w:rFonts w:ascii="Arial" w:hAnsi="Arial" w:cs="Arial"/>
                <w:sz w:val="24"/>
                <w:szCs w:val="24"/>
                <w:lang w:val="en-US"/>
              </w:rPr>
              <w:t xml:space="preserve"> infr</w:t>
            </w:r>
            <w:r w:rsidR="008E0F28">
              <w:rPr>
                <w:rFonts w:ascii="Arial" w:hAnsi="Arial" w:cs="Arial"/>
                <w:sz w:val="24"/>
                <w:szCs w:val="24"/>
                <w:lang w:val="en-US"/>
              </w:rPr>
              <w:t>inging the constitutional right</w:t>
            </w:r>
            <w:r>
              <w:rPr>
                <w:rFonts w:ascii="Arial" w:hAnsi="Arial" w:cs="Arial"/>
                <w:sz w:val="24"/>
                <w:szCs w:val="24"/>
                <w:lang w:val="en-US"/>
              </w:rPr>
              <w:t xml:space="preserve"> to a fair trial. </w:t>
            </w:r>
            <w:r w:rsidR="0056091E">
              <w:rPr>
                <w:rFonts w:ascii="Arial" w:hAnsi="Arial" w:cs="Arial"/>
                <w:sz w:val="24"/>
                <w:szCs w:val="24"/>
                <w:lang w:val="en-US"/>
              </w:rPr>
              <w:t>We agree and in the circumstances the appellant has good prospect</w:t>
            </w:r>
            <w:r w:rsidR="0013154D">
              <w:rPr>
                <w:rFonts w:ascii="Arial" w:hAnsi="Arial" w:cs="Arial"/>
                <w:sz w:val="24"/>
                <w:szCs w:val="24"/>
                <w:lang w:val="en-US"/>
              </w:rPr>
              <w:t>s of success on appeal. We therefore granted condonation.</w:t>
            </w:r>
          </w:p>
          <w:p w:rsidR="00AF10E9" w:rsidRDefault="00AF10E9" w:rsidP="00AF10E9">
            <w:pPr>
              <w:pStyle w:val="ListParagraph"/>
              <w:rPr>
                <w:rFonts w:ascii="Arial" w:hAnsi="Arial" w:cs="Arial"/>
                <w:sz w:val="24"/>
                <w:szCs w:val="24"/>
                <w:lang w:val="en-US"/>
              </w:rPr>
            </w:pPr>
          </w:p>
          <w:p w:rsidR="00AF10E9" w:rsidRDefault="00AF10E9" w:rsidP="00DF2B2B">
            <w:pPr>
              <w:numPr>
                <w:ilvl w:val="0"/>
                <w:numId w:val="1"/>
              </w:numPr>
              <w:tabs>
                <w:tab w:val="left" w:pos="851"/>
              </w:tabs>
              <w:spacing w:after="0" w:line="360" w:lineRule="auto"/>
              <w:ind w:left="0" w:hanging="14"/>
              <w:jc w:val="both"/>
              <w:rPr>
                <w:rFonts w:ascii="Arial" w:hAnsi="Arial" w:cs="Arial"/>
                <w:sz w:val="24"/>
                <w:szCs w:val="24"/>
                <w:lang w:val="en-US"/>
              </w:rPr>
            </w:pPr>
            <w:r>
              <w:rPr>
                <w:rFonts w:ascii="Arial" w:hAnsi="Arial" w:cs="Arial"/>
                <w:sz w:val="24"/>
                <w:szCs w:val="24"/>
                <w:lang w:val="en-US"/>
              </w:rPr>
              <w:t xml:space="preserve">Both counsel made submissions in relation to the merits of the appeal. </w:t>
            </w:r>
            <w:proofErr w:type="spellStart"/>
            <w:r>
              <w:rPr>
                <w:rFonts w:ascii="Arial" w:hAnsi="Arial" w:cs="Arial"/>
                <w:sz w:val="24"/>
                <w:szCs w:val="24"/>
                <w:lang w:val="en-US"/>
              </w:rPr>
              <w:t>Mr</w:t>
            </w:r>
            <w:proofErr w:type="spellEnd"/>
            <w:r>
              <w:rPr>
                <w:rFonts w:ascii="Arial" w:hAnsi="Arial" w:cs="Arial"/>
                <w:sz w:val="24"/>
                <w:szCs w:val="24"/>
                <w:lang w:val="en-US"/>
              </w:rPr>
              <w:t xml:space="preserve"> Andreas raised various grounds of appeal amongst others the ground dealt with above. This omission in relation to the right to disclosure is so fundamental that the appellant did not receive a fair trial. In the circumstances it is not necessary that we deal with the remaining grounds of appeal</w:t>
            </w:r>
            <w:r w:rsidR="008101D7">
              <w:rPr>
                <w:rFonts w:ascii="Arial" w:hAnsi="Arial" w:cs="Arial"/>
                <w:sz w:val="24"/>
                <w:szCs w:val="24"/>
                <w:lang w:val="en-US"/>
              </w:rPr>
              <w:t>.</w:t>
            </w:r>
          </w:p>
          <w:p w:rsidR="00C44BEE" w:rsidRDefault="00C44BEE" w:rsidP="00C44BEE">
            <w:pPr>
              <w:pStyle w:val="ListParagraph"/>
              <w:rPr>
                <w:rFonts w:ascii="Arial" w:hAnsi="Arial" w:cs="Arial"/>
                <w:sz w:val="24"/>
                <w:szCs w:val="24"/>
                <w:lang w:val="en-US"/>
              </w:rPr>
            </w:pPr>
          </w:p>
          <w:p w:rsidR="00C44BEE" w:rsidRPr="006631E6" w:rsidRDefault="00C44BEE" w:rsidP="00C44BEE">
            <w:pPr>
              <w:numPr>
                <w:ilvl w:val="0"/>
                <w:numId w:val="1"/>
              </w:numPr>
              <w:tabs>
                <w:tab w:val="left" w:pos="851"/>
              </w:tabs>
              <w:spacing w:after="0" w:line="360" w:lineRule="auto"/>
              <w:ind w:left="0" w:hanging="14"/>
              <w:jc w:val="both"/>
              <w:rPr>
                <w:rFonts w:ascii="Arial" w:hAnsi="Arial" w:cs="Arial"/>
                <w:sz w:val="24"/>
                <w:szCs w:val="24"/>
                <w:lang w:val="en-US"/>
              </w:rPr>
            </w:pPr>
            <w:r w:rsidRPr="00C44BEE">
              <w:rPr>
                <w:rFonts w:ascii="Arial" w:hAnsi="Arial" w:cs="Arial"/>
                <w:sz w:val="24"/>
                <w:szCs w:val="24"/>
                <w:lang w:val="en-US"/>
              </w:rPr>
              <w:t xml:space="preserve">We agree with  </w:t>
            </w:r>
            <w:r w:rsidRPr="00C44BEE">
              <w:rPr>
                <w:rFonts w:ascii="Arial" w:hAnsi="Arial" w:cs="Arial"/>
                <w:sz w:val="24"/>
                <w:szCs w:val="24"/>
              </w:rPr>
              <w:t xml:space="preserve">Liebenberg J, </w:t>
            </w:r>
            <w:proofErr w:type="spellStart"/>
            <w:r w:rsidRPr="00C44BEE">
              <w:rPr>
                <w:rFonts w:ascii="Arial" w:hAnsi="Arial" w:cs="Arial"/>
                <w:sz w:val="24"/>
                <w:szCs w:val="24"/>
              </w:rPr>
              <w:t>Damaseb</w:t>
            </w:r>
            <w:proofErr w:type="spellEnd"/>
            <w:r w:rsidRPr="00C44BEE">
              <w:rPr>
                <w:rFonts w:ascii="Arial" w:hAnsi="Arial" w:cs="Arial"/>
                <w:sz w:val="24"/>
                <w:szCs w:val="24"/>
              </w:rPr>
              <w:t xml:space="preserve"> JP concurring, </w:t>
            </w:r>
            <w:r w:rsidR="0056091E">
              <w:rPr>
                <w:rFonts w:ascii="Arial" w:hAnsi="Arial" w:cs="Arial"/>
                <w:sz w:val="24"/>
                <w:szCs w:val="24"/>
              </w:rPr>
              <w:t xml:space="preserve">where they </w:t>
            </w:r>
            <w:r w:rsidRPr="00C44BEE">
              <w:rPr>
                <w:rFonts w:ascii="Arial" w:hAnsi="Arial" w:cs="Arial"/>
                <w:sz w:val="24"/>
                <w:szCs w:val="24"/>
              </w:rPr>
              <w:t>stated as follow</w:t>
            </w:r>
            <w:r w:rsidR="006631E6">
              <w:rPr>
                <w:rFonts w:ascii="Arial" w:hAnsi="Arial" w:cs="Arial"/>
                <w:sz w:val="24"/>
                <w:szCs w:val="24"/>
              </w:rPr>
              <w:t>s</w:t>
            </w:r>
            <w:r w:rsidRPr="00C44BEE">
              <w:rPr>
                <w:rFonts w:ascii="Arial" w:hAnsi="Arial" w:cs="Arial"/>
                <w:sz w:val="24"/>
                <w:szCs w:val="24"/>
              </w:rPr>
              <w:t xml:space="preserve"> at page 4 paragraph 6 </w:t>
            </w:r>
            <w:r w:rsidR="0056091E">
              <w:rPr>
                <w:rFonts w:ascii="Arial" w:hAnsi="Arial" w:cs="Arial"/>
                <w:sz w:val="24"/>
                <w:szCs w:val="24"/>
              </w:rPr>
              <w:t>i</w:t>
            </w:r>
            <w:r w:rsidR="0056091E" w:rsidRPr="00C44BEE">
              <w:rPr>
                <w:rFonts w:ascii="Arial" w:hAnsi="Arial" w:cs="Arial"/>
                <w:sz w:val="24"/>
                <w:szCs w:val="24"/>
              </w:rPr>
              <w:t xml:space="preserve">n </w:t>
            </w:r>
            <w:r w:rsidR="0056091E" w:rsidRPr="00C44BEE">
              <w:rPr>
                <w:rFonts w:ascii="Arial" w:hAnsi="Arial" w:cs="Arial"/>
                <w:i/>
                <w:sz w:val="24"/>
                <w:szCs w:val="24"/>
              </w:rPr>
              <w:t xml:space="preserve">State v </w:t>
            </w:r>
            <w:proofErr w:type="spellStart"/>
            <w:r w:rsidR="0056091E" w:rsidRPr="00C44BEE">
              <w:rPr>
                <w:rFonts w:ascii="Arial" w:hAnsi="Arial" w:cs="Arial"/>
                <w:i/>
                <w:sz w:val="24"/>
                <w:szCs w:val="24"/>
              </w:rPr>
              <w:t>Floyed</w:t>
            </w:r>
            <w:proofErr w:type="spellEnd"/>
            <w:r w:rsidR="0056091E" w:rsidRPr="00C44BEE">
              <w:rPr>
                <w:rFonts w:ascii="Arial" w:hAnsi="Arial" w:cs="Arial"/>
                <w:i/>
                <w:sz w:val="24"/>
                <w:szCs w:val="24"/>
              </w:rPr>
              <w:t xml:space="preserve"> </w:t>
            </w:r>
            <w:proofErr w:type="spellStart"/>
            <w:r w:rsidR="0056091E" w:rsidRPr="00C44BEE">
              <w:rPr>
                <w:rFonts w:ascii="Arial" w:hAnsi="Arial" w:cs="Arial"/>
                <w:i/>
                <w:sz w:val="24"/>
                <w:szCs w:val="24"/>
              </w:rPr>
              <w:t>Kahevita</w:t>
            </w:r>
            <w:proofErr w:type="spellEnd"/>
            <w:r w:rsidR="0056091E" w:rsidRPr="00C44BEE">
              <w:rPr>
                <w:rFonts w:ascii="Arial" w:hAnsi="Arial" w:cs="Arial"/>
                <w:i/>
                <w:sz w:val="24"/>
                <w:szCs w:val="24"/>
              </w:rPr>
              <w:t>,</w:t>
            </w:r>
            <w:r w:rsidR="0056091E">
              <w:rPr>
                <w:rStyle w:val="FootnoteReference"/>
                <w:rFonts w:ascii="Arial" w:hAnsi="Arial" w:cs="Arial"/>
                <w:i/>
                <w:sz w:val="24"/>
                <w:szCs w:val="24"/>
              </w:rPr>
              <w:footnoteReference w:id="1"/>
            </w:r>
            <w:r w:rsidR="0056091E">
              <w:rPr>
                <w:rFonts w:ascii="Arial" w:hAnsi="Arial" w:cs="Arial"/>
                <w:i/>
                <w:sz w:val="24"/>
                <w:szCs w:val="24"/>
              </w:rPr>
              <w:t xml:space="preserve"> </w:t>
            </w:r>
            <w:r w:rsidRPr="00C44BEE">
              <w:rPr>
                <w:rFonts w:ascii="Arial" w:hAnsi="Arial" w:cs="Arial"/>
                <w:sz w:val="24"/>
                <w:szCs w:val="24"/>
              </w:rPr>
              <w:t>:</w:t>
            </w:r>
          </w:p>
          <w:p w:rsidR="006631E6" w:rsidRPr="00C44BEE" w:rsidRDefault="006631E6" w:rsidP="006631E6">
            <w:pPr>
              <w:tabs>
                <w:tab w:val="left" w:pos="851"/>
              </w:tabs>
              <w:spacing w:after="0" w:line="360" w:lineRule="auto"/>
              <w:jc w:val="both"/>
              <w:rPr>
                <w:rFonts w:ascii="Arial" w:hAnsi="Arial" w:cs="Arial"/>
                <w:sz w:val="24"/>
                <w:szCs w:val="24"/>
                <w:lang w:val="en-US"/>
              </w:rPr>
            </w:pPr>
          </w:p>
          <w:p w:rsidR="00C44BEE" w:rsidRDefault="00C44BEE" w:rsidP="00C44BEE">
            <w:pPr>
              <w:spacing w:line="360" w:lineRule="auto"/>
              <w:jc w:val="both"/>
              <w:rPr>
                <w:rFonts w:ascii="Arial" w:hAnsi="Arial" w:cs="Arial"/>
              </w:rPr>
            </w:pPr>
            <w:r>
              <w:rPr>
                <w:rFonts w:ascii="Arial" w:hAnsi="Arial" w:cs="Arial"/>
              </w:rPr>
              <w:tab/>
            </w:r>
            <w:r w:rsidR="006631E6">
              <w:rPr>
                <w:rFonts w:ascii="Arial" w:hAnsi="Arial" w:cs="Arial"/>
              </w:rPr>
              <w:t>‘</w:t>
            </w:r>
            <w:r w:rsidRPr="00902A68">
              <w:rPr>
                <w:rFonts w:ascii="Arial" w:hAnsi="Arial" w:cs="Arial"/>
              </w:rPr>
              <w:t xml:space="preserve">This clearly suggests that the content of the police docket was not disclosed to the accused before the trial had started. It is not only legal practitioners, representing accused persons in criminal cases, who have the right to disclosure of witness statements and other documents the State intends relying on during the trial, but also the unrepresented accused. They are equally entitled to disclosure of all witness statements and other documents relied on by the State at the trial; and where the accused is unsophisticated and unaware of such right, the court should explain it to the unrepresented accused, and when necessary, make an appropriate order, compelling the State to comply. In the present case it is clear that the accused, at the </w:t>
            </w:r>
            <w:r w:rsidRPr="00902A68">
              <w:rPr>
                <w:rFonts w:ascii="Arial" w:hAnsi="Arial" w:cs="Arial"/>
              </w:rPr>
              <w:lastRenderedPageBreak/>
              <w:t>commencement of the trial, was not put in the position where he knew what case he had to face, so that he could properly prepare his defence or give proper and full instructions to his legal representative (</w:t>
            </w:r>
            <w:r w:rsidRPr="00902A68">
              <w:rPr>
                <w:rFonts w:ascii="Arial" w:hAnsi="Arial" w:cs="Arial"/>
                <w:i/>
              </w:rPr>
              <w:t xml:space="preserve">S v </w:t>
            </w:r>
            <w:proofErr w:type="spellStart"/>
            <w:r w:rsidRPr="00902A68">
              <w:rPr>
                <w:rFonts w:ascii="Arial" w:hAnsi="Arial" w:cs="Arial"/>
                <w:i/>
              </w:rPr>
              <w:t>Nassar</w:t>
            </w:r>
            <w:proofErr w:type="spellEnd"/>
            <w:r w:rsidRPr="00902A68">
              <w:rPr>
                <w:rFonts w:ascii="Arial" w:hAnsi="Arial" w:cs="Arial"/>
                <w:i/>
              </w:rPr>
              <w:t xml:space="preserve"> 1994 NR 233 (HC)).</w:t>
            </w:r>
            <w:r w:rsidRPr="00902A68">
              <w:rPr>
                <w:rFonts w:ascii="Arial" w:hAnsi="Arial" w:cs="Arial"/>
              </w:rPr>
              <w:t xml:space="preserve"> He therefore could not be said to be ready for trial - lea</w:t>
            </w:r>
            <w:r w:rsidR="006631E6">
              <w:rPr>
                <w:rFonts w:ascii="Arial" w:hAnsi="Arial" w:cs="Arial"/>
              </w:rPr>
              <w:t>st, to conduct his own defence.’</w:t>
            </w:r>
          </w:p>
          <w:p w:rsidR="006E58F8" w:rsidRDefault="006E58F8" w:rsidP="00C44BEE">
            <w:pPr>
              <w:spacing w:line="360" w:lineRule="auto"/>
              <w:jc w:val="both"/>
              <w:rPr>
                <w:rFonts w:ascii="Arial" w:hAnsi="Arial" w:cs="Arial"/>
                <w:sz w:val="24"/>
                <w:szCs w:val="24"/>
              </w:rPr>
            </w:pPr>
            <w:r w:rsidRPr="006E58F8">
              <w:rPr>
                <w:rFonts w:ascii="Arial" w:hAnsi="Arial" w:cs="Arial"/>
                <w:sz w:val="24"/>
                <w:szCs w:val="24"/>
              </w:rPr>
              <w:t>[16]</w:t>
            </w:r>
            <w:r>
              <w:rPr>
                <w:rFonts w:ascii="Arial" w:hAnsi="Arial" w:cs="Arial"/>
                <w:sz w:val="24"/>
                <w:szCs w:val="24"/>
              </w:rPr>
              <w:t xml:space="preserve">       In these circumstances where the Magistrate failed to explain a fundamental right to disclosure, the appeal ought to succeed.</w:t>
            </w:r>
          </w:p>
          <w:p w:rsidR="0001774C" w:rsidRPr="006E58F8" w:rsidRDefault="006E58F8" w:rsidP="006E58F8">
            <w:pPr>
              <w:spacing w:line="360" w:lineRule="auto"/>
              <w:jc w:val="both"/>
              <w:rPr>
                <w:rFonts w:ascii="Arial" w:hAnsi="Arial" w:cs="Arial"/>
                <w:sz w:val="24"/>
                <w:szCs w:val="24"/>
              </w:rPr>
            </w:pPr>
            <w:r>
              <w:rPr>
                <w:rFonts w:ascii="Arial" w:hAnsi="Arial" w:cs="Arial"/>
                <w:sz w:val="24"/>
                <w:szCs w:val="24"/>
              </w:rPr>
              <w:t xml:space="preserve">[17]       </w:t>
            </w:r>
            <w:r w:rsidR="0001774C" w:rsidRPr="00DC6B0D">
              <w:rPr>
                <w:rFonts w:ascii="Arial" w:hAnsi="Arial" w:cs="Arial"/>
                <w:sz w:val="24"/>
                <w:szCs w:val="24"/>
              </w:rPr>
              <w:t>In the result, it is ordered:</w:t>
            </w:r>
          </w:p>
          <w:p w:rsidR="0001774C" w:rsidRDefault="0056091E" w:rsidP="0001774C">
            <w:pPr>
              <w:pStyle w:val="ListParagraph"/>
              <w:numPr>
                <w:ilvl w:val="1"/>
                <w:numId w:val="3"/>
              </w:numPr>
              <w:tabs>
                <w:tab w:val="left" w:pos="851"/>
              </w:tabs>
              <w:spacing w:after="0" w:line="360" w:lineRule="auto"/>
              <w:jc w:val="both"/>
              <w:rPr>
                <w:rFonts w:ascii="Arial" w:hAnsi="Arial" w:cs="Arial"/>
                <w:sz w:val="24"/>
                <w:szCs w:val="24"/>
                <w:lang w:val="en-US"/>
              </w:rPr>
            </w:pPr>
            <w:r>
              <w:rPr>
                <w:rFonts w:ascii="Arial" w:hAnsi="Arial" w:cs="Arial"/>
                <w:sz w:val="24"/>
                <w:szCs w:val="24"/>
                <w:lang w:val="en-US"/>
              </w:rPr>
              <w:t>Condonation is granted.</w:t>
            </w:r>
          </w:p>
          <w:p w:rsidR="0056091E" w:rsidRDefault="0056091E" w:rsidP="0001774C">
            <w:pPr>
              <w:pStyle w:val="ListParagraph"/>
              <w:numPr>
                <w:ilvl w:val="1"/>
                <w:numId w:val="3"/>
              </w:numPr>
              <w:tabs>
                <w:tab w:val="left" w:pos="851"/>
              </w:tabs>
              <w:spacing w:after="0" w:line="360" w:lineRule="auto"/>
              <w:jc w:val="both"/>
              <w:rPr>
                <w:rFonts w:ascii="Arial" w:hAnsi="Arial" w:cs="Arial"/>
                <w:sz w:val="24"/>
                <w:szCs w:val="24"/>
                <w:lang w:val="en-US"/>
              </w:rPr>
            </w:pPr>
            <w:r>
              <w:rPr>
                <w:rFonts w:ascii="Arial" w:hAnsi="Arial" w:cs="Arial"/>
                <w:sz w:val="24"/>
                <w:szCs w:val="24"/>
                <w:lang w:val="en-US"/>
              </w:rPr>
              <w:t>The appeal is upheld.</w:t>
            </w:r>
          </w:p>
          <w:p w:rsidR="0056091E" w:rsidRPr="00DC6B0D" w:rsidRDefault="0056091E" w:rsidP="0001774C">
            <w:pPr>
              <w:pStyle w:val="ListParagraph"/>
              <w:numPr>
                <w:ilvl w:val="1"/>
                <w:numId w:val="3"/>
              </w:numPr>
              <w:tabs>
                <w:tab w:val="left" w:pos="851"/>
              </w:tabs>
              <w:spacing w:after="0" w:line="360" w:lineRule="auto"/>
              <w:jc w:val="both"/>
              <w:rPr>
                <w:rFonts w:ascii="Arial" w:hAnsi="Arial" w:cs="Arial"/>
                <w:sz w:val="24"/>
                <w:szCs w:val="24"/>
                <w:lang w:val="en-US"/>
              </w:rPr>
            </w:pPr>
            <w:r>
              <w:rPr>
                <w:rFonts w:ascii="Arial" w:hAnsi="Arial" w:cs="Arial"/>
                <w:sz w:val="24"/>
                <w:szCs w:val="24"/>
                <w:lang w:val="en-US"/>
              </w:rPr>
              <w:t>The conviction and sentence are set aside.</w:t>
            </w:r>
          </w:p>
          <w:p w:rsidR="0001774C" w:rsidRPr="00DC6B0D" w:rsidRDefault="0001774C" w:rsidP="0057536C">
            <w:pPr>
              <w:pStyle w:val="ListParagraph"/>
              <w:spacing w:after="0" w:line="360" w:lineRule="auto"/>
              <w:ind w:left="1890"/>
              <w:jc w:val="both"/>
              <w:rPr>
                <w:rFonts w:ascii="Arial" w:hAnsi="Arial" w:cs="Arial"/>
                <w:sz w:val="24"/>
                <w:szCs w:val="24"/>
              </w:rPr>
            </w:pPr>
          </w:p>
        </w:tc>
      </w:tr>
      <w:tr w:rsidR="0001774C" w:rsidRPr="00DC6B0D" w:rsidTr="0057536C">
        <w:tc>
          <w:tcPr>
            <w:tcW w:w="4770" w:type="dxa"/>
            <w:shd w:val="clear" w:color="auto" w:fill="auto"/>
          </w:tcPr>
          <w:p w:rsidR="0001774C" w:rsidRPr="00DC6B0D" w:rsidRDefault="0001774C" w:rsidP="0057536C">
            <w:pPr>
              <w:spacing w:after="0" w:line="360" w:lineRule="auto"/>
              <w:jc w:val="center"/>
              <w:rPr>
                <w:rFonts w:ascii="Arial" w:hAnsi="Arial" w:cs="Arial"/>
                <w:b/>
                <w:sz w:val="24"/>
                <w:szCs w:val="24"/>
              </w:rPr>
            </w:pPr>
          </w:p>
        </w:tc>
        <w:tc>
          <w:tcPr>
            <w:tcW w:w="4950" w:type="dxa"/>
            <w:gridSpan w:val="2"/>
            <w:shd w:val="clear" w:color="auto" w:fill="auto"/>
          </w:tcPr>
          <w:p w:rsidR="0001774C" w:rsidRPr="00DC6B0D" w:rsidRDefault="0001774C" w:rsidP="0057536C">
            <w:pPr>
              <w:spacing w:after="0" w:line="360" w:lineRule="auto"/>
              <w:jc w:val="center"/>
              <w:rPr>
                <w:rFonts w:ascii="Arial" w:hAnsi="Arial" w:cs="Arial"/>
                <w:b/>
                <w:sz w:val="24"/>
                <w:szCs w:val="24"/>
              </w:rPr>
            </w:pPr>
          </w:p>
          <w:p w:rsidR="0001774C" w:rsidRPr="00DC6B0D" w:rsidRDefault="0001774C" w:rsidP="0057536C">
            <w:pPr>
              <w:spacing w:after="0" w:line="360" w:lineRule="auto"/>
              <w:jc w:val="center"/>
              <w:rPr>
                <w:rFonts w:ascii="Arial" w:hAnsi="Arial" w:cs="Arial"/>
                <w:b/>
                <w:sz w:val="24"/>
                <w:szCs w:val="24"/>
              </w:rPr>
            </w:pPr>
          </w:p>
        </w:tc>
      </w:tr>
      <w:tr w:rsidR="0001774C" w:rsidRPr="00DC6B0D" w:rsidTr="0057536C">
        <w:trPr>
          <w:trHeight w:val="827"/>
        </w:trPr>
        <w:tc>
          <w:tcPr>
            <w:tcW w:w="4770" w:type="dxa"/>
            <w:shd w:val="clear" w:color="auto" w:fill="auto"/>
          </w:tcPr>
          <w:p w:rsidR="0001774C" w:rsidRPr="00DC6B0D" w:rsidRDefault="0056091E" w:rsidP="0057536C">
            <w:pPr>
              <w:spacing w:after="0" w:line="360" w:lineRule="auto"/>
              <w:jc w:val="center"/>
              <w:rPr>
                <w:rFonts w:ascii="Arial" w:hAnsi="Arial" w:cs="Arial"/>
                <w:b/>
                <w:sz w:val="24"/>
                <w:szCs w:val="24"/>
              </w:rPr>
            </w:pPr>
            <w:r>
              <w:rPr>
                <w:rFonts w:ascii="Arial" w:hAnsi="Arial" w:cs="Arial"/>
                <w:b/>
                <w:sz w:val="24"/>
                <w:szCs w:val="24"/>
              </w:rPr>
              <w:t>H C JANUARY</w:t>
            </w:r>
          </w:p>
          <w:p w:rsidR="0001774C" w:rsidRPr="00DC6B0D" w:rsidRDefault="0001774C" w:rsidP="0057536C">
            <w:pPr>
              <w:spacing w:after="0" w:line="360" w:lineRule="auto"/>
              <w:jc w:val="center"/>
              <w:rPr>
                <w:rFonts w:ascii="Arial" w:hAnsi="Arial" w:cs="Arial"/>
                <w:b/>
                <w:sz w:val="24"/>
                <w:szCs w:val="24"/>
              </w:rPr>
            </w:pPr>
            <w:r w:rsidRPr="00DC6B0D">
              <w:rPr>
                <w:rFonts w:ascii="Arial" w:hAnsi="Arial" w:cs="Arial"/>
                <w:b/>
                <w:sz w:val="24"/>
                <w:szCs w:val="24"/>
              </w:rPr>
              <w:t>JUDGE</w:t>
            </w:r>
          </w:p>
        </w:tc>
        <w:tc>
          <w:tcPr>
            <w:tcW w:w="4950" w:type="dxa"/>
            <w:gridSpan w:val="2"/>
            <w:shd w:val="clear" w:color="auto" w:fill="auto"/>
          </w:tcPr>
          <w:p w:rsidR="0001774C" w:rsidRPr="00DC6B0D" w:rsidRDefault="0001774C" w:rsidP="0057536C">
            <w:pPr>
              <w:spacing w:after="0" w:line="360" w:lineRule="auto"/>
              <w:jc w:val="center"/>
              <w:rPr>
                <w:rFonts w:ascii="Arial" w:hAnsi="Arial" w:cs="Arial"/>
                <w:sz w:val="24"/>
                <w:szCs w:val="24"/>
              </w:rPr>
            </w:pPr>
            <w:r w:rsidRPr="00DC6B0D">
              <w:rPr>
                <w:rFonts w:ascii="Arial" w:hAnsi="Arial" w:cs="Arial"/>
                <w:b/>
                <w:sz w:val="24"/>
                <w:szCs w:val="24"/>
              </w:rPr>
              <w:t xml:space="preserve">N </w:t>
            </w:r>
            <w:proofErr w:type="spellStart"/>
            <w:r w:rsidRPr="00DC6B0D">
              <w:rPr>
                <w:rFonts w:ascii="Arial" w:hAnsi="Arial" w:cs="Arial"/>
                <w:b/>
                <w:sz w:val="24"/>
                <w:szCs w:val="24"/>
              </w:rPr>
              <w:t>N</w:t>
            </w:r>
            <w:proofErr w:type="spellEnd"/>
            <w:r w:rsidRPr="00DC6B0D">
              <w:rPr>
                <w:rFonts w:ascii="Arial" w:hAnsi="Arial" w:cs="Arial"/>
                <w:b/>
                <w:sz w:val="24"/>
                <w:szCs w:val="24"/>
              </w:rPr>
              <w:t xml:space="preserve"> SHIVUTE</w:t>
            </w:r>
          </w:p>
          <w:p w:rsidR="0001774C" w:rsidRPr="00DC6B0D" w:rsidRDefault="0001774C" w:rsidP="0057536C">
            <w:pPr>
              <w:spacing w:after="0" w:line="360" w:lineRule="auto"/>
              <w:jc w:val="center"/>
              <w:rPr>
                <w:rFonts w:ascii="Arial" w:hAnsi="Arial" w:cs="Arial"/>
                <w:b/>
                <w:sz w:val="24"/>
                <w:szCs w:val="24"/>
              </w:rPr>
            </w:pPr>
            <w:r w:rsidRPr="00DC6B0D">
              <w:rPr>
                <w:rFonts w:ascii="Arial" w:hAnsi="Arial" w:cs="Arial"/>
                <w:b/>
                <w:sz w:val="24"/>
                <w:szCs w:val="24"/>
              </w:rPr>
              <w:t>JUDGE</w:t>
            </w:r>
          </w:p>
        </w:tc>
      </w:tr>
    </w:tbl>
    <w:p w:rsidR="007834C7" w:rsidRPr="0001774C" w:rsidRDefault="007834C7">
      <w:pPr>
        <w:rPr>
          <w:rFonts w:ascii="Arial" w:hAnsi="Arial" w:cs="Arial"/>
          <w:sz w:val="24"/>
          <w:szCs w:val="24"/>
        </w:rPr>
      </w:pPr>
    </w:p>
    <w:sectPr w:rsidR="007834C7" w:rsidRPr="0001774C" w:rsidSect="00286D6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A4" w:rsidRDefault="00DE46A4" w:rsidP="0056091E">
      <w:pPr>
        <w:spacing w:after="0" w:line="240" w:lineRule="auto"/>
      </w:pPr>
      <w:r>
        <w:separator/>
      </w:r>
    </w:p>
  </w:endnote>
  <w:endnote w:type="continuationSeparator" w:id="0">
    <w:p w:rsidR="00DE46A4" w:rsidRDefault="00DE46A4" w:rsidP="0056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A4" w:rsidRDefault="00DE46A4" w:rsidP="0056091E">
      <w:pPr>
        <w:spacing w:after="0" w:line="240" w:lineRule="auto"/>
      </w:pPr>
      <w:r>
        <w:separator/>
      </w:r>
    </w:p>
  </w:footnote>
  <w:footnote w:type="continuationSeparator" w:id="0">
    <w:p w:rsidR="00DE46A4" w:rsidRDefault="00DE46A4" w:rsidP="0056091E">
      <w:pPr>
        <w:spacing w:after="0" w:line="240" w:lineRule="auto"/>
      </w:pPr>
      <w:r>
        <w:continuationSeparator/>
      </w:r>
    </w:p>
  </w:footnote>
  <w:footnote w:id="1">
    <w:p w:rsidR="0056091E" w:rsidRPr="0056091E" w:rsidRDefault="0056091E">
      <w:pPr>
        <w:pStyle w:val="FootnoteText"/>
        <w:rPr>
          <w:rFonts w:ascii="Arial" w:hAnsi="Arial" w:cs="Arial"/>
          <w:lang w:val="en-US"/>
        </w:rPr>
      </w:pPr>
      <w:r w:rsidRPr="0056091E">
        <w:rPr>
          <w:rStyle w:val="FootnoteReference"/>
          <w:rFonts w:ascii="Arial" w:hAnsi="Arial" w:cs="Arial"/>
        </w:rPr>
        <w:footnoteRef/>
      </w:r>
      <w:r w:rsidRPr="0056091E">
        <w:rPr>
          <w:rFonts w:ascii="Arial" w:hAnsi="Arial" w:cs="Arial"/>
        </w:rPr>
        <w:t xml:space="preserve">   </w:t>
      </w:r>
      <w:r w:rsidRPr="0056091E">
        <w:rPr>
          <w:rFonts w:ascii="Arial" w:hAnsi="Arial" w:cs="Arial"/>
          <w:i/>
        </w:rPr>
        <w:t xml:space="preserve">State v </w:t>
      </w:r>
      <w:proofErr w:type="spellStart"/>
      <w:r w:rsidRPr="0056091E">
        <w:rPr>
          <w:rFonts w:ascii="Arial" w:hAnsi="Arial" w:cs="Arial"/>
          <w:i/>
        </w:rPr>
        <w:t>Floyed</w:t>
      </w:r>
      <w:proofErr w:type="spellEnd"/>
      <w:r w:rsidRPr="0056091E">
        <w:rPr>
          <w:rFonts w:ascii="Arial" w:hAnsi="Arial" w:cs="Arial"/>
          <w:i/>
        </w:rPr>
        <w:t xml:space="preserve"> </w:t>
      </w:r>
      <w:proofErr w:type="spellStart"/>
      <w:r w:rsidRPr="0056091E">
        <w:rPr>
          <w:rFonts w:ascii="Arial" w:hAnsi="Arial" w:cs="Arial"/>
          <w:i/>
        </w:rPr>
        <w:t>Kahevita</w:t>
      </w:r>
      <w:proofErr w:type="spellEnd"/>
      <w:r w:rsidRPr="0056091E">
        <w:rPr>
          <w:rFonts w:ascii="Arial" w:hAnsi="Arial" w:cs="Arial"/>
          <w:i/>
        </w:rPr>
        <w:t xml:space="preserve"> </w:t>
      </w:r>
      <w:r w:rsidR="006631E6" w:rsidRPr="0056091E">
        <w:rPr>
          <w:rFonts w:ascii="Arial" w:hAnsi="Arial" w:cs="Arial"/>
        </w:rPr>
        <w:t>Case No</w:t>
      </w:r>
      <w:r w:rsidRPr="0056091E">
        <w:rPr>
          <w:rFonts w:ascii="Arial" w:hAnsi="Arial" w:cs="Arial"/>
        </w:rPr>
        <w:t>.: CR 11/2011, delivered on 14th February 2011</w:t>
      </w:r>
      <w:r w:rsidRPr="0056091E">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34485"/>
      <w:docPartObj>
        <w:docPartGallery w:val="Page Numbers (Top of Page)"/>
        <w:docPartUnique/>
      </w:docPartObj>
    </w:sdtPr>
    <w:sdtEndPr>
      <w:rPr>
        <w:noProof/>
      </w:rPr>
    </w:sdtEndPr>
    <w:sdtContent>
      <w:p w:rsidR="00392CD6" w:rsidRDefault="00392CD6">
        <w:pPr>
          <w:pStyle w:val="Header"/>
          <w:jc w:val="right"/>
        </w:pPr>
        <w:r>
          <w:fldChar w:fldCharType="begin"/>
        </w:r>
        <w:r>
          <w:instrText xml:space="preserve"> PAGE   \* MERGEFORMAT </w:instrText>
        </w:r>
        <w:r>
          <w:fldChar w:fldCharType="separate"/>
        </w:r>
        <w:r w:rsidR="00257AD5">
          <w:rPr>
            <w:noProof/>
          </w:rPr>
          <w:t>2</w:t>
        </w:r>
        <w:r>
          <w:rPr>
            <w:noProof/>
          </w:rPr>
          <w:fldChar w:fldCharType="end"/>
        </w:r>
      </w:p>
    </w:sdtContent>
  </w:sdt>
  <w:p w:rsidR="00392CD6" w:rsidRDefault="0039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2B"/>
    <w:multiLevelType w:val="hybridMultilevel"/>
    <w:tmpl w:val="CEF2DA28"/>
    <w:lvl w:ilvl="0" w:tplc="33C2FFA2">
      <w:start w:val="1"/>
      <w:numFmt w:val="decimal"/>
      <w:lvlText w:val="[%1]"/>
      <w:lvlJc w:val="left"/>
      <w:pPr>
        <w:ind w:left="562" w:hanging="360"/>
      </w:pPr>
      <w:rPr>
        <w:rFonts w:ascii="Arial" w:hAnsi="Arial" w:cs="Arial" w:hint="default"/>
        <w:b w:val="0"/>
        <w:i w:val="0"/>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abstractNum w:abstractNumId="1">
    <w:nsid w:val="544359D8"/>
    <w:multiLevelType w:val="hybridMultilevel"/>
    <w:tmpl w:val="1B667FF8"/>
    <w:lvl w:ilvl="0" w:tplc="A2785330">
      <w:start w:val="1"/>
      <w:numFmt w:val="lowerLetter"/>
      <w:lvlText w:val="%1)"/>
      <w:lvlJc w:val="left"/>
      <w:pPr>
        <w:ind w:left="21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518AA"/>
    <w:multiLevelType w:val="hybridMultilevel"/>
    <w:tmpl w:val="E7B0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4C"/>
    <w:rsid w:val="0001774C"/>
    <w:rsid w:val="00076BB4"/>
    <w:rsid w:val="0013154D"/>
    <w:rsid w:val="0017266D"/>
    <w:rsid w:val="00257AD5"/>
    <w:rsid w:val="00286D68"/>
    <w:rsid w:val="002A5A4D"/>
    <w:rsid w:val="002F6B09"/>
    <w:rsid w:val="00392CD6"/>
    <w:rsid w:val="004220F4"/>
    <w:rsid w:val="004377EC"/>
    <w:rsid w:val="00494848"/>
    <w:rsid w:val="0056091E"/>
    <w:rsid w:val="006137BD"/>
    <w:rsid w:val="006631E6"/>
    <w:rsid w:val="006E58F8"/>
    <w:rsid w:val="0073561D"/>
    <w:rsid w:val="00740392"/>
    <w:rsid w:val="007834C7"/>
    <w:rsid w:val="007C22E4"/>
    <w:rsid w:val="008101D7"/>
    <w:rsid w:val="00880AE0"/>
    <w:rsid w:val="008E0F28"/>
    <w:rsid w:val="009E41C3"/>
    <w:rsid w:val="00A6117A"/>
    <w:rsid w:val="00AF10E9"/>
    <w:rsid w:val="00B55B15"/>
    <w:rsid w:val="00C44BEE"/>
    <w:rsid w:val="00D32399"/>
    <w:rsid w:val="00DA18EA"/>
    <w:rsid w:val="00DE46A4"/>
    <w:rsid w:val="00DE7DB8"/>
    <w:rsid w:val="00DF2B2B"/>
    <w:rsid w:val="00E602CA"/>
    <w:rsid w:val="00E67BC4"/>
    <w:rsid w:val="00E74D99"/>
    <w:rsid w:val="00F07CC4"/>
    <w:rsid w:val="00F8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4C"/>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4C"/>
    <w:pPr>
      <w:ind w:left="720"/>
      <w:contextualSpacing/>
    </w:pPr>
  </w:style>
  <w:style w:type="paragraph" w:styleId="FootnoteText">
    <w:name w:val="footnote text"/>
    <w:basedOn w:val="Normal"/>
    <w:link w:val="FootnoteTextChar"/>
    <w:uiPriority w:val="99"/>
    <w:semiHidden/>
    <w:unhideWhenUsed/>
    <w:rsid w:val="0056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91E"/>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56091E"/>
    <w:rPr>
      <w:vertAlign w:val="superscript"/>
    </w:rPr>
  </w:style>
  <w:style w:type="paragraph" w:styleId="Header">
    <w:name w:val="header"/>
    <w:basedOn w:val="Normal"/>
    <w:link w:val="HeaderChar"/>
    <w:uiPriority w:val="99"/>
    <w:unhideWhenUsed/>
    <w:rsid w:val="0039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D6"/>
    <w:rPr>
      <w:rFonts w:ascii="Calibri" w:eastAsia="Calibri" w:hAnsi="Calibri" w:cs="Times New Roman"/>
      <w:lang w:val="en-ZA"/>
    </w:rPr>
  </w:style>
  <w:style w:type="paragraph" w:styleId="Footer">
    <w:name w:val="footer"/>
    <w:basedOn w:val="Normal"/>
    <w:link w:val="FooterChar"/>
    <w:uiPriority w:val="99"/>
    <w:unhideWhenUsed/>
    <w:rsid w:val="0039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D6"/>
    <w:rPr>
      <w:rFonts w:ascii="Calibri" w:eastAsia="Calibri" w:hAnsi="Calibri" w:cs="Times New Roman"/>
      <w:lang w:val="en-ZA"/>
    </w:rPr>
  </w:style>
  <w:style w:type="paragraph" w:styleId="BalloonText">
    <w:name w:val="Balloon Text"/>
    <w:basedOn w:val="Normal"/>
    <w:link w:val="BalloonTextChar"/>
    <w:uiPriority w:val="99"/>
    <w:semiHidden/>
    <w:unhideWhenUsed/>
    <w:rsid w:val="0043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EC"/>
    <w:rPr>
      <w:rFonts w:ascii="Segoe UI" w:eastAsia="Calibr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4C"/>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4C"/>
    <w:pPr>
      <w:ind w:left="720"/>
      <w:contextualSpacing/>
    </w:pPr>
  </w:style>
  <w:style w:type="paragraph" w:styleId="FootnoteText">
    <w:name w:val="footnote text"/>
    <w:basedOn w:val="Normal"/>
    <w:link w:val="FootnoteTextChar"/>
    <w:uiPriority w:val="99"/>
    <w:semiHidden/>
    <w:unhideWhenUsed/>
    <w:rsid w:val="0056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91E"/>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56091E"/>
    <w:rPr>
      <w:vertAlign w:val="superscript"/>
    </w:rPr>
  </w:style>
  <w:style w:type="paragraph" w:styleId="Header">
    <w:name w:val="header"/>
    <w:basedOn w:val="Normal"/>
    <w:link w:val="HeaderChar"/>
    <w:uiPriority w:val="99"/>
    <w:unhideWhenUsed/>
    <w:rsid w:val="0039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D6"/>
    <w:rPr>
      <w:rFonts w:ascii="Calibri" w:eastAsia="Calibri" w:hAnsi="Calibri" w:cs="Times New Roman"/>
      <w:lang w:val="en-ZA"/>
    </w:rPr>
  </w:style>
  <w:style w:type="paragraph" w:styleId="Footer">
    <w:name w:val="footer"/>
    <w:basedOn w:val="Normal"/>
    <w:link w:val="FooterChar"/>
    <w:uiPriority w:val="99"/>
    <w:unhideWhenUsed/>
    <w:rsid w:val="0039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D6"/>
    <w:rPr>
      <w:rFonts w:ascii="Calibri" w:eastAsia="Calibri" w:hAnsi="Calibri" w:cs="Times New Roman"/>
      <w:lang w:val="en-ZA"/>
    </w:rPr>
  </w:style>
  <w:style w:type="paragraph" w:styleId="BalloonText">
    <w:name w:val="Balloon Text"/>
    <w:basedOn w:val="Normal"/>
    <w:link w:val="BalloonTextChar"/>
    <w:uiPriority w:val="99"/>
    <w:semiHidden/>
    <w:unhideWhenUsed/>
    <w:rsid w:val="0043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EC"/>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2023-05-11T18:30:00+00:00</Judgment_x0020_Date>
  </documentManagement>
</p:properties>
</file>

<file path=customXml/itemProps1.xml><?xml version="1.0" encoding="utf-8"?>
<ds:datastoreItem xmlns:ds="http://schemas.openxmlformats.org/officeDocument/2006/customXml" ds:itemID="{5FDB4965-70B2-47EB-8705-80BC1AA94986}"/>
</file>

<file path=customXml/itemProps2.xml><?xml version="1.0" encoding="utf-8"?>
<ds:datastoreItem xmlns:ds="http://schemas.openxmlformats.org/officeDocument/2006/customXml" ds:itemID="{BB487782-692D-4E21-A91D-D5592817A34E}"/>
</file>

<file path=customXml/itemProps3.xml><?xml version="1.0" encoding="utf-8"?>
<ds:datastoreItem xmlns:ds="http://schemas.openxmlformats.org/officeDocument/2006/customXml" ds:itemID="{C7A0DE3A-F09D-4548-AC76-310093050576}"/>
</file>

<file path=customXml/itemProps4.xml><?xml version="1.0" encoding="utf-8"?>
<ds:datastoreItem xmlns:ds="http://schemas.openxmlformats.org/officeDocument/2006/customXml" ds:itemID="{4609F924-85ED-43AF-AE75-B717AA452B96}"/>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Conrad (HC-MD-CRI-APP-CAL-2022-00030) [2023] NAHCMD 258 (12 May 2023)</dc:title>
  <dc:creator>Herman C. January</dc:creator>
  <cp:lastModifiedBy>Michelle N. Ullrich</cp:lastModifiedBy>
  <cp:revision>3</cp:revision>
  <cp:lastPrinted>2023-05-10T12:43:00Z</cp:lastPrinted>
  <dcterms:created xsi:type="dcterms:W3CDTF">2023-05-12T06:31:00Z</dcterms:created>
  <dcterms:modified xsi:type="dcterms:W3CDTF">2023-05-12T14:04:00Z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