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72" w:rsidRPr="007F61D0" w:rsidRDefault="005B2472" w:rsidP="00127D53">
      <w:pPr>
        <w:spacing w:after="0" w:line="360" w:lineRule="auto"/>
        <w:jc w:val="center"/>
        <w:rPr>
          <w:b/>
          <w:lang w:val="en-GB"/>
        </w:rPr>
      </w:pPr>
      <w:r w:rsidRPr="007F61D0">
        <w:rPr>
          <w:b/>
          <w:lang w:val="en-GB"/>
        </w:rPr>
        <w:t>REPUBLIC OF NAMIBIA</w:t>
      </w:r>
    </w:p>
    <w:p w:rsidR="005B2472" w:rsidRPr="007F61D0" w:rsidRDefault="005B2472" w:rsidP="00127D53">
      <w:pPr>
        <w:spacing w:after="0" w:line="360" w:lineRule="auto"/>
        <w:jc w:val="center"/>
        <w:rPr>
          <w:b/>
        </w:rPr>
      </w:pPr>
      <w:r w:rsidRPr="007F61D0">
        <w:rPr>
          <w:b/>
          <w:noProof/>
          <w:lang w:val="en-ZA" w:eastAsia="en-ZA"/>
        </w:rPr>
        <w:drawing>
          <wp:inline distT="0" distB="0" distL="0" distR="0" wp14:anchorId="477FFE57" wp14:editId="144D2135">
            <wp:extent cx="1129030" cy="112395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23950"/>
                    </a:xfrm>
                    <a:prstGeom prst="rect">
                      <a:avLst/>
                    </a:prstGeom>
                    <a:noFill/>
                    <a:ln w="9525">
                      <a:noFill/>
                      <a:miter lim="800000"/>
                      <a:headEnd/>
                      <a:tailEnd/>
                    </a:ln>
                  </pic:spPr>
                </pic:pic>
              </a:graphicData>
            </a:graphic>
          </wp:inline>
        </w:drawing>
      </w:r>
    </w:p>
    <w:p w:rsidR="005B2472" w:rsidRPr="007F61D0" w:rsidRDefault="005B2472" w:rsidP="00127D53">
      <w:pPr>
        <w:spacing w:after="0" w:line="360" w:lineRule="auto"/>
        <w:jc w:val="center"/>
        <w:rPr>
          <w:b/>
        </w:rPr>
      </w:pPr>
      <w:r w:rsidRPr="007F61D0">
        <w:rPr>
          <w:b/>
        </w:rPr>
        <w:t>IN THE HIGH COURT OF NAMIBIA, MAIN DIVISION</w:t>
      </w:r>
    </w:p>
    <w:p w:rsidR="005B2472" w:rsidRPr="007F61D0" w:rsidRDefault="005B2472" w:rsidP="00127D53">
      <w:pPr>
        <w:spacing w:after="0" w:line="360" w:lineRule="auto"/>
        <w:jc w:val="center"/>
        <w:rPr>
          <w:b/>
        </w:rPr>
      </w:pPr>
    </w:p>
    <w:p w:rsidR="005B2472" w:rsidRPr="007F61D0" w:rsidRDefault="005B2472" w:rsidP="00127D53">
      <w:pPr>
        <w:spacing w:line="360" w:lineRule="auto"/>
        <w:jc w:val="center"/>
        <w:rPr>
          <w:b/>
        </w:rPr>
      </w:pPr>
      <w:r w:rsidRPr="007F61D0">
        <w:rPr>
          <w:b/>
        </w:rPr>
        <w:t>RULING</w:t>
      </w:r>
    </w:p>
    <w:p w:rsidR="00370B14" w:rsidRPr="004A5911" w:rsidRDefault="00370B14" w:rsidP="00127D53">
      <w:pPr>
        <w:spacing w:line="360" w:lineRule="auto"/>
        <w:jc w:val="center"/>
        <w:rPr>
          <w:b/>
        </w:rPr>
      </w:pPr>
      <w:r w:rsidRPr="004A5911">
        <w:rPr>
          <w:b/>
        </w:rPr>
        <w:t>RESCISSION OF JUDGMENT</w:t>
      </w:r>
    </w:p>
    <w:p w:rsidR="005B2472" w:rsidRPr="00A835B5" w:rsidRDefault="00A835B5" w:rsidP="00127D53">
      <w:pPr>
        <w:spacing w:after="0" w:line="360" w:lineRule="auto"/>
        <w:jc w:val="center"/>
      </w:pPr>
      <w:r w:rsidRPr="007F61D0">
        <w:t>PRACTICE DIRECTIVE 61</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745"/>
        <w:gridCol w:w="4820"/>
      </w:tblGrid>
      <w:tr w:rsidR="005B2472" w:rsidRPr="003A78E4" w:rsidTr="003F7249">
        <w:trPr>
          <w:trHeight w:val="744"/>
        </w:trPr>
        <w:tc>
          <w:tcPr>
            <w:tcW w:w="5812" w:type="dxa"/>
            <w:gridSpan w:val="2"/>
            <w:vMerge w:val="restart"/>
            <w:shd w:val="clear" w:color="auto" w:fill="auto"/>
          </w:tcPr>
          <w:p w:rsidR="005B2472" w:rsidRPr="003A78E4" w:rsidRDefault="005B2472" w:rsidP="00127D53">
            <w:pPr>
              <w:spacing w:after="0" w:line="360" w:lineRule="auto"/>
              <w:jc w:val="both"/>
              <w:rPr>
                <w:lang w:val="en-ZA"/>
              </w:rPr>
            </w:pPr>
            <w:r w:rsidRPr="003A78E4">
              <w:rPr>
                <w:b/>
                <w:lang w:val="en-ZA"/>
              </w:rPr>
              <w:t>Case Title:</w:t>
            </w:r>
          </w:p>
          <w:p w:rsidR="003F7249" w:rsidRDefault="00016AD3" w:rsidP="00F41A13">
            <w:pPr>
              <w:spacing w:line="360" w:lineRule="auto"/>
              <w:jc w:val="both"/>
            </w:pPr>
            <w:r>
              <w:t>Max</w:t>
            </w:r>
            <w:r w:rsidR="00F41A13">
              <w:t xml:space="preserve">well </w:t>
            </w:r>
            <w:proofErr w:type="spellStart"/>
            <w:r w:rsidR="00F41A13">
              <w:t>Maugandize</w:t>
            </w:r>
            <w:proofErr w:type="spellEnd"/>
            <w:r w:rsidR="00F41A13">
              <w:tab/>
            </w:r>
            <w:r w:rsidR="00F41A13">
              <w:tab/>
              <w:t xml:space="preserve">              </w:t>
            </w:r>
            <w:r>
              <w:t>Applicant</w:t>
            </w:r>
          </w:p>
          <w:p w:rsidR="003F7249" w:rsidRDefault="00F41A13" w:rsidP="00F41A13">
            <w:pPr>
              <w:spacing w:line="360" w:lineRule="auto"/>
              <w:jc w:val="both"/>
            </w:pPr>
            <w:r>
              <w:t>a</w:t>
            </w:r>
            <w:r w:rsidR="00016AD3">
              <w:t>nd</w:t>
            </w:r>
          </w:p>
          <w:p w:rsidR="005B2472" w:rsidRPr="00741498" w:rsidRDefault="00016AD3" w:rsidP="00741498">
            <w:pPr>
              <w:spacing w:line="360" w:lineRule="auto"/>
              <w:jc w:val="both"/>
            </w:pPr>
            <w:r>
              <w:t>Lalapanzi Body</w:t>
            </w:r>
            <w:r w:rsidR="00F41A13">
              <w:t xml:space="preserve"> Corporate                     </w:t>
            </w:r>
            <w:r>
              <w:t>Respondent</w:t>
            </w:r>
          </w:p>
        </w:tc>
        <w:tc>
          <w:tcPr>
            <w:tcW w:w="4820" w:type="dxa"/>
            <w:shd w:val="clear" w:color="auto" w:fill="auto"/>
          </w:tcPr>
          <w:p w:rsidR="003F7249" w:rsidRPr="003F7249" w:rsidRDefault="003F7249" w:rsidP="00127D53">
            <w:pPr>
              <w:spacing w:after="0" w:line="360" w:lineRule="auto"/>
              <w:jc w:val="both"/>
              <w:rPr>
                <w:b/>
                <w:lang w:val="en-ZA"/>
              </w:rPr>
            </w:pPr>
            <w:r>
              <w:rPr>
                <w:b/>
                <w:lang w:val="en-ZA"/>
              </w:rPr>
              <w:t>Case</w:t>
            </w:r>
            <w:r w:rsidR="005B2472" w:rsidRPr="003A78E4">
              <w:rPr>
                <w:b/>
                <w:lang w:val="en-ZA"/>
              </w:rPr>
              <w:t xml:space="preserve"> No:</w:t>
            </w:r>
          </w:p>
          <w:p w:rsidR="003F7249" w:rsidRDefault="003F7249" w:rsidP="00127D53">
            <w:pPr>
              <w:spacing w:after="0" w:line="360" w:lineRule="auto"/>
              <w:jc w:val="both"/>
            </w:pPr>
            <w:r>
              <w:t xml:space="preserve">INT-HC-RECDJDGM-2022/00131 </w:t>
            </w:r>
          </w:p>
          <w:p w:rsidR="003F7249" w:rsidRPr="003F7249" w:rsidRDefault="005B2472" w:rsidP="00127D53">
            <w:pPr>
              <w:spacing w:after="0" w:line="360" w:lineRule="auto"/>
              <w:jc w:val="both"/>
              <w:rPr>
                <w:shd w:val="clear" w:color="auto" w:fill="FFFFFF"/>
                <w:lang w:val="en-ZA"/>
              </w:rPr>
            </w:pPr>
            <w:r w:rsidRPr="003A78E4">
              <w:rPr>
                <w:shd w:val="clear" w:color="auto" w:fill="FFFFFF"/>
                <w:lang w:val="en-ZA"/>
              </w:rPr>
              <w:t>HC-MD-CIV-ACT-</w:t>
            </w:r>
            <w:r w:rsidR="003F7249">
              <w:rPr>
                <w:shd w:val="clear" w:color="auto" w:fill="FFFFFF"/>
                <w:lang w:val="en-ZA"/>
              </w:rPr>
              <w:t>CON</w:t>
            </w:r>
            <w:r w:rsidRPr="003A78E4">
              <w:rPr>
                <w:shd w:val="clear" w:color="auto" w:fill="FFFFFF"/>
                <w:lang w:val="en-ZA"/>
              </w:rPr>
              <w:t>-</w:t>
            </w:r>
            <w:r w:rsidR="003F7249">
              <w:rPr>
                <w:shd w:val="clear" w:color="auto" w:fill="FFFFFF"/>
                <w:lang w:val="en-ZA"/>
              </w:rPr>
              <w:t>2019</w:t>
            </w:r>
            <w:r w:rsidRPr="003A78E4">
              <w:rPr>
                <w:shd w:val="clear" w:color="auto" w:fill="FFFFFF"/>
                <w:lang w:val="en-ZA"/>
              </w:rPr>
              <w:t>/</w:t>
            </w:r>
            <w:r w:rsidR="003F7249">
              <w:rPr>
                <w:shd w:val="clear" w:color="auto" w:fill="FFFFFF"/>
                <w:lang w:val="en-ZA"/>
              </w:rPr>
              <w:t>00733</w:t>
            </w:r>
          </w:p>
        </w:tc>
      </w:tr>
      <w:tr w:rsidR="005B2472" w:rsidRPr="003A78E4" w:rsidTr="003F7249">
        <w:trPr>
          <w:trHeight w:val="621"/>
        </w:trPr>
        <w:tc>
          <w:tcPr>
            <w:tcW w:w="5812" w:type="dxa"/>
            <w:gridSpan w:val="2"/>
            <w:vMerge/>
            <w:shd w:val="clear" w:color="auto" w:fill="auto"/>
          </w:tcPr>
          <w:p w:rsidR="005B2472" w:rsidRPr="003A78E4" w:rsidRDefault="005B2472" w:rsidP="00127D53">
            <w:pPr>
              <w:spacing w:after="0" w:line="360" w:lineRule="auto"/>
              <w:jc w:val="both"/>
              <w:rPr>
                <w:lang w:val="en-ZA"/>
              </w:rPr>
            </w:pPr>
          </w:p>
        </w:tc>
        <w:tc>
          <w:tcPr>
            <w:tcW w:w="4820" w:type="dxa"/>
            <w:shd w:val="clear" w:color="auto" w:fill="auto"/>
          </w:tcPr>
          <w:p w:rsidR="005B2472" w:rsidRPr="003A78E4" w:rsidRDefault="005B2472" w:rsidP="00127D53">
            <w:pPr>
              <w:spacing w:after="0" w:line="360" w:lineRule="auto"/>
              <w:jc w:val="both"/>
              <w:rPr>
                <w:lang w:val="en-ZA"/>
              </w:rPr>
            </w:pPr>
            <w:r w:rsidRPr="003A78E4">
              <w:rPr>
                <w:b/>
                <w:lang w:val="en-ZA"/>
              </w:rPr>
              <w:t>Division of Court:</w:t>
            </w:r>
          </w:p>
          <w:p w:rsidR="005B2472" w:rsidRPr="003A78E4" w:rsidRDefault="003B7D25" w:rsidP="00127D53">
            <w:pPr>
              <w:spacing w:after="0" w:line="360" w:lineRule="auto"/>
              <w:jc w:val="both"/>
              <w:rPr>
                <w:lang w:val="en-ZA"/>
              </w:rPr>
            </w:pPr>
            <w:r>
              <w:rPr>
                <w:lang w:val="en-ZA"/>
              </w:rPr>
              <w:t xml:space="preserve">Main Division </w:t>
            </w:r>
          </w:p>
        </w:tc>
      </w:tr>
      <w:tr w:rsidR="005B2472" w:rsidRPr="003A78E4" w:rsidTr="003F7249">
        <w:trPr>
          <w:trHeight w:val="645"/>
        </w:trPr>
        <w:tc>
          <w:tcPr>
            <w:tcW w:w="5812" w:type="dxa"/>
            <w:gridSpan w:val="2"/>
            <w:vMerge w:val="restart"/>
            <w:shd w:val="clear" w:color="auto" w:fill="auto"/>
          </w:tcPr>
          <w:p w:rsidR="005B2472" w:rsidRPr="003A78E4" w:rsidRDefault="005B2472" w:rsidP="00127D53">
            <w:pPr>
              <w:spacing w:after="0" w:line="360" w:lineRule="auto"/>
              <w:jc w:val="both"/>
              <w:rPr>
                <w:b/>
                <w:lang w:val="en-ZA"/>
              </w:rPr>
            </w:pPr>
            <w:r w:rsidRPr="003A78E4">
              <w:rPr>
                <w:b/>
                <w:lang w:val="en-ZA"/>
              </w:rPr>
              <w:t>Heard before:</w:t>
            </w:r>
          </w:p>
          <w:p w:rsidR="005B2472" w:rsidRPr="003A78E4" w:rsidRDefault="005B2472" w:rsidP="00127D53">
            <w:pPr>
              <w:spacing w:after="0" w:line="360" w:lineRule="auto"/>
              <w:jc w:val="both"/>
              <w:rPr>
                <w:lang w:val="en-ZA"/>
              </w:rPr>
            </w:pPr>
            <w:r w:rsidRPr="003A78E4">
              <w:rPr>
                <w:lang w:val="en-ZA"/>
              </w:rPr>
              <w:t xml:space="preserve">Honourable </w:t>
            </w:r>
            <w:r>
              <w:rPr>
                <w:lang w:val="en-ZA"/>
              </w:rPr>
              <w:t xml:space="preserve">Mr Justice </w:t>
            </w:r>
            <w:proofErr w:type="spellStart"/>
            <w:r>
              <w:rPr>
                <w:lang w:val="en-ZA"/>
              </w:rPr>
              <w:t>Ndauendapo</w:t>
            </w:r>
            <w:proofErr w:type="spellEnd"/>
            <w:r>
              <w:rPr>
                <w:lang w:val="en-ZA"/>
              </w:rPr>
              <w:t xml:space="preserve"> </w:t>
            </w:r>
            <w:r w:rsidRPr="003A78E4">
              <w:rPr>
                <w:lang w:val="en-ZA"/>
              </w:rPr>
              <w:t xml:space="preserve"> </w:t>
            </w:r>
          </w:p>
        </w:tc>
        <w:tc>
          <w:tcPr>
            <w:tcW w:w="4820" w:type="dxa"/>
            <w:shd w:val="clear" w:color="auto" w:fill="auto"/>
          </w:tcPr>
          <w:p w:rsidR="005B2472" w:rsidRPr="003A78E4" w:rsidRDefault="0063492B" w:rsidP="00127D53">
            <w:pPr>
              <w:spacing w:after="0" w:line="360" w:lineRule="auto"/>
              <w:jc w:val="both"/>
              <w:rPr>
                <w:b/>
                <w:lang w:val="en-ZA"/>
              </w:rPr>
            </w:pPr>
            <w:r>
              <w:rPr>
                <w:b/>
                <w:lang w:val="en-ZA"/>
              </w:rPr>
              <w:t>Heard on</w:t>
            </w:r>
            <w:r w:rsidR="005B2472" w:rsidRPr="003A78E4">
              <w:rPr>
                <w:b/>
                <w:lang w:val="en-ZA"/>
              </w:rPr>
              <w:t>:</w:t>
            </w:r>
          </w:p>
          <w:p w:rsidR="005B2472" w:rsidRPr="00B94427" w:rsidRDefault="00016AD3" w:rsidP="00127D53">
            <w:pPr>
              <w:pStyle w:val="form-control-static"/>
              <w:spacing w:before="0" w:beforeAutospacing="0" w:after="0" w:afterAutospacing="0" w:line="360" w:lineRule="auto"/>
              <w:jc w:val="both"/>
              <w:rPr>
                <w:rFonts w:ascii="Arial" w:eastAsia="Calibri" w:hAnsi="Arial" w:cs="Arial"/>
                <w:lang w:val="en-ZA"/>
              </w:rPr>
            </w:pPr>
            <w:r>
              <w:rPr>
                <w:rFonts w:ascii="Arial" w:hAnsi="Arial" w:cs="Arial"/>
                <w:lang w:val="en-ZA"/>
              </w:rPr>
              <w:t>07</w:t>
            </w:r>
            <w:r w:rsidR="00B94427" w:rsidRPr="00B94427">
              <w:rPr>
                <w:rFonts w:ascii="Arial" w:hAnsi="Arial" w:cs="Arial"/>
                <w:lang w:val="en-ZA"/>
              </w:rPr>
              <w:t xml:space="preserve"> March 2023</w:t>
            </w:r>
          </w:p>
        </w:tc>
      </w:tr>
      <w:tr w:rsidR="005B2472" w:rsidRPr="003A78E4" w:rsidTr="003F7249">
        <w:trPr>
          <w:trHeight w:val="588"/>
        </w:trPr>
        <w:tc>
          <w:tcPr>
            <w:tcW w:w="5812" w:type="dxa"/>
            <w:gridSpan w:val="2"/>
            <w:vMerge/>
            <w:shd w:val="clear" w:color="auto" w:fill="auto"/>
          </w:tcPr>
          <w:p w:rsidR="005B2472" w:rsidRPr="003A78E4" w:rsidRDefault="005B2472" w:rsidP="00127D53">
            <w:pPr>
              <w:spacing w:after="0" w:line="360" w:lineRule="auto"/>
              <w:jc w:val="both"/>
              <w:rPr>
                <w:b/>
                <w:lang w:val="en-ZA"/>
              </w:rPr>
            </w:pPr>
          </w:p>
        </w:tc>
        <w:tc>
          <w:tcPr>
            <w:tcW w:w="4820" w:type="dxa"/>
            <w:shd w:val="clear" w:color="auto" w:fill="auto"/>
          </w:tcPr>
          <w:p w:rsidR="005B2472" w:rsidRPr="003A78E4" w:rsidRDefault="0063492B" w:rsidP="00127D53">
            <w:pPr>
              <w:spacing w:after="0" w:line="360" w:lineRule="auto"/>
              <w:jc w:val="both"/>
              <w:rPr>
                <w:b/>
                <w:lang w:val="en-ZA"/>
              </w:rPr>
            </w:pPr>
            <w:r>
              <w:rPr>
                <w:b/>
                <w:lang w:val="en-ZA"/>
              </w:rPr>
              <w:t>Delivered on</w:t>
            </w:r>
            <w:r w:rsidR="005B2472" w:rsidRPr="003A78E4">
              <w:rPr>
                <w:b/>
                <w:lang w:val="en-ZA"/>
              </w:rPr>
              <w:t xml:space="preserve">: </w:t>
            </w:r>
          </w:p>
          <w:p w:rsidR="005B2472" w:rsidRPr="003A78E4" w:rsidRDefault="003F7249" w:rsidP="00127D53">
            <w:pPr>
              <w:spacing w:after="0" w:line="360" w:lineRule="auto"/>
              <w:jc w:val="both"/>
              <w:rPr>
                <w:b/>
                <w:lang w:val="en-ZA"/>
              </w:rPr>
            </w:pPr>
            <w:r>
              <w:rPr>
                <w:lang w:val="en-ZA"/>
              </w:rPr>
              <w:t>12 May</w:t>
            </w:r>
            <w:r w:rsidR="0063492B">
              <w:rPr>
                <w:lang w:val="en-ZA"/>
              </w:rPr>
              <w:t xml:space="preserve"> 2023</w:t>
            </w:r>
          </w:p>
        </w:tc>
      </w:tr>
      <w:tr w:rsidR="005B2472" w:rsidRPr="003A78E4" w:rsidTr="00A66617">
        <w:trPr>
          <w:trHeight w:val="710"/>
        </w:trPr>
        <w:tc>
          <w:tcPr>
            <w:tcW w:w="10632" w:type="dxa"/>
            <w:gridSpan w:val="3"/>
            <w:shd w:val="clear" w:color="auto" w:fill="auto"/>
          </w:tcPr>
          <w:p w:rsidR="005B2472" w:rsidRPr="003A78E4" w:rsidRDefault="005B2472" w:rsidP="00127D53">
            <w:pPr>
              <w:pStyle w:val="form-control-static"/>
              <w:shd w:val="clear" w:color="auto" w:fill="FFFFFF"/>
              <w:spacing w:before="0" w:beforeAutospacing="0" w:after="0" w:afterAutospacing="0" w:line="360" w:lineRule="auto"/>
              <w:jc w:val="both"/>
              <w:rPr>
                <w:rFonts w:ascii="Arial" w:hAnsi="Arial" w:cs="Arial"/>
                <w:b/>
                <w:lang w:val="en-ZA"/>
              </w:rPr>
            </w:pPr>
          </w:p>
          <w:p w:rsidR="005B2472" w:rsidRPr="00741498" w:rsidRDefault="005B2472" w:rsidP="00CA5D16">
            <w:pPr>
              <w:spacing w:line="360" w:lineRule="auto"/>
              <w:jc w:val="both"/>
              <w:rPr>
                <w:i/>
                <w:shd w:val="clear" w:color="auto" w:fill="FFFFFF"/>
              </w:rPr>
            </w:pPr>
            <w:r w:rsidRPr="003A78E4">
              <w:rPr>
                <w:b/>
                <w:lang w:val="en-ZA"/>
              </w:rPr>
              <w:t>Neutral citation:</w:t>
            </w:r>
            <w:r w:rsidRPr="003A78E4">
              <w:rPr>
                <w:lang w:val="en-ZA"/>
              </w:rPr>
              <w:t xml:space="preserve"> </w:t>
            </w:r>
            <w:r w:rsidR="003F7249">
              <w:rPr>
                <w:i/>
                <w:shd w:val="clear" w:color="auto" w:fill="FFFFFF"/>
              </w:rPr>
              <w:t>Maugandize vs Lalapanzi Body Corporate</w:t>
            </w:r>
            <w:r w:rsidR="0063492B">
              <w:rPr>
                <w:i/>
                <w:shd w:val="clear" w:color="auto" w:fill="FFFFFF"/>
              </w:rPr>
              <w:t xml:space="preserve"> </w:t>
            </w:r>
            <w:r w:rsidRPr="0063492B">
              <w:rPr>
                <w:lang w:val="en-ZA"/>
              </w:rPr>
              <w:t>(</w:t>
            </w:r>
            <w:r w:rsidRPr="0063492B">
              <w:rPr>
                <w:shd w:val="clear" w:color="auto" w:fill="FFFFFF"/>
                <w:lang w:val="en-ZA"/>
              </w:rPr>
              <w:t>HC-MD-CIV-ACT-</w:t>
            </w:r>
            <w:r w:rsidR="003F7249">
              <w:rPr>
                <w:shd w:val="clear" w:color="auto" w:fill="FFFFFF"/>
                <w:lang w:val="en-ZA"/>
              </w:rPr>
              <w:t>CON</w:t>
            </w:r>
            <w:r w:rsidRPr="0063492B">
              <w:rPr>
                <w:shd w:val="clear" w:color="auto" w:fill="FFFFFF"/>
                <w:lang w:val="en-ZA"/>
              </w:rPr>
              <w:t>-</w:t>
            </w:r>
            <w:r w:rsidR="003F7249">
              <w:rPr>
                <w:shd w:val="clear" w:color="auto" w:fill="FFFFFF"/>
                <w:lang w:val="en-ZA"/>
              </w:rPr>
              <w:t>2022</w:t>
            </w:r>
            <w:r w:rsidRPr="0063492B">
              <w:rPr>
                <w:shd w:val="clear" w:color="auto" w:fill="FFFFFF"/>
                <w:lang w:val="en-ZA"/>
              </w:rPr>
              <w:t>/</w:t>
            </w:r>
            <w:r w:rsidR="003F7249">
              <w:rPr>
                <w:shd w:val="clear" w:color="auto" w:fill="FFFFFF"/>
                <w:lang w:val="en-ZA"/>
              </w:rPr>
              <w:t>00733</w:t>
            </w:r>
            <w:r w:rsidRPr="0063492B">
              <w:rPr>
                <w:shd w:val="clear" w:color="auto" w:fill="FFFFFF"/>
                <w:lang w:val="en-ZA"/>
              </w:rPr>
              <w:t>)</w:t>
            </w:r>
            <w:r w:rsidRPr="0063492B">
              <w:rPr>
                <w:i/>
                <w:lang w:val="en-ZA"/>
              </w:rPr>
              <w:t xml:space="preserve"> </w:t>
            </w:r>
            <w:r w:rsidRPr="0063492B">
              <w:rPr>
                <w:lang w:val="en-ZA"/>
              </w:rPr>
              <w:t>[</w:t>
            </w:r>
            <w:r w:rsidR="00B94427">
              <w:rPr>
                <w:lang w:val="en-ZA"/>
              </w:rPr>
              <w:t>2023</w:t>
            </w:r>
            <w:r w:rsidRPr="0063492B">
              <w:rPr>
                <w:lang w:val="en-ZA"/>
              </w:rPr>
              <w:t>]</w:t>
            </w:r>
            <w:r w:rsidRPr="0063492B">
              <w:rPr>
                <w:i/>
                <w:lang w:val="en-ZA"/>
              </w:rPr>
              <w:t xml:space="preserve"> </w:t>
            </w:r>
            <w:r w:rsidRPr="0063492B">
              <w:rPr>
                <w:lang w:val="en-ZA"/>
              </w:rPr>
              <w:t xml:space="preserve">NAHCMD </w:t>
            </w:r>
            <w:r w:rsidR="00CA5D16">
              <w:rPr>
                <w:lang w:val="en-ZA"/>
              </w:rPr>
              <w:t>260</w:t>
            </w:r>
            <w:r w:rsidRPr="0063492B">
              <w:rPr>
                <w:lang w:val="en-ZA"/>
              </w:rPr>
              <w:t xml:space="preserve"> (</w:t>
            </w:r>
            <w:r w:rsidR="003F7249">
              <w:rPr>
                <w:lang w:val="en-ZA"/>
              </w:rPr>
              <w:t>12 May</w:t>
            </w:r>
            <w:r w:rsidR="0063492B">
              <w:rPr>
                <w:lang w:val="en-ZA"/>
              </w:rPr>
              <w:t xml:space="preserve"> 2023</w:t>
            </w:r>
            <w:r w:rsidRPr="0063492B">
              <w:rPr>
                <w:lang w:val="en-ZA"/>
              </w:rPr>
              <w:t>)</w:t>
            </w:r>
          </w:p>
        </w:tc>
      </w:tr>
      <w:tr w:rsidR="005B2472" w:rsidRPr="003A78E4" w:rsidTr="00A66617">
        <w:tc>
          <w:tcPr>
            <w:tcW w:w="10632" w:type="dxa"/>
            <w:gridSpan w:val="3"/>
            <w:shd w:val="clear" w:color="auto" w:fill="auto"/>
          </w:tcPr>
          <w:p w:rsidR="006E7E69" w:rsidRDefault="0063492B" w:rsidP="00127D53">
            <w:pPr>
              <w:pStyle w:val="form-control-static"/>
              <w:shd w:val="clear" w:color="auto" w:fill="FFFFFF"/>
              <w:spacing w:before="0" w:beforeAutospacing="0" w:after="0" w:afterAutospacing="0" w:line="360" w:lineRule="auto"/>
              <w:jc w:val="both"/>
              <w:rPr>
                <w:rFonts w:ascii="Arial" w:hAnsi="Arial" w:cs="Arial"/>
                <w:b/>
                <w:lang w:val="en-ZA"/>
              </w:rPr>
            </w:pPr>
            <w:r>
              <w:rPr>
                <w:rFonts w:ascii="Arial" w:hAnsi="Arial" w:cs="Arial"/>
                <w:b/>
                <w:lang w:val="en-ZA"/>
              </w:rPr>
              <w:t>The order</w:t>
            </w:r>
            <w:r w:rsidR="005B2472" w:rsidRPr="003A78E4">
              <w:rPr>
                <w:rFonts w:ascii="Arial" w:hAnsi="Arial" w:cs="Arial"/>
                <w:b/>
                <w:lang w:val="en-ZA"/>
              </w:rPr>
              <w:t>:</w:t>
            </w:r>
          </w:p>
          <w:p w:rsidR="0048191F" w:rsidRPr="00016AD3" w:rsidRDefault="0048191F" w:rsidP="00127D53">
            <w:pPr>
              <w:pStyle w:val="form-control-static"/>
              <w:shd w:val="clear" w:color="auto" w:fill="FFFFFF"/>
              <w:spacing w:before="0" w:beforeAutospacing="0" w:after="0" w:afterAutospacing="0" w:line="360" w:lineRule="auto"/>
              <w:jc w:val="both"/>
              <w:rPr>
                <w:rFonts w:ascii="Arial" w:hAnsi="Arial" w:cs="Arial"/>
                <w:b/>
                <w:lang w:val="en-ZA"/>
              </w:rPr>
            </w:pPr>
          </w:p>
          <w:p w:rsidR="00016AD3" w:rsidRDefault="003F7249" w:rsidP="00127D53">
            <w:pPr>
              <w:pStyle w:val="form-control-static"/>
              <w:numPr>
                <w:ilvl w:val="0"/>
                <w:numId w:val="3"/>
              </w:numPr>
              <w:shd w:val="clear" w:color="auto" w:fill="FFFFFF"/>
              <w:spacing w:before="0" w:beforeAutospacing="0" w:after="0" w:afterAutospacing="0" w:line="360" w:lineRule="auto"/>
              <w:jc w:val="both"/>
              <w:rPr>
                <w:rFonts w:ascii="Arial" w:hAnsi="Arial" w:cs="Arial"/>
                <w:lang w:val="en-ZA"/>
              </w:rPr>
            </w:pPr>
            <w:r w:rsidRPr="00016AD3">
              <w:rPr>
                <w:rFonts w:ascii="Arial" w:hAnsi="Arial" w:cs="Arial"/>
              </w:rPr>
              <w:t>The application for defaul</w:t>
            </w:r>
            <w:r w:rsidR="00016AD3">
              <w:rPr>
                <w:rFonts w:ascii="Arial" w:hAnsi="Arial" w:cs="Arial"/>
              </w:rPr>
              <w:t>t judgment granted against the A</w:t>
            </w:r>
            <w:r w:rsidRPr="00016AD3">
              <w:rPr>
                <w:rFonts w:ascii="Arial" w:hAnsi="Arial" w:cs="Arial"/>
              </w:rPr>
              <w:t xml:space="preserve">pplicant on 5 </w:t>
            </w:r>
            <w:r w:rsidR="00016AD3">
              <w:rPr>
                <w:rFonts w:ascii="Arial" w:hAnsi="Arial" w:cs="Arial"/>
              </w:rPr>
              <w:t xml:space="preserve">February 2020 </w:t>
            </w:r>
            <w:proofErr w:type="gramStart"/>
            <w:r w:rsidR="00016AD3">
              <w:rPr>
                <w:rFonts w:ascii="Arial" w:hAnsi="Arial" w:cs="Arial"/>
              </w:rPr>
              <w:t>i</w:t>
            </w:r>
            <w:r w:rsidRPr="00016AD3">
              <w:rPr>
                <w:rFonts w:ascii="Arial" w:hAnsi="Arial" w:cs="Arial"/>
              </w:rPr>
              <w:t>s hereby rescinded and set aside</w:t>
            </w:r>
            <w:proofErr w:type="gramEnd"/>
            <w:r w:rsidRPr="00016AD3">
              <w:rPr>
                <w:rFonts w:ascii="Arial" w:hAnsi="Arial" w:cs="Arial"/>
              </w:rPr>
              <w:t>.</w:t>
            </w:r>
          </w:p>
          <w:p w:rsidR="00016AD3" w:rsidRDefault="00016AD3" w:rsidP="00127D53">
            <w:pPr>
              <w:pStyle w:val="form-control-static"/>
              <w:shd w:val="clear" w:color="auto" w:fill="FFFFFF"/>
              <w:spacing w:before="0" w:beforeAutospacing="0" w:after="0" w:afterAutospacing="0" w:line="360" w:lineRule="auto"/>
              <w:ind w:left="360"/>
              <w:jc w:val="both"/>
              <w:rPr>
                <w:rFonts w:ascii="Arial" w:hAnsi="Arial" w:cs="Arial"/>
                <w:lang w:val="en-ZA"/>
              </w:rPr>
            </w:pPr>
          </w:p>
          <w:p w:rsidR="00016AD3" w:rsidRPr="00740C30" w:rsidRDefault="00016AD3" w:rsidP="00740C30">
            <w:pPr>
              <w:pStyle w:val="form-control-static"/>
              <w:numPr>
                <w:ilvl w:val="0"/>
                <w:numId w:val="3"/>
              </w:numPr>
              <w:shd w:val="clear" w:color="auto" w:fill="FFFFFF"/>
              <w:spacing w:before="0" w:beforeAutospacing="0" w:after="0" w:afterAutospacing="0" w:line="360" w:lineRule="auto"/>
              <w:jc w:val="both"/>
              <w:rPr>
                <w:rFonts w:ascii="Arial" w:hAnsi="Arial" w:cs="Arial"/>
                <w:lang w:val="en-ZA"/>
              </w:rPr>
            </w:pPr>
            <w:r>
              <w:rPr>
                <w:rFonts w:ascii="Arial" w:hAnsi="Arial" w:cs="Arial"/>
              </w:rPr>
              <w:t>The A</w:t>
            </w:r>
            <w:r w:rsidR="003F7249" w:rsidRPr="00016AD3">
              <w:rPr>
                <w:rFonts w:ascii="Arial" w:hAnsi="Arial" w:cs="Arial"/>
              </w:rPr>
              <w:t>pplicant is granted leave to defend the action instituted against him by</w:t>
            </w:r>
            <w:r>
              <w:rPr>
                <w:rFonts w:ascii="Arial" w:hAnsi="Arial" w:cs="Arial"/>
              </w:rPr>
              <w:t xml:space="preserve"> the Respondent.</w:t>
            </w:r>
          </w:p>
          <w:p w:rsidR="00740C30" w:rsidRPr="00740C30" w:rsidRDefault="00740C30" w:rsidP="00740C30">
            <w:pPr>
              <w:pStyle w:val="form-control-static"/>
              <w:shd w:val="clear" w:color="auto" w:fill="FFFFFF"/>
              <w:spacing w:before="0" w:beforeAutospacing="0" w:after="0" w:afterAutospacing="0" w:line="360" w:lineRule="auto"/>
              <w:jc w:val="both"/>
              <w:rPr>
                <w:rFonts w:ascii="Arial" w:hAnsi="Arial" w:cs="Arial"/>
                <w:lang w:val="en-ZA"/>
              </w:rPr>
            </w:pPr>
          </w:p>
          <w:p w:rsidR="00740C30" w:rsidRPr="0048191F" w:rsidRDefault="00016AD3" w:rsidP="00740C30">
            <w:pPr>
              <w:pStyle w:val="form-control-static"/>
              <w:numPr>
                <w:ilvl w:val="0"/>
                <w:numId w:val="3"/>
              </w:numPr>
              <w:shd w:val="clear" w:color="auto" w:fill="FFFFFF"/>
              <w:spacing w:before="0" w:beforeAutospacing="0" w:after="0" w:afterAutospacing="0" w:line="360" w:lineRule="auto"/>
              <w:jc w:val="both"/>
              <w:rPr>
                <w:rFonts w:ascii="Arial" w:hAnsi="Arial" w:cs="Arial"/>
                <w:lang w:val="en-ZA"/>
              </w:rPr>
            </w:pPr>
            <w:r>
              <w:rPr>
                <w:rFonts w:ascii="Arial" w:hAnsi="Arial" w:cs="Arial"/>
              </w:rPr>
              <w:t xml:space="preserve">The Applicant must </w:t>
            </w:r>
            <w:r w:rsidR="003F7249" w:rsidRPr="00016AD3">
              <w:rPr>
                <w:rFonts w:ascii="Arial" w:hAnsi="Arial" w:cs="Arial"/>
              </w:rPr>
              <w:t xml:space="preserve">file its notice of intention to defend within </w:t>
            </w:r>
            <w:proofErr w:type="gramStart"/>
            <w:r w:rsidR="003F7249" w:rsidRPr="00016AD3">
              <w:rPr>
                <w:rFonts w:ascii="Arial" w:hAnsi="Arial" w:cs="Arial"/>
              </w:rPr>
              <w:t>5</w:t>
            </w:r>
            <w:proofErr w:type="gramEnd"/>
            <w:r w:rsidR="003F7249" w:rsidRPr="00016AD3">
              <w:rPr>
                <w:rFonts w:ascii="Arial" w:hAnsi="Arial" w:cs="Arial"/>
              </w:rPr>
              <w:t xml:space="preserve"> court days from the date of </w:t>
            </w:r>
            <w:r>
              <w:rPr>
                <w:rFonts w:ascii="Arial" w:hAnsi="Arial" w:cs="Arial"/>
              </w:rPr>
              <w:t>this</w:t>
            </w:r>
            <w:r w:rsidR="003F7249" w:rsidRPr="00016AD3">
              <w:rPr>
                <w:rFonts w:ascii="Arial" w:hAnsi="Arial" w:cs="Arial"/>
              </w:rPr>
              <w:t xml:space="preserve"> </w:t>
            </w:r>
            <w:r w:rsidR="003F7249" w:rsidRPr="00016AD3">
              <w:rPr>
                <w:rFonts w:ascii="Arial" w:hAnsi="Arial" w:cs="Arial"/>
              </w:rPr>
              <w:lastRenderedPageBreak/>
              <w:t>ruling.</w:t>
            </w:r>
          </w:p>
          <w:p w:rsidR="0048191F" w:rsidRPr="00741498" w:rsidRDefault="0048191F" w:rsidP="0048191F">
            <w:pPr>
              <w:pStyle w:val="form-control-static"/>
              <w:shd w:val="clear" w:color="auto" w:fill="FFFFFF"/>
              <w:spacing w:before="0" w:beforeAutospacing="0" w:after="0" w:afterAutospacing="0" w:line="360" w:lineRule="auto"/>
              <w:jc w:val="both"/>
              <w:rPr>
                <w:rFonts w:ascii="Arial" w:hAnsi="Arial" w:cs="Arial"/>
                <w:lang w:val="en-ZA"/>
              </w:rPr>
            </w:pPr>
          </w:p>
          <w:p w:rsidR="00016AD3" w:rsidRPr="006E7E69" w:rsidRDefault="003F7249" w:rsidP="00127D53">
            <w:pPr>
              <w:pStyle w:val="form-control-static"/>
              <w:numPr>
                <w:ilvl w:val="0"/>
                <w:numId w:val="3"/>
              </w:numPr>
              <w:shd w:val="clear" w:color="auto" w:fill="FFFFFF"/>
              <w:spacing w:before="0" w:beforeAutospacing="0" w:after="0" w:afterAutospacing="0" w:line="360" w:lineRule="auto"/>
              <w:jc w:val="both"/>
              <w:rPr>
                <w:rFonts w:ascii="Arial" w:hAnsi="Arial" w:cs="Arial"/>
                <w:lang w:val="en-ZA"/>
              </w:rPr>
            </w:pPr>
            <w:r w:rsidRPr="00016AD3">
              <w:rPr>
                <w:rFonts w:ascii="Arial" w:hAnsi="Arial" w:cs="Arial"/>
              </w:rPr>
              <w:t>T</w:t>
            </w:r>
            <w:r w:rsidR="00016AD3">
              <w:rPr>
                <w:rFonts w:ascii="Arial" w:hAnsi="Arial" w:cs="Arial"/>
              </w:rPr>
              <w:t>he R</w:t>
            </w:r>
            <w:r w:rsidRPr="00016AD3">
              <w:rPr>
                <w:rFonts w:ascii="Arial" w:hAnsi="Arial" w:cs="Arial"/>
              </w:rPr>
              <w:t xml:space="preserve">espondent </w:t>
            </w:r>
            <w:proofErr w:type="gramStart"/>
            <w:r w:rsidRPr="00016AD3">
              <w:rPr>
                <w:rFonts w:ascii="Arial" w:hAnsi="Arial" w:cs="Arial"/>
              </w:rPr>
              <w:t>is ordered</w:t>
            </w:r>
            <w:proofErr w:type="gramEnd"/>
            <w:r w:rsidRPr="00016AD3">
              <w:rPr>
                <w:rFonts w:ascii="Arial" w:hAnsi="Arial" w:cs="Arial"/>
              </w:rPr>
              <w:t xml:space="preserve"> to pay the costs of the </w:t>
            </w:r>
            <w:r w:rsidR="00016AD3">
              <w:rPr>
                <w:rFonts w:ascii="Arial" w:hAnsi="Arial" w:cs="Arial"/>
              </w:rPr>
              <w:t>A</w:t>
            </w:r>
            <w:r w:rsidRPr="00016AD3">
              <w:rPr>
                <w:rFonts w:ascii="Arial" w:hAnsi="Arial" w:cs="Arial"/>
              </w:rPr>
              <w:t>pplicant</w:t>
            </w:r>
            <w:r w:rsidR="002D686B">
              <w:rPr>
                <w:rFonts w:ascii="Arial" w:hAnsi="Arial" w:cs="Arial"/>
              </w:rPr>
              <w:t xml:space="preserve"> subject to rule 32(11).</w:t>
            </w:r>
          </w:p>
          <w:p w:rsidR="006E7E69" w:rsidRPr="00016AD3" w:rsidRDefault="006E7E69" w:rsidP="00127D53">
            <w:pPr>
              <w:pStyle w:val="form-control-static"/>
              <w:shd w:val="clear" w:color="auto" w:fill="FFFFFF"/>
              <w:spacing w:before="0" w:beforeAutospacing="0" w:after="0" w:afterAutospacing="0" w:line="360" w:lineRule="auto"/>
              <w:ind w:left="360"/>
              <w:jc w:val="both"/>
              <w:rPr>
                <w:rFonts w:ascii="Arial" w:hAnsi="Arial" w:cs="Arial"/>
                <w:lang w:val="en-ZA"/>
              </w:rPr>
            </w:pPr>
          </w:p>
          <w:p w:rsidR="006E7E69" w:rsidRPr="00CA5D16" w:rsidRDefault="006E7E69" w:rsidP="00CA5D16">
            <w:pPr>
              <w:pStyle w:val="form-control-static"/>
              <w:numPr>
                <w:ilvl w:val="0"/>
                <w:numId w:val="3"/>
              </w:numPr>
              <w:shd w:val="clear" w:color="auto" w:fill="FFFFFF"/>
              <w:spacing w:before="0" w:beforeAutospacing="0" w:after="0" w:afterAutospacing="0" w:line="360" w:lineRule="auto"/>
              <w:jc w:val="both"/>
              <w:rPr>
                <w:rFonts w:ascii="Arial" w:hAnsi="Arial" w:cs="Arial"/>
                <w:lang w:val="en-ZA"/>
              </w:rPr>
            </w:pPr>
            <w:r>
              <w:rPr>
                <w:rFonts w:ascii="Arial" w:hAnsi="Arial" w:cs="Arial"/>
              </w:rPr>
              <w:t xml:space="preserve">The matter </w:t>
            </w:r>
            <w:proofErr w:type="gramStart"/>
            <w:r>
              <w:rPr>
                <w:rFonts w:ascii="Arial" w:hAnsi="Arial" w:cs="Arial"/>
              </w:rPr>
              <w:t>is postponed</w:t>
            </w:r>
            <w:proofErr w:type="gramEnd"/>
            <w:r>
              <w:rPr>
                <w:rFonts w:ascii="Arial" w:hAnsi="Arial" w:cs="Arial"/>
              </w:rPr>
              <w:t xml:space="preserve"> to 05 July 2023 at 15:30 for case planning conference hearing.</w:t>
            </w:r>
          </w:p>
          <w:p w:rsidR="00CA5D16" w:rsidRPr="00CA5D16" w:rsidRDefault="00CA5D16" w:rsidP="00CA5D16">
            <w:pPr>
              <w:pStyle w:val="form-control-static"/>
              <w:shd w:val="clear" w:color="auto" w:fill="FFFFFF"/>
              <w:spacing w:before="0" w:beforeAutospacing="0" w:after="0" w:afterAutospacing="0" w:line="360" w:lineRule="auto"/>
              <w:jc w:val="both"/>
              <w:rPr>
                <w:rFonts w:ascii="Arial" w:hAnsi="Arial" w:cs="Arial"/>
                <w:lang w:val="en-ZA"/>
              </w:rPr>
            </w:pPr>
          </w:p>
          <w:p w:rsidR="006E7E69" w:rsidRPr="00016AD3" w:rsidRDefault="006E7E69" w:rsidP="00127D53">
            <w:pPr>
              <w:pStyle w:val="form-control-static"/>
              <w:numPr>
                <w:ilvl w:val="0"/>
                <w:numId w:val="3"/>
              </w:numPr>
              <w:shd w:val="clear" w:color="auto" w:fill="FFFFFF"/>
              <w:spacing w:before="0" w:beforeAutospacing="0" w:after="0" w:afterAutospacing="0" w:line="360" w:lineRule="auto"/>
              <w:jc w:val="both"/>
              <w:rPr>
                <w:rFonts w:ascii="Arial" w:hAnsi="Arial" w:cs="Arial"/>
                <w:lang w:val="en-ZA"/>
              </w:rPr>
            </w:pPr>
            <w:r>
              <w:rPr>
                <w:rFonts w:ascii="Arial" w:hAnsi="Arial" w:cs="Arial"/>
                <w:lang w:val="en-ZA"/>
              </w:rPr>
              <w:t>The parties must file a joint case plan on or before 30 June 2023.</w:t>
            </w:r>
          </w:p>
          <w:p w:rsidR="005B2472" w:rsidRPr="00B94427" w:rsidRDefault="00741498" w:rsidP="00741498">
            <w:pPr>
              <w:pStyle w:val="form-control-static"/>
              <w:shd w:val="clear" w:color="auto" w:fill="FFFFFF"/>
              <w:tabs>
                <w:tab w:val="left" w:pos="1155"/>
              </w:tabs>
              <w:spacing w:before="0" w:beforeAutospacing="0" w:after="0" w:afterAutospacing="0" w:line="360" w:lineRule="auto"/>
              <w:jc w:val="both"/>
              <w:rPr>
                <w:rFonts w:ascii="Arial" w:hAnsi="Arial" w:cs="Arial"/>
                <w:lang w:val="en-ZA"/>
              </w:rPr>
            </w:pPr>
            <w:r>
              <w:rPr>
                <w:rFonts w:ascii="Arial" w:hAnsi="Arial" w:cs="Arial"/>
                <w:lang w:val="en-ZA"/>
              </w:rPr>
              <w:tab/>
            </w:r>
          </w:p>
        </w:tc>
      </w:tr>
      <w:tr w:rsidR="005B2472" w:rsidRPr="003A78E4" w:rsidTr="00A66617">
        <w:tc>
          <w:tcPr>
            <w:tcW w:w="10632" w:type="dxa"/>
            <w:gridSpan w:val="3"/>
            <w:shd w:val="clear" w:color="auto" w:fill="auto"/>
          </w:tcPr>
          <w:p w:rsidR="0048191F" w:rsidRDefault="0063492B" w:rsidP="00CA5D16">
            <w:pPr>
              <w:spacing w:after="0" w:line="360" w:lineRule="auto"/>
              <w:rPr>
                <w:b/>
              </w:rPr>
            </w:pPr>
            <w:r w:rsidRPr="0063492B">
              <w:rPr>
                <w:b/>
              </w:rPr>
              <w:lastRenderedPageBreak/>
              <w:t>Reasons for order:</w:t>
            </w:r>
          </w:p>
          <w:p w:rsidR="0048191F" w:rsidRDefault="0048191F" w:rsidP="00CA5D16">
            <w:pPr>
              <w:spacing w:after="0" w:line="360" w:lineRule="auto"/>
              <w:rPr>
                <w:b/>
              </w:rPr>
            </w:pPr>
          </w:p>
          <w:p w:rsidR="000D70D4" w:rsidRDefault="000D70D4" w:rsidP="00127D53">
            <w:pPr>
              <w:spacing w:line="360" w:lineRule="auto"/>
              <w:contextualSpacing/>
              <w:jc w:val="both"/>
              <w:rPr>
                <w:rFonts w:eastAsia="Times New Roman"/>
                <w:spacing w:val="-3"/>
                <w:u w:val="single"/>
                <w:lang w:val="en-ZA"/>
              </w:rPr>
            </w:pPr>
            <w:r>
              <w:rPr>
                <w:rFonts w:eastAsia="Times New Roman"/>
                <w:spacing w:val="-3"/>
                <w:u w:val="single"/>
                <w:lang w:val="en-ZA"/>
              </w:rPr>
              <w:t>Introduction</w:t>
            </w:r>
          </w:p>
          <w:p w:rsidR="000D70D4" w:rsidRPr="0063492B" w:rsidRDefault="000D70D4" w:rsidP="00127D53">
            <w:pPr>
              <w:spacing w:after="0" w:line="360" w:lineRule="auto"/>
              <w:jc w:val="both"/>
              <w:rPr>
                <w:b/>
              </w:rPr>
            </w:pPr>
          </w:p>
          <w:p w:rsidR="006E7E69" w:rsidRDefault="006E7E69" w:rsidP="00127D53">
            <w:pPr>
              <w:numPr>
                <w:ilvl w:val="0"/>
                <w:numId w:val="2"/>
              </w:numPr>
              <w:spacing w:line="360" w:lineRule="auto"/>
              <w:ind w:left="0" w:firstLine="0"/>
              <w:contextualSpacing/>
              <w:jc w:val="both"/>
              <w:rPr>
                <w:rFonts w:eastAsia="Times New Roman"/>
                <w:spacing w:val="-3"/>
                <w:u w:val="single"/>
                <w:lang w:val="en-ZA"/>
              </w:rPr>
            </w:pPr>
            <w:r>
              <w:t>Before me is an application for rescission of judgment.</w:t>
            </w:r>
          </w:p>
          <w:p w:rsidR="006E7E69" w:rsidRDefault="006E7E69" w:rsidP="00127D53">
            <w:pPr>
              <w:spacing w:line="360" w:lineRule="auto"/>
              <w:contextualSpacing/>
              <w:jc w:val="both"/>
              <w:rPr>
                <w:rFonts w:eastAsia="Times New Roman"/>
                <w:spacing w:val="-3"/>
                <w:u w:val="single"/>
                <w:lang w:val="en-ZA"/>
              </w:rPr>
            </w:pPr>
          </w:p>
          <w:p w:rsidR="006E7E69" w:rsidRPr="006E7E69" w:rsidRDefault="000D70D4" w:rsidP="00127D53">
            <w:pPr>
              <w:numPr>
                <w:ilvl w:val="0"/>
                <w:numId w:val="2"/>
              </w:numPr>
              <w:spacing w:line="360" w:lineRule="auto"/>
              <w:ind w:left="0" w:firstLine="0"/>
              <w:contextualSpacing/>
              <w:jc w:val="both"/>
              <w:rPr>
                <w:rFonts w:eastAsia="Times New Roman"/>
                <w:spacing w:val="-3"/>
                <w:u w:val="single"/>
                <w:lang w:val="en-ZA"/>
              </w:rPr>
            </w:pPr>
            <w:r>
              <w:t>The R</w:t>
            </w:r>
            <w:r w:rsidR="006E7E69">
              <w:t>espondent</w:t>
            </w:r>
            <w:r>
              <w:t xml:space="preserve"> (Plaintiff in the main case)</w:t>
            </w:r>
            <w:r w:rsidR="006E7E69">
              <w:t xml:space="preserve">, Lalapanzi Body Corporate, a juristic person, issued </w:t>
            </w:r>
            <w:r>
              <w:t>a combined summons against the A</w:t>
            </w:r>
            <w:r w:rsidR="006E7E69">
              <w:t>pplicant</w:t>
            </w:r>
            <w:r>
              <w:t xml:space="preserve"> (Defendant in the main case)</w:t>
            </w:r>
            <w:r w:rsidR="006E7E69">
              <w:t>, Maxwell Maugandize, an adult male, demanding payment in the amount of N$56 123.64 for unpaid charges, expenses and assessments that became due.</w:t>
            </w:r>
          </w:p>
          <w:p w:rsidR="006E7E69" w:rsidRPr="00B94427" w:rsidRDefault="006E7E69" w:rsidP="00127D53">
            <w:pPr>
              <w:spacing w:line="360" w:lineRule="auto"/>
              <w:contextualSpacing/>
              <w:jc w:val="both"/>
              <w:rPr>
                <w:rFonts w:eastAsia="Times New Roman"/>
                <w:spacing w:val="-3"/>
                <w:u w:val="single"/>
                <w:lang w:val="en-ZA"/>
              </w:rPr>
            </w:pPr>
          </w:p>
          <w:p w:rsidR="005B2472" w:rsidRDefault="000D70D4" w:rsidP="00127D53">
            <w:pPr>
              <w:spacing w:line="360" w:lineRule="auto"/>
              <w:contextualSpacing/>
              <w:jc w:val="both"/>
              <w:rPr>
                <w:rFonts w:eastAsia="Times New Roman"/>
                <w:spacing w:val="-3"/>
                <w:u w:val="single"/>
                <w:lang w:val="en-ZA"/>
              </w:rPr>
            </w:pPr>
            <w:r>
              <w:rPr>
                <w:rFonts w:eastAsia="Times New Roman"/>
                <w:spacing w:val="-3"/>
                <w:u w:val="single"/>
                <w:lang w:val="en-ZA"/>
              </w:rPr>
              <w:t>Background facts</w:t>
            </w:r>
          </w:p>
          <w:p w:rsidR="005B1600" w:rsidRPr="003A78E4" w:rsidRDefault="005B1600" w:rsidP="00127D53">
            <w:pPr>
              <w:spacing w:after="0" w:line="360" w:lineRule="auto"/>
              <w:contextualSpacing/>
              <w:jc w:val="both"/>
              <w:rPr>
                <w:i/>
              </w:rPr>
            </w:pPr>
          </w:p>
          <w:p w:rsidR="00B8613A" w:rsidRDefault="000D70D4" w:rsidP="00127D53">
            <w:pPr>
              <w:numPr>
                <w:ilvl w:val="0"/>
                <w:numId w:val="2"/>
              </w:numPr>
              <w:spacing w:after="0" w:line="360" w:lineRule="auto"/>
              <w:ind w:left="0" w:firstLine="0"/>
              <w:contextualSpacing/>
              <w:jc w:val="both"/>
            </w:pPr>
            <w:r>
              <w:t xml:space="preserve">The Respondent issued summons against the Applicant. In the particulars of claim, the Respondent alleged that the Applicant is the owner of No. 2, </w:t>
            </w:r>
            <w:r w:rsidR="00F2655C">
              <w:t>Unit</w:t>
            </w:r>
            <w:r>
              <w:t xml:space="preserve"> 27 in the complex called Lalapanzi</w:t>
            </w:r>
            <w:r w:rsidR="004B5351">
              <w:t xml:space="preserve"> f</w:t>
            </w:r>
            <w:r>
              <w:t xml:space="preserve">lats. It further alleged that as owner, the </w:t>
            </w:r>
            <w:r w:rsidR="00B8613A">
              <w:t>Applicant</w:t>
            </w:r>
            <w:r>
              <w:t xml:space="preserve"> </w:t>
            </w:r>
            <w:r w:rsidR="00B8613A">
              <w:t>was</w:t>
            </w:r>
            <w:r>
              <w:t xml:space="preserve"> liable to pay charges, expenses and assessment that became due.</w:t>
            </w:r>
          </w:p>
          <w:p w:rsidR="00B8613A" w:rsidRDefault="00B8613A" w:rsidP="00127D53">
            <w:pPr>
              <w:spacing w:after="0" w:line="360" w:lineRule="auto"/>
              <w:contextualSpacing/>
              <w:jc w:val="both"/>
            </w:pPr>
          </w:p>
          <w:p w:rsidR="00DB473F" w:rsidRDefault="000D70D4" w:rsidP="00741498">
            <w:pPr>
              <w:numPr>
                <w:ilvl w:val="0"/>
                <w:numId w:val="2"/>
              </w:numPr>
              <w:spacing w:after="0" w:line="360" w:lineRule="auto"/>
              <w:ind w:left="0" w:firstLine="0"/>
              <w:contextualSpacing/>
              <w:jc w:val="both"/>
            </w:pPr>
            <w:r>
              <w:t xml:space="preserve">The </w:t>
            </w:r>
            <w:r w:rsidR="0048191F">
              <w:t xml:space="preserve">combined </w:t>
            </w:r>
            <w:r>
              <w:t xml:space="preserve">summons </w:t>
            </w:r>
            <w:proofErr w:type="gramStart"/>
            <w:r>
              <w:t>was served</w:t>
            </w:r>
            <w:proofErr w:type="gramEnd"/>
            <w:r>
              <w:t xml:space="preserve"> on </w:t>
            </w:r>
            <w:r w:rsidR="00E87ADD">
              <w:t xml:space="preserve">Penelopema </w:t>
            </w:r>
            <w:r w:rsidR="00B8613A">
              <w:t>Maugandize</w:t>
            </w:r>
            <w:r>
              <w:t xml:space="preserve">, the daughter of the </w:t>
            </w:r>
            <w:r w:rsidR="00B8613A">
              <w:t>Applicant</w:t>
            </w:r>
            <w:r>
              <w:t xml:space="preserve"> on 23 October 2019.</w:t>
            </w:r>
            <w:r w:rsidR="00B8613A">
              <w:t xml:space="preserve"> </w:t>
            </w:r>
            <w:r>
              <w:t xml:space="preserve">No appearance to defend the summons was entered against the summons. </w:t>
            </w:r>
            <w:r w:rsidR="00B8613A">
              <w:t>In</w:t>
            </w:r>
            <w:r>
              <w:t xml:space="preserve"> Feb</w:t>
            </w:r>
            <w:r w:rsidR="00B8613A">
              <w:t>ruary</w:t>
            </w:r>
            <w:r>
              <w:t xml:space="preserve"> 2020</w:t>
            </w:r>
            <w:r w:rsidR="00B8613A">
              <w:t xml:space="preserve">, </w:t>
            </w:r>
            <w:r>
              <w:t xml:space="preserve">the </w:t>
            </w:r>
            <w:r w:rsidR="00B8613A">
              <w:t>Respondent</w:t>
            </w:r>
            <w:r>
              <w:t xml:space="preserve"> set </w:t>
            </w:r>
            <w:r w:rsidR="00B8613A">
              <w:t xml:space="preserve">the matter </w:t>
            </w:r>
            <w:r w:rsidR="00CA5D16">
              <w:t xml:space="preserve">down for default judgment. </w:t>
            </w:r>
            <w:r>
              <w:t xml:space="preserve">The notice of set down </w:t>
            </w:r>
            <w:proofErr w:type="gramStart"/>
            <w:r>
              <w:t>was not served</w:t>
            </w:r>
            <w:proofErr w:type="gramEnd"/>
            <w:r>
              <w:t xml:space="preserve"> on the </w:t>
            </w:r>
            <w:r w:rsidR="00DB473F">
              <w:t>Applicant</w:t>
            </w:r>
            <w:r>
              <w:t xml:space="preserve">. On </w:t>
            </w:r>
            <w:r w:rsidR="00DB473F">
              <w:t>05</w:t>
            </w:r>
            <w:r>
              <w:t xml:space="preserve"> February </w:t>
            </w:r>
            <w:r w:rsidR="00DB473F">
              <w:t>2020,</w:t>
            </w:r>
            <w:r>
              <w:t xml:space="preserve"> this </w:t>
            </w:r>
            <w:r w:rsidR="0048191F">
              <w:t>c</w:t>
            </w:r>
            <w:r w:rsidR="00DB473F">
              <w:t>ourt</w:t>
            </w:r>
            <w:r>
              <w:t xml:space="preserve"> granted default judgment </w:t>
            </w:r>
            <w:r w:rsidR="00DB473F">
              <w:t xml:space="preserve">against the Applicant </w:t>
            </w:r>
            <w:r>
              <w:t>in chambers.</w:t>
            </w:r>
          </w:p>
          <w:p w:rsidR="00741498" w:rsidRDefault="00741498" w:rsidP="00741498">
            <w:pPr>
              <w:spacing w:after="0" w:line="360" w:lineRule="auto"/>
              <w:contextualSpacing/>
              <w:jc w:val="both"/>
            </w:pPr>
          </w:p>
          <w:p w:rsidR="000D70D4" w:rsidRDefault="000D70D4" w:rsidP="00127D53">
            <w:pPr>
              <w:numPr>
                <w:ilvl w:val="0"/>
                <w:numId w:val="2"/>
              </w:numPr>
              <w:spacing w:after="0" w:line="360" w:lineRule="auto"/>
              <w:ind w:left="0" w:firstLine="0"/>
              <w:contextualSpacing/>
              <w:jc w:val="both"/>
            </w:pPr>
            <w:r>
              <w:lastRenderedPageBreak/>
              <w:t>A writ of executi</w:t>
            </w:r>
            <w:r w:rsidR="00DB473F">
              <w:t xml:space="preserve">on against movable property </w:t>
            </w:r>
            <w:proofErr w:type="gramStart"/>
            <w:r w:rsidR="00DB473F">
              <w:t xml:space="preserve">was </w:t>
            </w:r>
            <w:r>
              <w:t>issued</w:t>
            </w:r>
            <w:proofErr w:type="gramEnd"/>
            <w:r>
              <w:t xml:space="preserve">. The </w:t>
            </w:r>
            <w:r w:rsidR="00DB473F">
              <w:t>Applicant</w:t>
            </w:r>
            <w:r>
              <w:t xml:space="preserve"> owned 100% </w:t>
            </w:r>
            <w:proofErr w:type="gramStart"/>
            <w:r>
              <w:t>members</w:t>
            </w:r>
            <w:proofErr w:type="gramEnd"/>
            <w:r>
              <w:t xml:space="preserve"> interest in</w:t>
            </w:r>
            <w:r w:rsidR="00DB473F">
              <w:t xml:space="preserve"> a</w:t>
            </w:r>
            <w:r>
              <w:t xml:space="preserve"> close corporation </w:t>
            </w:r>
            <w:r w:rsidR="00DB473F">
              <w:t>called NESA Event Management CC. T</w:t>
            </w:r>
            <w:r>
              <w:t xml:space="preserve">his interest was attached and sold on auction. It later transpired that the registered owner of unit 27 in the Lalapanzi complex was not the </w:t>
            </w:r>
            <w:r w:rsidR="00DB473F">
              <w:t>Applicant</w:t>
            </w:r>
            <w:r w:rsidR="00CA5D16">
              <w:t xml:space="preserve"> as alleged by the Respondent</w:t>
            </w:r>
            <w:r>
              <w:t xml:space="preserve">, but NESA Event Management </w:t>
            </w:r>
            <w:r w:rsidR="00797046">
              <w:t>CC.</w:t>
            </w:r>
          </w:p>
          <w:p w:rsidR="005B2472" w:rsidRPr="003A78E4" w:rsidRDefault="005B2472" w:rsidP="00127D53">
            <w:pPr>
              <w:widowControl w:val="0"/>
              <w:tabs>
                <w:tab w:val="left" w:pos="2552"/>
              </w:tabs>
              <w:spacing w:after="0" w:line="360" w:lineRule="auto"/>
              <w:jc w:val="both"/>
              <w:rPr>
                <w:rFonts w:eastAsia="Times New Roman"/>
                <w:i/>
                <w:spacing w:val="-3"/>
                <w:lang w:val="en-GB"/>
              </w:rPr>
            </w:pPr>
          </w:p>
          <w:p w:rsidR="0061226B" w:rsidRDefault="00E87ADD" w:rsidP="00127D53">
            <w:pPr>
              <w:spacing w:line="360" w:lineRule="auto"/>
              <w:contextualSpacing/>
              <w:jc w:val="both"/>
              <w:rPr>
                <w:rFonts w:eastAsia="Times New Roman"/>
                <w:spacing w:val="-3"/>
                <w:u w:val="single"/>
                <w:lang w:val="en-ZA"/>
              </w:rPr>
            </w:pPr>
            <w:r>
              <w:rPr>
                <w:rFonts w:eastAsia="Times New Roman"/>
                <w:spacing w:val="-3"/>
                <w:u w:val="single"/>
                <w:lang w:val="en-ZA"/>
              </w:rPr>
              <w:t>The recession application</w:t>
            </w:r>
          </w:p>
          <w:p w:rsidR="005B2472" w:rsidRPr="003A78E4" w:rsidRDefault="005B2472" w:rsidP="00127D53">
            <w:pPr>
              <w:spacing w:after="0" w:line="360" w:lineRule="auto"/>
              <w:jc w:val="both"/>
              <w:rPr>
                <w:lang w:val="en-GB"/>
              </w:rPr>
            </w:pPr>
          </w:p>
          <w:p w:rsidR="00376CD2" w:rsidRDefault="00E87ADD" w:rsidP="00127D53">
            <w:pPr>
              <w:numPr>
                <w:ilvl w:val="0"/>
                <w:numId w:val="2"/>
              </w:numPr>
              <w:spacing w:line="360" w:lineRule="auto"/>
              <w:ind w:left="0" w:firstLine="0"/>
              <w:contextualSpacing/>
              <w:jc w:val="both"/>
            </w:pPr>
            <w:r>
              <w:t>In</w:t>
            </w:r>
            <w:r w:rsidR="00DB473F">
              <w:t xml:space="preserve"> June 2022</w:t>
            </w:r>
            <w:r>
              <w:t>,</w:t>
            </w:r>
            <w:r w:rsidR="00DB473F">
              <w:t xml:space="preserve"> the</w:t>
            </w:r>
            <w:r>
              <w:t xml:space="preserve"> A</w:t>
            </w:r>
            <w:r w:rsidR="00DB473F">
              <w:t xml:space="preserve">pplicant, </w:t>
            </w:r>
            <w:proofErr w:type="spellStart"/>
            <w:r>
              <w:t>Mr</w:t>
            </w:r>
            <w:proofErr w:type="spellEnd"/>
            <w:r>
              <w:t xml:space="preserve"> </w:t>
            </w:r>
            <w:proofErr w:type="spellStart"/>
            <w:r w:rsidR="0048191F">
              <w:t>Maugandize</w:t>
            </w:r>
            <w:proofErr w:type="spellEnd"/>
            <w:r w:rsidR="0048191F">
              <w:t xml:space="preserve"> </w:t>
            </w:r>
            <w:r w:rsidR="00DB473F">
              <w:t>launched the recession application in terms of Rule 16</w:t>
            </w:r>
            <w:r w:rsidR="0048191F">
              <w:t xml:space="preserve"> of the Rules of the High Court</w:t>
            </w:r>
            <w:r w:rsidR="00DB473F">
              <w:t>.</w:t>
            </w:r>
            <w:r>
              <w:t xml:space="preserve"> </w:t>
            </w:r>
            <w:r w:rsidR="00DB473F">
              <w:t>In the</w:t>
            </w:r>
            <w:r>
              <w:t xml:space="preserve"> fo</w:t>
            </w:r>
            <w:r w:rsidR="00376CD2">
              <w:t xml:space="preserve">unding affidavit, the Applicant </w:t>
            </w:r>
            <w:r>
              <w:t xml:space="preserve">averred </w:t>
            </w:r>
            <w:r w:rsidR="00DB473F">
              <w:t>that he was residing in Zimbabwe when the summons was served on his daughter.</w:t>
            </w:r>
            <w:r>
              <w:t xml:space="preserve"> He further averred that it was </w:t>
            </w:r>
            <w:r w:rsidR="00DB473F">
              <w:t xml:space="preserve">his daughter and </w:t>
            </w:r>
            <w:r w:rsidR="00376CD2">
              <w:t>her</w:t>
            </w:r>
            <w:r w:rsidR="00DB473F">
              <w:t xml:space="preserve"> mother,</w:t>
            </w:r>
            <w:r w:rsidR="00CA5D16">
              <w:t xml:space="preserve"> </w:t>
            </w:r>
            <w:proofErr w:type="spellStart"/>
            <w:r w:rsidR="00CA5D16">
              <w:t>Ms</w:t>
            </w:r>
            <w:proofErr w:type="spellEnd"/>
            <w:r w:rsidR="00CA5D16">
              <w:t xml:space="preserve"> </w:t>
            </w:r>
            <w:proofErr w:type="spellStart"/>
            <w:r w:rsidR="00CA5D16">
              <w:t>Ndinohamba</w:t>
            </w:r>
            <w:proofErr w:type="spellEnd"/>
            <w:r w:rsidR="00CA5D16">
              <w:t>,</w:t>
            </w:r>
            <w:r w:rsidR="00DB473F">
              <w:t xml:space="preserve"> his </w:t>
            </w:r>
            <w:r w:rsidR="00376CD2">
              <w:t>then partner,</w:t>
            </w:r>
            <w:r w:rsidR="00DB473F">
              <w:t xml:space="preserve"> who were residing </w:t>
            </w:r>
            <w:r w:rsidR="0048191F">
              <w:t>at</w:t>
            </w:r>
            <w:r w:rsidR="00DB473F">
              <w:t xml:space="preserve"> unit 27, Lalapanzi complex. </w:t>
            </w:r>
            <w:r w:rsidR="00376CD2">
              <w:t>Accordingly, he</w:t>
            </w:r>
            <w:r w:rsidR="00DB473F">
              <w:t xml:space="preserve"> did not receive the summons and it was </w:t>
            </w:r>
            <w:r w:rsidR="00376CD2">
              <w:t>never</w:t>
            </w:r>
            <w:r w:rsidR="00DB473F">
              <w:t xml:space="preserve"> brought to his attention. </w:t>
            </w:r>
          </w:p>
          <w:p w:rsidR="00376CD2" w:rsidRDefault="00376CD2" w:rsidP="00127D53">
            <w:pPr>
              <w:spacing w:after="0" w:line="360" w:lineRule="auto"/>
              <w:contextualSpacing/>
              <w:jc w:val="both"/>
            </w:pPr>
          </w:p>
          <w:p w:rsidR="00127D53" w:rsidRDefault="00376CD2" w:rsidP="00127D53">
            <w:pPr>
              <w:numPr>
                <w:ilvl w:val="0"/>
                <w:numId w:val="2"/>
              </w:numPr>
              <w:spacing w:after="0" w:line="360" w:lineRule="auto"/>
              <w:ind w:left="0" w:firstLine="0"/>
              <w:contextualSpacing/>
              <w:jc w:val="both"/>
            </w:pPr>
            <w:r>
              <w:t xml:space="preserve">He averred that he </w:t>
            </w:r>
            <w:proofErr w:type="gramStart"/>
            <w:r>
              <w:t>was only informed</w:t>
            </w:r>
            <w:proofErr w:type="gramEnd"/>
            <w:r>
              <w:t xml:space="preserve"> about </w:t>
            </w:r>
            <w:r w:rsidR="00DB473F">
              <w:t xml:space="preserve">the summons in February </w:t>
            </w:r>
            <w:r w:rsidR="00CA5D16">
              <w:t xml:space="preserve">2022 through </w:t>
            </w:r>
            <w:proofErr w:type="spellStart"/>
            <w:r w:rsidR="00CA5D16">
              <w:t>Ms</w:t>
            </w:r>
            <w:proofErr w:type="spellEnd"/>
            <w:r w:rsidR="00CA5D16">
              <w:t xml:space="preserve"> </w:t>
            </w:r>
            <w:proofErr w:type="spellStart"/>
            <w:r w:rsidR="00CA5D16">
              <w:t>Ndinohamba</w:t>
            </w:r>
            <w:proofErr w:type="spellEnd"/>
            <w:r>
              <w:t>. By then</w:t>
            </w:r>
            <w:r w:rsidR="00DB473F">
              <w:t xml:space="preserve"> </w:t>
            </w:r>
            <w:r>
              <w:t>default</w:t>
            </w:r>
            <w:r w:rsidR="00DB473F">
              <w:t xml:space="preserve"> judgment was</w:t>
            </w:r>
            <w:r>
              <w:t xml:space="preserve"> already</w:t>
            </w:r>
            <w:r w:rsidR="00DB473F">
              <w:t xml:space="preserve"> granted against him. He</w:t>
            </w:r>
            <w:r>
              <w:t xml:space="preserve"> then </w:t>
            </w:r>
            <w:r w:rsidR="00DB473F">
              <w:t xml:space="preserve">instructed her to engage the service of a legal practitioner. </w:t>
            </w:r>
            <w:r w:rsidR="00157051">
              <w:t>His</w:t>
            </w:r>
            <w:r w:rsidR="00DB473F">
              <w:t xml:space="preserve"> current legal practitioner of record was then instructed. </w:t>
            </w:r>
            <w:proofErr w:type="spellStart"/>
            <w:r w:rsidR="008C1E78">
              <w:t>Ms</w:t>
            </w:r>
            <w:proofErr w:type="spellEnd"/>
            <w:r w:rsidR="00DB473F">
              <w:t xml:space="preserve"> </w:t>
            </w:r>
            <w:proofErr w:type="spellStart"/>
            <w:r w:rsidR="008C1E78">
              <w:t>Shilengudwa</w:t>
            </w:r>
            <w:proofErr w:type="spellEnd"/>
            <w:r w:rsidR="00DB473F">
              <w:t xml:space="preserve"> then</w:t>
            </w:r>
            <w:r w:rsidR="008C1E78">
              <w:t xml:space="preserve"> addressed a letter to the R</w:t>
            </w:r>
            <w:r w:rsidR="00DB473F">
              <w:t>espondent</w:t>
            </w:r>
            <w:r w:rsidR="008C1E78">
              <w:t>’s</w:t>
            </w:r>
            <w:r w:rsidR="00DB473F">
              <w:t xml:space="preserve"> legal practitioner to seek audience with them and to engage </w:t>
            </w:r>
            <w:r w:rsidR="008C1E78">
              <w:t xml:space="preserve">them </w:t>
            </w:r>
            <w:r w:rsidR="00DB473F">
              <w:t>in terms of rule</w:t>
            </w:r>
            <w:r w:rsidR="008C1E78">
              <w:t xml:space="preserve"> </w:t>
            </w:r>
            <w:r w:rsidR="00DB473F">
              <w:t>32 (9) and (10).</w:t>
            </w:r>
          </w:p>
          <w:p w:rsidR="00127D53" w:rsidRDefault="00127D53" w:rsidP="00127D53">
            <w:pPr>
              <w:spacing w:after="0" w:line="360" w:lineRule="auto"/>
              <w:contextualSpacing/>
              <w:jc w:val="both"/>
            </w:pPr>
          </w:p>
          <w:p w:rsidR="00127D53" w:rsidRDefault="00127D53" w:rsidP="00127D53">
            <w:pPr>
              <w:numPr>
                <w:ilvl w:val="0"/>
                <w:numId w:val="2"/>
              </w:numPr>
              <w:spacing w:after="0" w:line="360" w:lineRule="auto"/>
              <w:ind w:left="0" w:firstLine="0"/>
              <w:contextualSpacing/>
              <w:jc w:val="both"/>
            </w:pPr>
            <w:r>
              <w:t xml:space="preserve">The Applicant averred </w:t>
            </w:r>
            <w:r w:rsidR="00DB473F">
              <w:t xml:space="preserve">that </w:t>
            </w:r>
            <w:r>
              <w:t xml:space="preserve">when he was in Zimbabwe </w:t>
            </w:r>
            <w:r w:rsidR="00DB473F">
              <w:t xml:space="preserve">he gave a power of attorney to a certain </w:t>
            </w:r>
            <w:proofErr w:type="spellStart"/>
            <w:r>
              <w:t>Mr</w:t>
            </w:r>
            <w:proofErr w:type="spellEnd"/>
            <w:r>
              <w:t xml:space="preserve"> </w:t>
            </w:r>
            <w:proofErr w:type="spellStart"/>
            <w:r w:rsidR="00DB473F">
              <w:t>Mutorwa</w:t>
            </w:r>
            <w:proofErr w:type="spellEnd"/>
            <w:r w:rsidR="00DB473F">
              <w:t xml:space="preserve"> to act on his behalf</w:t>
            </w:r>
            <w:r>
              <w:t xml:space="preserve">. </w:t>
            </w:r>
            <w:r w:rsidR="00DB473F">
              <w:t xml:space="preserve">The engagement with the </w:t>
            </w:r>
            <w:r>
              <w:t xml:space="preserve">Respondent’s </w:t>
            </w:r>
            <w:r w:rsidR="00DB473F">
              <w:t xml:space="preserve">legal practitioner took some time and eventually in May </w:t>
            </w:r>
            <w:r>
              <w:t>2022</w:t>
            </w:r>
            <w:r w:rsidR="00DB473F">
              <w:t xml:space="preserve">, the owner of the </w:t>
            </w:r>
            <w:r w:rsidR="004B5351">
              <w:t>close corporation</w:t>
            </w:r>
            <w:r w:rsidR="00DB473F">
              <w:t xml:space="preserve">, who bought the 100% interests in NESA </w:t>
            </w:r>
            <w:r>
              <w:t xml:space="preserve">Event </w:t>
            </w:r>
            <w:r w:rsidR="00DB473F">
              <w:t xml:space="preserve">Management </w:t>
            </w:r>
            <w:r>
              <w:t>CC,</w:t>
            </w:r>
            <w:r w:rsidR="00DB473F">
              <w:t xml:space="preserve"> informed his legal practitioner that he was not prepared to reverse the transaction. In June </w:t>
            </w:r>
            <w:r>
              <w:t>2022, the Applicant launched this application</w:t>
            </w:r>
            <w:r w:rsidR="00DB473F">
              <w:t xml:space="preserve"> for rescission of </w:t>
            </w:r>
            <w:r>
              <w:t xml:space="preserve">default </w:t>
            </w:r>
            <w:r w:rsidR="00DB473F">
              <w:t>judgment.</w:t>
            </w:r>
          </w:p>
          <w:p w:rsidR="00127D53" w:rsidRDefault="00127D53" w:rsidP="00127D53">
            <w:pPr>
              <w:pStyle w:val="ListParagraph"/>
            </w:pPr>
          </w:p>
          <w:p w:rsidR="00B602A9" w:rsidRDefault="00127D53" w:rsidP="00B602A9">
            <w:pPr>
              <w:numPr>
                <w:ilvl w:val="0"/>
                <w:numId w:val="2"/>
              </w:numPr>
              <w:spacing w:after="0" w:line="360" w:lineRule="auto"/>
              <w:ind w:left="0" w:firstLine="0"/>
              <w:contextualSpacing/>
              <w:jc w:val="both"/>
            </w:pPr>
            <w:r>
              <w:t xml:space="preserve">The Applicant </w:t>
            </w:r>
            <w:r w:rsidR="00DB473F">
              <w:t xml:space="preserve">further </w:t>
            </w:r>
            <w:r>
              <w:t>averred</w:t>
            </w:r>
            <w:r w:rsidR="00DB473F">
              <w:t xml:space="preserve"> that </w:t>
            </w:r>
            <w:r>
              <w:t xml:space="preserve">he was not the owner of </w:t>
            </w:r>
            <w:r w:rsidR="00CA5D16">
              <w:t>No. 2, U</w:t>
            </w:r>
            <w:r>
              <w:t xml:space="preserve">nit 27, </w:t>
            </w:r>
            <w:r w:rsidR="00DB473F">
              <w:t xml:space="preserve">Lalapanzi </w:t>
            </w:r>
            <w:r>
              <w:t xml:space="preserve">complex </w:t>
            </w:r>
            <w:r w:rsidR="00DB473F">
              <w:t>and that the owner of unit was a close corporation called, NESA Event Management</w:t>
            </w:r>
            <w:r w:rsidR="00CA5D16">
              <w:t xml:space="preserve"> CC</w:t>
            </w:r>
            <w:r w:rsidR="004B5351">
              <w:t xml:space="preserve">. He presented proof to </w:t>
            </w:r>
            <w:r w:rsidR="00CA5D16">
              <w:t>this</w:t>
            </w:r>
            <w:r w:rsidR="0048191F">
              <w:t xml:space="preserve"> c</w:t>
            </w:r>
            <w:r w:rsidR="004B5351">
              <w:t xml:space="preserve">ourt </w:t>
            </w:r>
            <w:r w:rsidR="00CA5D16">
              <w:t xml:space="preserve">that </w:t>
            </w:r>
            <w:r w:rsidR="00DB473F">
              <w:t xml:space="preserve">the unit </w:t>
            </w:r>
            <w:proofErr w:type="gramStart"/>
            <w:r w:rsidR="00DB473F">
              <w:t>was registered</w:t>
            </w:r>
            <w:proofErr w:type="gramEnd"/>
            <w:r w:rsidR="00DB473F">
              <w:t xml:space="preserve"> in the name of the close corporation. </w:t>
            </w:r>
            <w:r w:rsidR="004B5351">
              <w:t xml:space="preserve">He averred that it was his daughter and her mother, who were residing in the unit when the </w:t>
            </w:r>
            <w:r w:rsidR="004B5351">
              <w:lastRenderedPageBreak/>
              <w:t>unpaid charges and expenses were incurred.</w:t>
            </w:r>
          </w:p>
          <w:p w:rsidR="00B602A9" w:rsidRDefault="00B602A9" w:rsidP="00B602A9">
            <w:pPr>
              <w:pStyle w:val="ListParagraph"/>
            </w:pPr>
          </w:p>
          <w:p w:rsidR="00B602A9" w:rsidRDefault="00B602A9" w:rsidP="00B602A9">
            <w:pPr>
              <w:numPr>
                <w:ilvl w:val="0"/>
                <w:numId w:val="2"/>
              </w:numPr>
              <w:spacing w:after="0" w:line="360" w:lineRule="auto"/>
              <w:ind w:left="0" w:firstLine="0"/>
              <w:contextualSpacing/>
              <w:jc w:val="both"/>
            </w:pPr>
            <w:r>
              <w:t>The R</w:t>
            </w:r>
            <w:r w:rsidR="00DB473F">
              <w:t>espondent opposed the application.</w:t>
            </w:r>
            <w:r>
              <w:t xml:space="preserve"> </w:t>
            </w:r>
            <w:proofErr w:type="spellStart"/>
            <w:r>
              <w:t>Mr</w:t>
            </w:r>
            <w:proofErr w:type="spellEnd"/>
            <w:r>
              <w:t xml:space="preserve"> </w:t>
            </w:r>
            <w:proofErr w:type="spellStart"/>
            <w:r>
              <w:t>Fourie</w:t>
            </w:r>
            <w:proofErr w:type="spellEnd"/>
            <w:r>
              <w:t xml:space="preserve"> </w:t>
            </w:r>
            <w:r w:rsidR="00DB473F">
              <w:t xml:space="preserve">deposed to the opposing </w:t>
            </w:r>
            <w:r>
              <w:t xml:space="preserve">affidavit. </w:t>
            </w:r>
            <w:r w:rsidR="00DB473F">
              <w:t xml:space="preserve">He submitted that the application was brought very late and there is no acceptable explanation for the delay. </w:t>
            </w:r>
            <w:r>
              <w:t>He averred that the</w:t>
            </w:r>
            <w:r w:rsidR="00DB473F">
              <w:t xml:space="preserve"> application should have been br</w:t>
            </w:r>
            <w:r>
              <w:t>ought within 20 days after the A</w:t>
            </w:r>
            <w:r w:rsidR="00DB473F">
              <w:t>pplicant became aw</w:t>
            </w:r>
            <w:r>
              <w:t>are of the judgment</w:t>
            </w:r>
            <w:r w:rsidR="00DB473F">
              <w:t xml:space="preserve">. He further </w:t>
            </w:r>
            <w:r>
              <w:t>averred</w:t>
            </w:r>
            <w:r w:rsidR="00DB473F">
              <w:t xml:space="preserve"> that </w:t>
            </w:r>
            <w:r>
              <w:t>the application</w:t>
            </w:r>
            <w:r w:rsidR="00DB473F">
              <w:t xml:space="preserve"> will be prejudicial to the new owner of the unit who bought the member’s interest at the auction. </w:t>
            </w:r>
          </w:p>
          <w:p w:rsidR="00B602A9" w:rsidRDefault="00B602A9" w:rsidP="00B602A9">
            <w:pPr>
              <w:pStyle w:val="ListParagraph"/>
            </w:pPr>
          </w:p>
          <w:p w:rsidR="00B602A9" w:rsidRDefault="00DB473F" w:rsidP="008A30E6">
            <w:pPr>
              <w:numPr>
                <w:ilvl w:val="0"/>
                <w:numId w:val="2"/>
              </w:numPr>
              <w:spacing w:after="0" w:line="360" w:lineRule="auto"/>
              <w:ind w:left="0" w:firstLine="0"/>
              <w:contextualSpacing/>
              <w:jc w:val="both"/>
            </w:pPr>
            <w:r>
              <w:t xml:space="preserve">He further </w:t>
            </w:r>
            <w:r w:rsidR="00B602A9">
              <w:t xml:space="preserve">averred </w:t>
            </w:r>
            <w:r>
              <w:t xml:space="preserve">that the writ of execution and the sale in execution </w:t>
            </w:r>
            <w:proofErr w:type="gramStart"/>
            <w:r>
              <w:t>are not being challenged</w:t>
            </w:r>
            <w:proofErr w:type="gramEnd"/>
            <w:r>
              <w:t xml:space="preserve"> and therefore</w:t>
            </w:r>
            <w:r w:rsidR="0048191F">
              <w:t>,</w:t>
            </w:r>
            <w:r>
              <w:t xml:space="preserve"> even if the rescission is granted, it will b</w:t>
            </w:r>
            <w:r w:rsidR="00B602A9">
              <w:t>e a meaningless victory to the A</w:t>
            </w:r>
            <w:r>
              <w:t xml:space="preserve">pplicant. He </w:t>
            </w:r>
            <w:r w:rsidR="00B602A9">
              <w:t>averred that the A</w:t>
            </w:r>
            <w:r>
              <w:t xml:space="preserve">pplicant was the one responsible for paying the levies and </w:t>
            </w:r>
            <w:r w:rsidR="00B602A9">
              <w:t xml:space="preserve">that the Applicant </w:t>
            </w:r>
            <w:r>
              <w:t>is liable for the charges and expenses.</w:t>
            </w:r>
          </w:p>
          <w:p w:rsidR="00B602A9" w:rsidRDefault="00B602A9" w:rsidP="008A30E6">
            <w:pPr>
              <w:spacing w:after="0" w:line="360" w:lineRule="auto"/>
              <w:contextualSpacing/>
              <w:jc w:val="both"/>
            </w:pPr>
          </w:p>
          <w:p w:rsidR="00B602A9" w:rsidRPr="00B602A9" w:rsidRDefault="00B602A9" w:rsidP="008A30E6">
            <w:pPr>
              <w:spacing w:after="0" w:line="360" w:lineRule="auto"/>
              <w:contextualSpacing/>
              <w:jc w:val="both"/>
              <w:rPr>
                <w:u w:val="single"/>
              </w:rPr>
            </w:pPr>
            <w:r w:rsidRPr="00B602A9">
              <w:rPr>
                <w:u w:val="single"/>
              </w:rPr>
              <w:t>Submissions on behalf of the Applicant</w:t>
            </w:r>
          </w:p>
          <w:p w:rsidR="00B602A9" w:rsidRDefault="00B602A9" w:rsidP="008A30E6">
            <w:pPr>
              <w:pStyle w:val="ListParagraph"/>
              <w:spacing w:line="360" w:lineRule="auto"/>
            </w:pPr>
          </w:p>
          <w:p w:rsidR="00CA5D16" w:rsidRDefault="00B602A9" w:rsidP="008A30E6">
            <w:pPr>
              <w:numPr>
                <w:ilvl w:val="0"/>
                <w:numId w:val="2"/>
              </w:numPr>
              <w:spacing w:after="0" w:line="360" w:lineRule="auto"/>
              <w:ind w:left="0" w:firstLine="0"/>
              <w:contextualSpacing/>
              <w:jc w:val="both"/>
            </w:pPr>
            <w:proofErr w:type="spellStart"/>
            <w:r>
              <w:t>Ms</w:t>
            </w:r>
            <w:proofErr w:type="spellEnd"/>
            <w:r>
              <w:t xml:space="preserve"> </w:t>
            </w:r>
            <w:proofErr w:type="spellStart"/>
            <w:r>
              <w:t>Kendjella</w:t>
            </w:r>
            <w:proofErr w:type="spellEnd"/>
            <w:r w:rsidR="008A30E6">
              <w:t xml:space="preserve"> submitted that the Applicant provided</w:t>
            </w:r>
            <w:r w:rsidRPr="00704157">
              <w:t xml:space="preserve"> an acceptable explanation for not opposing the default judgment. He never received the summons as it </w:t>
            </w:r>
            <w:proofErr w:type="gramStart"/>
            <w:r w:rsidRPr="00704157">
              <w:t>was served</w:t>
            </w:r>
            <w:proofErr w:type="gramEnd"/>
            <w:r w:rsidRPr="00704157">
              <w:t xml:space="preserve"> on his daughter and for </w:t>
            </w:r>
            <w:r w:rsidR="00CA5D16">
              <w:t>some</w:t>
            </w:r>
            <w:r w:rsidRPr="00704157">
              <w:t xml:space="preserve"> </w:t>
            </w:r>
            <w:r w:rsidR="00CA5D16">
              <w:t>reason</w:t>
            </w:r>
            <w:r w:rsidRPr="00704157">
              <w:t xml:space="preserve"> the daughter did not bring that to his attention. </w:t>
            </w:r>
          </w:p>
          <w:p w:rsidR="00CA5D16" w:rsidRDefault="00CA5D16" w:rsidP="00CA5D16">
            <w:pPr>
              <w:spacing w:after="0" w:line="360" w:lineRule="auto"/>
              <w:contextualSpacing/>
              <w:jc w:val="both"/>
            </w:pPr>
          </w:p>
          <w:p w:rsidR="0061226B" w:rsidRDefault="00B602A9" w:rsidP="008A30E6">
            <w:pPr>
              <w:numPr>
                <w:ilvl w:val="0"/>
                <w:numId w:val="2"/>
              </w:numPr>
              <w:spacing w:after="0" w:line="360" w:lineRule="auto"/>
              <w:ind w:left="0" w:firstLine="0"/>
              <w:contextualSpacing/>
              <w:jc w:val="both"/>
            </w:pPr>
            <w:r w:rsidRPr="00704157">
              <w:t>She also submitted tha</w:t>
            </w:r>
            <w:r w:rsidR="00CA5D16">
              <w:t>t the A</w:t>
            </w:r>
            <w:r w:rsidRPr="00704157">
              <w:t xml:space="preserve">pplicant has a bona fide defense to the </w:t>
            </w:r>
            <w:r w:rsidR="00CA5D16" w:rsidRPr="00704157">
              <w:t>claim,</w:t>
            </w:r>
            <w:r w:rsidRPr="00704157">
              <w:t xml:space="preserve"> as he was not the owner of the unit. </w:t>
            </w:r>
            <w:r w:rsidR="008A30E6">
              <w:t>Accordingly, he</w:t>
            </w:r>
            <w:r w:rsidRPr="00704157">
              <w:t xml:space="preserve"> was not </w:t>
            </w:r>
            <w:r w:rsidR="008A30E6">
              <w:t>in wil</w:t>
            </w:r>
            <w:r w:rsidR="008A30E6" w:rsidRPr="00704157">
              <w:t>lful</w:t>
            </w:r>
            <w:r w:rsidRPr="00704157">
              <w:t xml:space="preserve"> default and in the interest of justice the default judgment should rescinded.</w:t>
            </w:r>
          </w:p>
          <w:p w:rsidR="008A30E6" w:rsidRDefault="008A30E6" w:rsidP="008A30E6">
            <w:pPr>
              <w:spacing w:after="0" w:line="360" w:lineRule="auto"/>
              <w:contextualSpacing/>
              <w:jc w:val="both"/>
            </w:pPr>
          </w:p>
          <w:p w:rsidR="008A30E6" w:rsidRPr="00B602A9" w:rsidRDefault="008A30E6" w:rsidP="008A30E6">
            <w:pPr>
              <w:spacing w:after="0" w:line="360" w:lineRule="auto"/>
              <w:contextualSpacing/>
              <w:jc w:val="both"/>
              <w:rPr>
                <w:u w:val="single"/>
              </w:rPr>
            </w:pPr>
            <w:r w:rsidRPr="00B602A9">
              <w:rPr>
                <w:u w:val="single"/>
              </w:rPr>
              <w:t xml:space="preserve">Submissions on behalf of the </w:t>
            </w:r>
            <w:r>
              <w:rPr>
                <w:u w:val="single"/>
              </w:rPr>
              <w:t>Respondent</w:t>
            </w:r>
          </w:p>
          <w:p w:rsidR="008A30E6" w:rsidRDefault="008A30E6" w:rsidP="008A30E6">
            <w:pPr>
              <w:spacing w:after="0" w:line="360" w:lineRule="auto"/>
              <w:contextualSpacing/>
              <w:jc w:val="both"/>
            </w:pPr>
          </w:p>
          <w:p w:rsidR="00CA5D16" w:rsidRDefault="008A30E6" w:rsidP="008A30E6">
            <w:pPr>
              <w:numPr>
                <w:ilvl w:val="0"/>
                <w:numId w:val="2"/>
              </w:numPr>
              <w:spacing w:after="0" w:line="360" w:lineRule="auto"/>
              <w:ind w:left="0" w:firstLine="0"/>
              <w:contextualSpacing/>
              <w:jc w:val="both"/>
            </w:pPr>
            <w:proofErr w:type="spellStart"/>
            <w:r>
              <w:t>Mr</w:t>
            </w:r>
            <w:proofErr w:type="spellEnd"/>
            <w:r>
              <w:t xml:space="preserve"> </w:t>
            </w:r>
            <w:proofErr w:type="spellStart"/>
            <w:r>
              <w:t>Lochner</w:t>
            </w:r>
            <w:proofErr w:type="spellEnd"/>
            <w:r w:rsidRPr="00704157">
              <w:t xml:space="preserve"> </w:t>
            </w:r>
            <w:r>
              <w:t>submitted</w:t>
            </w:r>
            <w:r w:rsidRPr="00704157">
              <w:t xml:space="preserve"> that the application </w:t>
            </w:r>
            <w:proofErr w:type="gramStart"/>
            <w:r w:rsidRPr="00704157">
              <w:t>was brought</w:t>
            </w:r>
            <w:proofErr w:type="gramEnd"/>
            <w:r w:rsidRPr="00704157">
              <w:t xml:space="preserve"> very lat</w:t>
            </w:r>
            <w:r w:rsidR="00CA5D16">
              <w:t>e, more than 20 days after the A</w:t>
            </w:r>
            <w:r w:rsidRPr="00704157">
              <w:t>pplicant became aware</w:t>
            </w:r>
            <w:r>
              <w:t xml:space="preserve"> that the R</w:t>
            </w:r>
            <w:r w:rsidRPr="00704157">
              <w:t xml:space="preserve">espondent obtained default judgment. He submitted that there is no acceptable and satisfactory explanation for not opposing the default judgment. </w:t>
            </w:r>
          </w:p>
          <w:p w:rsidR="00CA5D16" w:rsidRDefault="00CA5D16" w:rsidP="00CA5D16">
            <w:pPr>
              <w:spacing w:after="0" w:line="360" w:lineRule="auto"/>
              <w:contextualSpacing/>
              <w:jc w:val="both"/>
            </w:pPr>
          </w:p>
          <w:p w:rsidR="008A30E6" w:rsidRDefault="008A30E6" w:rsidP="008A30E6">
            <w:pPr>
              <w:numPr>
                <w:ilvl w:val="0"/>
                <w:numId w:val="2"/>
              </w:numPr>
              <w:spacing w:after="0" w:line="360" w:lineRule="auto"/>
              <w:ind w:left="0" w:firstLine="0"/>
              <w:contextualSpacing/>
              <w:jc w:val="both"/>
            </w:pPr>
            <w:r w:rsidRPr="00704157">
              <w:t xml:space="preserve">He further submitted that it </w:t>
            </w:r>
            <w:r w:rsidR="00CA5D16" w:rsidRPr="00704157">
              <w:t>would</w:t>
            </w:r>
            <w:r w:rsidRPr="00704157">
              <w:t xml:space="preserve"> be highly prejudicial to the owner who bought the members </w:t>
            </w:r>
            <w:r>
              <w:t>interest</w:t>
            </w:r>
            <w:r w:rsidRPr="00704157">
              <w:t xml:space="preserve"> on auction</w:t>
            </w:r>
            <w:r w:rsidR="00CA5D16">
              <w:t xml:space="preserve"> if judgment </w:t>
            </w:r>
            <w:proofErr w:type="gramStart"/>
            <w:r w:rsidR="00CA5D16">
              <w:t>is rescinded</w:t>
            </w:r>
            <w:proofErr w:type="gramEnd"/>
            <w:r w:rsidRPr="00704157">
              <w:t xml:space="preserve">. He further submitted that </w:t>
            </w:r>
            <w:r>
              <w:t xml:space="preserve">the writ and </w:t>
            </w:r>
            <w:r w:rsidRPr="00704157">
              <w:t xml:space="preserve">the </w:t>
            </w:r>
            <w:r w:rsidRPr="00704157">
              <w:lastRenderedPageBreak/>
              <w:t xml:space="preserve">sale </w:t>
            </w:r>
            <w:r>
              <w:t xml:space="preserve">in execution </w:t>
            </w:r>
            <w:proofErr w:type="gramStart"/>
            <w:r w:rsidRPr="00704157">
              <w:t>are not being challenged</w:t>
            </w:r>
            <w:proofErr w:type="gramEnd"/>
            <w:r w:rsidRPr="00704157">
              <w:t>.</w:t>
            </w:r>
          </w:p>
          <w:p w:rsidR="00CA5D16" w:rsidRDefault="00CA5D16" w:rsidP="008A30E6">
            <w:pPr>
              <w:spacing w:after="0" w:line="360" w:lineRule="auto"/>
              <w:jc w:val="both"/>
              <w:rPr>
                <w:u w:val="single"/>
              </w:rPr>
            </w:pPr>
          </w:p>
          <w:p w:rsidR="008A30E6" w:rsidRPr="008A30E6" w:rsidRDefault="008A30E6" w:rsidP="008A30E6">
            <w:pPr>
              <w:widowControl w:val="0"/>
              <w:spacing w:after="0" w:line="360" w:lineRule="auto"/>
              <w:jc w:val="both"/>
              <w:rPr>
                <w:rFonts w:eastAsia="Times New Roman"/>
                <w:spacing w:val="-3"/>
                <w:u w:val="single"/>
                <w:lang w:val="en-GB"/>
              </w:rPr>
            </w:pPr>
            <w:r>
              <w:rPr>
                <w:rFonts w:eastAsia="Times New Roman"/>
                <w:spacing w:val="-3"/>
                <w:u w:val="single"/>
                <w:lang w:val="en-GB"/>
              </w:rPr>
              <w:t>Determination and a</w:t>
            </w:r>
            <w:r w:rsidRPr="003A78E4">
              <w:rPr>
                <w:rFonts w:eastAsia="Times New Roman"/>
                <w:spacing w:val="-3"/>
                <w:u w:val="single"/>
                <w:lang w:val="en-GB"/>
              </w:rPr>
              <w:t>pplicable legal principles</w:t>
            </w:r>
            <w:r>
              <w:rPr>
                <w:rFonts w:eastAsia="Times New Roman"/>
                <w:spacing w:val="-3"/>
                <w:u w:val="single"/>
                <w:lang w:val="en-GB"/>
              </w:rPr>
              <w:t xml:space="preserve"> </w:t>
            </w:r>
          </w:p>
          <w:p w:rsidR="008A30E6" w:rsidRDefault="008A30E6" w:rsidP="008A30E6">
            <w:pPr>
              <w:spacing w:after="0" w:line="360" w:lineRule="auto"/>
              <w:contextualSpacing/>
              <w:jc w:val="both"/>
            </w:pPr>
          </w:p>
          <w:p w:rsidR="008A30E6" w:rsidRDefault="008A30E6" w:rsidP="008A30E6">
            <w:pPr>
              <w:numPr>
                <w:ilvl w:val="0"/>
                <w:numId w:val="2"/>
              </w:numPr>
              <w:spacing w:after="0" w:line="360" w:lineRule="auto"/>
              <w:ind w:left="0" w:firstLine="0"/>
              <w:contextualSpacing/>
              <w:jc w:val="both"/>
            </w:pPr>
            <w:r w:rsidRPr="00704157">
              <w:t>The issue fo</w:t>
            </w:r>
            <w:r>
              <w:t>r determination is whether the A</w:t>
            </w:r>
            <w:r w:rsidRPr="00704157">
              <w:t>pplicant has made out a case for the relief sought?</w:t>
            </w:r>
          </w:p>
          <w:p w:rsidR="008A30E6" w:rsidRDefault="008A30E6" w:rsidP="008A30E6">
            <w:pPr>
              <w:spacing w:after="0" w:line="360" w:lineRule="auto"/>
              <w:contextualSpacing/>
              <w:jc w:val="both"/>
            </w:pPr>
          </w:p>
          <w:p w:rsidR="008A30E6" w:rsidRDefault="008A30E6" w:rsidP="008A30E6">
            <w:pPr>
              <w:numPr>
                <w:ilvl w:val="0"/>
                <w:numId w:val="2"/>
              </w:numPr>
              <w:spacing w:after="0" w:line="360" w:lineRule="auto"/>
              <w:ind w:left="0" w:firstLine="0"/>
              <w:contextualSpacing/>
              <w:jc w:val="both"/>
            </w:pPr>
            <w:r>
              <w:t>Rule 16(1) provides that:</w:t>
            </w:r>
          </w:p>
          <w:p w:rsidR="008A30E6" w:rsidRDefault="008A30E6" w:rsidP="008A30E6">
            <w:pPr>
              <w:spacing w:after="0" w:line="360" w:lineRule="auto"/>
              <w:contextualSpacing/>
              <w:jc w:val="both"/>
              <w:rPr>
                <w:i/>
              </w:rPr>
            </w:pPr>
          </w:p>
          <w:p w:rsidR="008A30E6" w:rsidRPr="008A30E6" w:rsidRDefault="008A30E6" w:rsidP="008A30E6">
            <w:pPr>
              <w:spacing w:after="0" w:line="360" w:lineRule="auto"/>
              <w:contextualSpacing/>
              <w:jc w:val="both"/>
              <w:rPr>
                <w:sz w:val="22"/>
              </w:rPr>
            </w:pPr>
            <w:r w:rsidRPr="008A30E6">
              <w:rPr>
                <w:sz w:val="22"/>
              </w:rPr>
              <w:t xml:space="preserve">            ‘A defendant may, within 20 days after he or she has knowledge of the judgment referred to in rule 15(3) and on notice to the plaintiff, apply to court to set aside that judgment.</w:t>
            </w:r>
          </w:p>
          <w:p w:rsidR="008A30E6" w:rsidRPr="008A30E6" w:rsidRDefault="008A30E6" w:rsidP="008A30E6">
            <w:pPr>
              <w:spacing w:after="0" w:line="360" w:lineRule="auto"/>
              <w:contextualSpacing/>
              <w:jc w:val="both"/>
              <w:rPr>
                <w:sz w:val="22"/>
              </w:rPr>
            </w:pPr>
          </w:p>
          <w:p w:rsidR="008A30E6" w:rsidRPr="008A30E6" w:rsidRDefault="008A30E6" w:rsidP="008A30E6">
            <w:pPr>
              <w:spacing w:after="0" w:line="360" w:lineRule="auto"/>
              <w:contextualSpacing/>
              <w:jc w:val="both"/>
              <w:rPr>
                <w:sz w:val="22"/>
              </w:rPr>
            </w:pPr>
            <w:r w:rsidRPr="008A30E6">
              <w:rPr>
                <w:sz w:val="22"/>
              </w:rPr>
              <w:t xml:space="preserve">           16(2) reads: the court may , on good cause shown and on the defendant furnishing to the plaintiff security for the payment of the costs of the default judgment and of the application in the amount of N$ 5 000, set aside the default judgment on such terms  as to seems reasonable and fair,…’</w:t>
            </w:r>
          </w:p>
          <w:p w:rsidR="008A30E6" w:rsidRDefault="008A30E6" w:rsidP="008A30E6">
            <w:pPr>
              <w:spacing w:after="0" w:line="360" w:lineRule="auto"/>
              <w:contextualSpacing/>
              <w:jc w:val="both"/>
              <w:rPr>
                <w:i/>
              </w:rPr>
            </w:pPr>
          </w:p>
          <w:p w:rsidR="00F2655C" w:rsidRDefault="008A30E6" w:rsidP="00F2655C">
            <w:pPr>
              <w:numPr>
                <w:ilvl w:val="0"/>
                <w:numId w:val="2"/>
              </w:numPr>
              <w:spacing w:after="0" w:line="360" w:lineRule="auto"/>
              <w:ind w:left="0" w:firstLine="0"/>
              <w:contextualSpacing/>
              <w:jc w:val="both"/>
            </w:pPr>
            <w:r>
              <w:t xml:space="preserve"> The A</w:t>
            </w:r>
            <w:r w:rsidRPr="00704157">
              <w:t xml:space="preserve">pplicant explained that at the time the summons </w:t>
            </w:r>
            <w:proofErr w:type="gramStart"/>
            <w:r w:rsidRPr="00704157">
              <w:t>was served</w:t>
            </w:r>
            <w:proofErr w:type="gramEnd"/>
            <w:r w:rsidRPr="00704157">
              <w:t xml:space="preserve"> on his daughter</w:t>
            </w:r>
            <w:r>
              <w:t xml:space="preserve"> in October 2019</w:t>
            </w:r>
            <w:r w:rsidRPr="00704157">
              <w:t xml:space="preserve">, he was residing in </w:t>
            </w:r>
            <w:r w:rsidR="00797046">
              <w:t>Zimbabwe</w:t>
            </w:r>
            <w:r w:rsidRPr="00704157">
              <w:t>.</w:t>
            </w:r>
            <w:r>
              <w:t xml:space="preserve"> </w:t>
            </w:r>
            <w:r w:rsidRPr="00704157">
              <w:t xml:space="preserve">His daughter did not inform him of the </w:t>
            </w:r>
            <w:r w:rsidR="00F2655C">
              <w:t>summons.</w:t>
            </w:r>
          </w:p>
          <w:p w:rsidR="00F2655C" w:rsidRDefault="00F2655C" w:rsidP="00F2655C">
            <w:pPr>
              <w:spacing w:after="0" w:line="360" w:lineRule="auto"/>
              <w:contextualSpacing/>
              <w:jc w:val="both"/>
            </w:pPr>
          </w:p>
          <w:p w:rsidR="00F2655C" w:rsidRDefault="008A30E6" w:rsidP="00F2655C">
            <w:pPr>
              <w:numPr>
                <w:ilvl w:val="0"/>
                <w:numId w:val="2"/>
              </w:numPr>
              <w:spacing w:after="0" w:line="360" w:lineRule="auto"/>
              <w:ind w:left="0" w:firstLine="0"/>
              <w:contextualSpacing/>
              <w:jc w:val="both"/>
            </w:pPr>
            <w:r>
              <w:t>The Applicant further explained that he</w:t>
            </w:r>
            <w:r w:rsidRPr="00704157">
              <w:t xml:space="preserve"> only came to know that judgment was </w:t>
            </w:r>
            <w:r>
              <w:t xml:space="preserve">granted against him in February </w:t>
            </w:r>
            <w:r w:rsidR="00F2655C">
              <w:t>2022</w:t>
            </w:r>
            <w:r w:rsidRPr="00704157">
              <w:t>.</w:t>
            </w:r>
            <w:r w:rsidR="00F2655C">
              <w:t xml:space="preserve"> </w:t>
            </w:r>
            <w:r w:rsidRPr="00704157">
              <w:t xml:space="preserve">He then contacted his lawyers who </w:t>
            </w:r>
            <w:r>
              <w:t xml:space="preserve">engaged the </w:t>
            </w:r>
            <w:r w:rsidR="00F2655C">
              <w:t xml:space="preserve">Respondent’s </w:t>
            </w:r>
            <w:r>
              <w:t xml:space="preserve">lawyers. </w:t>
            </w:r>
            <w:r w:rsidR="00F2655C">
              <w:t>The</w:t>
            </w:r>
            <w:r>
              <w:t xml:space="preserve"> engagement took some time and eventually the new owner of the close corporation informed them that he was not prepared to rescind the judgment and the sale of the </w:t>
            </w:r>
            <w:r w:rsidR="005C3074">
              <w:t>member’s interest</w:t>
            </w:r>
            <w:r>
              <w:t>.</w:t>
            </w:r>
            <w:r w:rsidRPr="00704157">
              <w:t xml:space="preserve"> </w:t>
            </w:r>
          </w:p>
          <w:p w:rsidR="00F2655C" w:rsidRDefault="00F2655C" w:rsidP="00F2655C">
            <w:pPr>
              <w:pStyle w:val="ListParagraph"/>
            </w:pPr>
          </w:p>
          <w:p w:rsidR="00F2655C" w:rsidRDefault="00F2655C" w:rsidP="00F2655C">
            <w:pPr>
              <w:numPr>
                <w:ilvl w:val="0"/>
                <w:numId w:val="2"/>
              </w:numPr>
              <w:spacing w:after="0" w:line="360" w:lineRule="auto"/>
              <w:ind w:left="0" w:firstLine="0"/>
              <w:contextualSpacing/>
              <w:jc w:val="both"/>
            </w:pPr>
            <w:r>
              <w:t>I am of the view that the A</w:t>
            </w:r>
            <w:r w:rsidR="008A30E6" w:rsidRPr="00704157">
              <w:t>pplicant set out a bona fide defense</w:t>
            </w:r>
            <w:r>
              <w:t xml:space="preserve"> to the R</w:t>
            </w:r>
            <w:r w:rsidR="008A30E6" w:rsidRPr="00704157">
              <w:t xml:space="preserve">espondent’s </w:t>
            </w:r>
            <w:r>
              <w:t>claim</w:t>
            </w:r>
            <w:r w:rsidR="008A30E6" w:rsidRPr="00704157">
              <w:t>.</w:t>
            </w:r>
            <w:r>
              <w:t xml:space="preserve"> The R</w:t>
            </w:r>
            <w:r w:rsidR="008A30E6" w:rsidRPr="00704157">
              <w:t>espon</w:t>
            </w:r>
            <w:r>
              <w:t>dent sued the A</w:t>
            </w:r>
            <w:r w:rsidR="008A30E6" w:rsidRPr="00704157">
              <w:t xml:space="preserve">pplicant solely on the basis that </w:t>
            </w:r>
            <w:r w:rsidR="005C3074">
              <w:t>the Applicant</w:t>
            </w:r>
            <w:r w:rsidR="008A30E6" w:rsidRPr="00704157">
              <w:t xml:space="preserve"> was the owner of </w:t>
            </w:r>
            <w:r>
              <w:t>No. 2, Unit 27</w:t>
            </w:r>
            <w:r w:rsidR="005C3074">
              <w:t>,</w:t>
            </w:r>
            <w:r>
              <w:t xml:space="preserve"> Lalapanzi complex. </w:t>
            </w:r>
            <w:r w:rsidR="008A30E6" w:rsidRPr="00704157">
              <w:t xml:space="preserve">That was wrong. The owner of the unit was a close corporation </w:t>
            </w:r>
            <w:r>
              <w:t>by</w:t>
            </w:r>
            <w:r w:rsidR="008A30E6" w:rsidRPr="00704157">
              <w:t xml:space="preserve"> the name of NESA Event Management</w:t>
            </w:r>
            <w:r>
              <w:t xml:space="preserve"> CC</w:t>
            </w:r>
            <w:r w:rsidR="008A30E6" w:rsidRPr="00704157">
              <w:t xml:space="preserve">. </w:t>
            </w:r>
          </w:p>
          <w:p w:rsidR="00F2655C" w:rsidRDefault="00F2655C" w:rsidP="00F2655C">
            <w:pPr>
              <w:pStyle w:val="ListParagraph"/>
            </w:pPr>
          </w:p>
          <w:p w:rsidR="00F2655C" w:rsidRDefault="00F2655C" w:rsidP="00F2655C">
            <w:pPr>
              <w:numPr>
                <w:ilvl w:val="0"/>
                <w:numId w:val="2"/>
              </w:numPr>
              <w:spacing w:after="0" w:line="360" w:lineRule="auto"/>
              <w:ind w:left="0" w:firstLine="0"/>
              <w:contextualSpacing/>
              <w:jc w:val="both"/>
            </w:pPr>
            <w:r>
              <w:t>The</w:t>
            </w:r>
            <w:r w:rsidR="008A30E6" w:rsidRPr="00704157">
              <w:t xml:space="preserve"> </w:t>
            </w:r>
            <w:r>
              <w:t>R</w:t>
            </w:r>
            <w:r w:rsidR="008A30E6" w:rsidRPr="00704157">
              <w:t xml:space="preserve">espondent </w:t>
            </w:r>
            <w:r w:rsidR="00797046">
              <w:t>averred</w:t>
            </w:r>
            <w:r w:rsidR="008A30E6" w:rsidRPr="00704157">
              <w:t xml:space="preserve"> that </w:t>
            </w:r>
            <w:r>
              <w:t>the Applicant</w:t>
            </w:r>
            <w:r w:rsidR="008A30E6" w:rsidRPr="00704157">
              <w:t xml:space="preserve"> was the one liable</w:t>
            </w:r>
            <w:r w:rsidR="008A30E6">
              <w:t xml:space="preserve"> to pay for the charges and expenses</w:t>
            </w:r>
            <w:r>
              <w:t xml:space="preserve"> of the unit. E</w:t>
            </w:r>
            <w:r w:rsidR="008A30E6" w:rsidRPr="00704157">
              <w:t xml:space="preserve">ven if that was the case, </w:t>
            </w:r>
            <w:r>
              <w:t>the Applicant</w:t>
            </w:r>
            <w:r w:rsidR="008A30E6" w:rsidRPr="00704157">
              <w:t xml:space="preserve"> </w:t>
            </w:r>
            <w:proofErr w:type="gramStart"/>
            <w:r w:rsidR="008A30E6" w:rsidRPr="00704157">
              <w:t>was solely sued</w:t>
            </w:r>
            <w:proofErr w:type="gramEnd"/>
            <w:r w:rsidR="008A30E6" w:rsidRPr="00704157">
              <w:t xml:space="preserve"> on </w:t>
            </w:r>
            <w:r w:rsidR="005C3074">
              <w:t xml:space="preserve">the basis that he </w:t>
            </w:r>
            <w:r w:rsidR="005C3074">
              <w:lastRenderedPageBreak/>
              <w:t xml:space="preserve">was the owner, which is </w:t>
            </w:r>
            <w:r w:rsidR="008A30E6" w:rsidRPr="00704157">
              <w:t xml:space="preserve">wrong. </w:t>
            </w:r>
          </w:p>
          <w:p w:rsidR="00F2655C" w:rsidRDefault="00F2655C" w:rsidP="00F2655C">
            <w:pPr>
              <w:pStyle w:val="ListParagraph"/>
            </w:pPr>
          </w:p>
          <w:p w:rsidR="00741498" w:rsidRDefault="00797046" w:rsidP="00741498">
            <w:pPr>
              <w:numPr>
                <w:ilvl w:val="0"/>
                <w:numId w:val="2"/>
              </w:numPr>
              <w:spacing w:after="0" w:line="360" w:lineRule="auto"/>
              <w:ind w:left="0" w:firstLine="0"/>
              <w:contextualSpacing/>
              <w:jc w:val="both"/>
            </w:pPr>
            <w:r>
              <w:t xml:space="preserve">The Respondent in its answering affidavit admits that </w:t>
            </w:r>
            <w:r w:rsidR="005C3074">
              <w:t xml:space="preserve">No. 2, Unit 27 Lalapanzi complex </w:t>
            </w:r>
            <w:proofErr w:type="gramStart"/>
            <w:r>
              <w:t>is registered</w:t>
            </w:r>
            <w:proofErr w:type="gramEnd"/>
            <w:r>
              <w:t xml:space="preserve"> in the name of NESA Event Management CC</w:t>
            </w:r>
            <w:r w:rsidR="00741498">
              <w:t xml:space="preserve">, however, the Respondent failed to </w:t>
            </w:r>
            <w:r w:rsidR="005C3074">
              <w:t>plead</w:t>
            </w:r>
            <w:r w:rsidR="00741498">
              <w:t xml:space="preserve"> this </w:t>
            </w:r>
            <w:r w:rsidR="005C3074">
              <w:t xml:space="preserve">information </w:t>
            </w:r>
            <w:r w:rsidR="00741498">
              <w:t xml:space="preserve">in its particulars of claim. I am of the view that had the Respondent pleaded in its particulars of claim that </w:t>
            </w:r>
            <w:r w:rsidR="005C3074">
              <w:t xml:space="preserve">No. 2, Unit 27 Lalapanzi complex </w:t>
            </w:r>
            <w:proofErr w:type="gramStart"/>
            <w:r w:rsidR="00741498">
              <w:t>is registered</w:t>
            </w:r>
            <w:proofErr w:type="gramEnd"/>
            <w:r w:rsidR="00741498">
              <w:t xml:space="preserve"> in the name of a CC, default judgment against the Applicant would not have been granted.</w:t>
            </w:r>
            <w:r w:rsidR="005C3074">
              <w:t xml:space="preserve">  </w:t>
            </w:r>
          </w:p>
          <w:p w:rsidR="00741498" w:rsidRDefault="00741498" w:rsidP="00741498">
            <w:pPr>
              <w:spacing w:after="0" w:line="360" w:lineRule="auto"/>
              <w:contextualSpacing/>
              <w:jc w:val="both"/>
            </w:pPr>
          </w:p>
          <w:p w:rsidR="00F41A13" w:rsidRDefault="00F41A13" w:rsidP="00741498">
            <w:pPr>
              <w:numPr>
                <w:ilvl w:val="0"/>
                <w:numId w:val="2"/>
              </w:numPr>
              <w:spacing w:after="0" w:line="360" w:lineRule="auto"/>
              <w:ind w:left="0" w:firstLine="0"/>
              <w:contextualSpacing/>
              <w:jc w:val="both"/>
            </w:pPr>
            <w:r>
              <w:t>It is</w:t>
            </w:r>
            <w:r w:rsidR="00741498">
              <w:t xml:space="preserve"> therefore</w:t>
            </w:r>
            <w:r w:rsidR="0048191F">
              <w:t>,</w:t>
            </w:r>
            <w:r w:rsidR="008A30E6" w:rsidRPr="00F41A13">
              <w:t xml:space="preserve"> </w:t>
            </w:r>
            <w:r>
              <w:t>not</w:t>
            </w:r>
            <w:r w:rsidR="008A30E6" w:rsidRPr="00F41A13">
              <w:t xml:space="preserve"> fair and</w:t>
            </w:r>
            <w:r w:rsidR="005C3074">
              <w:t>/or</w:t>
            </w:r>
            <w:r w:rsidR="008A30E6" w:rsidRPr="00F41A13">
              <w:t xml:space="preserve"> just that judgment </w:t>
            </w:r>
            <w:proofErr w:type="gramStart"/>
            <w:r w:rsidR="008A30E6" w:rsidRPr="00F41A13">
              <w:t>be gr</w:t>
            </w:r>
            <w:r w:rsidR="00F2655C" w:rsidRPr="00F41A13">
              <w:t>anted</w:t>
            </w:r>
            <w:proofErr w:type="gramEnd"/>
            <w:r w:rsidR="00F2655C" w:rsidRPr="00F41A13">
              <w:t xml:space="preserve"> against a wrong D</w:t>
            </w:r>
            <w:r w:rsidR="008A30E6" w:rsidRPr="00F41A13">
              <w:t xml:space="preserve">efendant and on whom the summons was not </w:t>
            </w:r>
            <w:r w:rsidRPr="00F41A13">
              <w:t xml:space="preserve">personally </w:t>
            </w:r>
            <w:r>
              <w:t>served.</w:t>
            </w:r>
            <w:r w:rsidR="008A30E6" w:rsidRPr="00F41A13">
              <w:t xml:space="preserve"> </w:t>
            </w:r>
            <w:r w:rsidR="00F2655C" w:rsidRPr="00F41A13">
              <w:t xml:space="preserve">It is my respectful view </w:t>
            </w:r>
            <w:r>
              <w:t>that the</w:t>
            </w:r>
            <w:r w:rsidR="00F2655C" w:rsidRPr="00F41A13">
              <w:t xml:space="preserve"> A</w:t>
            </w:r>
            <w:r w:rsidR="008A30E6" w:rsidRPr="00F41A13">
              <w:t xml:space="preserve">pplicant has shown good cause for the relief sought. He has good prospects </w:t>
            </w:r>
            <w:proofErr w:type="gramStart"/>
            <w:r w:rsidR="008A30E6" w:rsidRPr="00F41A13">
              <w:t>to successfully defend</w:t>
            </w:r>
            <w:proofErr w:type="gramEnd"/>
            <w:r w:rsidR="008A30E6" w:rsidRPr="00F41A13">
              <w:t xml:space="preserve"> the action. </w:t>
            </w:r>
          </w:p>
          <w:p w:rsidR="00F41A13" w:rsidRDefault="00F41A13" w:rsidP="00F41A13">
            <w:pPr>
              <w:pStyle w:val="ListParagraph"/>
            </w:pPr>
          </w:p>
          <w:p w:rsidR="00F41A13" w:rsidRDefault="008A30E6" w:rsidP="00F41A13">
            <w:pPr>
              <w:numPr>
                <w:ilvl w:val="0"/>
                <w:numId w:val="2"/>
              </w:numPr>
              <w:spacing w:after="0" w:line="360" w:lineRule="auto"/>
              <w:ind w:left="0" w:firstLine="0"/>
              <w:contextualSpacing/>
              <w:jc w:val="both"/>
            </w:pPr>
            <w:r>
              <w:t>The</w:t>
            </w:r>
            <w:r w:rsidR="00F2655C">
              <w:t xml:space="preserve"> submission by counsel for the R</w:t>
            </w:r>
            <w:r>
              <w:t xml:space="preserve">espondent that </w:t>
            </w:r>
            <w:r w:rsidR="00F2655C">
              <w:t>the A</w:t>
            </w:r>
            <w:r>
              <w:t xml:space="preserve">pplicant did not challenge the writ of execution and the sale </w:t>
            </w:r>
            <w:r w:rsidR="005C3074">
              <w:t xml:space="preserve">in execution </w:t>
            </w:r>
            <w:r>
              <w:t xml:space="preserve">and </w:t>
            </w:r>
            <w:r w:rsidR="005C3074">
              <w:t>that</w:t>
            </w:r>
            <w:r>
              <w:t xml:space="preserve"> even if the rescission application is granted, it will be a hollow victory is irrelevant to the issue that I am called upon to determine.</w:t>
            </w:r>
          </w:p>
          <w:p w:rsidR="00F41A13" w:rsidRPr="00F41A13" w:rsidRDefault="00F41A13" w:rsidP="00F41A13">
            <w:pPr>
              <w:spacing w:after="0" w:line="360" w:lineRule="auto"/>
              <w:contextualSpacing/>
              <w:jc w:val="both"/>
            </w:pPr>
          </w:p>
          <w:p w:rsidR="00F2655C" w:rsidRPr="00F2655C" w:rsidRDefault="00F2655C" w:rsidP="00F41A13">
            <w:pPr>
              <w:spacing w:after="0" w:line="360" w:lineRule="auto"/>
              <w:contextualSpacing/>
              <w:jc w:val="both"/>
              <w:rPr>
                <w:u w:val="single"/>
              </w:rPr>
            </w:pPr>
            <w:r w:rsidRPr="00F2655C">
              <w:rPr>
                <w:u w:val="single"/>
              </w:rPr>
              <w:t>Conclusion</w:t>
            </w:r>
          </w:p>
          <w:p w:rsidR="00F2655C" w:rsidRPr="00F2655C" w:rsidRDefault="00F2655C" w:rsidP="00F2655C">
            <w:pPr>
              <w:spacing w:after="0" w:line="360" w:lineRule="auto"/>
              <w:contextualSpacing/>
              <w:jc w:val="both"/>
            </w:pPr>
          </w:p>
          <w:p w:rsidR="005C3074" w:rsidRDefault="00F2655C" w:rsidP="005C3074">
            <w:pPr>
              <w:numPr>
                <w:ilvl w:val="0"/>
                <w:numId w:val="2"/>
              </w:numPr>
              <w:spacing w:line="360" w:lineRule="auto"/>
              <w:ind w:left="0" w:firstLine="0"/>
              <w:contextualSpacing/>
              <w:jc w:val="both"/>
            </w:pPr>
            <w:r w:rsidRPr="00B8652C">
              <w:t xml:space="preserve">In </w:t>
            </w:r>
            <w:r w:rsidRPr="005A1B38">
              <w:t>the r</w:t>
            </w:r>
            <w:r>
              <w:t>esult, I am satisfied that the A</w:t>
            </w:r>
            <w:r w:rsidRPr="005A1B38">
              <w:t>pplicant has shown g</w:t>
            </w:r>
            <w:r w:rsidR="005C3074">
              <w:t>ood cause for the relief sought.</w:t>
            </w:r>
          </w:p>
          <w:p w:rsidR="005C3074" w:rsidRDefault="005C3074" w:rsidP="005C3074">
            <w:pPr>
              <w:spacing w:line="360" w:lineRule="auto"/>
              <w:contextualSpacing/>
              <w:jc w:val="both"/>
            </w:pPr>
          </w:p>
          <w:p w:rsidR="0048191F" w:rsidRDefault="0048191F" w:rsidP="0048191F">
            <w:pPr>
              <w:numPr>
                <w:ilvl w:val="0"/>
                <w:numId w:val="2"/>
              </w:numPr>
              <w:spacing w:line="360" w:lineRule="auto"/>
              <w:ind w:left="0" w:firstLine="0"/>
              <w:contextualSpacing/>
              <w:jc w:val="both"/>
            </w:pPr>
            <w:r>
              <w:t>I accordingly make the following order:</w:t>
            </w:r>
          </w:p>
          <w:p w:rsidR="0048191F" w:rsidRDefault="0048191F" w:rsidP="0048191F">
            <w:pPr>
              <w:spacing w:line="360" w:lineRule="auto"/>
              <w:contextualSpacing/>
              <w:jc w:val="both"/>
            </w:pPr>
          </w:p>
          <w:p w:rsidR="0048191F" w:rsidRDefault="0048191F" w:rsidP="0048191F">
            <w:pPr>
              <w:spacing w:line="360" w:lineRule="auto"/>
              <w:ind w:left="720"/>
              <w:contextualSpacing/>
              <w:jc w:val="both"/>
            </w:pPr>
            <w:r>
              <w:t xml:space="preserve">1. </w:t>
            </w:r>
            <w:r w:rsidRPr="0048191F">
              <w:t xml:space="preserve">The application for default judgment granted against the Applicant on 5 February 2020 </w:t>
            </w:r>
            <w:proofErr w:type="gramStart"/>
            <w:r w:rsidRPr="0048191F">
              <w:t>is hereby rescinded and set aside</w:t>
            </w:r>
            <w:proofErr w:type="gramEnd"/>
            <w:r w:rsidRPr="0048191F">
              <w:t>.</w:t>
            </w:r>
          </w:p>
          <w:p w:rsidR="0048191F" w:rsidRDefault="0048191F" w:rsidP="0048191F">
            <w:pPr>
              <w:spacing w:line="360" w:lineRule="auto"/>
              <w:ind w:left="720"/>
              <w:contextualSpacing/>
              <w:jc w:val="both"/>
            </w:pPr>
          </w:p>
          <w:p w:rsidR="0048191F" w:rsidRDefault="0048191F" w:rsidP="0048191F">
            <w:pPr>
              <w:spacing w:line="360" w:lineRule="auto"/>
              <w:ind w:left="720"/>
              <w:contextualSpacing/>
              <w:jc w:val="both"/>
            </w:pPr>
            <w:r>
              <w:t xml:space="preserve">2. </w:t>
            </w:r>
            <w:r>
              <w:t>The A</w:t>
            </w:r>
            <w:r w:rsidRPr="00016AD3">
              <w:t xml:space="preserve">pplicant </w:t>
            </w:r>
            <w:proofErr w:type="gramStart"/>
            <w:r w:rsidRPr="00016AD3">
              <w:t>is granted</w:t>
            </w:r>
            <w:proofErr w:type="gramEnd"/>
            <w:r w:rsidRPr="00016AD3">
              <w:t xml:space="preserve"> leave to defend the action instituted against him by</w:t>
            </w:r>
            <w:r>
              <w:t xml:space="preserve"> the Respon</w:t>
            </w:r>
            <w:bookmarkStart w:id="0" w:name="_GoBack"/>
            <w:bookmarkEnd w:id="0"/>
            <w:r>
              <w:t>dent.</w:t>
            </w:r>
          </w:p>
          <w:p w:rsidR="0048191F" w:rsidRDefault="0048191F" w:rsidP="0048191F">
            <w:pPr>
              <w:spacing w:line="360" w:lineRule="auto"/>
              <w:ind w:left="720"/>
              <w:contextualSpacing/>
              <w:jc w:val="both"/>
            </w:pPr>
          </w:p>
          <w:p w:rsidR="0048191F" w:rsidRDefault="0048191F" w:rsidP="0048191F">
            <w:pPr>
              <w:spacing w:line="360" w:lineRule="auto"/>
              <w:ind w:left="720"/>
              <w:contextualSpacing/>
              <w:jc w:val="both"/>
            </w:pPr>
            <w:r>
              <w:t xml:space="preserve">3. </w:t>
            </w:r>
            <w:r>
              <w:t xml:space="preserve">The Applicant must </w:t>
            </w:r>
            <w:r w:rsidRPr="00016AD3">
              <w:t xml:space="preserve">file its notice of intention to defend within 5 court days from the date of </w:t>
            </w:r>
            <w:r>
              <w:t>this</w:t>
            </w:r>
            <w:r w:rsidRPr="00016AD3">
              <w:t xml:space="preserve"> ruling.</w:t>
            </w:r>
          </w:p>
          <w:p w:rsidR="0048191F" w:rsidRDefault="0048191F" w:rsidP="0048191F">
            <w:pPr>
              <w:spacing w:line="360" w:lineRule="auto"/>
              <w:ind w:left="720"/>
              <w:contextualSpacing/>
              <w:jc w:val="both"/>
            </w:pPr>
          </w:p>
          <w:p w:rsidR="0048191F" w:rsidRDefault="0048191F" w:rsidP="0048191F">
            <w:pPr>
              <w:spacing w:line="360" w:lineRule="auto"/>
              <w:ind w:left="720"/>
              <w:contextualSpacing/>
              <w:jc w:val="both"/>
            </w:pPr>
            <w:r>
              <w:t xml:space="preserve">4. </w:t>
            </w:r>
            <w:r w:rsidRPr="00016AD3">
              <w:t>T</w:t>
            </w:r>
            <w:r>
              <w:t>he R</w:t>
            </w:r>
            <w:r w:rsidRPr="00016AD3">
              <w:t xml:space="preserve">espondent </w:t>
            </w:r>
            <w:proofErr w:type="gramStart"/>
            <w:r w:rsidRPr="00016AD3">
              <w:t>is ordered</w:t>
            </w:r>
            <w:proofErr w:type="gramEnd"/>
            <w:r w:rsidRPr="00016AD3">
              <w:t xml:space="preserve"> to pay the costs of the </w:t>
            </w:r>
            <w:r>
              <w:t>A</w:t>
            </w:r>
            <w:r w:rsidRPr="00016AD3">
              <w:t>pplicant</w:t>
            </w:r>
            <w:r>
              <w:t xml:space="preserve"> subject to rule 32(11).</w:t>
            </w:r>
          </w:p>
          <w:p w:rsidR="0048191F" w:rsidRDefault="0048191F" w:rsidP="0048191F">
            <w:pPr>
              <w:spacing w:line="360" w:lineRule="auto"/>
              <w:ind w:left="720"/>
              <w:contextualSpacing/>
              <w:jc w:val="both"/>
            </w:pPr>
            <w:r>
              <w:lastRenderedPageBreak/>
              <w:t xml:space="preserve">5. </w:t>
            </w:r>
            <w:r>
              <w:t xml:space="preserve">The matter </w:t>
            </w:r>
            <w:proofErr w:type="gramStart"/>
            <w:r>
              <w:t>is postponed</w:t>
            </w:r>
            <w:proofErr w:type="gramEnd"/>
            <w:r>
              <w:t xml:space="preserve"> to 05 July 2023 at 15:30 for case planning conference hearing.</w:t>
            </w:r>
          </w:p>
          <w:p w:rsidR="0048191F" w:rsidRDefault="0048191F" w:rsidP="0048191F">
            <w:pPr>
              <w:spacing w:line="360" w:lineRule="auto"/>
              <w:ind w:left="720"/>
              <w:contextualSpacing/>
              <w:jc w:val="both"/>
            </w:pPr>
          </w:p>
          <w:p w:rsidR="0048191F" w:rsidRPr="003A78E4" w:rsidRDefault="0048191F" w:rsidP="0048191F">
            <w:pPr>
              <w:spacing w:line="360" w:lineRule="auto"/>
              <w:ind w:left="720"/>
              <w:contextualSpacing/>
              <w:jc w:val="both"/>
            </w:pPr>
            <w:r>
              <w:t xml:space="preserve">6. </w:t>
            </w:r>
            <w:r>
              <w:rPr>
                <w:lang w:val="en-ZA"/>
              </w:rPr>
              <w:t>The parties must file a joint case plan on or before 30 June 2023.</w:t>
            </w:r>
          </w:p>
          <w:p w:rsidR="00741498" w:rsidRPr="00740C30" w:rsidRDefault="00741498" w:rsidP="005C3074">
            <w:pPr>
              <w:spacing w:after="0" w:line="360" w:lineRule="auto"/>
              <w:jc w:val="both"/>
            </w:pPr>
          </w:p>
        </w:tc>
      </w:tr>
      <w:tr w:rsidR="005B2472" w:rsidRPr="003A78E4" w:rsidTr="00A66617">
        <w:tc>
          <w:tcPr>
            <w:tcW w:w="5067" w:type="dxa"/>
            <w:shd w:val="clear" w:color="auto" w:fill="auto"/>
          </w:tcPr>
          <w:p w:rsidR="005B2472" w:rsidRDefault="005B2472" w:rsidP="00127D53">
            <w:pPr>
              <w:spacing w:after="0" w:line="360" w:lineRule="auto"/>
              <w:jc w:val="center"/>
              <w:rPr>
                <w:b/>
                <w:lang w:val="en-ZA"/>
              </w:rPr>
            </w:pPr>
            <w:r w:rsidRPr="003A78E4">
              <w:rPr>
                <w:b/>
                <w:lang w:val="en-ZA"/>
              </w:rPr>
              <w:lastRenderedPageBreak/>
              <w:t>Judge’s signature</w:t>
            </w:r>
          </w:p>
          <w:p w:rsidR="00AA2146" w:rsidRPr="003A78E4" w:rsidRDefault="00AA2146" w:rsidP="00127D53">
            <w:pPr>
              <w:spacing w:after="0" w:line="360" w:lineRule="auto"/>
              <w:jc w:val="center"/>
              <w:rPr>
                <w:b/>
                <w:lang w:val="en-ZA"/>
              </w:rPr>
            </w:pPr>
          </w:p>
          <w:p w:rsidR="005B2472" w:rsidRPr="003A78E4" w:rsidRDefault="005B2472" w:rsidP="00127D53">
            <w:pPr>
              <w:spacing w:after="0" w:line="360" w:lineRule="auto"/>
              <w:jc w:val="center"/>
              <w:rPr>
                <w:b/>
                <w:lang w:val="en-ZA"/>
              </w:rPr>
            </w:pPr>
          </w:p>
        </w:tc>
        <w:tc>
          <w:tcPr>
            <w:tcW w:w="5565" w:type="dxa"/>
            <w:gridSpan w:val="2"/>
            <w:shd w:val="clear" w:color="auto" w:fill="auto"/>
          </w:tcPr>
          <w:p w:rsidR="005B2472" w:rsidRPr="003A78E4" w:rsidRDefault="005B2472" w:rsidP="00127D53">
            <w:pPr>
              <w:spacing w:after="0" w:line="360" w:lineRule="auto"/>
              <w:jc w:val="center"/>
              <w:rPr>
                <w:b/>
                <w:lang w:val="en-ZA"/>
              </w:rPr>
            </w:pPr>
            <w:r w:rsidRPr="003A78E4">
              <w:rPr>
                <w:b/>
                <w:lang w:val="en-ZA"/>
              </w:rPr>
              <w:t>Note to the parties:</w:t>
            </w:r>
          </w:p>
        </w:tc>
      </w:tr>
      <w:tr w:rsidR="005B2472" w:rsidRPr="003A78E4" w:rsidTr="00A66617">
        <w:trPr>
          <w:trHeight w:val="1114"/>
        </w:trPr>
        <w:tc>
          <w:tcPr>
            <w:tcW w:w="5067" w:type="dxa"/>
            <w:shd w:val="clear" w:color="auto" w:fill="auto"/>
          </w:tcPr>
          <w:p w:rsidR="005B2472" w:rsidRPr="003A78E4" w:rsidRDefault="00AA2146" w:rsidP="00127D53">
            <w:pPr>
              <w:spacing w:after="0" w:line="360" w:lineRule="auto"/>
              <w:jc w:val="center"/>
              <w:rPr>
                <w:lang w:val="en-ZA"/>
              </w:rPr>
            </w:pPr>
            <w:proofErr w:type="spellStart"/>
            <w:r>
              <w:rPr>
                <w:lang w:val="en-ZA"/>
              </w:rPr>
              <w:t>Ndauendapo</w:t>
            </w:r>
            <w:proofErr w:type="spellEnd"/>
          </w:p>
          <w:p w:rsidR="005B2472" w:rsidRPr="003A78E4" w:rsidRDefault="005B2472" w:rsidP="00127D53">
            <w:pPr>
              <w:spacing w:after="0" w:line="360" w:lineRule="auto"/>
              <w:jc w:val="center"/>
              <w:rPr>
                <w:lang w:val="en-ZA"/>
              </w:rPr>
            </w:pPr>
            <w:r w:rsidRPr="003A78E4">
              <w:rPr>
                <w:lang w:val="en-ZA"/>
              </w:rPr>
              <w:t>Judge</w:t>
            </w:r>
          </w:p>
        </w:tc>
        <w:tc>
          <w:tcPr>
            <w:tcW w:w="5565" w:type="dxa"/>
            <w:gridSpan w:val="2"/>
            <w:shd w:val="clear" w:color="auto" w:fill="auto"/>
          </w:tcPr>
          <w:p w:rsidR="005B2472" w:rsidRPr="003A78E4" w:rsidRDefault="005B2472" w:rsidP="00127D53">
            <w:pPr>
              <w:spacing w:after="0" w:line="360" w:lineRule="auto"/>
              <w:jc w:val="center"/>
              <w:rPr>
                <w:lang w:val="en-ZA"/>
              </w:rPr>
            </w:pPr>
            <w:r w:rsidRPr="003A78E4">
              <w:rPr>
                <w:lang w:val="en-ZA"/>
              </w:rPr>
              <w:t>Not applicable.</w:t>
            </w:r>
          </w:p>
        </w:tc>
      </w:tr>
      <w:tr w:rsidR="005B2472" w:rsidRPr="003A78E4" w:rsidTr="00A66617">
        <w:tc>
          <w:tcPr>
            <w:tcW w:w="10632" w:type="dxa"/>
            <w:gridSpan w:val="3"/>
            <w:shd w:val="clear" w:color="auto" w:fill="auto"/>
          </w:tcPr>
          <w:p w:rsidR="006F5EB2" w:rsidRDefault="006F5EB2" w:rsidP="00906925">
            <w:pPr>
              <w:spacing w:after="0" w:line="360" w:lineRule="auto"/>
              <w:rPr>
                <w:b/>
                <w:lang w:val="en-ZA"/>
              </w:rPr>
            </w:pPr>
          </w:p>
          <w:p w:rsidR="005B2472" w:rsidRPr="003A78E4" w:rsidRDefault="005B2472" w:rsidP="00127D53">
            <w:pPr>
              <w:spacing w:after="0" w:line="360" w:lineRule="auto"/>
              <w:jc w:val="center"/>
              <w:rPr>
                <w:b/>
                <w:lang w:val="en-ZA"/>
              </w:rPr>
            </w:pPr>
            <w:r w:rsidRPr="003A78E4">
              <w:rPr>
                <w:b/>
                <w:lang w:val="en-ZA"/>
              </w:rPr>
              <w:t>Counsel:</w:t>
            </w:r>
          </w:p>
        </w:tc>
      </w:tr>
      <w:tr w:rsidR="005B2472" w:rsidRPr="003A78E4" w:rsidTr="00A66617">
        <w:tc>
          <w:tcPr>
            <w:tcW w:w="5067" w:type="dxa"/>
            <w:shd w:val="clear" w:color="auto" w:fill="auto"/>
          </w:tcPr>
          <w:p w:rsidR="005B2472" w:rsidRPr="003A78E4" w:rsidRDefault="00740C30" w:rsidP="007F0786">
            <w:pPr>
              <w:spacing w:after="0" w:line="360" w:lineRule="auto"/>
              <w:jc w:val="center"/>
              <w:rPr>
                <w:b/>
                <w:lang w:val="en-ZA"/>
              </w:rPr>
            </w:pPr>
            <w:r>
              <w:rPr>
                <w:b/>
                <w:lang w:val="en-ZA"/>
              </w:rPr>
              <w:t>Applicant</w:t>
            </w:r>
          </w:p>
        </w:tc>
        <w:tc>
          <w:tcPr>
            <w:tcW w:w="5565" w:type="dxa"/>
            <w:gridSpan w:val="2"/>
            <w:shd w:val="clear" w:color="auto" w:fill="auto"/>
          </w:tcPr>
          <w:p w:rsidR="005B2472" w:rsidRPr="003A78E4" w:rsidRDefault="00AA2146" w:rsidP="00740C30">
            <w:pPr>
              <w:spacing w:after="0" w:line="360" w:lineRule="auto"/>
              <w:jc w:val="center"/>
              <w:rPr>
                <w:b/>
                <w:lang w:val="en-ZA"/>
              </w:rPr>
            </w:pPr>
            <w:r>
              <w:rPr>
                <w:b/>
                <w:lang w:val="en-ZA"/>
              </w:rPr>
              <w:t xml:space="preserve"> </w:t>
            </w:r>
            <w:r w:rsidR="00740C30">
              <w:rPr>
                <w:b/>
                <w:lang w:val="en-ZA"/>
              </w:rPr>
              <w:t>Respondent</w:t>
            </w:r>
          </w:p>
        </w:tc>
      </w:tr>
      <w:tr w:rsidR="005B2472" w:rsidRPr="003A78E4" w:rsidTr="00A66617">
        <w:tc>
          <w:tcPr>
            <w:tcW w:w="5067" w:type="dxa"/>
            <w:shd w:val="clear" w:color="auto" w:fill="auto"/>
          </w:tcPr>
          <w:p w:rsidR="00B3724F" w:rsidRPr="007F0786" w:rsidRDefault="007F0786" w:rsidP="00127D53">
            <w:pPr>
              <w:spacing w:after="0" w:line="360" w:lineRule="auto"/>
              <w:jc w:val="center"/>
            </w:pPr>
            <w:r w:rsidRPr="007F0786">
              <w:t>R Kendjella</w:t>
            </w:r>
          </w:p>
          <w:p w:rsidR="00AA2146" w:rsidRPr="007F0786" w:rsidRDefault="007F0786" w:rsidP="00127D53">
            <w:pPr>
              <w:spacing w:after="0" w:line="360" w:lineRule="auto"/>
              <w:jc w:val="center"/>
            </w:pPr>
            <w:r w:rsidRPr="007F0786">
              <w:t>Of</w:t>
            </w:r>
          </w:p>
          <w:p w:rsidR="005B2472" w:rsidRPr="007F0786" w:rsidRDefault="007F0786" w:rsidP="007F0786">
            <w:pPr>
              <w:jc w:val="center"/>
            </w:pPr>
            <w:r w:rsidRPr="007F0786">
              <w:rPr>
                <w:shd w:val="clear" w:color="auto" w:fill="FFFFFF"/>
              </w:rPr>
              <w:t xml:space="preserve">Anne </w:t>
            </w:r>
            <w:proofErr w:type="spellStart"/>
            <w:r w:rsidRPr="007F0786">
              <w:rPr>
                <w:shd w:val="clear" w:color="auto" w:fill="FFFFFF"/>
              </w:rPr>
              <w:t>Shilengudwa</w:t>
            </w:r>
            <w:proofErr w:type="spellEnd"/>
            <w:r w:rsidRPr="007F0786">
              <w:rPr>
                <w:shd w:val="clear" w:color="auto" w:fill="FFFFFF"/>
              </w:rPr>
              <w:t xml:space="preserve"> Incorporated</w:t>
            </w:r>
          </w:p>
        </w:tc>
        <w:tc>
          <w:tcPr>
            <w:tcW w:w="5565" w:type="dxa"/>
            <w:gridSpan w:val="2"/>
            <w:shd w:val="clear" w:color="auto" w:fill="auto"/>
          </w:tcPr>
          <w:p w:rsidR="00AA2146" w:rsidRPr="00FC593A" w:rsidRDefault="007F0786" w:rsidP="00127D53">
            <w:pPr>
              <w:spacing w:after="0" w:line="360" w:lineRule="auto"/>
              <w:jc w:val="center"/>
            </w:pPr>
            <w:r>
              <w:t xml:space="preserve">Advocate L </w:t>
            </w:r>
            <w:proofErr w:type="spellStart"/>
            <w:r>
              <w:t>Lochner</w:t>
            </w:r>
            <w:proofErr w:type="spellEnd"/>
          </w:p>
          <w:p w:rsidR="00AA2146" w:rsidRDefault="007F0786" w:rsidP="00127D53">
            <w:pPr>
              <w:spacing w:after="0" w:line="360" w:lineRule="auto"/>
              <w:jc w:val="center"/>
            </w:pPr>
            <w:r>
              <w:t>Instructed by</w:t>
            </w:r>
          </w:p>
          <w:p w:rsidR="005B2472" w:rsidRPr="007F0786" w:rsidRDefault="007F0786" w:rsidP="007F0786">
            <w:pPr>
              <w:jc w:val="center"/>
            </w:pPr>
            <w:r w:rsidRPr="00A529EF">
              <w:rPr>
                <w:shd w:val="clear" w:color="auto" w:fill="FFFFFF"/>
              </w:rPr>
              <w:t>Phili</w:t>
            </w:r>
            <w:r>
              <w:rPr>
                <w:shd w:val="clear" w:color="auto" w:fill="FFFFFF"/>
              </w:rPr>
              <w:t xml:space="preserve">p </w:t>
            </w:r>
            <w:proofErr w:type="spellStart"/>
            <w:r>
              <w:rPr>
                <w:shd w:val="clear" w:color="auto" w:fill="FFFFFF"/>
              </w:rPr>
              <w:t>Swanepoel</w:t>
            </w:r>
            <w:proofErr w:type="spellEnd"/>
            <w:r>
              <w:rPr>
                <w:shd w:val="clear" w:color="auto" w:fill="FFFFFF"/>
              </w:rPr>
              <w:t xml:space="preserve"> Legal Practitioners</w:t>
            </w:r>
          </w:p>
        </w:tc>
      </w:tr>
    </w:tbl>
    <w:p w:rsidR="00127D53" w:rsidRDefault="00127D53">
      <w:pPr>
        <w:spacing w:line="360" w:lineRule="auto"/>
      </w:pPr>
    </w:p>
    <w:sectPr w:rsidR="00127D53" w:rsidSect="003A78E4">
      <w:headerReference w:type="default" r:id="rId9"/>
      <w:pgSz w:w="12240" w:h="15840"/>
      <w:pgMar w:top="1135"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14" w:rsidRDefault="001D7814" w:rsidP="005B2472">
      <w:pPr>
        <w:spacing w:after="0" w:line="240" w:lineRule="auto"/>
      </w:pPr>
      <w:r>
        <w:separator/>
      </w:r>
    </w:p>
  </w:endnote>
  <w:endnote w:type="continuationSeparator" w:id="0">
    <w:p w:rsidR="001D7814" w:rsidRDefault="001D7814" w:rsidP="005B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14" w:rsidRDefault="001D7814" w:rsidP="005B2472">
      <w:pPr>
        <w:spacing w:after="0" w:line="240" w:lineRule="auto"/>
      </w:pPr>
      <w:r>
        <w:separator/>
      </w:r>
    </w:p>
  </w:footnote>
  <w:footnote w:type="continuationSeparator" w:id="0">
    <w:p w:rsidR="001D7814" w:rsidRDefault="001D7814" w:rsidP="005B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79" w:rsidRDefault="000B5A58">
    <w:pPr>
      <w:pStyle w:val="Header"/>
      <w:jc w:val="right"/>
    </w:pPr>
    <w:r>
      <w:fldChar w:fldCharType="begin"/>
    </w:r>
    <w:r>
      <w:instrText xml:space="preserve"> PAGE   \* MERGEFORMAT </w:instrText>
    </w:r>
    <w:r>
      <w:fldChar w:fldCharType="separate"/>
    </w:r>
    <w:r w:rsidR="0048191F">
      <w:rPr>
        <w:noProof/>
      </w:rPr>
      <w:t>7</w:t>
    </w:r>
    <w:r>
      <w:rPr>
        <w:noProof/>
      </w:rPr>
      <w:fldChar w:fldCharType="end"/>
    </w:r>
  </w:p>
  <w:p w:rsidR="00921456" w:rsidRDefault="00481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49CA"/>
    <w:multiLevelType w:val="hybridMultilevel"/>
    <w:tmpl w:val="FF8659C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C4F3C6B"/>
    <w:multiLevelType w:val="hybridMultilevel"/>
    <w:tmpl w:val="894E1EDA"/>
    <w:lvl w:ilvl="0" w:tplc="0C2EC18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66384"/>
    <w:multiLevelType w:val="multilevel"/>
    <w:tmpl w:val="25B4EAE0"/>
    <w:lvl w:ilvl="0">
      <w:start w:val="18"/>
      <w:numFmt w:val="decimal"/>
      <w:lvlText w:val="%1"/>
      <w:lvlJc w:val="left"/>
      <w:pPr>
        <w:ind w:left="118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694B412F"/>
    <w:multiLevelType w:val="multilevel"/>
    <w:tmpl w:val="F6047C42"/>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9BF70FC"/>
    <w:multiLevelType w:val="hybridMultilevel"/>
    <w:tmpl w:val="79C63A4A"/>
    <w:lvl w:ilvl="0" w:tplc="CA48D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72"/>
    <w:rsid w:val="00016AD3"/>
    <w:rsid w:val="000B5A58"/>
    <w:rsid w:val="000D70D4"/>
    <w:rsid w:val="0012753F"/>
    <w:rsid w:val="00127D53"/>
    <w:rsid w:val="00157051"/>
    <w:rsid w:val="00195694"/>
    <w:rsid w:val="001A0A35"/>
    <w:rsid w:val="001A6F89"/>
    <w:rsid w:val="001D7814"/>
    <w:rsid w:val="0026573B"/>
    <w:rsid w:val="002D686B"/>
    <w:rsid w:val="00357E34"/>
    <w:rsid w:val="00370B14"/>
    <w:rsid w:val="00376CD2"/>
    <w:rsid w:val="00391351"/>
    <w:rsid w:val="003B7D25"/>
    <w:rsid w:val="003F7249"/>
    <w:rsid w:val="0042780C"/>
    <w:rsid w:val="0048191F"/>
    <w:rsid w:val="004B4950"/>
    <w:rsid w:val="004B5351"/>
    <w:rsid w:val="004E795B"/>
    <w:rsid w:val="00522E3A"/>
    <w:rsid w:val="00523B9E"/>
    <w:rsid w:val="00593354"/>
    <w:rsid w:val="005B1600"/>
    <w:rsid w:val="005B2472"/>
    <w:rsid w:val="005B3EE4"/>
    <w:rsid w:val="005C3074"/>
    <w:rsid w:val="0061226B"/>
    <w:rsid w:val="0063492B"/>
    <w:rsid w:val="006E7E69"/>
    <w:rsid w:val="006F5EB2"/>
    <w:rsid w:val="007122F3"/>
    <w:rsid w:val="00740C30"/>
    <w:rsid w:val="00741498"/>
    <w:rsid w:val="00797046"/>
    <w:rsid w:val="007D6427"/>
    <w:rsid w:val="007D6A35"/>
    <w:rsid w:val="007F0786"/>
    <w:rsid w:val="0087446E"/>
    <w:rsid w:val="008A30E6"/>
    <w:rsid w:val="008C1E78"/>
    <w:rsid w:val="00906925"/>
    <w:rsid w:val="00A27086"/>
    <w:rsid w:val="00A835B5"/>
    <w:rsid w:val="00AA2146"/>
    <w:rsid w:val="00AD5954"/>
    <w:rsid w:val="00B1338E"/>
    <w:rsid w:val="00B3724F"/>
    <w:rsid w:val="00B602A9"/>
    <w:rsid w:val="00B8613A"/>
    <w:rsid w:val="00B94427"/>
    <w:rsid w:val="00CA5D16"/>
    <w:rsid w:val="00D564AC"/>
    <w:rsid w:val="00D663DF"/>
    <w:rsid w:val="00DB473F"/>
    <w:rsid w:val="00DC4E7C"/>
    <w:rsid w:val="00E17C10"/>
    <w:rsid w:val="00E87ADD"/>
    <w:rsid w:val="00EF652A"/>
    <w:rsid w:val="00F2655C"/>
    <w:rsid w:val="00F41A13"/>
    <w:rsid w:val="00F54851"/>
    <w:rsid w:val="00FA12A1"/>
    <w:rsid w:val="00FC79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5D164-99F6-4D29-9CF2-D56F5C98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72"/>
    <w:rPr>
      <w:rFonts w:ascii="Arial" w:eastAsia="Calibri"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72"/>
    <w:pPr>
      <w:ind w:left="720"/>
      <w:contextualSpacing/>
    </w:pPr>
  </w:style>
  <w:style w:type="paragraph" w:styleId="FootnoteText">
    <w:name w:val="footnote text"/>
    <w:basedOn w:val="Normal"/>
    <w:link w:val="FootnoteTextChar"/>
    <w:uiPriority w:val="99"/>
    <w:unhideWhenUsed/>
    <w:rsid w:val="005B2472"/>
    <w:pPr>
      <w:spacing w:after="0" w:line="240" w:lineRule="auto"/>
    </w:pPr>
    <w:rPr>
      <w:rFonts w:ascii="Calibri" w:hAnsi="Calibri" w:cs="Times New Roman"/>
      <w:sz w:val="20"/>
      <w:szCs w:val="20"/>
      <w:lang w:val="en-GB"/>
    </w:rPr>
  </w:style>
  <w:style w:type="character" w:customStyle="1" w:styleId="FootnoteTextChar">
    <w:name w:val="Footnote Text Char"/>
    <w:basedOn w:val="DefaultParagraphFont"/>
    <w:link w:val="FootnoteText"/>
    <w:uiPriority w:val="99"/>
    <w:rsid w:val="005B2472"/>
    <w:rPr>
      <w:rFonts w:ascii="Calibri" w:eastAsia="Calibri" w:hAnsi="Calibri" w:cs="Times New Roman"/>
      <w:sz w:val="20"/>
      <w:szCs w:val="20"/>
      <w:lang w:val="en-GB"/>
    </w:rPr>
  </w:style>
  <w:style w:type="character" w:styleId="FootnoteReference">
    <w:name w:val="footnote reference"/>
    <w:uiPriority w:val="99"/>
    <w:unhideWhenUsed/>
    <w:rsid w:val="005B2472"/>
    <w:rPr>
      <w:vertAlign w:val="superscript"/>
    </w:rPr>
  </w:style>
  <w:style w:type="paragraph" w:customStyle="1" w:styleId="form-control-static">
    <w:name w:val="form-control-static"/>
    <w:basedOn w:val="Normal"/>
    <w:rsid w:val="005B2472"/>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B2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72"/>
    <w:rPr>
      <w:rFonts w:ascii="Arial" w:eastAsia="Calibri" w:hAnsi="Arial" w:cs="Arial"/>
      <w:sz w:val="24"/>
      <w:szCs w:val="24"/>
      <w:lang w:val="en-US"/>
    </w:rPr>
  </w:style>
  <w:style w:type="paragraph" w:styleId="BalloonText">
    <w:name w:val="Balloon Text"/>
    <w:basedOn w:val="Normal"/>
    <w:link w:val="BalloonTextChar"/>
    <w:uiPriority w:val="99"/>
    <w:semiHidden/>
    <w:unhideWhenUsed/>
    <w:rsid w:val="00D6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D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2023-05-11T18:30:00+00:00</Judgment_x0020_Date>
    <Year xmlns="c1afb1bd-f2fb-40fd-9abb-aea55b4d7662">2023</Year>
  </documentManagement>
</p:properties>
</file>

<file path=customXml/itemProps1.xml><?xml version="1.0" encoding="utf-8"?>
<ds:datastoreItem xmlns:ds="http://schemas.openxmlformats.org/officeDocument/2006/customXml" ds:itemID="{537ACEDE-093D-4FC4-B08F-2531F6DD4B83}"/>
</file>

<file path=customXml/itemProps2.xml><?xml version="1.0" encoding="utf-8"?>
<ds:datastoreItem xmlns:ds="http://schemas.openxmlformats.org/officeDocument/2006/customXml" ds:itemID="{CDB30188-2CEF-42A4-A8FD-E8D9C4C1719D}"/>
</file>

<file path=customXml/itemProps3.xml><?xml version="1.0" encoding="utf-8"?>
<ds:datastoreItem xmlns:ds="http://schemas.openxmlformats.org/officeDocument/2006/customXml" ds:itemID="{EE312711-1C7C-4E5D-8CCA-9EAB0382A045}"/>
</file>

<file path=customXml/itemProps4.xml><?xml version="1.0" encoding="utf-8"?>
<ds:datastoreItem xmlns:ds="http://schemas.openxmlformats.org/officeDocument/2006/customXml" ds:itemID="{4F5677E7-9D30-4653-9DCA-E42E550976C2}"/>
</file>

<file path=docProps/app.xml><?xml version="1.0" encoding="utf-8"?>
<Properties xmlns="http://schemas.openxmlformats.org/officeDocument/2006/extended-properties" xmlns:vt="http://schemas.openxmlformats.org/officeDocument/2006/docPropsVTypes">
  <Template>Normal</Template>
  <TotalTime>531</TotalTime>
  <Pages>7</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Maugandize vs Lalapanzi Body Corporate (HC-MD-CIV-ACT-CON-2022-00733) [2023] NAHCMD 260 (12 May 2023)</dc:title>
  <dc:subject/>
  <dc:creator>Normadine Cloete</dc:creator>
  <cp:keywords/>
  <dc:description/>
  <cp:lastModifiedBy>Normadine Cloete</cp:lastModifiedBy>
  <cp:revision>16</cp:revision>
  <cp:lastPrinted>2023-05-12T12:14:00Z</cp:lastPrinted>
  <dcterms:created xsi:type="dcterms:W3CDTF">2023-04-24T16:10:00Z</dcterms:created>
  <dcterms:modified xsi:type="dcterms:W3CDTF">2023-05-12T15:24:00Z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