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A4" w:rsidRPr="00080513" w:rsidRDefault="00A961A4" w:rsidP="00A961A4">
      <w:pPr>
        <w:spacing w:line="256" w:lineRule="auto"/>
        <w:jc w:val="center"/>
        <w:rPr>
          <w:rFonts w:ascii="Arial" w:hAnsi="Arial" w:cs="Arial"/>
          <w:b/>
          <w:sz w:val="24"/>
          <w:szCs w:val="24"/>
          <w:lang w:val="en-US"/>
        </w:rPr>
      </w:pPr>
      <w:r w:rsidRPr="00080513">
        <w:rPr>
          <w:rFonts w:ascii="Arial" w:hAnsi="Arial" w:cs="Arial"/>
          <w:b/>
          <w:sz w:val="24"/>
          <w:szCs w:val="24"/>
          <w:lang w:val="en-US"/>
        </w:rPr>
        <w:t>REPUBLIC OF NAMIBIA</w:t>
      </w:r>
    </w:p>
    <w:p w:rsidR="00A961A4" w:rsidRPr="00080513" w:rsidRDefault="00A961A4" w:rsidP="00A961A4">
      <w:pPr>
        <w:spacing w:line="256" w:lineRule="auto"/>
        <w:jc w:val="center"/>
        <w:rPr>
          <w:rFonts w:ascii="Arial" w:hAnsi="Arial" w:cs="Arial"/>
          <w:b/>
          <w:sz w:val="24"/>
          <w:szCs w:val="24"/>
          <w:lang w:val="en-US"/>
        </w:rPr>
      </w:pPr>
      <w:r w:rsidRPr="00080513">
        <w:rPr>
          <w:rFonts w:ascii="Arial" w:hAnsi="Arial" w:cs="Arial"/>
          <w:b/>
          <w:noProof/>
          <w:sz w:val="24"/>
          <w:szCs w:val="24"/>
          <w:lang w:val="en-US"/>
        </w:rPr>
        <w:drawing>
          <wp:inline distT="0" distB="0" distL="0" distR="0">
            <wp:extent cx="112776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inline>
        </w:drawing>
      </w:r>
    </w:p>
    <w:p w:rsidR="00A961A4" w:rsidRPr="00080513" w:rsidRDefault="00A961A4" w:rsidP="00A961A4">
      <w:pPr>
        <w:spacing w:line="256" w:lineRule="auto"/>
        <w:jc w:val="center"/>
        <w:rPr>
          <w:rFonts w:ascii="Arial" w:hAnsi="Arial" w:cs="Arial"/>
          <w:b/>
          <w:sz w:val="24"/>
          <w:szCs w:val="24"/>
          <w:lang w:val="en-US"/>
        </w:rPr>
      </w:pPr>
    </w:p>
    <w:p w:rsidR="00A961A4" w:rsidRPr="00080513" w:rsidRDefault="00A961A4" w:rsidP="00A961A4">
      <w:pPr>
        <w:spacing w:line="256" w:lineRule="auto"/>
        <w:jc w:val="center"/>
        <w:rPr>
          <w:rFonts w:ascii="Arial" w:hAnsi="Arial" w:cs="Arial"/>
          <w:b/>
          <w:sz w:val="24"/>
          <w:szCs w:val="24"/>
          <w:lang w:val="en-US"/>
        </w:rPr>
      </w:pPr>
      <w:r w:rsidRPr="00080513">
        <w:rPr>
          <w:rFonts w:ascii="Arial" w:hAnsi="Arial" w:cs="Arial"/>
          <w:b/>
          <w:sz w:val="24"/>
          <w:szCs w:val="24"/>
          <w:lang w:val="en-US"/>
        </w:rPr>
        <w:t>IN THE HIGH COURT OF NAMIBIA, MAIN DIVISION, WINDHOEK</w:t>
      </w:r>
    </w:p>
    <w:p w:rsidR="00A961A4" w:rsidRPr="00080513" w:rsidRDefault="00A961A4" w:rsidP="00A961A4">
      <w:pPr>
        <w:spacing w:line="256" w:lineRule="auto"/>
        <w:jc w:val="center"/>
        <w:rPr>
          <w:rFonts w:ascii="Arial" w:hAnsi="Arial" w:cs="Arial"/>
          <w:b/>
          <w:sz w:val="24"/>
          <w:szCs w:val="24"/>
          <w:lang w:val="en-US"/>
        </w:rPr>
      </w:pPr>
      <w:r w:rsidRPr="00080513">
        <w:rPr>
          <w:rFonts w:ascii="Arial" w:hAnsi="Arial" w:cs="Arial"/>
          <w:b/>
          <w:sz w:val="24"/>
          <w:szCs w:val="24"/>
          <w:lang w:val="en-US"/>
        </w:rPr>
        <w:t>RULING ON SPECIFIC DISCOVERY APPLICATION</w:t>
      </w:r>
    </w:p>
    <w:p w:rsidR="00A961A4" w:rsidRDefault="00A961A4" w:rsidP="00A961A4">
      <w: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756"/>
        <w:gridCol w:w="3347"/>
      </w:tblGrid>
      <w:tr w:rsidR="00A961A4" w:rsidRPr="00530978" w:rsidTr="00A961A4">
        <w:tc>
          <w:tcPr>
            <w:tcW w:w="65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961A4" w:rsidRPr="00A961A4" w:rsidRDefault="00A961A4" w:rsidP="007344A8">
            <w:pPr>
              <w:spacing w:after="0" w:line="360" w:lineRule="auto"/>
              <w:jc w:val="both"/>
              <w:rPr>
                <w:rFonts w:ascii="Arial" w:hAnsi="Arial" w:cs="Arial"/>
                <w:b/>
                <w:sz w:val="24"/>
                <w:szCs w:val="24"/>
              </w:rPr>
            </w:pPr>
            <w:r w:rsidRPr="00A961A4">
              <w:rPr>
                <w:rFonts w:ascii="Arial" w:hAnsi="Arial" w:cs="Arial"/>
                <w:b/>
                <w:sz w:val="24"/>
                <w:szCs w:val="24"/>
              </w:rPr>
              <w:t>Case Title:</w:t>
            </w:r>
          </w:p>
          <w:p w:rsidR="00A961A4" w:rsidRPr="00A961A4" w:rsidRDefault="00A961A4" w:rsidP="00A961A4">
            <w:pPr>
              <w:tabs>
                <w:tab w:val="right" w:pos="9356"/>
              </w:tabs>
              <w:spacing w:after="0" w:line="360" w:lineRule="auto"/>
              <w:ind w:right="4"/>
              <w:jc w:val="both"/>
              <w:rPr>
                <w:rFonts w:ascii="Arial" w:eastAsiaTheme="minorHAnsi" w:hAnsi="Arial" w:cs="Arial"/>
                <w:sz w:val="24"/>
                <w:szCs w:val="24"/>
                <w:lang w:val="en-US"/>
              </w:rPr>
            </w:pPr>
            <w:r w:rsidRPr="00A961A4">
              <w:rPr>
                <w:rFonts w:ascii="Arial" w:hAnsi="Arial" w:cs="Arial"/>
                <w:sz w:val="24"/>
                <w:szCs w:val="24"/>
              </w:rPr>
              <w:t xml:space="preserve">ERICH OTTO HEIMSTADT </w:t>
            </w:r>
            <w:r w:rsidRPr="00A961A4">
              <w:rPr>
                <w:rFonts w:ascii="Arial" w:hAnsi="Arial" w:cs="Arial"/>
                <w:sz w:val="24"/>
                <w:szCs w:val="24"/>
              </w:rPr>
              <w:tab/>
              <w:t>PLAINTIFF</w:t>
            </w:r>
          </w:p>
          <w:p w:rsidR="00A961A4" w:rsidRPr="00A961A4" w:rsidRDefault="00A961A4" w:rsidP="00A961A4">
            <w:pPr>
              <w:tabs>
                <w:tab w:val="right" w:pos="9356"/>
              </w:tabs>
              <w:spacing w:after="0" w:line="360" w:lineRule="auto"/>
              <w:ind w:right="4"/>
              <w:jc w:val="both"/>
              <w:rPr>
                <w:rFonts w:ascii="Arial" w:hAnsi="Arial" w:cs="Arial"/>
                <w:sz w:val="24"/>
                <w:szCs w:val="24"/>
              </w:rPr>
            </w:pPr>
          </w:p>
          <w:p w:rsidR="00A961A4" w:rsidRPr="00A961A4" w:rsidRDefault="00A961A4" w:rsidP="00A961A4">
            <w:pPr>
              <w:tabs>
                <w:tab w:val="right" w:pos="9356"/>
              </w:tabs>
              <w:spacing w:after="0" w:line="360" w:lineRule="auto"/>
              <w:ind w:right="4"/>
              <w:jc w:val="both"/>
              <w:rPr>
                <w:rFonts w:ascii="Arial" w:hAnsi="Arial" w:cs="Arial"/>
                <w:sz w:val="24"/>
                <w:szCs w:val="24"/>
              </w:rPr>
            </w:pPr>
            <w:r w:rsidRPr="00A961A4">
              <w:rPr>
                <w:rFonts w:ascii="Arial" w:hAnsi="Arial" w:cs="Arial"/>
                <w:sz w:val="24"/>
                <w:szCs w:val="24"/>
              </w:rPr>
              <w:t>and</w:t>
            </w:r>
          </w:p>
          <w:p w:rsidR="00A961A4" w:rsidRPr="00A961A4" w:rsidRDefault="00A961A4" w:rsidP="00A961A4">
            <w:pPr>
              <w:tabs>
                <w:tab w:val="right" w:pos="9356"/>
              </w:tabs>
              <w:spacing w:after="0" w:line="360" w:lineRule="auto"/>
              <w:ind w:right="4"/>
              <w:jc w:val="both"/>
              <w:rPr>
                <w:rFonts w:ascii="Arial" w:hAnsi="Arial" w:cs="Arial"/>
                <w:sz w:val="24"/>
                <w:szCs w:val="24"/>
              </w:rPr>
            </w:pPr>
          </w:p>
          <w:p w:rsidR="00A961A4" w:rsidRPr="00A961A4" w:rsidRDefault="00A961A4" w:rsidP="00A961A4">
            <w:pPr>
              <w:tabs>
                <w:tab w:val="right" w:pos="9356"/>
              </w:tabs>
              <w:spacing w:after="0" w:line="360" w:lineRule="auto"/>
              <w:ind w:right="4"/>
              <w:jc w:val="both"/>
              <w:rPr>
                <w:rFonts w:ascii="Arial" w:hAnsi="Arial" w:cs="Arial"/>
                <w:sz w:val="24"/>
                <w:szCs w:val="24"/>
              </w:rPr>
            </w:pPr>
            <w:r w:rsidRPr="00A961A4">
              <w:rPr>
                <w:rFonts w:ascii="Arial" w:hAnsi="Arial" w:cs="Arial"/>
                <w:sz w:val="24"/>
                <w:szCs w:val="24"/>
              </w:rPr>
              <w:t>PRONTO GLOBAL AIR AND OCEAN</w:t>
            </w:r>
          </w:p>
          <w:p w:rsidR="00A961A4" w:rsidRPr="00A961A4" w:rsidRDefault="00A961A4" w:rsidP="00A961A4">
            <w:pPr>
              <w:tabs>
                <w:tab w:val="right" w:pos="9356"/>
              </w:tabs>
              <w:spacing w:after="0" w:line="360" w:lineRule="auto"/>
              <w:ind w:right="4"/>
              <w:jc w:val="both"/>
              <w:rPr>
                <w:rFonts w:ascii="Arial" w:hAnsi="Arial" w:cs="Arial"/>
                <w:sz w:val="24"/>
                <w:szCs w:val="24"/>
              </w:rPr>
            </w:pPr>
            <w:r w:rsidRPr="00A961A4">
              <w:rPr>
                <w:rFonts w:ascii="Arial" w:hAnsi="Arial" w:cs="Arial"/>
                <w:sz w:val="24"/>
                <w:szCs w:val="24"/>
              </w:rPr>
              <w:t>FREIGHT CC</w:t>
            </w:r>
            <w:r w:rsidRPr="00A961A4">
              <w:rPr>
                <w:rFonts w:ascii="Arial" w:hAnsi="Arial" w:cs="Arial"/>
                <w:sz w:val="24"/>
                <w:szCs w:val="24"/>
              </w:rPr>
              <w:tab/>
              <w:t xml:space="preserve">  1st DEFENDANT</w:t>
            </w:r>
          </w:p>
          <w:p w:rsidR="00A961A4" w:rsidRPr="00A961A4" w:rsidRDefault="00A961A4" w:rsidP="00A961A4">
            <w:pPr>
              <w:tabs>
                <w:tab w:val="right" w:pos="9356"/>
              </w:tabs>
              <w:spacing w:after="0" w:line="360" w:lineRule="auto"/>
              <w:ind w:right="4"/>
              <w:jc w:val="both"/>
              <w:rPr>
                <w:rFonts w:ascii="Arial" w:hAnsi="Arial" w:cs="Arial"/>
                <w:sz w:val="24"/>
                <w:szCs w:val="24"/>
              </w:rPr>
            </w:pPr>
            <w:r w:rsidRPr="00A961A4">
              <w:rPr>
                <w:rFonts w:ascii="Arial" w:hAnsi="Arial" w:cs="Arial"/>
                <w:sz w:val="24"/>
                <w:szCs w:val="24"/>
              </w:rPr>
              <w:t xml:space="preserve">PETER ANDRE DE VILLIERS </w:t>
            </w:r>
            <w:r w:rsidRPr="00A961A4">
              <w:rPr>
                <w:rFonts w:ascii="Arial" w:hAnsi="Arial" w:cs="Arial"/>
                <w:sz w:val="24"/>
                <w:szCs w:val="24"/>
              </w:rPr>
              <w:tab/>
              <w:t xml:space="preserve">   2nd DEFENDANT</w:t>
            </w:r>
          </w:p>
          <w:p w:rsidR="00A961A4" w:rsidRPr="00530978" w:rsidRDefault="00A961A4" w:rsidP="00A961A4">
            <w:pPr>
              <w:spacing w:after="0" w:line="360" w:lineRule="auto"/>
              <w:ind w:right="-66"/>
              <w:jc w:val="both"/>
              <w:rPr>
                <w:rFonts w:ascii="Arial" w:hAnsi="Arial" w:cs="Arial"/>
                <w:iCs/>
                <w:sz w:val="24"/>
                <w:szCs w:val="24"/>
              </w:rPr>
            </w:pPr>
            <w:r w:rsidRPr="00A961A4">
              <w:rPr>
                <w:rFonts w:ascii="Arial" w:hAnsi="Arial" w:cs="Arial"/>
                <w:sz w:val="24"/>
                <w:szCs w:val="24"/>
              </w:rPr>
              <w:t xml:space="preserve">SIMONE ISABELLA DE VILLIERS </w:t>
            </w:r>
            <w:r w:rsidRPr="00A961A4">
              <w:rPr>
                <w:rFonts w:ascii="Arial" w:hAnsi="Arial" w:cs="Arial"/>
                <w:sz w:val="24"/>
                <w:szCs w:val="24"/>
              </w:rPr>
              <w:tab/>
              <w:t xml:space="preserve">  3rd DEFENDANT</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A961A4" w:rsidRDefault="00A961A4" w:rsidP="00A961A4">
            <w:pPr>
              <w:tabs>
                <w:tab w:val="right" w:pos="9356"/>
              </w:tabs>
              <w:spacing w:after="0" w:line="360" w:lineRule="auto"/>
              <w:jc w:val="both"/>
              <w:rPr>
                <w:rFonts w:ascii="Arial" w:eastAsiaTheme="minorHAnsi" w:hAnsi="Arial" w:cs="Arial"/>
                <w:sz w:val="24"/>
                <w:szCs w:val="24"/>
                <w:lang w:val="en-US"/>
              </w:rPr>
            </w:pPr>
            <w:r w:rsidRPr="00530978">
              <w:rPr>
                <w:rFonts w:ascii="Arial" w:hAnsi="Arial" w:cs="Arial"/>
                <w:b/>
                <w:sz w:val="24"/>
                <w:szCs w:val="24"/>
              </w:rPr>
              <w:t xml:space="preserve">Case No: </w:t>
            </w:r>
            <w:r>
              <w:rPr>
                <w:rFonts w:ascii="Arial" w:hAnsi="Arial" w:cs="Arial"/>
                <w:sz w:val="24"/>
                <w:szCs w:val="24"/>
              </w:rPr>
              <w:t>HC-MD-CIV-ACT-CON-2022/02528</w:t>
            </w:r>
          </w:p>
          <w:p w:rsidR="00A961A4" w:rsidRPr="00530978" w:rsidRDefault="00A961A4" w:rsidP="007344A8">
            <w:pPr>
              <w:spacing w:after="0" w:line="360" w:lineRule="auto"/>
              <w:ind w:left="2183" w:hanging="2126"/>
              <w:jc w:val="both"/>
              <w:rPr>
                <w:rFonts w:ascii="Arial" w:hAnsi="Arial" w:cs="Arial"/>
                <w:sz w:val="24"/>
                <w:szCs w:val="24"/>
              </w:rPr>
            </w:pPr>
          </w:p>
          <w:p w:rsidR="00A961A4" w:rsidRPr="00530978" w:rsidRDefault="00A961A4" w:rsidP="007344A8">
            <w:pPr>
              <w:spacing w:after="0" w:line="360" w:lineRule="auto"/>
              <w:jc w:val="both"/>
              <w:rPr>
                <w:rFonts w:ascii="Arial" w:hAnsi="Arial" w:cs="Arial"/>
                <w:sz w:val="24"/>
                <w:szCs w:val="24"/>
              </w:rPr>
            </w:pPr>
          </w:p>
        </w:tc>
      </w:tr>
      <w:tr w:rsidR="00A961A4" w:rsidRPr="00530978" w:rsidTr="00A961A4">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61A4" w:rsidRPr="00530978" w:rsidRDefault="00A961A4" w:rsidP="007344A8">
            <w:pPr>
              <w:spacing w:after="0" w:line="360" w:lineRule="auto"/>
              <w:jc w:val="both"/>
              <w:rPr>
                <w:rFonts w:ascii="Arial" w:hAnsi="Arial" w:cs="Arial"/>
                <w:b/>
                <w:sz w:val="24"/>
                <w:szCs w:val="24"/>
              </w:rPr>
            </w:pPr>
            <w:r w:rsidRPr="00530978">
              <w:rPr>
                <w:rFonts w:ascii="Arial" w:hAnsi="Arial" w:cs="Arial"/>
                <w:b/>
                <w:sz w:val="24"/>
                <w:szCs w:val="24"/>
              </w:rPr>
              <w:t xml:space="preserve">Heard before:  </w:t>
            </w:r>
          </w:p>
          <w:p w:rsidR="00A961A4" w:rsidRPr="00530978" w:rsidRDefault="00A961A4" w:rsidP="007344A8">
            <w:pPr>
              <w:spacing w:after="0" w:line="360" w:lineRule="auto"/>
              <w:jc w:val="both"/>
              <w:rPr>
                <w:rFonts w:ascii="Arial" w:hAnsi="Arial" w:cs="Arial"/>
                <w:sz w:val="24"/>
                <w:szCs w:val="24"/>
              </w:rPr>
            </w:pPr>
            <w:r w:rsidRPr="00530978">
              <w:rPr>
                <w:rFonts w:ascii="Arial" w:hAnsi="Arial" w:cs="Arial"/>
                <w:sz w:val="24"/>
                <w:szCs w:val="24"/>
              </w:rPr>
              <w:t xml:space="preserve">Honourable Justice Sibeya </w:t>
            </w:r>
          </w:p>
          <w:p w:rsidR="00A961A4" w:rsidRPr="00530978" w:rsidRDefault="00A961A4" w:rsidP="007344A8">
            <w:pPr>
              <w:spacing w:after="0" w:line="240" w:lineRule="auto"/>
              <w:rPr>
                <w:rFonts w:ascii="Arial" w:hAnsi="Arial" w:cs="Arial"/>
                <w:sz w:val="24"/>
                <w:szCs w:val="24"/>
              </w:rPr>
            </w:pPr>
          </w:p>
        </w:tc>
        <w:tc>
          <w:tcPr>
            <w:tcW w:w="3347" w:type="dxa"/>
            <w:tcBorders>
              <w:top w:val="single" w:sz="4" w:space="0" w:color="auto"/>
              <w:left w:val="single" w:sz="4" w:space="0" w:color="auto"/>
              <w:bottom w:val="single" w:sz="4" w:space="0" w:color="auto"/>
              <w:right w:val="single" w:sz="4" w:space="0" w:color="auto"/>
            </w:tcBorders>
            <w:shd w:val="clear" w:color="auto" w:fill="auto"/>
            <w:hideMark/>
          </w:tcPr>
          <w:p w:rsidR="00082E52" w:rsidRDefault="00A961A4" w:rsidP="007344A8">
            <w:pPr>
              <w:spacing w:after="0" w:line="360" w:lineRule="auto"/>
              <w:jc w:val="both"/>
              <w:rPr>
                <w:rFonts w:ascii="Arial" w:hAnsi="Arial" w:cs="Arial"/>
                <w:b/>
                <w:sz w:val="24"/>
                <w:szCs w:val="24"/>
              </w:rPr>
            </w:pPr>
            <w:r w:rsidRPr="00530978">
              <w:rPr>
                <w:rFonts w:ascii="Arial" w:hAnsi="Arial" w:cs="Arial"/>
                <w:b/>
                <w:sz w:val="24"/>
                <w:szCs w:val="24"/>
              </w:rPr>
              <w:t xml:space="preserve">Division of Court: </w:t>
            </w:r>
          </w:p>
          <w:p w:rsidR="00A961A4" w:rsidRPr="00350874" w:rsidRDefault="00082E52" w:rsidP="007344A8">
            <w:pPr>
              <w:spacing w:after="0" w:line="360" w:lineRule="auto"/>
              <w:jc w:val="both"/>
              <w:rPr>
                <w:rFonts w:ascii="Arial" w:hAnsi="Arial" w:cs="Arial"/>
                <w:b/>
                <w:sz w:val="24"/>
                <w:szCs w:val="24"/>
              </w:rPr>
            </w:pPr>
            <w:r>
              <w:rPr>
                <w:rFonts w:ascii="Arial" w:hAnsi="Arial" w:cs="Arial"/>
                <w:sz w:val="24"/>
                <w:szCs w:val="24"/>
              </w:rPr>
              <w:t>High C</w:t>
            </w:r>
            <w:r w:rsidR="00A961A4" w:rsidRPr="00350874">
              <w:rPr>
                <w:rFonts w:ascii="Arial" w:hAnsi="Arial" w:cs="Arial"/>
                <w:sz w:val="24"/>
                <w:szCs w:val="24"/>
              </w:rPr>
              <w:t>ourt</w:t>
            </w:r>
            <w:r w:rsidR="00350874">
              <w:rPr>
                <w:rFonts w:ascii="Arial" w:hAnsi="Arial" w:cs="Arial"/>
                <w:b/>
                <w:sz w:val="24"/>
                <w:szCs w:val="24"/>
              </w:rPr>
              <w:t xml:space="preserve"> </w:t>
            </w:r>
            <w:r w:rsidR="00A961A4">
              <w:rPr>
                <w:rFonts w:ascii="Arial" w:hAnsi="Arial" w:cs="Arial"/>
                <w:sz w:val="24"/>
                <w:szCs w:val="24"/>
              </w:rPr>
              <w:t>(</w:t>
            </w:r>
            <w:r w:rsidR="00A961A4" w:rsidRPr="00530978">
              <w:rPr>
                <w:rFonts w:ascii="Arial" w:hAnsi="Arial" w:cs="Arial"/>
                <w:sz w:val="24"/>
                <w:szCs w:val="24"/>
              </w:rPr>
              <w:t>Main Division</w:t>
            </w:r>
            <w:r w:rsidR="00A961A4">
              <w:rPr>
                <w:rFonts w:ascii="Arial" w:hAnsi="Arial" w:cs="Arial"/>
                <w:sz w:val="24"/>
                <w:szCs w:val="24"/>
              </w:rPr>
              <w:t>)</w:t>
            </w:r>
          </w:p>
        </w:tc>
      </w:tr>
      <w:tr w:rsidR="00A961A4" w:rsidRPr="00530978" w:rsidTr="00A961A4">
        <w:tc>
          <w:tcPr>
            <w:tcW w:w="6576" w:type="dxa"/>
            <w:gridSpan w:val="2"/>
            <w:tcBorders>
              <w:top w:val="single" w:sz="4" w:space="0" w:color="auto"/>
              <w:left w:val="single" w:sz="4" w:space="0" w:color="auto"/>
              <w:bottom w:val="single" w:sz="4" w:space="0" w:color="auto"/>
              <w:right w:val="single" w:sz="4" w:space="0" w:color="auto"/>
            </w:tcBorders>
            <w:shd w:val="clear" w:color="auto" w:fill="auto"/>
          </w:tcPr>
          <w:p w:rsidR="00A961A4" w:rsidRPr="00530978" w:rsidRDefault="00A961A4" w:rsidP="007344A8">
            <w:pPr>
              <w:spacing w:after="0" w:line="360" w:lineRule="auto"/>
              <w:jc w:val="both"/>
              <w:rPr>
                <w:rFonts w:ascii="Arial" w:hAnsi="Arial" w:cs="Arial"/>
                <w:sz w:val="24"/>
                <w:szCs w:val="24"/>
              </w:rPr>
            </w:pP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A961A4" w:rsidRDefault="00A961A4" w:rsidP="00A961A4">
            <w:pPr>
              <w:spacing w:after="0" w:line="360" w:lineRule="auto"/>
              <w:ind w:left="1440" w:hanging="1440"/>
              <w:rPr>
                <w:rFonts w:ascii="Arial" w:eastAsiaTheme="minorHAnsi" w:hAnsi="Arial" w:cs="Arial"/>
                <w:b/>
                <w:sz w:val="24"/>
                <w:szCs w:val="24"/>
                <w:lang w:val="en-US"/>
              </w:rPr>
            </w:pPr>
            <w:r>
              <w:rPr>
                <w:rFonts w:ascii="Arial" w:hAnsi="Arial" w:cs="Arial"/>
                <w:b/>
                <w:bCs/>
                <w:sz w:val="24"/>
                <w:szCs w:val="24"/>
              </w:rPr>
              <w:t>Heard</w:t>
            </w:r>
            <w:r w:rsidRPr="00082E52">
              <w:rPr>
                <w:rFonts w:ascii="Arial" w:hAnsi="Arial" w:cs="Arial"/>
                <w:b/>
                <w:sz w:val="24"/>
                <w:szCs w:val="24"/>
              </w:rPr>
              <w:t>:</w:t>
            </w:r>
            <w:r>
              <w:rPr>
                <w:rFonts w:ascii="Arial" w:hAnsi="Arial" w:cs="Arial"/>
                <w:sz w:val="24"/>
                <w:szCs w:val="24"/>
              </w:rPr>
              <w:tab/>
              <w:t>15 May</w:t>
            </w:r>
            <w:r w:rsidRPr="00A961A4">
              <w:rPr>
                <w:rFonts w:ascii="Arial" w:hAnsi="Arial" w:cs="Arial"/>
                <w:sz w:val="24"/>
                <w:szCs w:val="24"/>
              </w:rPr>
              <w:t xml:space="preserve"> 2023</w:t>
            </w:r>
          </w:p>
          <w:p w:rsidR="00A961A4" w:rsidRDefault="00A961A4" w:rsidP="007344A8">
            <w:pPr>
              <w:spacing w:after="0" w:line="360" w:lineRule="auto"/>
              <w:jc w:val="both"/>
              <w:rPr>
                <w:rFonts w:ascii="Arial" w:hAnsi="Arial" w:cs="Arial"/>
                <w:sz w:val="24"/>
                <w:szCs w:val="24"/>
              </w:rPr>
            </w:pPr>
            <w:r>
              <w:rPr>
                <w:rFonts w:ascii="Arial" w:hAnsi="Arial" w:cs="Arial"/>
                <w:b/>
                <w:bCs/>
                <w:sz w:val="24"/>
                <w:szCs w:val="24"/>
              </w:rPr>
              <w:t>Delivered</w:t>
            </w:r>
            <w:r w:rsidRPr="00082E52">
              <w:rPr>
                <w:rFonts w:ascii="Arial" w:hAnsi="Arial" w:cs="Arial"/>
                <w:b/>
                <w:sz w:val="24"/>
                <w:szCs w:val="24"/>
              </w:rPr>
              <w:t>:</w:t>
            </w:r>
            <w:r>
              <w:rPr>
                <w:rFonts w:ascii="Arial" w:hAnsi="Arial" w:cs="Arial"/>
                <w:sz w:val="24"/>
                <w:szCs w:val="24"/>
              </w:rPr>
              <w:tab/>
            </w:r>
            <w:r w:rsidRPr="00A961A4">
              <w:rPr>
                <w:rFonts w:ascii="Arial" w:hAnsi="Arial" w:cs="Arial"/>
                <w:sz w:val="24"/>
                <w:szCs w:val="24"/>
              </w:rPr>
              <w:t>6 June 2023</w:t>
            </w:r>
          </w:p>
          <w:p w:rsidR="00350874" w:rsidRPr="00530978" w:rsidRDefault="00350874" w:rsidP="007344A8">
            <w:pPr>
              <w:spacing w:after="0" w:line="360" w:lineRule="auto"/>
              <w:jc w:val="both"/>
              <w:rPr>
                <w:rFonts w:ascii="Arial" w:hAnsi="Arial" w:cs="Arial"/>
                <w:b/>
                <w:sz w:val="24"/>
                <w:szCs w:val="24"/>
              </w:rPr>
            </w:pPr>
          </w:p>
        </w:tc>
      </w:tr>
      <w:tr w:rsidR="00A961A4" w:rsidRPr="00530978" w:rsidTr="007344A8">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A961A4" w:rsidRPr="00530978" w:rsidRDefault="00A961A4" w:rsidP="00082E52">
            <w:pPr>
              <w:spacing w:after="0" w:line="360" w:lineRule="auto"/>
              <w:ind w:left="5"/>
              <w:jc w:val="both"/>
              <w:rPr>
                <w:rFonts w:ascii="Arial" w:hAnsi="Arial" w:cs="Arial"/>
                <w:iCs/>
                <w:sz w:val="24"/>
                <w:szCs w:val="24"/>
              </w:rPr>
            </w:pPr>
            <w:r w:rsidRPr="00530978">
              <w:rPr>
                <w:rFonts w:ascii="Arial" w:hAnsi="Arial" w:cs="Arial"/>
                <w:b/>
                <w:sz w:val="24"/>
                <w:szCs w:val="24"/>
              </w:rPr>
              <w:t xml:space="preserve">Neutral citation: </w:t>
            </w:r>
            <w:r w:rsidRPr="00530978">
              <w:rPr>
                <w:rFonts w:ascii="Arial" w:hAnsi="Arial" w:cs="Arial"/>
                <w:i/>
                <w:sz w:val="24"/>
                <w:szCs w:val="24"/>
              </w:rPr>
              <w:t xml:space="preserve"> </w:t>
            </w:r>
            <w:r>
              <w:rPr>
                <w:rFonts w:ascii="Arial" w:hAnsi="Arial" w:cs="Arial"/>
                <w:i/>
                <w:sz w:val="24"/>
                <w:szCs w:val="24"/>
              </w:rPr>
              <w:tab/>
            </w:r>
            <w:bookmarkStart w:id="0" w:name="_GoBack"/>
            <w:r>
              <w:rPr>
                <w:rFonts w:ascii="Arial" w:hAnsi="Arial" w:cs="Arial"/>
                <w:i/>
                <w:sz w:val="24"/>
                <w:szCs w:val="24"/>
              </w:rPr>
              <w:t xml:space="preserve">Heimstadt v Pronto Global Air and Ocean Freight CC </w:t>
            </w:r>
            <w:r>
              <w:rPr>
                <w:rFonts w:ascii="Arial" w:hAnsi="Arial" w:cs="Arial"/>
                <w:sz w:val="24"/>
                <w:szCs w:val="24"/>
              </w:rPr>
              <w:t>(HC-MD-CIV-ACT-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CON-2022/02528) [2023] NAHCMD </w:t>
            </w:r>
            <w:r w:rsidR="00082E52">
              <w:rPr>
                <w:rFonts w:ascii="Arial" w:hAnsi="Arial" w:cs="Arial"/>
                <w:sz w:val="24"/>
                <w:szCs w:val="24"/>
              </w:rPr>
              <w:t>294</w:t>
            </w:r>
            <w:r>
              <w:rPr>
                <w:rFonts w:ascii="Arial" w:hAnsi="Arial" w:cs="Arial"/>
                <w:sz w:val="24"/>
                <w:szCs w:val="24"/>
              </w:rPr>
              <w:t xml:space="preserve"> (6 June 2023)</w:t>
            </w:r>
            <w:bookmarkEnd w:id="0"/>
          </w:p>
        </w:tc>
      </w:tr>
      <w:tr w:rsidR="00A961A4" w:rsidRPr="00530978" w:rsidTr="00EF718F">
        <w:trPr>
          <w:trHeight w:val="70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A961A4" w:rsidRPr="00A961A4" w:rsidRDefault="00A961A4" w:rsidP="00A961A4">
            <w:pPr>
              <w:spacing w:after="0" w:line="360" w:lineRule="auto"/>
              <w:jc w:val="both"/>
              <w:rPr>
                <w:rFonts w:ascii="Arial" w:hAnsi="Arial" w:cs="Arial"/>
                <w:b/>
                <w:sz w:val="24"/>
                <w:szCs w:val="24"/>
              </w:rPr>
            </w:pPr>
            <w:r w:rsidRPr="00530978">
              <w:rPr>
                <w:rFonts w:ascii="Arial" w:hAnsi="Arial" w:cs="Arial"/>
                <w:b/>
                <w:sz w:val="24"/>
                <w:szCs w:val="24"/>
              </w:rPr>
              <w:t xml:space="preserve">The order: </w:t>
            </w:r>
            <w:r w:rsidRPr="00A961A4">
              <w:rPr>
                <w:rFonts w:ascii="Arial" w:hAnsi="Arial" w:cs="Arial"/>
                <w:sz w:val="24"/>
                <w:szCs w:val="24"/>
                <w:lang w:val="en-US"/>
              </w:rPr>
              <w:t xml:space="preserve"> </w:t>
            </w:r>
          </w:p>
          <w:p w:rsidR="00A961A4" w:rsidRDefault="00A961A4" w:rsidP="00A961A4">
            <w:pPr>
              <w:numPr>
                <w:ilvl w:val="0"/>
                <w:numId w:val="3"/>
              </w:num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The application for specific discovery is </w:t>
            </w:r>
            <w:r w:rsidR="009950D4">
              <w:rPr>
                <w:rFonts w:ascii="Arial" w:eastAsia="Times New Roman" w:hAnsi="Arial" w:cs="Arial"/>
                <w:sz w:val="24"/>
                <w:szCs w:val="24"/>
                <w:lang w:val="en-GB"/>
              </w:rPr>
              <w:t>refused</w:t>
            </w:r>
            <w:r>
              <w:rPr>
                <w:rFonts w:ascii="Arial" w:eastAsia="Times New Roman" w:hAnsi="Arial" w:cs="Arial"/>
                <w:sz w:val="24"/>
                <w:szCs w:val="24"/>
                <w:lang w:val="en-GB"/>
              </w:rPr>
              <w:t>.</w:t>
            </w:r>
          </w:p>
          <w:p w:rsidR="00A961A4" w:rsidRDefault="00A961A4" w:rsidP="00A961A4">
            <w:pPr>
              <w:numPr>
                <w:ilvl w:val="0"/>
                <w:numId w:val="3"/>
              </w:num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The plaintiff must pay the costs of the application subject to rule 32(11).</w:t>
            </w:r>
          </w:p>
          <w:p w:rsidR="00A961A4" w:rsidRDefault="00A961A4" w:rsidP="00A961A4">
            <w:pPr>
              <w:numPr>
                <w:ilvl w:val="0"/>
                <w:numId w:val="3"/>
              </w:num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The parties must file a joint case management report for the further conduct of the matter on or before 19 June 2023.</w:t>
            </w:r>
          </w:p>
          <w:p w:rsidR="00A961A4" w:rsidRDefault="00A961A4" w:rsidP="00A961A4">
            <w:pPr>
              <w:numPr>
                <w:ilvl w:val="0"/>
                <w:numId w:val="3"/>
              </w:numPr>
              <w:spacing w:after="0" w:line="360" w:lineRule="auto"/>
              <w:contextualSpacing/>
              <w:jc w:val="both"/>
              <w:rPr>
                <w:rFonts w:ascii="Arial" w:eastAsiaTheme="minorHAnsi" w:hAnsi="Arial" w:cs="Arial"/>
                <w:sz w:val="24"/>
                <w:szCs w:val="24"/>
                <w:lang w:val="en-US"/>
              </w:rPr>
            </w:pPr>
            <w:r>
              <w:rPr>
                <w:rFonts w:ascii="Arial" w:hAnsi="Arial" w:cs="Arial"/>
                <w:sz w:val="24"/>
                <w:szCs w:val="24"/>
              </w:rPr>
              <w:t xml:space="preserve">The matter is postponed to 22 June 2023 </w:t>
            </w:r>
            <w:r w:rsidR="00350874">
              <w:rPr>
                <w:rFonts w:ascii="Arial" w:hAnsi="Arial" w:cs="Arial"/>
                <w:sz w:val="24"/>
                <w:szCs w:val="24"/>
              </w:rPr>
              <w:t xml:space="preserve">at 08:30 </w:t>
            </w:r>
            <w:r>
              <w:rPr>
                <w:rFonts w:ascii="Arial" w:hAnsi="Arial" w:cs="Arial"/>
                <w:sz w:val="24"/>
                <w:szCs w:val="24"/>
              </w:rPr>
              <w:t>for a Case Management</w:t>
            </w:r>
            <w:r w:rsidR="00CB2694">
              <w:rPr>
                <w:rFonts w:ascii="Arial" w:hAnsi="Arial" w:cs="Arial"/>
                <w:sz w:val="24"/>
                <w:szCs w:val="24"/>
              </w:rPr>
              <w:t xml:space="preserve"> </w:t>
            </w:r>
            <w:r w:rsidR="001B0CFB">
              <w:rPr>
                <w:rFonts w:ascii="Arial" w:hAnsi="Arial" w:cs="Arial"/>
                <w:sz w:val="24"/>
                <w:szCs w:val="24"/>
              </w:rPr>
              <w:t xml:space="preserve">Conference </w:t>
            </w:r>
            <w:r>
              <w:rPr>
                <w:rFonts w:ascii="Arial" w:hAnsi="Arial" w:cs="Arial"/>
                <w:sz w:val="24"/>
                <w:szCs w:val="24"/>
              </w:rPr>
              <w:t>hearing.</w:t>
            </w:r>
          </w:p>
          <w:p w:rsidR="00A961A4" w:rsidRPr="00530978" w:rsidRDefault="00A961A4" w:rsidP="007344A8">
            <w:pPr>
              <w:pStyle w:val="ListParagraph"/>
              <w:spacing w:after="0" w:line="360" w:lineRule="auto"/>
              <w:jc w:val="both"/>
              <w:rPr>
                <w:rFonts w:ascii="Arial" w:hAnsi="Arial" w:cs="Arial"/>
                <w:sz w:val="24"/>
                <w:szCs w:val="24"/>
              </w:rPr>
            </w:pPr>
            <w:r w:rsidRPr="00530978">
              <w:rPr>
                <w:rFonts w:ascii="Arial" w:hAnsi="Arial" w:cs="Arial"/>
                <w:sz w:val="24"/>
                <w:szCs w:val="24"/>
              </w:rPr>
              <w:t xml:space="preserve">   </w:t>
            </w:r>
          </w:p>
        </w:tc>
      </w:tr>
      <w:tr w:rsidR="00A961A4" w:rsidRPr="00530978" w:rsidTr="00EF718F">
        <w:trPr>
          <w:trHeight w:val="70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A961A4" w:rsidRDefault="00A961A4" w:rsidP="007344A8">
            <w:pPr>
              <w:spacing w:after="0" w:line="360" w:lineRule="auto"/>
              <w:rPr>
                <w:rFonts w:ascii="Arial" w:hAnsi="Arial" w:cs="Arial"/>
                <w:sz w:val="24"/>
                <w:szCs w:val="24"/>
                <w:lang w:val="en-US"/>
              </w:rPr>
            </w:pPr>
          </w:p>
          <w:p w:rsidR="00A961A4" w:rsidRPr="00530978" w:rsidRDefault="00A961A4" w:rsidP="007344A8">
            <w:pPr>
              <w:spacing w:after="0" w:line="360" w:lineRule="auto"/>
              <w:rPr>
                <w:rFonts w:ascii="Arial" w:hAnsi="Arial" w:cs="Arial"/>
                <w:sz w:val="24"/>
                <w:szCs w:val="24"/>
                <w:lang w:val="en-US"/>
              </w:rPr>
            </w:pPr>
            <w:r w:rsidRPr="00530978">
              <w:rPr>
                <w:rFonts w:ascii="Arial" w:hAnsi="Arial" w:cs="Arial"/>
                <w:sz w:val="24"/>
                <w:szCs w:val="24"/>
                <w:lang w:val="en-US"/>
              </w:rPr>
              <w:t xml:space="preserve">SIBEYA J </w:t>
            </w:r>
          </w:p>
          <w:p w:rsidR="00A961A4" w:rsidRPr="00530978" w:rsidRDefault="00A961A4" w:rsidP="007344A8">
            <w:pPr>
              <w:spacing w:after="0" w:line="360" w:lineRule="auto"/>
              <w:jc w:val="both"/>
              <w:rPr>
                <w:rFonts w:ascii="Arial" w:hAnsi="Arial" w:cs="Arial"/>
                <w:sz w:val="24"/>
                <w:szCs w:val="24"/>
              </w:rPr>
            </w:pPr>
          </w:p>
          <w:p w:rsidR="00A961A4" w:rsidRPr="00530978" w:rsidRDefault="00A961A4" w:rsidP="007344A8">
            <w:pPr>
              <w:spacing w:after="0" w:line="360" w:lineRule="auto"/>
              <w:jc w:val="both"/>
              <w:rPr>
                <w:rFonts w:ascii="Arial" w:hAnsi="Arial" w:cs="Arial"/>
                <w:sz w:val="24"/>
                <w:szCs w:val="24"/>
                <w:u w:val="single"/>
              </w:rPr>
            </w:pPr>
            <w:r w:rsidRPr="00530978">
              <w:rPr>
                <w:rFonts w:ascii="Arial" w:hAnsi="Arial" w:cs="Arial"/>
                <w:sz w:val="24"/>
                <w:szCs w:val="24"/>
                <w:u w:val="single"/>
              </w:rPr>
              <w:t>Introduction</w:t>
            </w:r>
          </w:p>
          <w:p w:rsidR="00A961A4" w:rsidRPr="00530978" w:rsidRDefault="00A961A4" w:rsidP="007344A8">
            <w:pPr>
              <w:spacing w:after="0" w:line="360" w:lineRule="auto"/>
              <w:jc w:val="both"/>
              <w:rPr>
                <w:rFonts w:ascii="Arial" w:hAnsi="Arial" w:cs="Arial"/>
                <w:sz w:val="24"/>
              </w:rPr>
            </w:pPr>
            <w:r w:rsidRPr="00530978">
              <w:rPr>
                <w:rFonts w:ascii="Arial" w:hAnsi="Arial" w:cs="Arial"/>
                <w:sz w:val="24"/>
                <w:szCs w:val="24"/>
              </w:rPr>
              <w:tab/>
            </w:r>
          </w:p>
          <w:p w:rsidR="00A961A4" w:rsidRPr="00A961A4" w:rsidRDefault="00A961A4" w:rsidP="00A961A4">
            <w:pPr>
              <w:numPr>
                <w:ilvl w:val="0"/>
                <w:numId w:val="4"/>
              </w:numPr>
              <w:spacing w:after="0" w:line="360" w:lineRule="auto"/>
              <w:ind w:left="0" w:firstLine="0"/>
              <w:contextualSpacing/>
              <w:jc w:val="both"/>
              <w:rPr>
                <w:rFonts w:ascii="Arial" w:hAnsi="Arial" w:cs="Arial"/>
                <w:sz w:val="24"/>
                <w:szCs w:val="24"/>
                <w:lang w:val="en-US"/>
              </w:rPr>
            </w:pPr>
            <w:r w:rsidRPr="00A961A4">
              <w:rPr>
                <w:rFonts w:ascii="Arial" w:hAnsi="Arial" w:cs="Arial"/>
                <w:sz w:val="24"/>
                <w:szCs w:val="24"/>
                <w:lang w:val="en-US"/>
              </w:rPr>
              <w:t>The sole question for determination is the sustainability of an application for specific discovery of complete bank statements and other</w:t>
            </w:r>
            <w:r w:rsidR="00CB2694">
              <w:rPr>
                <w:rFonts w:ascii="Arial" w:hAnsi="Arial" w:cs="Arial"/>
                <w:sz w:val="24"/>
                <w:szCs w:val="24"/>
                <w:lang w:val="en-US"/>
              </w:rPr>
              <w:t xml:space="preserve"> financial</w:t>
            </w:r>
            <w:r w:rsidRPr="00A961A4">
              <w:rPr>
                <w:rFonts w:ascii="Arial" w:hAnsi="Arial" w:cs="Arial"/>
                <w:sz w:val="24"/>
                <w:szCs w:val="24"/>
                <w:lang w:val="en-US"/>
              </w:rPr>
              <w:t xml:space="preserve"> documents in an action between the parties. </w:t>
            </w:r>
          </w:p>
          <w:p w:rsidR="00A961A4" w:rsidRPr="00A961A4" w:rsidRDefault="00A961A4" w:rsidP="00A961A4">
            <w:pPr>
              <w:spacing w:after="0" w:line="360" w:lineRule="auto"/>
              <w:contextualSpacing/>
              <w:jc w:val="both"/>
              <w:rPr>
                <w:rFonts w:ascii="Arial" w:hAnsi="Arial" w:cs="Arial"/>
                <w:sz w:val="24"/>
                <w:szCs w:val="24"/>
                <w:lang w:val="en-US"/>
              </w:rPr>
            </w:pPr>
          </w:p>
          <w:p w:rsidR="00A961A4" w:rsidRPr="00A961A4" w:rsidRDefault="00A961A4" w:rsidP="00A961A4">
            <w:pPr>
              <w:spacing w:after="0" w:line="360" w:lineRule="auto"/>
              <w:contextualSpacing/>
              <w:jc w:val="both"/>
              <w:rPr>
                <w:rFonts w:ascii="Arial" w:hAnsi="Arial" w:cs="Arial"/>
                <w:sz w:val="24"/>
                <w:u w:val="single"/>
                <w:lang w:val="en-US"/>
              </w:rPr>
            </w:pPr>
            <w:r w:rsidRPr="00A961A4">
              <w:rPr>
                <w:rFonts w:ascii="Arial" w:hAnsi="Arial" w:cs="Arial"/>
                <w:sz w:val="24"/>
                <w:u w:val="single"/>
                <w:lang w:val="en-US"/>
              </w:rPr>
              <w:t>The parties and their representation</w:t>
            </w:r>
          </w:p>
          <w:p w:rsidR="00A961A4" w:rsidRPr="00A961A4" w:rsidRDefault="00A961A4" w:rsidP="00A961A4">
            <w:pPr>
              <w:spacing w:after="0" w:line="360" w:lineRule="auto"/>
              <w:contextualSpacing/>
              <w:jc w:val="both"/>
              <w:rPr>
                <w:rFonts w:ascii="Arial" w:hAnsi="Arial" w:cs="Arial"/>
                <w:sz w:val="24"/>
                <w:szCs w:val="24"/>
                <w:lang w:val="en-US"/>
              </w:rPr>
            </w:pPr>
          </w:p>
          <w:p w:rsidR="00A961A4" w:rsidRPr="00A961A4" w:rsidRDefault="00A961A4" w:rsidP="00A961A4">
            <w:pPr>
              <w:numPr>
                <w:ilvl w:val="0"/>
                <w:numId w:val="4"/>
              </w:numPr>
              <w:spacing w:after="0" w:line="360" w:lineRule="auto"/>
              <w:ind w:left="0" w:firstLine="0"/>
              <w:contextualSpacing/>
              <w:jc w:val="both"/>
              <w:rPr>
                <w:rFonts w:ascii="Arial" w:hAnsi="Arial" w:cs="Arial"/>
                <w:sz w:val="24"/>
                <w:szCs w:val="24"/>
                <w:lang w:val="en-US"/>
              </w:rPr>
            </w:pPr>
            <w:r w:rsidRPr="00A961A4">
              <w:rPr>
                <w:rFonts w:ascii="Arial" w:hAnsi="Arial" w:cs="Arial"/>
                <w:sz w:val="24"/>
                <w:lang w:val="en-US"/>
              </w:rPr>
              <w:t xml:space="preserve">The plaintiff is Mr Erich Otto Heimstadt, an adult businessman, residing </w:t>
            </w:r>
            <w:r w:rsidR="009950D4">
              <w:rPr>
                <w:rFonts w:ascii="Arial" w:hAnsi="Arial" w:cs="Arial"/>
                <w:sz w:val="24"/>
                <w:lang w:val="en-US"/>
              </w:rPr>
              <w:t xml:space="preserve">in </w:t>
            </w:r>
            <w:r w:rsidRPr="00A961A4">
              <w:rPr>
                <w:rFonts w:ascii="Arial" w:hAnsi="Arial" w:cs="Arial"/>
                <w:sz w:val="24"/>
                <w:lang w:val="en-US"/>
              </w:rPr>
              <w:t>Walvis Bay, Republic of Namibia</w:t>
            </w:r>
          </w:p>
          <w:p w:rsidR="00A961A4" w:rsidRPr="00A961A4" w:rsidRDefault="00A961A4" w:rsidP="00A961A4">
            <w:pPr>
              <w:spacing w:after="0" w:line="360" w:lineRule="auto"/>
              <w:contextualSpacing/>
              <w:jc w:val="both"/>
              <w:rPr>
                <w:rFonts w:ascii="Arial" w:hAnsi="Arial" w:cs="Arial"/>
                <w:sz w:val="24"/>
                <w:szCs w:val="24"/>
                <w:lang w:val="en-US"/>
              </w:rPr>
            </w:pPr>
          </w:p>
          <w:p w:rsidR="00A961A4" w:rsidRPr="00A961A4" w:rsidRDefault="00A961A4" w:rsidP="00A961A4">
            <w:pPr>
              <w:numPr>
                <w:ilvl w:val="0"/>
                <w:numId w:val="4"/>
              </w:numPr>
              <w:spacing w:after="0" w:line="360" w:lineRule="auto"/>
              <w:ind w:left="0" w:firstLine="0"/>
              <w:contextualSpacing/>
              <w:jc w:val="both"/>
              <w:rPr>
                <w:rFonts w:ascii="Arial" w:hAnsi="Arial" w:cs="Arial"/>
                <w:sz w:val="24"/>
                <w:szCs w:val="24"/>
                <w:lang w:val="en-US"/>
              </w:rPr>
            </w:pPr>
            <w:r w:rsidRPr="00A961A4">
              <w:rPr>
                <w:rFonts w:ascii="Arial" w:hAnsi="Arial" w:cs="Arial"/>
                <w:sz w:val="24"/>
                <w:lang w:val="en-US"/>
              </w:rPr>
              <w:t xml:space="preserve">The first defendant is Pronto Global Air and Ocean Freight CC, a close corporation duly registered </w:t>
            </w:r>
            <w:r w:rsidR="009950D4">
              <w:rPr>
                <w:rFonts w:ascii="Arial" w:hAnsi="Arial" w:cs="Arial"/>
                <w:sz w:val="24"/>
                <w:lang w:val="en-US"/>
              </w:rPr>
              <w:t>according to the laws of the R</w:t>
            </w:r>
            <w:r w:rsidRPr="00A961A4">
              <w:rPr>
                <w:rFonts w:ascii="Arial" w:hAnsi="Arial" w:cs="Arial"/>
                <w:sz w:val="24"/>
                <w:lang w:val="en-US"/>
              </w:rPr>
              <w:t xml:space="preserve">epublic of Namibia </w:t>
            </w:r>
            <w:r w:rsidR="009950D4">
              <w:rPr>
                <w:rFonts w:ascii="Arial" w:hAnsi="Arial" w:cs="Arial"/>
                <w:sz w:val="24"/>
                <w:lang w:val="en-US"/>
              </w:rPr>
              <w:t xml:space="preserve">with </w:t>
            </w:r>
            <w:r w:rsidR="00082E52">
              <w:rPr>
                <w:rFonts w:ascii="Arial" w:hAnsi="Arial" w:cs="Arial"/>
                <w:sz w:val="24"/>
                <w:lang w:val="en-US"/>
              </w:rPr>
              <w:t xml:space="preserve">its </w:t>
            </w:r>
            <w:r w:rsidRPr="00A961A4">
              <w:rPr>
                <w:rFonts w:ascii="Arial" w:hAnsi="Arial" w:cs="Arial"/>
                <w:sz w:val="24"/>
                <w:lang w:val="en-US"/>
              </w:rPr>
              <w:t xml:space="preserve">main place of business </w:t>
            </w:r>
            <w:r w:rsidR="009950D4">
              <w:rPr>
                <w:rFonts w:ascii="Arial" w:hAnsi="Arial" w:cs="Arial"/>
                <w:sz w:val="24"/>
                <w:lang w:val="en-US"/>
              </w:rPr>
              <w:t xml:space="preserve">situated </w:t>
            </w:r>
            <w:r w:rsidRPr="00A961A4">
              <w:rPr>
                <w:rFonts w:ascii="Arial" w:hAnsi="Arial" w:cs="Arial"/>
                <w:sz w:val="24"/>
                <w:lang w:val="en-US"/>
              </w:rPr>
              <w:t xml:space="preserve">at 3 Diesel Street, Southern Industrial Area, Windhoek, Republic of Namibia. </w:t>
            </w:r>
          </w:p>
          <w:p w:rsidR="00A961A4" w:rsidRPr="00A961A4" w:rsidRDefault="00A961A4" w:rsidP="00A961A4">
            <w:pPr>
              <w:spacing w:after="0" w:line="360" w:lineRule="auto"/>
              <w:contextualSpacing/>
              <w:jc w:val="both"/>
              <w:rPr>
                <w:rFonts w:ascii="Arial" w:hAnsi="Arial" w:cs="Arial"/>
                <w:sz w:val="24"/>
                <w:szCs w:val="24"/>
                <w:lang w:val="en-US"/>
              </w:rPr>
            </w:pPr>
          </w:p>
          <w:p w:rsidR="00A961A4" w:rsidRPr="00A961A4" w:rsidRDefault="00A961A4" w:rsidP="00A961A4">
            <w:pPr>
              <w:numPr>
                <w:ilvl w:val="0"/>
                <w:numId w:val="4"/>
              </w:numPr>
              <w:spacing w:after="0" w:line="360" w:lineRule="auto"/>
              <w:ind w:left="0" w:firstLine="0"/>
              <w:contextualSpacing/>
              <w:jc w:val="both"/>
              <w:rPr>
                <w:rFonts w:ascii="Arial" w:hAnsi="Arial" w:cs="Arial"/>
                <w:sz w:val="24"/>
                <w:szCs w:val="24"/>
                <w:lang w:val="en-US"/>
              </w:rPr>
            </w:pPr>
            <w:r w:rsidRPr="00A961A4">
              <w:rPr>
                <w:rFonts w:ascii="Arial" w:hAnsi="Arial" w:cs="Arial"/>
                <w:sz w:val="24"/>
                <w:lang w:val="en-US"/>
              </w:rPr>
              <w:t xml:space="preserve">The second defendant is Mr Peter Andre De Villiers, an adult businessman and member of </w:t>
            </w:r>
            <w:r w:rsidR="00082E52">
              <w:rPr>
                <w:rFonts w:ascii="Arial" w:hAnsi="Arial" w:cs="Arial"/>
                <w:sz w:val="24"/>
                <w:lang w:val="en-US"/>
              </w:rPr>
              <w:t xml:space="preserve">the </w:t>
            </w:r>
            <w:r w:rsidRPr="00A961A4">
              <w:rPr>
                <w:rFonts w:ascii="Arial" w:hAnsi="Arial" w:cs="Arial"/>
                <w:sz w:val="24"/>
                <w:lang w:val="en-US"/>
              </w:rPr>
              <w:t xml:space="preserve">first defendant residing </w:t>
            </w:r>
            <w:r w:rsidR="009950D4">
              <w:rPr>
                <w:rFonts w:ascii="Arial" w:hAnsi="Arial" w:cs="Arial"/>
                <w:sz w:val="24"/>
                <w:lang w:val="en-US"/>
              </w:rPr>
              <w:t xml:space="preserve">in </w:t>
            </w:r>
            <w:r w:rsidRPr="00A961A4">
              <w:rPr>
                <w:rFonts w:ascii="Arial" w:hAnsi="Arial" w:cs="Arial"/>
                <w:sz w:val="24"/>
                <w:lang w:val="en-US"/>
              </w:rPr>
              <w:t>Swakopmund, Republic of Namibia.</w:t>
            </w:r>
          </w:p>
          <w:p w:rsidR="00A961A4" w:rsidRPr="00A961A4" w:rsidRDefault="00A961A4" w:rsidP="00A961A4">
            <w:pPr>
              <w:spacing w:after="0" w:line="360" w:lineRule="auto"/>
              <w:contextualSpacing/>
              <w:jc w:val="both"/>
              <w:rPr>
                <w:rFonts w:ascii="Arial" w:hAnsi="Arial" w:cs="Arial"/>
                <w:sz w:val="24"/>
                <w:szCs w:val="24"/>
                <w:lang w:val="en-US"/>
              </w:rPr>
            </w:pPr>
          </w:p>
          <w:p w:rsidR="00A961A4" w:rsidRPr="00A961A4" w:rsidRDefault="00A961A4" w:rsidP="00A961A4">
            <w:pPr>
              <w:numPr>
                <w:ilvl w:val="0"/>
                <w:numId w:val="4"/>
              </w:numPr>
              <w:spacing w:after="0" w:line="360" w:lineRule="auto"/>
              <w:ind w:left="0" w:firstLine="0"/>
              <w:contextualSpacing/>
              <w:jc w:val="both"/>
              <w:rPr>
                <w:rFonts w:ascii="Arial" w:hAnsi="Arial" w:cs="Arial"/>
                <w:sz w:val="24"/>
                <w:szCs w:val="24"/>
                <w:lang w:val="en-US"/>
              </w:rPr>
            </w:pPr>
            <w:r w:rsidRPr="00A961A4">
              <w:rPr>
                <w:rFonts w:ascii="Arial" w:hAnsi="Arial" w:cs="Arial"/>
                <w:sz w:val="24"/>
                <w:lang w:val="en-US"/>
              </w:rPr>
              <w:t xml:space="preserve">The third defendant is </w:t>
            </w:r>
            <w:r w:rsidR="009950D4">
              <w:rPr>
                <w:rFonts w:ascii="Arial" w:hAnsi="Arial" w:cs="Arial"/>
                <w:sz w:val="24"/>
                <w:lang w:val="en-US"/>
              </w:rPr>
              <w:t xml:space="preserve">Ms </w:t>
            </w:r>
            <w:r w:rsidRPr="00A961A4">
              <w:rPr>
                <w:rFonts w:ascii="Arial" w:hAnsi="Arial" w:cs="Arial"/>
                <w:sz w:val="24"/>
                <w:lang w:val="en-US"/>
              </w:rPr>
              <w:t xml:space="preserve">Simone Isabella De Villiers, an adult businesswoman residing </w:t>
            </w:r>
            <w:r w:rsidR="009950D4">
              <w:rPr>
                <w:rFonts w:ascii="Arial" w:hAnsi="Arial" w:cs="Arial"/>
                <w:sz w:val="24"/>
                <w:lang w:val="en-US"/>
              </w:rPr>
              <w:t xml:space="preserve">in </w:t>
            </w:r>
            <w:r w:rsidRPr="00A961A4">
              <w:rPr>
                <w:rFonts w:ascii="Arial" w:hAnsi="Arial" w:cs="Arial"/>
                <w:sz w:val="24"/>
                <w:lang w:val="en-US"/>
              </w:rPr>
              <w:t xml:space="preserve">Swakopmund, Republic of Namibia. </w:t>
            </w:r>
          </w:p>
          <w:p w:rsidR="00A961A4" w:rsidRPr="00A961A4" w:rsidRDefault="00A961A4" w:rsidP="00A961A4">
            <w:pPr>
              <w:spacing w:line="256" w:lineRule="auto"/>
              <w:ind w:left="720"/>
              <w:contextualSpacing/>
              <w:rPr>
                <w:rFonts w:ascii="Arial" w:eastAsia="MS Mincho" w:hAnsi="Arial"/>
                <w:sz w:val="24"/>
                <w:szCs w:val="24"/>
                <w:lang w:val="en-GB"/>
              </w:rPr>
            </w:pPr>
          </w:p>
          <w:p w:rsidR="00A961A4" w:rsidRPr="00A961A4" w:rsidRDefault="009950D4" w:rsidP="00A961A4">
            <w:pPr>
              <w:numPr>
                <w:ilvl w:val="0"/>
                <w:numId w:val="4"/>
              </w:numPr>
              <w:spacing w:after="0" w:line="360" w:lineRule="auto"/>
              <w:ind w:left="0" w:firstLine="0"/>
              <w:contextualSpacing/>
              <w:jc w:val="both"/>
              <w:rPr>
                <w:rFonts w:ascii="Arial" w:hAnsi="Arial" w:cs="Arial"/>
                <w:sz w:val="24"/>
                <w:szCs w:val="24"/>
                <w:lang w:val="en-US"/>
              </w:rPr>
            </w:pPr>
            <w:r>
              <w:rPr>
                <w:rFonts w:ascii="Arial" w:eastAsia="MS Mincho" w:hAnsi="Arial"/>
                <w:sz w:val="24"/>
                <w:szCs w:val="24"/>
                <w:lang w:val="en-GB"/>
              </w:rPr>
              <w:lastRenderedPageBreak/>
              <w:t>Mr Olivier appears</w:t>
            </w:r>
            <w:r w:rsidR="00A961A4" w:rsidRPr="00A961A4">
              <w:rPr>
                <w:rFonts w:ascii="Arial" w:eastAsia="MS Mincho" w:hAnsi="Arial"/>
                <w:sz w:val="24"/>
                <w:szCs w:val="24"/>
                <w:lang w:val="en-GB"/>
              </w:rPr>
              <w:t xml:space="preserve"> on behalf of the plain</w:t>
            </w:r>
            <w:r>
              <w:rPr>
                <w:rFonts w:ascii="Arial" w:eastAsia="MS Mincho" w:hAnsi="Arial"/>
                <w:sz w:val="24"/>
                <w:szCs w:val="24"/>
                <w:lang w:val="en-GB"/>
              </w:rPr>
              <w:t>tiff, whereas Mr Mouton appears for th</w:t>
            </w:r>
            <w:r w:rsidR="00A961A4" w:rsidRPr="00A961A4">
              <w:rPr>
                <w:rFonts w:ascii="Arial" w:eastAsia="MS Mincho" w:hAnsi="Arial"/>
                <w:sz w:val="24"/>
                <w:szCs w:val="24"/>
                <w:lang w:val="en-GB"/>
              </w:rPr>
              <w:t xml:space="preserve">e defendants. The court records its indebtedness to both counsel for the assistance they dutifully rendered to the court. </w:t>
            </w:r>
          </w:p>
          <w:p w:rsidR="00A961A4" w:rsidRPr="00A961A4" w:rsidRDefault="00A961A4" w:rsidP="00A961A4">
            <w:pPr>
              <w:spacing w:after="0" w:line="360" w:lineRule="auto"/>
              <w:contextualSpacing/>
              <w:jc w:val="both"/>
              <w:rPr>
                <w:rFonts w:ascii="Arial" w:hAnsi="Arial" w:cs="Arial"/>
                <w:sz w:val="24"/>
                <w:szCs w:val="24"/>
                <w:lang w:val="en-US"/>
              </w:rPr>
            </w:pPr>
          </w:p>
          <w:p w:rsidR="00A961A4" w:rsidRPr="00A961A4" w:rsidRDefault="00A961A4" w:rsidP="00A961A4">
            <w:pPr>
              <w:spacing w:after="0" w:line="360" w:lineRule="auto"/>
              <w:contextualSpacing/>
              <w:jc w:val="both"/>
              <w:rPr>
                <w:rFonts w:ascii="Arial" w:hAnsi="Arial" w:cs="Arial"/>
                <w:sz w:val="24"/>
                <w:szCs w:val="24"/>
                <w:u w:val="single"/>
                <w:lang w:val="en-US"/>
              </w:rPr>
            </w:pPr>
            <w:r w:rsidRPr="00A961A4">
              <w:rPr>
                <w:rFonts w:ascii="Arial" w:hAnsi="Arial" w:cs="Arial"/>
                <w:sz w:val="24"/>
                <w:szCs w:val="24"/>
                <w:u w:val="single"/>
                <w:lang w:val="en-US"/>
              </w:rPr>
              <w:t>The background</w:t>
            </w:r>
          </w:p>
          <w:p w:rsidR="00A961A4" w:rsidRPr="00A961A4" w:rsidRDefault="00A961A4" w:rsidP="00A961A4">
            <w:pPr>
              <w:spacing w:line="256" w:lineRule="auto"/>
              <w:ind w:left="720"/>
              <w:contextualSpacing/>
              <w:rPr>
                <w:rFonts w:ascii="Arial" w:hAnsi="Arial" w:cs="Arial"/>
                <w:sz w:val="24"/>
                <w:szCs w:val="24"/>
                <w:lang w:val="en-US"/>
              </w:rPr>
            </w:pPr>
          </w:p>
          <w:p w:rsidR="00A961A4" w:rsidRPr="00A961A4" w:rsidRDefault="00A961A4" w:rsidP="00A961A4">
            <w:pPr>
              <w:numPr>
                <w:ilvl w:val="0"/>
                <w:numId w:val="4"/>
              </w:numPr>
              <w:spacing w:after="0" w:line="360" w:lineRule="auto"/>
              <w:ind w:left="0" w:firstLine="0"/>
              <w:contextualSpacing/>
              <w:jc w:val="both"/>
              <w:rPr>
                <w:rFonts w:ascii="Arial" w:hAnsi="Arial" w:cs="Arial"/>
                <w:sz w:val="24"/>
                <w:szCs w:val="24"/>
                <w:lang w:val="en-US"/>
              </w:rPr>
            </w:pPr>
            <w:r w:rsidRPr="00A961A4">
              <w:rPr>
                <w:rFonts w:ascii="Arial" w:hAnsi="Arial" w:cs="Arial"/>
                <w:sz w:val="24"/>
                <w:szCs w:val="24"/>
                <w:lang w:val="en-US"/>
              </w:rPr>
              <w:t>According to the parties</w:t>
            </w:r>
            <w:r w:rsidR="00082E52">
              <w:rPr>
                <w:rFonts w:ascii="Arial" w:hAnsi="Arial" w:cs="Arial"/>
                <w:sz w:val="24"/>
                <w:szCs w:val="24"/>
                <w:lang w:val="en-US"/>
              </w:rPr>
              <w:t>,</w:t>
            </w:r>
            <w:r w:rsidRPr="00A961A4">
              <w:rPr>
                <w:rFonts w:ascii="Arial" w:hAnsi="Arial" w:cs="Arial"/>
                <w:sz w:val="24"/>
                <w:szCs w:val="24"/>
                <w:lang w:val="en-US"/>
              </w:rPr>
              <w:t xml:space="preserve"> the plaintiff was to manage a business in Walvis Bay for the first defendant. The business included conducting clearing, forwarding and logistics services</w:t>
            </w:r>
            <w:r w:rsidR="00082E52">
              <w:rPr>
                <w:rFonts w:ascii="Arial" w:hAnsi="Arial" w:cs="Arial"/>
                <w:sz w:val="24"/>
                <w:szCs w:val="24"/>
                <w:lang w:val="en-US"/>
              </w:rPr>
              <w:t>.</w:t>
            </w:r>
            <w:r w:rsidR="00CB2694">
              <w:rPr>
                <w:rFonts w:ascii="Arial" w:hAnsi="Arial" w:cs="Arial"/>
                <w:sz w:val="24"/>
                <w:szCs w:val="24"/>
                <w:lang w:val="en-US"/>
              </w:rPr>
              <w:t xml:space="preserve"> The idea was that the business be</w:t>
            </w:r>
            <w:r w:rsidRPr="00A961A4">
              <w:rPr>
                <w:rFonts w:ascii="Arial" w:hAnsi="Arial" w:cs="Arial"/>
                <w:sz w:val="24"/>
                <w:szCs w:val="24"/>
                <w:lang w:val="en-US"/>
              </w:rPr>
              <w:t xml:space="preserve"> similar to the business conducted by </w:t>
            </w:r>
            <w:r w:rsidR="00082E52">
              <w:rPr>
                <w:rFonts w:ascii="Arial" w:hAnsi="Arial" w:cs="Arial"/>
                <w:sz w:val="24"/>
                <w:szCs w:val="24"/>
                <w:lang w:val="en-US"/>
              </w:rPr>
              <w:t xml:space="preserve">the </w:t>
            </w:r>
            <w:r w:rsidRPr="00A961A4">
              <w:rPr>
                <w:rFonts w:ascii="Arial" w:hAnsi="Arial" w:cs="Arial"/>
                <w:sz w:val="24"/>
                <w:szCs w:val="24"/>
                <w:lang w:val="en-US"/>
              </w:rPr>
              <w:t>first defendant in Windhoek</w:t>
            </w:r>
            <w:r w:rsidR="00082E52">
              <w:rPr>
                <w:rFonts w:ascii="Arial" w:hAnsi="Arial" w:cs="Arial"/>
                <w:sz w:val="24"/>
                <w:szCs w:val="24"/>
                <w:lang w:val="en-US"/>
              </w:rPr>
              <w:t>,</w:t>
            </w:r>
            <w:r w:rsidRPr="00A961A4">
              <w:rPr>
                <w:rFonts w:ascii="Arial" w:hAnsi="Arial" w:cs="Arial"/>
                <w:sz w:val="24"/>
                <w:szCs w:val="24"/>
                <w:lang w:val="en-US"/>
              </w:rPr>
              <w:t xml:space="preserve"> but with a distinct target market </w:t>
            </w:r>
            <w:r w:rsidR="00CB2694">
              <w:rPr>
                <w:rFonts w:ascii="Arial" w:hAnsi="Arial" w:cs="Arial"/>
                <w:sz w:val="24"/>
                <w:szCs w:val="24"/>
                <w:lang w:val="en-US"/>
              </w:rPr>
              <w:t>from that of first defendant</w:t>
            </w:r>
            <w:r w:rsidRPr="00A961A4">
              <w:rPr>
                <w:rFonts w:ascii="Arial" w:hAnsi="Arial" w:cs="Arial"/>
                <w:sz w:val="24"/>
                <w:szCs w:val="24"/>
                <w:lang w:val="en-US"/>
              </w:rPr>
              <w:t xml:space="preserve"> and limited to mostly the clearing, forwarding and logistics services of hunting trophies.</w:t>
            </w:r>
          </w:p>
          <w:p w:rsidR="00A961A4" w:rsidRPr="00A961A4" w:rsidRDefault="00A961A4" w:rsidP="00A961A4">
            <w:pPr>
              <w:spacing w:after="0" w:line="360" w:lineRule="auto"/>
              <w:contextualSpacing/>
              <w:jc w:val="both"/>
              <w:rPr>
                <w:rFonts w:ascii="Arial" w:hAnsi="Arial" w:cs="Arial"/>
                <w:sz w:val="24"/>
                <w:szCs w:val="24"/>
                <w:lang w:val="en-US"/>
              </w:rPr>
            </w:pPr>
          </w:p>
          <w:p w:rsidR="00A961A4" w:rsidRPr="00A961A4" w:rsidRDefault="00A961A4" w:rsidP="00A961A4">
            <w:pPr>
              <w:numPr>
                <w:ilvl w:val="0"/>
                <w:numId w:val="4"/>
              </w:numPr>
              <w:spacing w:after="0" w:line="360" w:lineRule="auto"/>
              <w:ind w:left="0" w:firstLine="0"/>
              <w:contextualSpacing/>
              <w:jc w:val="both"/>
              <w:rPr>
                <w:rFonts w:ascii="Arial" w:hAnsi="Arial" w:cs="Arial"/>
                <w:sz w:val="24"/>
                <w:szCs w:val="24"/>
                <w:lang w:val="en-US"/>
              </w:rPr>
            </w:pPr>
            <w:r w:rsidRPr="00A961A4">
              <w:rPr>
                <w:rFonts w:ascii="Arial" w:hAnsi="Arial" w:cs="Arial"/>
                <w:sz w:val="24"/>
                <w:szCs w:val="24"/>
                <w:lang w:val="en-US"/>
              </w:rPr>
              <w:t xml:space="preserve">Furthermore, the defendants would be obliged to keep separate books of account of </w:t>
            </w:r>
            <w:r w:rsidR="00082E52">
              <w:rPr>
                <w:rFonts w:ascii="Arial" w:hAnsi="Arial" w:cs="Arial"/>
                <w:sz w:val="24"/>
                <w:szCs w:val="24"/>
                <w:lang w:val="en-US"/>
              </w:rPr>
              <w:t xml:space="preserve">the </w:t>
            </w:r>
            <w:r w:rsidRPr="00A961A4">
              <w:rPr>
                <w:rFonts w:ascii="Arial" w:hAnsi="Arial" w:cs="Arial"/>
                <w:sz w:val="24"/>
                <w:szCs w:val="24"/>
                <w:lang w:val="en-US"/>
              </w:rPr>
              <w:t>first defendant and would also open and maintain separate bank accounts of</w:t>
            </w:r>
            <w:r w:rsidR="00997F00">
              <w:rPr>
                <w:rFonts w:ascii="Arial" w:hAnsi="Arial" w:cs="Arial"/>
                <w:sz w:val="24"/>
                <w:szCs w:val="24"/>
                <w:lang w:val="en-US"/>
              </w:rPr>
              <w:t xml:space="preserve"> the</w:t>
            </w:r>
            <w:r w:rsidRPr="00A961A4">
              <w:rPr>
                <w:rFonts w:ascii="Arial" w:hAnsi="Arial" w:cs="Arial"/>
                <w:sz w:val="24"/>
                <w:szCs w:val="24"/>
                <w:lang w:val="en-US"/>
              </w:rPr>
              <w:t xml:space="preserve"> first defendant, relating to the Walvis Bay business to be so established in terms of the agreement.</w:t>
            </w:r>
          </w:p>
          <w:p w:rsidR="00A961A4" w:rsidRPr="00A961A4" w:rsidRDefault="00A961A4" w:rsidP="00A961A4">
            <w:pPr>
              <w:spacing w:line="256" w:lineRule="auto"/>
              <w:ind w:left="720"/>
              <w:contextualSpacing/>
              <w:rPr>
                <w:rFonts w:ascii="Arial" w:hAnsi="Arial" w:cs="Arial"/>
                <w:sz w:val="24"/>
                <w:szCs w:val="24"/>
                <w:lang w:val="en-US"/>
              </w:rPr>
            </w:pPr>
          </w:p>
          <w:p w:rsidR="00A961A4" w:rsidRPr="00A961A4" w:rsidRDefault="00A961A4" w:rsidP="00A961A4">
            <w:pPr>
              <w:numPr>
                <w:ilvl w:val="0"/>
                <w:numId w:val="4"/>
              </w:numPr>
              <w:spacing w:after="0" w:line="360" w:lineRule="auto"/>
              <w:ind w:left="0" w:firstLine="0"/>
              <w:contextualSpacing/>
              <w:jc w:val="both"/>
              <w:rPr>
                <w:rFonts w:ascii="Arial" w:hAnsi="Arial" w:cs="Arial"/>
                <w:sz w:val="24"/>
                <w:szCs w:val="24"/>
                <w:lang w:val="en-GB"/>
              </w:rPr>
            </w:pPr>
            <w:r w:rsidRPr="00A961A4">
              <w:rPr>
                <w:rFonts w:ascii="Arial" w:hAnsi="Arial" w:cs="Arial"/>
                <w:sz w:val="24"/>
                <w:szCs w:val="24"/>
                <w:lang w:val="en-US"/>
              </w:rPr>
              <w:t>The court in the case plan order dated 28 July 2022 ordered the parties to file their discovery affidavits and exchange bundles of discovered documents on or before 29 September 2022. The parties complied. Dissatisfied with the documents discovered by the defendants, the plaintiff filed a notice in terms of rule 28(8)(</w:t>
            </w:r>
            <w:r w:rsidRPr="00A961A4">
              <w:rPr>
                <w:rFonts w:ascii="Arial" w:hAnsi="Arial" w:cs="Arial"/>
                <w:i/>
                <w:sz w:val="24"/>
                <w:szCs w:val="24"/>
                <w:lang w:val="en-US"/>
              </w:rPr>
              <w:t>a</w:t>
            </w:r>
            <w:r w:rsidRPr="00A961A4">
              <w:rPr>
                <w:rFonts w:ascii="Arial" w:hAnsi="Arial" w:cs="Arial"/>
                <w:sz w:val="24"/>
                <w:szCs w:val="24"/>
                <w:lang w:val="en-US"/>
              </w:rPr>
              <w:t>) of th</w:t>
            </w:r>
            <w:r w:rsidR="007F4ED5">
              <w:rPr>
                <w:rFonts w:ascii="Arial" w:hAnsi="Arial" w:cs="Arial"/>
                <w:sz w:val="24"/>
                <w:szCs w:val="24"/>
                <w:lang w:val="en-US"/>
              </w:rPr>
              <w:t xml:space="preserve">is court’s rules to request </w:t>
            </w:r>
            <w:r w:rsidRPr="00A961A4">
              <w:rPr>
                <w:rFonts w:ascii="Arial" w:hAnsi="Arial" w:cs="Arial"/>
                <w:sz w:val="24"/>
                <w:szCs w:val="24"/>
                <w:lang w:val="en-US"/>
              </w:rPr>
              <w:t xml:space="preserve">the defendants to discover additional documents. </w:t>
            </w:r>
            <w:r w:rsidRPr="00A961A4">
              <w:rPr>
                <w:rFonts w:ascii="Arial" w:hAnsi="Arial" w:cs="Arial"/>
                <w:sz w:val="24"/>
                <w:szCs w:val="24"/>
                <w:lang w:val="en-GB"/>
              </w:rPr>
              <w:t xml:space="preserve">It is on that basis that the plaintiff instituted the present application against the defendants. </w:t>
            </w:r>
            <w:r w:rsidR="007F4ED5">
              <w:rPr>
                <w:rFonts w:ascii="Arial" w:hAnsi="Arial" w:cs="Arial"/>
                <w:sz w:val="24"/>
                <w:szCs w:val="24"/>
                <w:lang w:val="en-GB"/>
              </w:rPr>
              <w:t xml:space="preserve">The application is opposed on the basis that it is premature and prejudicial to the defendants. </w:t>
            </w:r>
          </w:p>
          <w:p w:rsidR="00A961A4" w:rsidRPr="00A961A4" w:rsidRDefault="00A961A4" w:rsidP="00A961A4">
            <w:pPr>
              <w:spacing w:line="256" w:lineRule="auto"/>
              <w:ind w:left="720"/>
              <w:contextualSpacing/>
              <w:rPr>
                <w:rFonts w:ascii="Arial" w:hAnsi="Arial" w:cs="Arial"/>
                <w:sz w:val="24"/>
                <w:szCs w:val="24"/>
                <w:lang w:val="en-US"/>
              </w:rPr>
            </w:pPr>
          </w:p>
          <w:p w:rsidR="00A961A4" w:rsidRPr="00A961A4" w:rsidRDefault="00A961A4" w:rsidP="00A961A4">
            <w:pPr>
              <w:spacing w:after="0" w:line="360" w:lineRule="auto"/>
              <w:contextualSpacing/>
              <w:jc w:val="both"/>
              <w:rPr>
                <w:rFonts w:ascii="Arial" w:hAnsi="Arial" w:cs="Arial"/>
                <w:sz w:val="24"/>
                <w:szCs w:val="24"/>
                <w:u w:val="single"/>
                <w:lang w:val="en-US"/>
              </w:rPr>
            </w:pPr>
            <w:r w:rsidRPr="00A961A4">
              <w:rPr>
                <w:rFonts w:ascii="Arial" w:hAnsi="Arial" w:cs="Arial"/>
                <w:sz w:val="24"/>
                <w:szCs w:val="24"/>
                <w:u w:val="single"/>
                <w:lang w:val="en-US"/>
              </w:rPr>
              <w:t>The plaintiff’s case</w:t>
            </w:r>
          </w:p>
          <w:p w:rsidR="00A961A4" w:rsidRPr="00A961A4" w:rsidRDefault="00A961A4" w:rsidP="00A961A4">
            <w:pPr>
              <w:spacing w:line="256" w:lineRule="auto"/>
              <w:ind w:left="720"/>
              <w:contextualSpacing/>
              <w:rPr>
                <w:rFonts w:ascii="Arial" w:hAnsi="Arial" w:cs="Arial"/>
                <w:sz w:val="24"/>
                <w:szCs w:val="24"/>
                <w:lang w:val="en-US"/>
              </w:rPr>
            </w:pPr>
          </w:p>
          <w:p w:rsidR="00A961A4" w:rsidRPr="00A961A4" w:rsidRDefault="00A961A4" w:rsidP="00A961A4">
            <w:pPr>
              <w:numPr>
                <w:ilvl w:val="0"/>
                <w:numId w:val="4"/>
              </w:numPr>
              <w:spacing w:after="0" w:line="360" w:lineRule="auto"/>
              <w:ind w:left="0" w:hanging="11"/>
              <w:contextualSpacing/>
              <w:jc w:val="both"/>
              <w:rPr>
                <w:rFonts w:ascii="Arial" w:hAnsi="Arial" w:cs="Arial"/>
                <w:sz w:val="24"/>
                <w:szCs w:val="24"/>
                <w:lang w:val="en-US"/>
              </w:rPr>
            </w:pPr>
            <w:r w:rsidRPr="00A961A4">
              <w:rPr>
                <w:rFonts w:ascii="Arial" w:hAnsi="Arial" w:cs="Arial"/>
                <w:sz w:val="24"/>
                <w:szCs w:val="24"/>
                <w:lang w:val="en-US"/>
              </w:rPr>
              <w:t>It is the plaintiff’s case that the parties entered into different agreements wherein they agreed that the plaintiff will establish and maintain a business for the first defendant. According to the plaintiff</w:t>
            </w:r>
            <w:r w:rsidR="00082E52">
              <w:rPr>
                <w:rFonts w:ascii="Arial" w:hAnsi="Arial" w:cs="Arial"/>
                <w:sz w:val="24"/>
                <w:szCs w:val="24"/>
                <w:lang w:val="en-US"/>
              </w:rPr>
              <w:t>,</w:t>
            </w:r>
            <w:r w:rsidRPr="00A961A4">
              <w:rPr>
                <w:rFonts w:ascii="Arial" w:hAnsi="Arial" w:cs="Arial"/>
                <w:sz w:val="24"/>
                <w:szCs w:val="24"/>
                <w:lang w:val="en-US"/>
              </w:rPr>
              <w:t xml:space="preserve"> the defendants breached their agreements and therefor brought the main action against the defendants. In the course of the matter the court ordered the </w:t>
            </w:r>
            <w:r w:rsidRPr="00A961A4">
              <w:rPr>
                <w:rFonts w:ascii="Arial" w:hAnsi="Arial" w:cs="Arial"/>
                <w:sz w:val="24"/>
                <w:szCs w:val="24"/>
                <w:lang w:val="en-US"/>
              </w:rPr>
              <w:lastRenderedPageBreak/>
              <w:t>parties to file their discovery affidavits</w:t>
            </w:r>
            <w:r w:rsidR="00082E52">
              <w:rPr>
                <w:rFonts w:ascii="Arial" w:hAnsi="Arial" w:cs="Arial"/>
                <w:sz w:val="24"/>
                <w:szCs w:val="24"/>
                <w:lang w:val="en-US"/>
              </w:rPr>
              <w:t>,</w:t>
            </w:r>
            <w:r w:rsidRPr="00A961A4">
              <w:rPr>
                <w:rFonts w:ascii="Arial" w:hAnsi="Arial" w:cs="Arial"/>
                <w:sz w:val="24"/>
                <w:szCs w:val="24"/>
                <w:lang w:val="en-US"/>
              </w:rPr>
              <w:t xml:space="preserve"> and the plaintiff alleges that the defendants failed to discover all the necessary </w:t>
            </w:r>
            <w:r w:rsidR="007F4ED5">
              <w:rPr>
                <w:rFonts w:ascii="Arial" w:hAnsi="Arial" w:cs="Arial"/>
                <w:sz w:val="24"/>
                <w:szCs w:val="24"/>
                <w:lang w:val="en-US"/>
              </w:rPr>
              <w:t xml:space="preserve">documents. </w:t>
            </w:r>
          </w:p>
          <w:p w:rsidR="00A961A4" w:rsidRPr="00A961A4" w:rsidRDefault="00A961A4" w:rsidP="00A961A4">
            <w:pPr>
              <w:spacing w:after="0" w:line="360" w:lineRule="auto"/>
              <w:contextualSpacing/>
              <w:jc w:val="both"/>
              <w:rPr>
                <w:rFonts w:ascii="Arial" w:hAnsi="Arial" w:cs="Arial"/>
                <w:sz w:val="24"/>
                <w:szCs w:val="24"/>
                <w:lang w:val="en-US"/>
              </w:rPr>
            </w:pPr>
          </w:p>
          <w:p w:rsidR="00A961A4" w:rsidRPr="00A961A4" w:rsidRDefault="00A961A4" w:rsidP="00A961A4">
            <w:pPr>
              <w:numPr>
                <w:ilvl w:val="0"/>
                <w:numId w:val="4"/>
              </w:numPr>
              <w:spacing w:after="0" w:line="360" w:lineRule="auto"/>
              <w:ind w:left="0" w:hanging="11"/>
              <w:contextualSpacing/>
              <w:jc w:val="both"/>
              <w:rPr>
                <w:rFonts w:ascii="Arial" w:hAnsi="Arial" w:cs="Arial"/>
                <w:sz w:val="24"/>
                <w:szCs w:val="24"/>
                <w:lang w:val="en-US"/>
              </w:rPr>
            </w:pPr>
            <w:r w:rsidRPr="00A961A4">
              <w:rPr>
                <w:rFonts w:ascii="Arial" w:hAnsi="Arial" w:cs="Arial"/>
                <w:sz w:val="24"/>
                <w:szCs w:val="24"/>
                <w:lang w:val="en-US"/>
              </w:rPr>
              <w:t>The plaintiff further contended that one of the agreements entered into (the agreement of 28 October 202</w:t>
            </w:r>
            <w:r w:rsidR="007F4ED5">
              <w:rPr>
                <w:rFonts w:ascii="Arial" w:hAnsi="Arial" w:cs="Arial"/>
                <w:sz w:val="24"/>
                <w:szCs w:val="24"/>
                <w:lang w:val="en-US"/>
              </w:rPr>
              <w:t>1</w:t>
            </w:r>
            <w:r w:rsidRPr="00A961A4">
              <w:rPr>
                <w:rFonts w:ascii="Arial" w:hAnsi="Arial" w:cs="Arial"/>
                <w:sz w:val="24"/>
                <w:szCs w:val="24"/>
                <w:lang w:val="en-US"/>
              </w:rPr>
              <w:t>) gave rise to the fact that the plaintiff would acquire 33.3</w:t>
            </w:r>
            <w:r w:rsidR="00082E52">
              <w:rPr>
                <w:rFonts w:ascii="Arial" w:hAnsi="Arial" w:cs="Arial"/>
                <w:sz w:val="24"/>
                <w:szCs w:val="24"/>
                <w:lang w:val="en-US"/>
              </w:rPr>
              <w:t xml:space="preserve"> percent </w:t>
            </w:r>
            <w:r w:rsidRPr="00A961A4">
              <w:rPr>
                <w:rFonts w:ascii="Arial" w:hAnsi="Arial" w:cs="Arial"/>
                <w:sz w:val="24"/>
                <w:szCs w:val="24"/>
                <w:lang w:val="en-US"/>
              </w:rPr>
              <w:t>of member’s interest in the first defendant. This was vehemently denied by the defendant</w:t>
            </w:r>
            <w:r w:rsidR="003E33A8">
              <w:rPr>
                <w:rFonts w:ascii="Arial" w:hAnsi="Arial" w:cs="Arial"/>
                <w:sz w:val="24"/>
                <w:szCs w:val="24"/>
                <w:lang w:val="en-US"/>
              </w:rPr>
              <w:t>s</w:t>
            </w:r>
            <w:r w:rsidRPr="00A961A4">
              <w:rPr>
                <w:rFonts w:ascii="Arial" w:hAnsi="Arial" w:cs="Arial"/>
                <w:sz w:val="24"/>
                <w:szCs w:val="24"/>
                <w:lang w:val="en-US"/>
              </w:rPr>
              <w:t xml:space="preserve">. </w:t>
            </w:r>
          </w:p>
          <w:p w:rsidR="00A961A4" w:rsidRPr="00A961A4" w:rsidRDefault="00A961A4" w:rsidP="00A961A4">
            <w:pPr>
              <w:spacing w:after="0" w:line="360" w:lineRule="auto"/>
              <w:contextualSpacing/>
              <w:jc w:val="both"/>
              <w:rPr>
                <w:rFonts w:ascii="Arial" w:hAnsi="Arial" w:cs="Arial"/>
                <w:sz w:val="24"/>
                <w:szCs w:val="24"/>
                <w:lang w:val="en-US"/>
              </w:rPr>
            </w:pPr>
          </w:p>
          <w:p w:rsidR="00A961A4" w:rsidRPr="00A961A4" w:rsidRDefault="00A961A4" w:rsidP="00A961A4">
            <w:pPr>
              <w:numPr>
                <w:ilvl w:val="0"/>
                <w:numId w:val="4"/>
              </w:numPr>
              <w:spacing w:after="0" w:line="360" w:lineRule="auto"/>
              <w:ind w:left="0" w:hanging="11"/>
              <w:contextualSpacing/>
              <w:jc w:val="both"/>
              <w:rPr>
                <w:rFonts w:ascii="Arial" w:hAnsi="Arial" w:cs="Arial"/>
                <w:sz w:val="24"/>
                <w:lang w:val="en-US"/>
              </w:rPr>
            </w:pPr>
            <w:r w:rsidRPr="00A961A4">
              <w:rPr>
                <w:rFonts w:ascii="Arial" w:hAnsi="Arial" w:cs="Arial"/>
                <w:sz w:val="24"/>
                <w:szCs w:val="24"/>
                <w:lang w:val="en-US"/>
              </w:rPr>
              <w:t xml:space="preserve">The plaintiff </w:t>
            </w:r>
            <w:r w:rsidR="003E33A8">
              <w:rPr>
                <w:rFonts w:ascii="Arial" w:hAnsi="Arial" w:cs="Arial"/>
                <w:sz w:val="24"/>
                <w:szCs w:val="24"/>
                <w:lang w:val="en-US"/>
              </w:rPr>
              <w:t xml:space="preserve">seeks </w:t>
            </w:r>
            <w:r w:rsidRPr="00A961A4">
              <w:rPr>
                <w:rFonts w:ascii="Arial" w:hAnsi="Arial" w:cs="Arial"/>
                <w:sz w:val="24"/>
                <w:szCs w:val="24"/>
                <w:lang w:val="en-US"/>
              </w:rPr>
              <w:t>proper and full discovery from the defendants because the defendants, according to the plaintiff, did not comply with their obligations to discover as per the court order dated 28 July 2022.</w:t>
            </w:r>
          </w:p>
          <w:p w:rsidR="00A961A4" w:rsidRPr="00A961A4" w:rsidRDefault="00A961A4" w:rsidP="00A961A4">
            <w:pPr>
              <w:spacing w:line="256" w:lineRule="auto"/>
              <w:ind w:left="720"/>
              <w:contextualSpacing/>
              <w:rPr>
                <w:rFonts w:ascii="Arial" w:hAnsi="Arial" w:cs="Arial"/>
                <w:sz w:val="24"/>
                <w:lang w:val="en-US"/>
              </w:rPr>
            </w:pPr>
          </w:p>
          <w:p w:rsidR="00A961A4" w:rsidRPr="00A961A4" w:rsidRDefault="00A961A4" w:rsidP="00A961A4">
            <w:pPr>
              <w:numPr>
                <w:ilvl w:val="0"/>
                <w:numId w:val="4"/>
              </w:numPr>
              <w:spacing w:after="0" w:line="360" w:lineRule="auto"/>
              <w:ind w:left="0" w:hanging="11"/>
              <w:contextualSpacing/>
              <w:jc w:val="both"/>
              <w:rPr>
                <w:rFonts w:ascii="Arial" w:hAnsi="Arial" w:cs="Arial"/>
                <w:sz w:val="24"/>
                <w:lang w:val="en-US"/>
              </w:rPr>
            </w:pPr>
            <w:r w:rsidRPr="00A961A4">
              <w:rPr>
                <w:rFonts w:ascii="Arial" w:hAnsi="Arial" w:cs="Arial"/>
                <w:sz w:val="24"/>
                <w:lang w:val="en-US"/>
              </w:rPr>
              <w:t>The plaintiff</w:t>
            </w:r>
            <w:r w:rsidR="00082E52">
              <w:rPr>
                <w:rFonts w:ascii="Arial" w:hAnsi="Arial" w:cs="Arial"/>
                <w:sz w:val="24"/>
                <w:lang w:val="en-US"/>
              </w:rPr>
              <w:t>,</w:t>
            </w:r>
            <w:r w:rsidRPr="00A961A4">
              <w:rPr>
                <w:rFonts w:ascii="Arial" w:hAnsi="Arial" w:cs="Arial"/>
                <w:sz w:val="24"/>
                <w:lang w:val="en-US"/>
              </w:rPr>
              <w:t xml:space="preserve"> in his plight </w:t>
            </w:r>
            <w:r w:rsidR="00997F00">
              <w:rPr>
                <w:rFonts w:ascii="Arial" w:hAnsi="Arial" w:cs="Arial"/>
                <w:sz w:val="24"/>
                <w:lang w:val="en-US"/>
              </w:rPr>
              <w:t>for specific discovery</w:t>
            </w:r>
            <w:r w:rsidR="00082E52">
              <w:rPr>
                <w:rFonts w:ascii="Arial" w:hAnsi="Arial" w:cs="Arial"/>
                <w:sz w:val="24"/>
                <w:lang w:val="en-US"/>
              </w:rPr>
              <w:t>,</w:t>
            </w:r>
            <w:r w:rsidR="00997F00">
              <w:rPr>
                <w:rFonts w:ascii="Arial" w:hAnsi="Arial" w:cs="Arial"/>
                <w:sz w:val="24"/>
                <w:lang w:val="en-US"/>
              </w:rPr>
              <w:t xml:space="preserve"> </w:t>
            </w:r>
            <w:r w:rsidRPr="00A961A4">
              <w:rPr>
                <w:rFonts w:ascii="Arial" w:hAnsi="Arial" w:cs="Arial"/>
                <w:sz w:val="24"/>
                <w:lang w:val="en-US"/>
              </w:rPr>
              <w:t>wants the defendants to discover the following documentation:</w:t>
            </w:r>
          </w:p>
          <w:p w:rsidR="00A961A4" w:rsidRPr="00A961A4" w:rsidRDefault="00A961A4" w:rsidP="00A961A4">
            <w:pPr>
              <w:spacing w:line="256" w:lineRule="auto"/>
              <w:ind w:left="720" w:hanging="436"/>
              <w:contextualSpacing/>
              <w:rPr>
                <w:rFonts w:ascii="Arial" w:hAnsi="Arial" w:cs="Arial"/>
                <w:sz w:val="24"/>
                <w:lang w:val="en-US"/>
              </w:rPr>
            </w:pPr>
          </w:p>
          <w:p w:rsidR="00A961A4" w:rsidRPr="00082E52" w:rsidRDefault="00082E52" w:rsidP="00082E52">
            <w:pPr>
              <w:spacing w:after="0" w:line="360" w:lineRule="auto"/>
              <w:ind w:left="426"/>
              <w:contextualSpacing/>
              <w:jc w:val="both"/>
              <w:rPr>
                <w:rFonts w:ascii="Arial" w:hAnsi="Arial" w:cs="Arial"/>
                <w:lang w:val="en-US"/>
              </w:rPr>
            </w:pPr>
            <w:r w:rsidRPr="00082E52">
              <w:rPr>
                <w:rFonts w:ascii="Arial" w:hAnsi="Arial" w:cs="Arial"/>
                <w:lang w:val="en-US"/>
              </w:rPr>
              <w:t xml:space="preserve">‘1. </w:t>
            </w:r>
            <w:r w:rsidR="00A961A4" w:rsidRPr="00082E52">
              <w:rPr>
                <w:rFonts w:ascii="Arial" w:hAnsi="Arial" w:cs="Arial"/>
                <w:lang w:val="en-US"/>
              </w:rPr>
              <w:t>The annual financial statements of the first defendant f</w:t>
            </w:r>
            <w:r w:rsidR="00997F00" w:rsidRPr="00082E52">
              <w:rPr>
                <w:rFonts w:ascii="Arial" w:hAnsi="Arial" w:cs="Arial"/>
                <w:lang w:val="en-US"/>
              </w:rPr>
              <w:t>rom 01 November 2018 until 2022.</w:t>
            </w:r>
          </w:p>
          <w:p w:rsidR="00A961A4" w:rsidRPr="00082E52" w:rsidRDefault="00A961A4" w:rsidP="00A961A4">
            <w:pPr>
              <w:spacing w:after="0" w:line="360" w:lineRule="auto"/>
              <w:ind w:left="426"/>
              <w:contextualSpacing/>
              <w:jc w:val="both"/>
              <w:rPr>
                <w:rFonts w:ascii="Arial" w:hAnsi="Arial" w:cs="Arial"/>
                <w:lang w:val="en-US"/>
              </w:rPr>
            </w:pPr>
          </w:p>
          <w:p w:rsidR="00A961A4" w:rsidRPr="00082E52" w:rsidRDefault="00082E52" w:rsidP="00082E52">
            <w:pPr>
              <w:spacing w:after="0" w:line="360" w:lineRule="auto"/>
              <w:contextualSpacing/>
              <w:jc w:val="both"/>
              <w:rPr>
                <w:rFonts w:ascii="Arial" w:hAnsi="Arial" w:cs="Arial"/>
                <w:lang w:val="en-US"/>
              </w:rPr>
            </w:pPr>
            <w:r w:rsidRPr="00082E52">
              <w:rPr>
                <w:rFonts w:ascii="Arial" w:hAnsi="Arial" w:cs="Arial"/>
                <w:lang w:val="en-US"/>
              </w:rPr>
              <w:t xml:space="preserve">2. </w:t>
            </w:r>
            <w:r w:rsidR="00A961A4" w:rsidRPr="00082E52">
              <w:rPr>
                <w:rFonts w:ascii="Arial" w:hAnsi="Arial" w:cs="Arial"/>
                <w:lang w:val="en-US"/>
              </w:rPr>
              <w:t>All financial statements in respect of first defendant’s Walvi</w:t>
            </w:r>
            <w:r w:rsidR="00997F00" w:rsidRPr="00082E52">
              <w:rPr>
                <w:rFonts w:ascii="Arial" w:hAnsi="Arial" w:cs="Arial"/>
                <w:lang w:val="en-US"/>
              </w:rPr>
              <w:t>s Bay and Swakopmund businesses.</w:t>
            </w:r>
          </w:p>
          <w:p w:rsidR="00A961A4" w:rsidRPr="00082E52" w:rsidRDefault="00A961A4" w:rsidP="00A961A4">
            <w:pPr>
              <w:spacing w:after="0" w:line="360" w:lineRule="auto"/>
              <w:jc w:val="both"/>
              <w:rPr>
                <w:rFonts w:ascii="Arial" w:hAnsi="Arial" w:cs="Arial"/>
                <w:lang w:val="en-US"/>
              </w:rPr>
            </w:pPr>
          </w:p>
          <w:p w:rsidR="00A961A4" w:rsidRPr="00082E52" w:rsidRDefault="00A961A4" w:rsidP="00082E52">
            <w:pPr>
              <w:pStyle w:val="ListParagraph"/>
              <w:numPr>
                <w:ilvl w:val="0"/>
                <w:numId w:val="10"/>
              </w:numPr>
              <w:spacing w:after="0" w:line="360" w:lineRule="auto"/>
              <w:jc w:val="both"/>
              <w:rPr>
                <w:rFonts w:ascii="Arial" w:hAnsi="Arial" w:cs="Arial"/>
                <w:lang w:val="en-US"/>
              </w:rPr>
            </w:pPr>
            <w:r w:rsidRPr="00082E52">
              <w:rPr>
                <w:rFonts w:ascii="Arial" w:hAnsi="Arial" w:cs="Arial"/>
                <w:lang w:val="en-US"/>
              </w:rPr>
              <w:t xml:space="preserve">The asset </w:t>
            </w:r>
            <w:r w:rsidR="00997F00" w:rsidRPr="00082E52">
              <w:rPr>
                <w:rFonts w:ascii="Arial" w:hAnsi="Arial" w:cs="Arial"/>
                <w:lang w:val="en-US"/>
              </w:rPr>
              <w:t>register of first defendant.</w:t>
            </w:r>
          </w:p>
          <w:p w:rsidR="00A961A4" w:rsidRPr="00082E52" w:rsidRDefault="00A961A4" w:rsidP="00A961A4">
            <w:pPr>
              <w:spacing w:after="0" w:line="360" w:lineRule="auto"/>
              <w:jc w:val="both"/>
              <w:rPr>
                <w:rFonts w:ascii="Arial" w:hAnsi="Arial" w:cs="Arial"/>
                <w:lang w:val="en-US"/>
              </w:rPr>
            </w:pPr>
          </w:p>
          <w:p w:rsidR="00A961A4" w:rsidRPr="00082E52" w:rsidRDefault="00A961A4" w:rsidP="00082E52">
            <w:pPr>
              <w:pStyle w:val="ListParagraph"/>
              <w:numPr>
                <w:ilvl w:val="0"/>
                <w:numId w:val="10"/>
              </w:numPr>
              <w:spacing w:after="0" w:line="360" w:lineRule="auto"/>
              <w:jc w:val="both"/>
              <w:rPr>
                <w:rFonts w:ascii="Arial" w:hAnsi="Arial" w:cs="Arial"/>
                <w:lang w:val="en-US"/>
              </w:rPr>
            </w:pPr>
            <w:r w:rsidRPr="00082E52">
              <w:rPr>
                <w:rFonts w:ascii="Arial" w:hAnsi="Arial" w:cs="Arial"/>
                <w:lang w:val="en-US"/>
              </w:rPr>
              <w:t>Employment agreements between first defendant and its employees as well as payslips and P.A.Y.E. returns in respect</w:t>
            </w:r>
            <w:r w:rsidR="00997F00" w:rsidRPr="00082E52">
              <w:rPr>
                <w:rFonts w:ascii="Arial" w:hAnsi="Arial" w:cs="Arial"/>
                <w:lang w:val="en-US"/>
              </w:rPr>
              <w:t xml:space="preserve"> of first defendant’s employees.</w:t>
            </w:r>
          </w:p>
          <w:p w:rsidR="00A961A4" w:rsidRPr="00082E52" w:rsidRDefault="00A961A4" w:rsidP="00A961A4">
            <w:pPr>
              <w:spacing w:after="0" w:line="360" w:lineRule="auto"/>
              <w:jc w:val="both"/>
              <w:rPr>
                <w:rFonts w:ascii="Arial" w:hAnsi="Arial" w:cs="Arial"/>
                <w:lang w:val="en-US"/>
              </w:rPr>
            </w:pPr>
          </w:p>
          <w:p w:rsidR="00A961A4" w:rsidRPr="00082E52" w:rsidRDefault="00A961A4" w:rsidP="00082E52">
            <w:pPr>
              <w:pStyle w:val="ListParagraph"/>
              <w:numPr>
                <w:ilvl w:val="0"/>
                <w:numId w:val="10"/>
              </w:numPr>
              <w:spacing w:after="0" w:line="360" w:lineRule="auto"/>
              <w:jc w:val="both"/>
              <w:rPr>
                <w:rFonts w:ascii="Arial" w:hAnsi="Arial" w:cs="Arial"/>
                <w:lang w:val="en-US"/>
              </w:rPr>
            </w:pPr>
            <w:r w:rsidRPr="00082E52">
              <w:rPr>
                <w:rFonts w:ascii="Arial" w:hAnsi="Arial" w:cs="Arial"/>
                <w:lang w:val="en-US"/>
              </w:rPr>
              <w:t>Lease agreements between the first defendant as lessee, and lessors:-</w:t>
            </w:r>
          </w:p>
          <w:p w:rsidR="00A961A4" w:rsidRPr="00082E52" w:rsidRDefault="00A961A4" w:rsidP="00A961A4">
            <w:pPr>
              <w:spacing w:after="0" w:line="360" w:lineRule="auto"/>
              <w:jc w:val="both"/>
              <w:rPr>
                <w:rFonts w:ascii="Arial" w:hAnsi="Arial" w:cs="Arial"/>
                <w:lang w:val="en-US"/>
              </w:rPr>
            </w:pPr>
          </w:p>
          <w:p w:rsidR="00A961A4" w:rsidRPr="00082E52" w:rsidRDefault="00A961A4" w:rsidP="00287000">
            <w:pPr>
              <w:numPr>
                <w:ilvl w:val="1"/>
                <w:numId w:val="5"/>
              </w:numPr>
              <w:spacing w:after="0" w:line="360" w:lineRule="auto"/>
              <w:ind w:left="426" w:firstLine="34"/>
              <w:contextualSpacing/>
              <w:jc w:val="both"/>
              <w:rPr>
                <w:rFonts w:ascii="Arial" w:hAnsi="Arial" w:cs="Arial"/>
                <w:lang w:val="en-US"/>
              </w:rPr>
            </w:pPr>
            <w:r w:rsidRPr="00082E52">
              <w:rPr>
                <w:rFonts w:ascii="Arial" w:hAnsi="Arial" w:cs="Arial"/>
                <w:lang w:val="en-US"/>
              </w:rPr>
              <w:t>in respect of Swakopmund and Walvis Bay business premises of first defendant, and;</w:t>
            </w:r>
          </w:p>
          <w:p w:rsidR="00A961A4" w:rsidRPr="00082E52" w:rsidRDefault="00A961A4" w:rsidP="00287000">
            <w:pPr>
              <w:numPr>
                <w:ilvl w:val="1"/>
                <w:numId w:val="5"/>
              </w:numPr>
              <w:spacing w:after="0" w:line="360" w:lineRule="auto"/>
              <w:ind w:left="426" w:firstLine="34"/>
              <w:contextualSpacing/>
              <w:jc w:val="both"/>
              <w:rPr>
                <w:rFonts w:ascii="Arial" w:hAnsi="Arial" w:cs="Arial"/>
                <w:lang w:val="en-US"/>
              </w:rPr>
            </w:pPr>
            <w:r w:rsidRPr="00082E52">
              <w:rPr>
                <w:rFonts w:ascii="Arial" w:hAnsi="Arial" w:cs="Arial"/>
                <w:lang w:val="en-US"/>
              </w:rPr>
              <w:t>all residential properties leased by first defendant.</w:t>
            </w:r>
          </w:p>
          <w:p w:rsidR="00A961A4" w:rsidRPr="00082E52" w:rsidRDefault="00A961A4" w:rsidP="00A961A4">
            <w:pPr>
              <w:spacing w:after="0" w:line="360" w:lineRule="auto"/>
              <w:ind w:left="426" w:hanging="436"/>
              <w:contextualSpacing/>
              <w:jc w:val="both"/>
              <w:rPr>
                <w:rFonts w:ascii="Arial" w:hAnsi="Arial" w:cs="Arial"/>
                <w:lang w:val="en-US"/>
              </w:rPr>
            </w:pPr>
          </w:p>
          <w:p w:rsidR="00A961A4" w:rsidRPr="00082E52" w:rsidRDefault="00A961A4" w:rsidP="00082E52">
            <w:pPr>
              <w:pStyle w:val="ListParagraph"/>
              <w:numPr>
                <w:ilvl w:val="0"/>
                <w:numId w:val="10"/>
              </w:numPr>
              <w:spacing w:after="0" w:line="360" w:lineRule="auto"/>
              <w:jc w:val="both"/>
              <w:rPr>
                <w:rFonts w:ascii="Arial" w:hAnsi="Arial" w:cs="Arial"/>
                <w:lang w:val="en-US"/>
              </w:rPr>
            </w:pPr>
            <w:r w:rsidRPr="00082E52">
              <w:rPr>
                <w:rFonts w:ascii="Arial" w:hAnsi="Arial" w:cs="Arial"/>
                <w:lang w:val="en-US"/>
              </w:rPr>
              <w:t>Internet, Telecom, water, electricity connection applications and accounts in respect of first defendant’s business premises in Walvis Bay and Swakopmund as well as fitness certificate applications and fitness certificates in respect of the Walvis Bay and Swakopmund of firs</w:t>
            </w:r>
            <w:r w:rsidR="00997F00" w:rsidRPr="00082E52">
              <w:rPr>
                <w:rFonts w:ascii="Arial" w:hAnsi="Arial" w:cs="Arial"/>
                <w:lang w:val="en-US"/>
              </w:rPr>
              <w:t>t defendant’s business premises.</w:t>
            </w:r>
          </w:p>
          <w:p w:rsidR="00A961A4" w:rsidRPr="00082E52" w:rsidRDefault="00A961A4" w:rsidP="00A961A4">
            <w:pPr>
              <w:spacing w:after="0" w:line="360" w:lineRule="auto"/>
              <w:ind w:left="426" w:hanging="436"/>
              <w:contextualSpacing/>
              <w:jc w:val="both"/>
              <w:rPr>
                <w:rFonts w:ascii="Arial" w:hAnsi="Arial" w:cs="Arial"/>
                <w:lang w:val="en-US"/>
              </w:rPr>
            </w:pPr>
          </w:p>
          <w:p w:rsidR="00A961A4" w:rsidRPr="00082E52" w:rsidRDefault="00A961A4" w:rsidP="00082E52">
            <w:pPr>
              <w:pStyle w:val="ListParagraph"/>
              <w:numPr>
                <w:ilvl w:val="0"/>
                <w:numId w:val="10"/>
              </w:numPr>
              <w:spacing w:after="0" w:line="360" w:lineRule="auto"/>
              <w:jc w:val="both"/>
              <w:rPr>
                <w:rFonts w:ascii="Arial" w:hAnsi="Arial" w:cs="Arial"/>
                <w:lang w:val="en-US"/>
              </w:rPr>
            </w:pPr>
            <w:r w:rsidRPr="00082E52">
              <w:rPr>
                <w:rFonts w:ascii="Arial" w:hAnsi="Arial" w:cs="Arial"/>
                <w:lang w:val="en-US"/>
              </w:rPr>
              <w:lastRenderedPageBreak/>
              <w:t>Namport account application and account statement history of first defendant f</w:t>
            </w:r>
            <w:r w:rsidR="00997F00" w:rsidRPr="00082E52">
              <w:rPr>
                <w:rFonts w:ascii="Arial" w:hAnsi="Arial" w:cs="Arial"/>
                <w:lang w:val="en-US"/>
              </w:rPr>
              <w:t>rom November 2018 until present.</w:t>
            </w:r>
          </w:p>
          <w:p w:rsidR="00A961A4" w:rsidRPr="00082E52" w:rsidRDefault="00A961A4" w:rsidP="00A961A4">
            <w:pPr>
              <w:spacing w:line="256" w:lineRule="auto"/>
              <w:ind w:left="426" w:hanging="436"/>
              <w:contextualSpacing/>
              <w:rPr>
                <w:rFonts w:ascii="Arial" w:hAnsi="Arial" w:cs="Arial"/>
                <w:lang w:val="en-US"/>
              </w:rPr>
            </w:pPr>
          </w:p>
          <w:p w:rsidR="00A961A4" w:rsidRPr="00082E52" w:rsidRDefault="00A961A4" w:rsidP="00082E52">
            <w:pPr>
              <w:pStyle w:val="ListParagraph"/>
              <w:numPr>
                <w:ilvl w:val="0"/>
                <w:numId w:val="10"/>
              </w:numPr>
              <w:spacing w:after="0" w:line="360" w:lineRule="auto"/>
              <w:jc w:val="both"/>
              <w:rPr>
                <w:rFonts w:ascii="Arial" w:hAnsi="Arial" w:cs="Arial"/>
                <w:lang w:val="en-US"/>
              </w:rPr>
            </w:pPr>
            <w:r w:rsidRPr="00082E52">
              <w:rPr>
                <w:rFonts w:ascii="Arial" w:hAnsi="Arial" w:cs="Arial"/>
                <w:lang w:val="en-US"/>
              </w:rPr>
              <w:t>All first defendant’s monthly management accounts from November 2018 until 2022.</w:t>
            </w:r>
          </w:p>
          <w:p w:rsidR="00A961A4" w:rsidRPr="00082E52" w:rsidRDefault="00A961A4" w:rsidP="00A961A4">
            <w:pPr>
              <w:spacing w:after="0" w:line="360" w:lineRule="auto"/>
              <w:ind w:left="426" w:hanging="436"/>
              <w:contextualSpacing/>
              <w:jc w:val="both"/>
              <w:rPr>
                <w:rFonts w:ascii="Arial" w:hAnsi="Arial" w:cs="Arial"/>
                <w:lang w:val="en-US"/>
              </w:rPr>
            </w:pPr>
          </w:p>
          <w:p w:rsidR="00A961A4" w:rsidRPr="00082E52" w:rsidRDefault="00A961A4" w:rsidP="00082E52">
            <w:pPr>
              <w:pStyle w:val="ListParagraph"/>
              <w:numPr>
                <w:ilvl w:val="0"/>
                <w:numId w:val="10"/>
              </w:numPr>
              <w:spacing w:after="0" w:line="360" w:lineRule="auto"/>
              <w:jc w:val="both"/>
              <w:rPr>
                <w:rFonts w:ascii="Arial" w:hAnsi="Arial" w:cs="Arial"/>
                <w:lang w:val="en-US"/>
              </w:rPr>
            </w:pPr>
            <w:r w:rsidRPr="00082E52">
              <w:rPr>
                <w:rFonts w:ascii="Arial" w:hAnsi="Arial" w:cs="Arial"/>
                <w:lang w:val="en-US"/>
              </w:rPr>
              <w:t>All bank statements of bank accounts including bond accounts and vehicle finance accounts for the period 01 November 2018 until present of:-</w:t>
            </w:r>
          </w:p>
          <w:p w:rsidR="00A961A4" w:rsidRPr="00082E52" w:rsidRDefault="00A961A4" w:rsidP="00A961A4">
            <w:pPr>
              <w:spacing w:line="256" w:lineRule="auto"/>
              <w:ind w:left="426" w:hanging="436"/>
              <w:contextualSpacing/>
              <w:rPr>
                <w:rFonts w:ascii="Arial" w:hAnsi="Arial" w:cs="Arial"/>
                <w:lang w:val="en-US"/>
              </w:rPr>
            </w:pPr>
          </w:p>
          <w:p w:rsidR="00A961A4" w:rsidRPr="00082E52" w:rsidRDefault="00A961A4" w:rsidP="00A961A4">
            <w:pPr>
              <w:numPr>
                <w:ilvl w:val="1"/>
                <w:numId w:val="6"/>
              </w:numPr>
              <w:spacing w:after="0" w:line="360" w:lineRule="auto"/>
              <w:ind w:left="567" w:hanging="141"/>
              <w:contextualSpacing/>
              <w:jc w:val="both"/>
              <w:rPr>
                <w:rFonts w:ascii="Arial" w:hAnsi="Arial" w:cs="Arial"/>
                <w:lang w:val="en-US"/>
              </w:rPr>
            </w:pPr>
            <w:r w:rsidRPr="00082E52">
              <w:rPr>
                <w:rFonts w:ascii="Arial" w:hAnsi="Arial" w:cs="Arial"/>
                <w:lang w:val="en-US"/>
              </w:rPr>
              <w:t>the defendants, and;</w:t>
            </w:r>
          </w:p>
          <w:p w:rsidR="00A961A4" w:rsidRPr="00082E52" w:rsidRDefault="00A961A4" w:rsidP="00287000">
            <w:pPr>
              <w:numPr>
                <w:ilvl w:val="1"/>
                <w:numId w:val="6"/>
              </w:numPr>
              <w:spacing w:after="0" w:line="360" w:lineRule="auto"/>
              <w:ind w:left="1452" w:hanging="992"/>
              <w:contextualSpacing/>
              <w:jc w:val="both"/>
              <w:rPr>
                <w:rFonts w:ascii="Arial" w:hAnsi="Arial" w:cs="Arial"/>
                <w:lang w:val="en-US"/>
              </w:rPr>
            </w:pPr>
            <w:r w:rsidRPr="00082E52">
              <w:rPr>
                <w:rFonts w:ascii="Arial" w:hAnsi="Arial" w:cs="Arial"/>
                <w:lang w:val="en-US"/>
              </w:rPr>
              <w:t>the juristic entities controlled by second and third defendants inclusive of, but not limited to:-</w:t>
            </w:r>
          </w:p>
          <w:p w:rsidR="00A961A4" w:rsidRPr="00082E52" w:rsidRDefault="00A961A4" w:rsidP="00A961A4">
            <w:pPr>
              <w:spacing w:after="0" w:line="360" w:lineRule="auto"/>
              <w:ind w:left="2410" w:hanging="1417"/>
              <w:contextualSpacing/>
              <w:jc w:val="both"/>
              <w:rPr>
                <w:rFonts w:ascii="Arial" w:hAnsi="Arial" w:cs="Arial"/>
                <w:lang w:val="en-US"/>
              </w:rPr>
            </w:pPr>
            <w:r w:rsidRPr="00082E52">
              <w:rPr>
                <w:rFonts w:ascii="Arial" w:hAnsi="Arial" w:cs="Arial"/>
                <w:lang w:val="en-US"/>
              </w:rPr>
              <w:t>9.2.1. FYYS Properties CC;</w:t>
            </w:r>
          </w:p>
          <w:p w:rsidR="00A961A4" w:rsidRPr="00082E52" w:rsidRDefault="00A961A4" w:rsidP="00A961A4">
            <w:pPr>
              <w:spacing w:after="0" w:line="360" w:lineRule="auto"/>
              <w:ind w:left="2410" w:hanging="1417"/>
              <w:contextualSpacing/>
              <w:jc w:val="both"/>
              <w:rPr>
                <w:rFonts w:ascii="Arial" w:hAnsi="Arial" w:cs="Arial"/>
                <w:lang w:val="en-US"/>
              </w:rPr>
            </w:pPr>
            <w:r w:rsidRPr="00082E52">
              <w:rPr>
                <w:rFonts w:ascii="Arial" w:hAnsi="Arial" w:cs="Arial"/>
                <w:lang w:val="en-US"/>
              </w:rPr>
              <w:t>9.2.2. GVDM Investments Thirty Eight CC;</w:t>
            </w:r>
          </w:p>
          <w:p w:rsidR="00A961A4" w:rsidRPr="00082E52" w:rsidRDefault="00A961A4" w:rsidP="00A961A4">
            <w:pPr>
              <w:spacing w:after="0" w:line="360" w:lineRule="auto"/>
              <w:ind w:left="2410" w:hanging="1417"/>
              <w:contextualSpacing/>
              <w:jc w:val="both"/>
              <w:rPr>
                <w:rFonts w:ascii="Arial" w:hAnsi="Arial" w:cs="Arial"/>
                <w:lang w:val="en-US"/>
              </w:rPr>
            </w:pPr>
            <w:r w:rsidRPr="00082E52">
              <w:rPr>
                <w:rFonts w:ascii="Arial" w:hAnsi="Arial" w:cs="Arial"/>
                <w:lang w:val="en-US"/>
              </w:rPr>
              <w:t>9.2.3. Gui-Gam Investments Eighteen CC, and;</w:t>
            </w:r>
          </w:p>
          <w:p w:rsidR="00A961A4" w:rsidRPr="00082E52" w:rsidRDefault="00A961A4" w:rsidP="00A961A4">
            <w:pPr>
              <w:spacing w:after="0" w:line="360" w:lineRule="auto"/>
              <w:ind w:left="2410" w:hanging="1417"/>
              <w:contextualSpacing/>
              <w:jc w:val="both"/>
              <w:rPr>
                <w:rFonts w:ascii="Arial" w:hAnsi="Arial" w:cs="Arial"/>
                <w:lang w:val="en-US"/>
              </w:rPr>
            </w:pPr>
            <w:r w:rsidRPr="00082E52">
              <w:rPr>
                <w:rFonts w:ascii="Arial" w:hAnsi="Arial" w:cs="Arial"/>
                <w:lang w:val="en-US"/>
              </w:rPr>
              <w:t>9.2.4. HGK Investments Thirty Eight CC.</w:t>
            </w:r>
            <w:r w:rsidR="00082E52" w:rsidRPr="00082E52">
              <w:rPr>
                <w:rFonts w:ascii="Arial" w:hAnsi="Arial" w:cs="Arial"/>
                <w:lang w:val="en-US"/>
              </w:rPr>
              <w:t>’</w:t>
            </w:r>
          </w:p>
          <w:p w:rsidR="00A961A4" w:rsidRPr="00A961A4" w:rsidRDefault="00A961A4" w:rsidP="00A961A4">
            <w:pPr>
              <w:spacing w:after="0" w:line="360" w:lineRule="auto"/>
              <w:ind w:left="1440"/>
              <w:contextualSpacing/>
              <w:jc w:val="both"/>
              <w:rPr>
                <w:rFonts w:ascii="Arial" w:hAnsi="Arial" w:cs="Arial"/>
                <w:sz w:val="24"/>
                <w:lang w:val="en-US"/>
              </w:rPr>
            </w:pPr>
          </w:p>
          <w:p w:rsidR="005B73AC" w:rsidRPr="00DE25AA" w:rsidRDefault="009D27D7" w:rsidP="003E7D59">
            <w:pPr>
              <w:spacing w:after="0" w:line="360" w:lineRule="auto"/>
              <w:contextualSpacing/>
              <w:jc w:val="both"/>
              <w:rPr>
                <w:rFonts w:ascii="Arial" w:hAnsi="Arial" w:cs="Arial"/>
                <w:sz w:val="24"/>
                <w:lang w:val="en-US"/>
              </w:rPr>
            </w:pPr>
            <w:r>
              <w:rPr>
                <w:rFonts w:ascii="Arial" w:hAnsi="Arial" w:cs="Arial"/>
                <w:sz w:val="24"/>
                <w:lang w:val="en-US"/>
              </w:rPr>
              <w:t>[14]</w:t>
            </w:r>
            <w:r>
              <w:rPr>
                <w:rFonts w:ascii="Arial" w:hAnsi="Arial" w:cs="Arial"/>
                <w:sz w:val="24"/>
                <w:lang w:val="en-US"/>
              </w:rPr>
              <w:tab/>
            </w:r>
            <w:r w:rsidR="003E7D59">
              <w:rPr>
                <w:rFonts w:ascii="Arial" w:hAnsi="Arial" w:cs="Arial"/>
                <w:sz w:val="24"/>
                <w:lang w:val="en-US"/>
              </w:rPr>
              <w:t xml:space="preserve"> </w:t>
            </w:r>
            <w:r w:rsidR="00A961A4" w:rsidRPr="00A961A4">
              <w:rPr>
                <w:rFonts w:ascii="Arial" w:hAnsi="Arial" w:cs="Arial"/>
                <w:sz w:val="24"/>
                <w:lang w:val="en-US"/>
              </w:rPr>
              <w:t>The plaintiff further raised an objection that the defendants’ legal practitioner deposed to the statement in response to the notice in terms of rule 28(8)(</w:t>
            </w:r>
            <w:r w:rsidR="00A961A4" w:rsidRPr="00A961A4">
              <w:rPr>
                <w:rFonts w:ascii="Arial" w:hAnsi="Arial" w:cs="Arial"/>
                <w:i/>
                <w:sz w:val="24"/>
                <w:lang w:val="en-US"/>
              </w:rPr>
              <w:t>a</w:t>
            </w:r>
            <w:r w:rsidR="00A961A4" w:rsidRPr="00A961A4">
              <w:rPr>
                <w:rFonts w:ascii="Arial" w:hAnsi="Arial" w:cs="Arial"/>
                <w:sz w:val="24"/>
                <w:lang w:val="en-US"/>
              </w:rPr>
              <w:t xml:space="preserve">) and did not state whether the contents </w:t>
            </w:r>
            <w:r w:rsidR="003E33A8">
              <w:rPr>
                <w:rFonts w:ascii="Arial" w:hAnsi="Arial" w:cs="Arial"/>
                <w:sz w:val="24"/>
                <w:lang w:val="en-US"/>
              </w:rPr>
              <w:t xml:space="preserve">of such affidavit </w:t>
            </w:r>
            <w:r w:rsidR="00A961A4" w:rsidRPr="00A961A4">
              <w:rPr>
                <w:rFonts w:ascii="Arial" w:hAnsi="Arial" w:cs="Arial"/>
                <w:sz w:val="24"/>
                <w:lang w:val="en-US"/>
              </w:rPr>
              <w:t>were true and correct.</w:t>
            </w:r>
            <w:r w:rsidR="00A961A4" w:rsidRPr="00770747">
              <w:rPr>
                <w:rFonts w:ascii="Arial" w:hAnsi="Arial" w:cs="Arial"/>
                <w:b/>
                <w:sz w:val="24"/>
                <w:lang w:val="en-US"/>
              </w:rPr>
              <w:t xml:space="preserve"> </w:t>
            </w:r>
            <w:r w:rsidR="00A961A4" w:rsidRPr="00DE25AA">
              <w:rPr>
                <w:rFonts w:ascii="Arial" w:hAnsi="Arial" w:cs="Arial"/>
                <w:sz w:val="24"/>
                <w:lang w:val="en-US"/>
              </w:rPr>
              <w:t xml:space="preserve">The plaintiff also took issue that the defendants’ legal practitioner </w:t>
            </w:r>
            <w:r w:rsidR="003E33A8" w:rsidRPr="00DE25AA">
              <w:rPr>
                <w:rFonts w:ascii="Arial" w:hAnsi="Arial" w:cs="Arial"/>
                <w:sz w:val="24"/>
                <w:lang w:val="en-US"/>
              </w:rPr>
              <w:t xml:space="preserve">deposed to the </w:t>
            </w:r>
            <w:r w:rsidR="00770747" w:rsidRPr="00DE25AA">
              <w:rPr>
                <w:rFonts w:ascii="Arial" w:hAnsi="Arial" w:cs="Arial"/>
                <w:sz w:val="24"/>
                <w:lang w:val="en-US"/>
              </w:rPr>
              <w:t xml:space="preserve">statement </w:t>
            </w:r>
            <w:r w:rsidR="003E33A8" w:rsidRPr="00DE25AA">
              <w:rPr>
                <w:rFonts w:ascii="Arial" w:hAnsi="Arial" w:cs="Arial"/>
                <w:sz w:val="24"/>
                <w:lang w:val="en-US"/>
              </w:rPr>
              <w:t xml:space="preserve">while </w:t>
            </w:r>
            <w:r w:rsidR="00997F00" w:rsidRPr="00DE25AA">
              <w:rPr>
                <w:rFonts w:ascii="Arial" w:hAnsi="Arial" w:cs="Arial"/>
                <w:sz w:val="24"/>
                <w:lang w:val="en-US"/>
              </w:rPr>
              <w:t>it was not the defendants themselves who authored the statement</w:t>
            </w:r>
            <w:r w:rsidR="00A961A4" w:rsidRPr="00DE25AA">
              <w:rPr>
                <w:rFonts w:ascii="Arial" w:hAnsi="Arial" w:cs="Arial"/>
                <w:sz w:val="24"/>
                <w:lang w:val="en-US"/>
              </w:rPr>
              <w:t xml:space="preserve">. </w:t>
            </w:r>
          </w:p>
          <w:p w:rsidR="005B73AC" w:rsidRDefault="005B73AC" w:rsidP="005B73AC">
            <w:pPr>
              <w:spacing w:after="0" w:line="360" w:lineRule="auto"/>
              <w:ind w:left="34"/>
              <w:contextualSpacing/>
              <w:jc w:val="both"/>
              <w:rPr>
                <w:rFonts w:ascii="Arial" w:hAnsi="Arial" w:cs="Arial"/>
                <w:sz w:val="24"/>
                <w:lang w:val="en-US"/>
              </w:rPr>
            </w:pPr>
          </w:p>
          <w:p w:rsidR="00DE25AA" w:rsidRPr="00DE25AA"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[15]</w:t>
            </w:r>
            <w:r w:rsidR="003E7D59">
              <w:rPr>
                <w:rFonts w:ascii="Arial" w:hAnsi="Arial" w:cs="Arial"/>
                <w:sz w:val="24"/>
                <w:lang w:val="en-US"/>
              </w:rPr>
              <w:t xml:space="preserve"> </w:t>
            </w:r>
            <w:r>
              <w:rPr>
                <w:rFonts w:ascii="Arial" w:hAnsi="Arial" w:cs="Arial"/>
                <w:sz w:val="24"/>
                <w:lang w:val="en-US"/>
              </w:rPr>
              <w:tab/>
            </w:r>
            <w:r w:rsidR="00A961A4" w:rsidRPr="00A961A4">
              <w:rPr>
                <w:rFonts w:ascii="Arial" w:hAnsi="Arial" w:cs="Arial"/>
                <w:sz w:val="24"/>
                <w:lang w:val="en-US"/>
              </w:rPr>
              <w:t>The mistake that the plainti</w:t>
            </w:r>
            <w:r w:rsidR="005B73AC">
              <w:rPr>
                <w:rFonts w:ascii="Arial" w:hAnsi="Arial" w:cs="Arial"/>
                <w:sz w:val="24"/>
                <w:lang w:val="en-US"/>
              </w:rPr>
              <w:t>ff made when he raised the issue of the legal practitioner authoring the statement</w:t>
            </w:r>
            <w:r w:rsidR="00A961A4" w:rsidRPr="00A961A4">
              <w:rPr>
                <w:rFonts w:ascii="Arial" w:hAnsi="Arial" w:cs="Arial"/>
                <w:sz w:val="24"/>
                <w:lang w:val="en-US"/>
              </w:rPr>
              <w:t xml:space="preserve"> was that he implied that the statement was an affidavit</w:t>
            </w:r>
            <w:r w:rsidR="00082E52">
              <w:rPr>
                <w:rFonts w:ascii="Arial" w:hAnsi="Arial" w:cs="Arial"/>
                <w:sz w:val="24"/>
                <w:lang w:val="en-US"/>
              </w:rPr>
              <w:t>,</w:t>
            </w:r>
            <w:r w:rsidR="00A961A4" w:rsidRPr="00A961A4">
              <w:rPr>
                <w:rFonts w:ascii="Arial" w:hAnsi="Arial" w:cs="Arial"/>
                <w:sz w:val="24"/>
                <w:lang w:val="en-US"/>
              </w:rPr>
              <w:t xml:space="preserve"> which it was not</w:t>
            </w:r>
            <w:r w:rsidR="00FB448F">
              <w:rPr>
                <w:rFonts w:ascii="Arial" w:hAnsi="Arial" w:cs="Arial"/>
                <w:sz w:val="24"/>
                <w:lang w:val="en-US"/>
              </w:rPr>
              <w:t xml:space="preserve"> the case</w:t>
            </w:r>
            <w:r w:rsidR="00A961A4" w:rsidRPr="00A961A4">
              <w:rPr>
                <w:rFonts w:ascii="Arial" w:hAnsi="Arial" w:cs="Arial"/>
                <w:sz w:val="24"/>
                <w:lang w:val="en-US"/>
              </w:rPr>
              <w:t>. There was no requirement for the deposing party to state that the facts were true and correct</w:t>
            </w:r>
            <w:r w:rsidR="00082E52">
              <w:rPr>
                <w:rFonts w:ascii="Arial" w:hAnsi="Arial" w:cs="Arial"/>
                <w:sz w:val="24"/>
                <w:lang w:val="en-US"/>
              </w:rPr>
              <w:t>,</w:t>
            </w:r>
            <w:r w:rsidR="00A961A4" w:rsidRPr="00A961A4">
              <w:rPr>
                <w:rFonts w:ascii="Arial" w:hAnsi="Arial" w:cs="Arial"/>
                <w:sz w:val="24"/>
                <w:lang w:val="en-US"/>
              </w:rPr>
              <w:t xml:space="preserve"> and that it had to be the defendants themselves who should have deposed to the statement. </w:t>
            </w:r>
            <w:r w:rsidR="00DE25AA">
              <w:rPr>
                <w:rFonts w:ascii="Arial" w:hAnsi="Arial" w:cs="Arial"/>
                <w:sz w:val="24"/>
                <w:lang w:val="en-US"/>
              </w:rPr>
              <w:t>The legal practitioner did not depose to the discovery affidavit, however, he authored a statement in opposition of the rule 28 application. The defendants deposed to their own discovery affidavits.</w:t>
            </w:r>
          </w:p>
          <w:p w:rsidR="00A961A4" w:rsidRPr="00A961A4" w:rsidRDefault="00A961A4" w:rsidP="00A961A4">
            <w:pPr>
              <w:spacing w:line="256" w:lineRule="auto"/>
              <w:ind w:left="34" w:hanging="110"/>
              <w:contextualSpacing/>
              <w:rPr>
                <w:rFonts w:ascii="Arial" w:hAnsi="Arial" w:cs="Arial"/>
                <w:sz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[16]</w:t>
            </w:r>
            <w:r w:rsidR="003E7D59">
              <w:rPr>
                <w:rFonts w:ascii="Arial" w:hAnsi="Arial" w:cs="Arial"/>
                <w:sz w:val="24"/>
                <w:lang w:val="en-US"/>
              </w:rPr>
              <w:t xml:space="preserve"> </w:t>
            </w:r>
            <w:r>
              <w:rPr>
                <w:rFonts w:ascii="Arial" w:hAnsi="Arial" w:cs="Arial"/>
                <w:sz w:val="24"/>
                <w:lang w:val="en-US"/>
              </w:rPr>
              <w:tab/>
            </w:r>
            <w:r w:rsidR="00A961A4" w:rsidRPr="00A961A4">
              <w:rPr>
                <w:rFonts w:ascii="Arial" w:hAnsi="Arial" w:cs="Arial"/>
                <w:sz w:val="24"/>
                <w:lang w:val="en-US"/>
              </w:rPr>
              <w:t>The court</w:t>
            </w:r>
            <w:r w:rsidR="00082E52">
              <w:rPr>
                <w:rFonts w:ascii="Arial" w:hAnsi="Arial" w:cs="Arial"/>
                <w:sz w:val="24"/>
                <w:lang w:val="en-US"/>
              </w:rPr>
              <w:t>,</w:t>
            </w:r>
            <w:r w:rsidR="00A961A4" w:rsidRPr="00A961A4">
              <w:rPr>
                <w:rFonts w:ascii="Arial" w:hAnsi="Arial" w:cs="Arial"/>
                <w:sz w:val="24"/>
                <w:lang w:val="en-US"/>
              </w:rPr>
              <w:t xml:space="preserve"> after hearing arguments</w:t>
            </w:r>
            <w:r w:rsidR="00082E52">
              <w:rPr>
                <w:rFonts w:ascii="Arial" w:hAnsi="Arial" w:cs="Arial"/>
                <w:sz w:val="24"/>
                <w:lang w:val="en-US"/>
              </w:rPr>
              <w:t>,</w:t>
            </w:r>
            <w:r w:rsidR="00A961A4" w:rsidRPr="00A961A4">
              <w:rPr>
                <w:rFonts w:ascii="Arial" w:hAnsi="Arial" w:cs="Arial"/>
                <w:sz w:val="24"/>
                <w:lang w:val="en-US"/>
              </w:rPr>
              <w:t xml:space="preserve"> ordered the parties to file additional notes on whether or not a legal practitioner may depose to the discovery affidavit, upon which the </w:t>
            </w:r>
            <w:r w:rsidR="00A961A4" w:rsidRPr="00A961A4">
              <w:rPr>
                <w:rFonts w:ascii="Arial" w:hAnsi="Arial" w:cs="Arial"/>
                <w:sz w:val="24"/>
                <w:lang w:val="en-US"/>
              </w:rPr>
              <w:lastRenderedPageBreak/>
              <w:t>defendants successfully convinced the court by making it clear that the disco</w:t>
            </w:r>
            <w:r w:rsidR="00DE25AA">
              <w:rPr>
                <w:rFonts w:ascii="Arial" w:hAnsi="Arial" w:cs="Arial"/>
                <w:sz w:val="24"/>
                <w:lang w:val="en-US"/>
              </w:rPr>
              <w:t>very affidavits filed were deposed to</w:t>
            </w:r>
            <w:r w:rsidR="00A961A4" w:rsidRPr="00A961A4">
              <w:rPr>
                <w:rFonts w:ascii="Arial" w:hAnsi="Arial" w:cs="Arial"/>
                <w:sz w:val="24"/>
                <w:lang w:val="en-US"/>
              </w:rPr>
              <w:t xml:space="preserve"> by the defendants themselves</w:t>
            </w:r>
            <w:r w:rsidR="00DE25AA">
              <w:rPr>
                <w:rFonts w:ascii="Arial" w:hAnsi="Arial" w:cs="Arial"/>
                <w:sz w:val="24"/>
                <w:lang w:val="en-US"/>
              </w:rPr>
              <w:t>. I</w:t>
            </w:r>
            <w:r w:rsidR="00A961A4" w:rsidRPr="00A961A4">
              <w:rPr>
                <w:rFonts w:ascii="Arial" w:hAnsi="Arial" w:cs="Arial"/>
                <w:sz w:val="24"/>
                <w:lang w:val="en-US"/>
              </w:rPr>
              <w:t>t was the statement in response to the plaintiff’s notice that the defendant</w:t>
            </w:r>
            <w:r w:rsidR="005B73AC">
              <w:rPr>
                <w:rFonts w:ascii="Arial" w:hAnsi="Arial" w:cs="Arial"/>
                <w:sz w:val="24"/>
                <w:lang w:val="en-US"/>
              </w:rPr>
              <w:t>s’ legal practitioner authored</w:t>
            </w:r>
            <w:r w:rsidR="00A961A4" w:rsidRPr="00A961A4">
              <w:rPr>
                <w:rFonts w:ascii="Arial" w:hAnsi="Arial" w:cs="Arial"/>
                <w:sz w:val="24"/>
                <w:lang w:val="en-US"/>
              </w:rPr>
              <w:t>. Therefor</w:t>
            </w:r>
            <w:r w:rsidR="00082E52">
              <w:rPr>
                <w:rFonts w:ascii="Arial" w:hAnsi="Arial" w:cs="Arial"/>
                <w:sz w:val="24"/>
                <w:lang w:val="en-US"/>
              </w:rPr>
              <w:t>,</w:t>
            </w:r>
            <w:r w:rsidR="00A961A4" w:rsidRPr="00A961A4">
              <w:rPr>
                <w:rFonts w:ascii="Arial" w:hAnsi="Arial" w:cs="Arial"/>
                <w:sz w:val="24"/>
                <w:lang w:val="en-US"/>
              </w:rPr>
              <w:t xml:space="preserve"> it is not necessary for me to make any further finding in that regard. It is clear that the defendants’ legal practitioner did not depose to an affidavit</w:t>
            </w:r>
            <w:r w:rsidR="005B73AC">
              <w:rPr>
                <w:rFonts w:ascii="Arial" w:hAnsi="Arial" w:cs="Arial"/>
                <w:sz w:val="24"/>
                <w:lang w:val="en-US"/>
              </w:rPr>
              <w:t xml:space="preserve"> but rather a statement, which he was, in my considered view, entitled to do</w:t>
            </w:r>
            <w:r w:rsidR="00A961A4" w:rsidRPr="00A961A4">
              <w:rPr>
                <w:rFonts w:ascii="Arial" w:hAnsi="Arial" w:cs="Arial"/>
                <w:sz w:val="24"/>
                <w:lang w:val="en-US"/>
              </w:rPr>
              <w:t>.</w:t>
            </w:r>
          </w:p>
          <w:p w:rsidR="00A961A4" w:rsidRPr="00A961A4" w:rsidRDefault="00A961A4" w:rsidP="00A961A4">
            <w:pPr>
              <w:spacing w:after="0" w:line="360" w:lineRule="auto"/>
              <w:ind w:left="34" w:hanging="110"/>
              <w:jc w:val="both"/>
              <w:rPr>
                <w:rFonts w:ascii="Arial" w:hAnsi="Arial" w:cs="Arial"/>
                <w:sz w:val="24"/>
                <w:lang w:val="en-US"/>
              </w:rPr>
            </w:pPr>
          </w:p>
          <w:p w:rsidR="00A961A4" w:rsidRPr="00A961A4" w:rsidRDefault="00A961A4" w:rsidP="00A961A4">
            <w:pPr>
              <w:spacing w:after="0" w:line="360" w:lineRule="auto"/>
              <w:ind w:left="34" w:hanging="110"/>
              <w:jc w:val="both"/>
              <w:rPr>
                <w:rFonts w:ascii="Arial" w:hAnsi="Arial" w:cs="Arial"/>
                <w:sz w:val="24"/>
                <w:u w:val="single"/>
                <w:lang w:val="en-US"/>
              </w:rPr>
            </w:pPr>
            <w:r w:rsidRPr="00A961A4">
              <w:rPr>
                <w:rFonts w:ascii="Arial" w:hAnsi="Arial" w:cs="Arial"/>
                <w:sz w:val="24"/>
                <w:u w:val="single"/>
                <w:lang w:val="en-US"/>
              </w:rPr>
              <w:t>The defendants’ case</w:t>
            </w:r>
          </w:p>
          <w:p w:rsidR="00A961A4" w:rsidRPr="00A961A4" w:rsidRDefault="00A961A4" w:rsidP="00A961A4">
            <w:pPr>
              <w:spacing w:after="0" w:line="360" w:lineRule="auto"/>
              <w:ind w:left="34" w:hanging="110"/>
              <w:jc w:val="both"/>
              <w:rPr>
                <w:rFonts w:ascii="Arial" w:hAnsi="Arial" w:cs="Arial"/>
                <w:sz w:val="24"/>
                <w:u w:val="single"/>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[17]</w:t>
            </w:r>
            <w:r w:rsidR="003E7D59">
              <w:rPr>
                <w:rFonts w:ascii="Arial" w:hAnsi="Arial" w:cs="Arial"/>
                <w:sz w:val="24"/>
                <w:lang w:val="en-US"/>
              </w:rPr>
              <w:t xml:space="preserve"> </w:t>
            </w:r>
            <w:r>
              <w:rPr>
                <w:rFonts w:ascii="Arial" w:hAnsi="Arial" w:cs="Arial"/>
                <w:sz w:val="24"/>
                <w:lang w:val="en-US"/>
              </w:rPr>
              <w:tab/>
            </w:r>
            <w:r w:rsidR="00A961A4" w:rsidRPr="00A961A4">
              <w:rPr>
                <w:rFonts w:ascii="Arial" w:hAnsi="Arial" w:cs="Arial"/>
                <w:sz w:val="24"/>
                <w:lang w:val="en-US"/>
              </w:rPr>
              <w:t>It is the defendants’ case that the parties agreed that the p</w:t>
            </w:r>
            <w:r w:rsidR="00082E52">
              <w:rPr>
                <w:rFonts w:ascii="Arial" w:hAnsi="Arial" w:cs="Arial"/>
                <w:sz w:val="24"/>
                <w:lang w:val="en-US"/>
              </w:rPr>
              <w:t>laintiff would have received 50 percent</w:t>
            </w:r>
            <w:r w:rsidR="00A961A4" w:rsidRPr="00A961A4">
              <w:rPr>
                <w:rFonts w:ascii="Arial" w:hAnsi="Arial" w:cs="Arial"/>
                <w:sz w:val="24"/>
                <w:lang w:val="en-US"/>
              </w:rPr>
              <w:t xml:space="preserve"> of the net profit of the Walvis Bay Branch, but that it was, however, specifically agreed to</w:t>
            </w:r>
            <w:r w:rsidR="00082E52">
              <w:rPr>
                <w:rFonts w:ascii="Arial" w:hAnsi="Arial" w:cs="Arial"/>
                <w:sz w:val="24"/>
                <w:lang w:val="en-US"/>
              </w:rPr>
              <w:t>,</w:t>
            </w:r>
            <w:r w:rsidR="00A961A4" w:rsidRPr="00A961A4">
              <w:rPr>
                <w:rFonts w:ascii="Arial" w:hAnsi="Arial" w:cs="Arial"/>
                <w:sz w:val="24"/>
                <w:lang w:val="en-US"/>
              </w:rPr>
              <w:t xml:space="preserve"> between the parties</w:t>
            </w:r>
            <w:r w:rsidR="00082E52">
              <w:rPr>
                <w:rFonts w:ascii="Arial" w:hAnsi="Arial" w:cs="Arial"/>
                <w:sz w:val="24"/>
                <w:lang w:val="en-US"/>
              </w:rPr>
              <w:t>,</w:t>
            </w:r>
            <w:r w:rsidR="00A961A4" w:rsidRPr="00A961A4">
              <w:rPr>
                <w:rFonts w:ascii="Arial" w:hAnsi="Arial" w:cs="Arial"/>
                <w:sz w:val="24"/>
                <w:lang w:val="en-US"/>
              </w:rPr>
              <w:t xml:space="preserve"> that the parties would first assess the situation in order to establish whether the relationship between the parties was amicable and whether the relationship was sustainable before such agreement would be reduced to writing. It was further the defendants’ case that the agreement was never reduced to writing and that it did not come into force</w:t>
            </w:r>
            <w:r w:rsidR="005B73AC">
              <w:rPr>
                <w:rFonts w:ascii="Arial" w:hAnsi="Arial" w:cs="Arial"/>
                <w:sz w:val="24"/>
                <w:lang w:val="en-US"/>
              </w:rPr>
              <w:t xml:space="preserve"> and had no legal effect for that matter</w:t>
            </w:r>
            <w:r w:rsidR="00A961A4" w:rsidRPr="00A961A4">
              <w:rPr>
                <w:rFonts w:ascii="Arial" w:hAnsi="Arial" w:cs="Arial"/>
                <w:sz w:val="24"/>
                <w:lang w:val="en-US"/>
              </w:rPr>
              <w:t>.</w:t>
            </w:r>
          </w:p>
          <w:p w:rsidR="00A961A4" w:rsidRPr="00A961A4" w:rsidRDefault="00A961A4" w:rsidP="00A961A4">
            <w:pPr>
              <w:spacing w:after="0" w:line="360" w:lineRule="auto"/>
              <w:ind w:left="34" w:hanging="110"/>
              <w:contextualSpacing/>
              <w:jc w:val="both"/>
              <w:rPr>
                <w:rFonts w:ascii="Arial" w:hAnsi="Arial" w:cs="Arial"/>
                <w:sz w:val="24"/>
                <w:lang w:val="en-US"/>
              </w:rPr>
            </w:pPr>
          </w:p>
          <w:p w:rsidR="00A961A4" w:rsidRPr="00A961A4" w:rsidRDefault="009D27D7" w:rsidP="003E7D59">
            <w:pPr>
              <w:spacing w:after="0" w:line="360" w:lineRule="auto"/>
              <w:ind w:left="34"/>
              <w:contextualSpacing/>
              <w:jc w:val="both"/>
              <w:rPr>
                <w:rFonts w:ascii="Arial" w:hAnsi="Arial" w:cs="Arial"/>
                <w:bCs/>
                <w:sz w:val="24"/>
                <w:lang w:val="en-US"/>
              </w:rPr>
            </w:pPr>
            <w:r>
              <w:rPr>
                <w:rFonts w:ascii="Arial" w:hAnsi="Arial" w:cs="Arial"/>
                <w:bCs/>
                <w:sz w:val="24"/>
                <w:lang w:val="en-US"/>
              </w:rPr>
              <w:t>[18]</w:t>
            </w:r>
            <w:r>
              <w:rPr>
                <w:rFonts w:ascii="Arial" w:hAnsi="Arial" w:cs="Arial"/>
                <w:bCs/>
                <w:sz w:val="24"/>
                <w:lang w:val="en-US"/>
              </w:rPr>
              <w:tab/>
            </w:r>
            <w:r w:rsidR="003E7D59">
              <w:rPr>
                <w:rFonts w:ascii="Arial" w:hAnsi="Arial" w:cs="Arial"/>
                <w:bCs/>
                <w:sz w:val="24"/>
                <w:lang w:val="en-US"/>
              </w:rPr>
              <w:t xml:space="preserve"> </w:t>
            </w:r>
            <w:r w:rsidR="00082E52">
              <w:rPr>
                <w:rFonts w:ascii="Arial" w:hAnsi="Arial" w:cs="Arial"/>
                <w:bCs/>
                <w:sz w:val="24"/>
                <w:lang w:val="en-US"/>
              </w:rPr>
              <w:t xml:space="preserve">It is </w:t>
            </w:r>
            <w:r w:rsidR="00A961A4" w:rsidRPr="00A961A4">
              <w:rPr>
                <w:rFonts w:ascii="Arial" w:hAnsi="Arial" w:cs="Arial"/>
                <w:bCs/>
                <w:sz w:val="24"/>
                <w:lang w:val="en-US"/>
              </w:rPr>
              <w:t xml:space="preserve">further the defendants’ case that, the plaintiff has not yet proven </w:t>
            </w:r>
            <w:r w:rsidR="00770747">
              <w:rPr>
                <w:rFonts w:ascii="Arial" w:hAnsi="Arial" w:cs="Arial"/>
                <w:bCs/>
                <w:sz w:val="24"/>
                <w:lang w:val="en-US"/>
              </w:rPr>
              <w:t xml:space="preserve">the existence of the alleged agreement </w:t>
            </w:r>
            <w:r w:rsidR="00A961A4" w:rsidRPr="00A961A4">
              <w:rPr>
                <w:rFonts w:ascii="Arial" w:hAnsi="Arial" w:cs="Arial"/>
                <w:bCs/>
                <w:sz w:val="24"/>
                <w:lang w:val="en-US"/>
              </w:rPr>
              <w:t xml:space="preserve">to the court and/or, that he is entitled to </w:t>
            </w:r>
            <w:r w:rsidR="00082E52">
              <w:rPr>
                <w:rFonts w:ascii="Arial" w:hAnsi="Arial" w:cs="Arial"/>
                <w:bCs/>
                <w:sz w:val="24"/>
                <w:lang w:val="en-US"/>
              </w:rPr>
              <w:t xml:space="preserve">the </w:t>
            </w:r>
            <w:r w:rsidR="00A961A4" w:rsidRPr="00A961A4">
              <w:rPr>
                <w:rFonts w:ascii="Arial" w:hAnsi="Arial" w:cs="Arial"/>
                <w:bCs/>
                <w:sz w:val="24"/>
                <w:lang w:val="en-US"/>
              </w:rPr>
              <w:t>member’s interest in the first defendant</w:t>
            </w:r>
            <w:r w:rsidR="006B4C3F">
              <w:rPr>
                <w:rFonts w:ascii="Arial" w:hAnsi="Arial" w:cs="Arial"/>
                <w:bCs/>
                <w:sz w:val="24"/>
                <w:lang w:val="en-US"/>
              </w:rPr>
              <w:t xml:space="preserve">. The defendants contend that the plaintiff should first prove the element of liability before </w:t>
            </w:r>
            <w:r w:rsidR="00770747">
              <w:rPr>
                <w:rFonts w:ascii="Arial" w:hAnsi="Arial" w:cs="Arial"/>
                <w:bCs/>
                <w:sz w:val="24"/>
                <w:lang w:val="en-US"/>
              </w:rPr>
              <w:t xml:space="preserve">they will make the discovery </w:t>
            </w:r>
            <w:r w:rsidR="006B4C3F">
              <w:rPr>
                <w:rFonts w:ascii="Arial" w:hAnsi="Arial" w:cs="Arial"/>
                <w:bCs/>
                <w:sz w:val="24"/>
                <w:lang w:val="en-US"/>
              </w:rPr>
              <w:t>sought</w:t>
            </w:r>
            <w:r w:rsidR="00770747">
              <w:rPr>
                <w:rFonts w:ascii="Arial" w:hAnsi="Arial" w:cs="Arial"/>
                <w:bCs/>
                <w:sz w:val="24"/>
                <w:lang w:val="en-US"/>
              </w:rPr>
              <w:t xml:space="preserve">. The defendants contend further </w:t>
            </w:r>
            <w:r w:rsidR="00A961A4" w:rsidRPr="00A961A4">
              <w:rPr>
                <w:rFonts w:ascii="Arial" w:hAnsi="Arial" w:cs="Arial"/>
                <w:bCs/>
                <w:sz w:val="24"/>
                <w:lang w:val="en-US"/>
              </w:rPr>
              <w:t>that the plaintiff failed to prove the relevance of the documents that he seeks to be discovered. According to the defendants</w:t>
            </w:r>
            <w:r w:rsidR="00770747">
              <w:rPr>
                <w:rFonts w:ascii="Arial" w:hAnsi="Arial" w:cs="Arial"/>
                <w:bCs/>
                <w:sz w:val="24"/>
                <w:lang w:val="en-US"/>
              </w:rPr>
              <w:t>,</w:t>
            </w:r>
            <w:r w:rsidR="00A961A4" w:rsidRPr="00A961A4">
              <w:rPr>
                <w:rFonts w:ascii="Arial" w:hAnsi="Arial" w:cs="Arial"/>
                <w:bCs/>
                <w:sz w:val="24"/>
                <w:lang w:val="en-US"/>
              </w:rPr>
              <w:t xml:space="preserve"> the plaintiff has failed to discharge the onus</w:t>
            </w:r>
            <w:r w:rsidR="00770747">
              <w:rPr>
                <w:rFonts w:ascii="Arial" w:hAnsi="Arial" w:cs="Arial"/>
                <w:bCs/>
                <w:sz w:val="24"/>
                <w:lang w:val="en-US"/>
              </w:rPr>
              <w:t xml:space="preserve"> to prove entitlement to the specific discovery sought and called on the court to </w:t>
            </w:r>
            <w:r w:rsidR="00A961A4" w:rsidRPr="00A961A4">
              <w:rPr>
                <w:rFonts w:ascii="Arial" w:hAnsi="Arial" w:cs="Arial"/>
                <w:bCs/>
                <w:sz w:val="24"/>
                <w:lang w:val="en-US"/>
              </w:rPr>
              <w:t>dismiss</w:t>
            </w:r>
            <w:r w:rsidR="00770747">
              <w:rPr>
                <w:rFonts w:ascii="Arial" w:hAnsi="Arial" w:cs="Arial"/>
                <w:bCs/>
                <w:sz w:val="24"/>
                <w:lang w:val="en-US"/>
              </w:rPr>
              <w:t xml:space="preserve"> the application on </w:t>
            </w:r>
            <w:r w:rsidR="00A961A4" w:rsidRPr="00A961A4">
              <w:rPr>
                <w:rFonts w:ascii="Arial" w:hAnsi="Arial" w:cs="Arial"/>
                <w:bCs/>
                <w:sz w:val="24"/>
                <w:lang w:val="en-US"/>
              </w:rPr>
              <w:t>the basis that the documents requested are not relevant to the cause and/or proportionate to the needs of the case.</w:t>
            </w:r>
          </w:p>
          <w:p w:rsidR="00A961A4" w:rsidRPr="00A961A4" w:rsidRDefault="00A961A4" w:rsidP="00A961A4">
            <w:pPr>
              <w:spacing w:after="0" w:line="360" w:lineRule="auto"/>
              <w:ind w:left="34" w:hanging="110"/>
              <w:jc w:val="both"/>
              <w:rPr>
                <w:rFonts w:ascii="Arial" w:hAnsi="Arial" w:cs="Arial"/>
                <w:bCs/>
                <w:sz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[19]</w:t>
            </w:r>
            <w:r>
              <w:rPr>
                <w:rFonts w:ascii="Arial" w:hAnsi="Arial" w:cs="Arial"/>
                <w:sz w:val="24"/>
                <w:lang w:val="en-US"/>
              </w:rPr>
              <w:tab/>
            </w:r>
            <w:r w:rsidR="003E7D59">
              <w:rPr>
                <w:rFonts w:ascii="Arial" w:hAnsi="Arial" w:cs="Arial"/>
                <w:sz w:val="24"/>
                <w:lang w:val="en-US"/>
              </w:rPr>
              <w:t xml:space="preserve"> </w:t>
            </w:r>
            <w:r w:rsidR="00121BE6">
              <w:rPr>
                <w:rFonts w:ascii="Arial" w:hAnsi="Arial" w:cs="Arial"/>
                <w:sz w:val="24"/>
                <w:lang w:val="en-US"/>
              </w:rPr>
              <w:t xml:space="preserve">The defendants </w:t>
            </w:r>
            <w:r w:rsidR="00A961A4" w:rsidRPr="00A961A4">
              <w:rPr>
                <w:rFonts w:ascii="Arial" w:hAnsi="Arial" w:cs="Arial"/>
                <w:sz w:val="24"/>
                <w:lang w:val="en-US"/>
              </w:rPr>
              <w:t>further made an interesting submission that the plaintiff has established a</w:t>
            </w:r>
            <w:r w:rsidR="00121BE6">
              <w:rPr>
                <w:rFonts w:ascii="Arial" w:hAnsi="Arial" w:cs="Arial"/>
                <w:sz w:val="24"/>
                <w:lang w:val="en-US"/>
              </w:rPr>
              <w:t xml:space="preserve"> business that is similar to that of the</w:t>
            </w:r>
            <w:r w:rsidR="00A961A4" w:rsidRPr="00A961A4">
              <w:rPr>
                <w:rFonts w:ascii="Arial" w:hAnsi="Arial" w:cs="Arial"/>
                <w:sz w:val="24"/>
                <w:lang w:val="en-US"/>
              </w:rPr>
              <w:t xml:space="preserve"> first defendant and that </w:t>
            </w:r>
            <w:r w:rsidR="008A5174">
              <w:rPr>
                <w:rFonts w:ascii="Arial" w:hAnsi="Arial" w:cs="Arial"/>
                <w:sz w:val="24"/>
                <w:lang w:val="en-US"/>
              </w:rPr>
              <w:t xml:space="preserve">the said two businesses are in </w:t>
            </w:r>
            <w:r w:rsidR="00A961A4" w:rsidRPr="00A961A4">
              <w:rPr>
                <w:rFonts w:ascii="Arial" w:hAnsi="Arial" w:cs="Arial"/>
                <w:sz w:val="24"/>
                <w:lang w:val="en-US"/>
              </w:rPr>
              <w:t>dir</w:t>
            </w:r>
            <w:r w:rsidR="008A5174">
              <w:rPr>
                <w:rFonts w:ascii="Arial" w:hAnsi="Arial" w:cs="Arial"/>
                <w:sz w:val="24"/>
                <w:lang w:val="en-US"/>
              </w:rPr>
              <w:t xml:space="preserve">ect competition. </w:t>
            </w:r>
            <w:r w:rsidR="00A961A4" w:rsidRPr="00A961A4">
              <w:rPr>
                <w:rFonts w:ascii="Arial" w:hAnsi="Arial" w:cs="Arial"/>
                <w:sz w:val="24"/>
                <w:lang w:val="en-US"/>
              </w:rPr>
              <w:t xml:space="preserve">For obvious reasons, discovery of the documents </w:t>
            </w:r>
            <w:r w:rsidR="00A961A4" w:rsidRPr="00A961A4">
              <w:rPr>
                <w:rFonts w:ascii="Arial" w:hAnsi="Arial" w:cs="Arial"/>
                <w:sz w:val="24"/>
                <w:lang w:val="en-US"/>
              </w:rPr>
              <w:lastRenderedPageBreak/>
              <w:t xml:space="preserve">sought above will do a grave injustice and </w:t>
            </w:r>
            <w:r w:rsidR="006B4C3F">
              <w:rPr>
                <w:rFonts w:ascii="Arial" w:hAnsi="Arial" w:cs="Arial"/>
                <w:sz w:val="24"/>
                <w:lang w:val="en-US"/>
              </w:rPr>
              <w:t>it will be highly prejudicial</w:t>
            </w:r>
            <w:r w:rsidR="00A961A4" w:rsidRPr="00A961A4">
              <w:rPr>
                <w:rFonts w:ascii="Arial" w:hAnsi="Arial" w:cs="Arial"/>
                <w:sz w:val="24"/>
                <w:lang w:val="en-US"/>
              </w:rPr>
              <w:t xml:space="preserve"> </w:t>
            </w:r>
            <w:r w:rsidR="008A5174">
              <w:rPr>
                <w:rFonts w:ascii="Arial" w:hAnsi="Arial" w:cs="Arial"/>
                <w:sz w:val="24"/>
                <w:lang w:val="en-US"/>
              </w:rPr>
              <w:t xml:space="preserve">to </w:t>
            </w:r>
            <w:r w:rsidR="00A961A4" w:rsidRPr="00A961A4">
              <w:rPr>
                <w:rFonts w:ascii="Arial" w:hAnsi="Arial" w:cs="Arial"/>
                <w:sz w:val="24"/>
                <w:lang w:val="en-US"/>
              </w:rPr>
              <w:t>the business of the first defendant if the court so allows</w:t>
            </w:r>
            <w:r w:rsidR="008A5174">
              <w:rPr>
                <w:rFonts w:ascii="Arial" w:hAnsi="Arial" w:cs="Arial"/>
                <w:sz w:val="24"/>
                <w:lang w:val="en-US"/>
              </w:rPr>
              <w:t xml:space="preserve">, contended the defendants. </w:t>
            </w:r>
          </w:p>
          <w:p w:rsidR="00A961A4" w:rsidRPr="00A961A4" w:rsidRDefault="00A961A4" w:rsidP="00A961A4">
            <w:pPr>
              <w:spacing w:line="256" w:lineRule="auto"/>
              <w:ind w:left="34" w:hanging="110"/>
              <w:contextualSpacing/>
              <w:rPr>
                <w:rFonts w:ascii="Arial" w:hAnsi="Arial" w:cs="Arial"/>
                <w:sz w:val="24"/>
                <w:lang w:val="en-US"/>
              </w:rPr>
            </w:pPr>
          </w:p>
          <w:p w:rsidR="00A961A4" w:rsidRPr="00A961A4" w:rsidRDefault="009D27D7" w:rsidP="003E7D59">
            <w:pPr>
              <w:spacing w:line="360" w:lineRule="auto"/>
              <w:ind w:left="34"/>
              <w:contextualSpacing/>
              <w:jc w:val="both"/>
              <w:rPr>
                <w:rFonts w:ascii="Arial" w:hAnsi="Arial" w:cs="Arial"/>
                <w:bCs/>
                <w:sz w:val="24"/>
                <w:lang w:val="en-US"/>
              </w:rPr>
            </w:pPr>
            <w:r>
              <w:rPr>
                <w:rFonts w:ascii="Arial" w:hAnsi="Arial" w:cs="Arial"/>
                <w:sz w:val="24"/>
                <w:lang w:val="en-US"/>
              </w:rPr>
              <w:t>[20]</w:t>
            </w:r>
            <w:r w:rsidR="003E7D59">
              <w:rPr>
                <w:rFonts w:ascii="Arial" w:hAnsi="Arial" w:cs="Arial"/>
                <w:sz w:val="24"/>
                <w:lang w:val="en-US"/>
              </w:rPr>
              <w:t xml:space="preserve"> </w:t>
            </w:r>
            <w:r>
              <w:rPr>
                <w:rFonts w:ascii="Arial" w:hAnsi="Arial" w:cs="Arial"/>
                <w:sz w:val="24"/>
                <w:lang w:val="en-US"/>
              </w:rPr>
              <w:tab/>
            </w:r>
            <w:r w:rsidR="00A961A4" w:rsidRPr="00A961A4">
              <w:rPr>
                <w:rFonts w:ascii="Arial" w:hAnsi="Arial" w:cs="Arial"/>
                <w:sz w:val="24"/>
                <w:lang w:val="en-US"/>
              </w:rPr>
              <w:t xml:space="preserve">The defendants also submitted </w:t>
            </w:r>
            <w:r w:rsidR="00A961A4" w:rsidRPr="00A961A4">
              <w:rPr>
                <w:rFonts w:ascii="Arial" w:hAnsi="Arial" w:cs="Arial"/>
                <w:bCs/>
                <w:sz w:val="24"/>
                <w:lang w:val="en-US"/>
              </w:rPr>
              <w:t xml:space="preserve">that the plaintiff is not a member of the first </w:t>
            </w:r>
            <w:r w:rsidR="00082E52">
              <w:rPr>
                <w:rFonts w:ascii="Arial" w:hAnsi="Arial" w:cs="Arial"/>
                <w:bCs/>
                <w:sz w:val="24"/>
                <w:lang w:val="en-US"/>
              </w:rPr>
              <w:t>defendant</w:t>
            </w:r>
            <w:r w:rsidR="008A5174">
              <w:rPr>
                <w:rFonts w:ascii="Arial" w:hAnsi="Arial" w:cs="Arial"/>
                <w:bCs/>
                <w:sz w:val="24"/>
                <w:lang w:val="en-US"/>
              </w:rPr>
              <w:t xml:space="preserve"> and that </w:t>
            </w:r>
            <w:r w:rsidR="006B4C3F">
              <w:rPr>
                <w:rFonts w:ascii="Arial" w:hAnsi="Arial" w:cs="Arial"/>
                <w:bCs/>
                <w:sz w:val="24"/>
                <w:lang w:val="en-US"/>
              </w:rPr>
              <w:t>is evident from</w:t>
            </w:r>
            <w:r w:rsidR="00A961A4" w:rsidRPr="00A961A4">
              <w:rPr>
                <w:rFonts w:ascii="Arial" w:hAnsi="Arial" w:cs="Arial"/>
                <w:bCs/>
                <w:sz w:val="24"/>
                <w:lang w:val="en-US"/>
              </w:rPr>
              <w:t xml:space="preserve"> the Founding Statement of the first defendant. It was </w:t>
            </w:r>
            <w:r w:rsidR="008A5174">
              <w:rPr>
                <w:rFonts w:ascii="Arial" w:hAnsi="Arial" w:cs="Arial"/>
                <w:bCs/>
                <w:sz w:val="24"/>
                <w:lang w:val="en-US"/>
              </w:rPr>
              <w:t xml:space="preserve">further </w:t>
            </w:r>
            <w:r w:rsidR="00A961A4" w:rsidRPr="00A961A4">
              <w:rPr>
                <w:rFonts w:ascii="Arial" w:hAnsi="Arial" w:cs="Arial"/>
                <w:bCs/>
                <w:sz w:val="24"/>
                <w:lang w:val="en-US"/>
              </w:rPr>
              <w:t>submitted by the defendants that the documents so requested are neither proportionate to the needs of the case</w:t>
            </w:r>
            <w:r w:rsidR="00082E52">
              <w:rPr>
                <w:rFonts w:ascii="Arial" w:hAnsi="Arial" w:cs="Arial"/>
                <w:bCs/>
                <w:sz w:val="24"/>
                <w:lang w:val="en-US"/>
              </w:rPr>
              <w:t>,</w:t>
            </w:r>
            <w:r w:rsidR="00A961A4" w:rsidRPr="00A961A4">
              <w:rPr>
                <w:rFonts w:ascii="Arial" w:hAnsi="Arial" w:cs="Arial"/>
                <w:bCs/>
                <w:sz w:val="24"/>
                <w:lang w:val="en-US"/>
              </w:rPr>
              <w:t xml:space="preserve"> nor necessary to prove the plaintiff</w:t>
            </w:r>
            <w:r w:rsidR="008A5174">
              <w:rPr>
                <w:rFonts w:ascii="Arial" w:hAnsi="Arial" w:cs="Arial"/>
                <w:bCs/>
                <w:sz w:val="24"/>
                <w:lang w:val="en-US"/>
              </w:rPr>
              <w:t>’s case. The defendants contend</w:t>
            </w:r>
            <w:r w:rsidR="00A961A4" w:rsidRPr="00A961A4">
              <w:rPr>
                <w:rFonts w:ascii="Arial" w:hAnsi="Arial" w:cs="Arial"/>
                <w:bCs/>
                <w:sz w:val="24"/>
                <w:lang w:val="en-US"/>
              </w:rPr>
              <w:t xml:space="preserve"> that the plaintiff first needs to prove that he is, or ought to be, a member of the first defendant</w:t>
            </w:r>
            <w:r w:rsidR="008A5174">
              <w:rPr>
                <w:rFonts w:ascii="Arial" w:hAnsi="Arial" w:cs="Arial"/>
                <w:bCs/>
                <w:sz w:val="24"/>
                <w:lang w:val="en-US"/>
              </w:rPr>
              <w:t xml:space="preserve"> before being entitled to the requested specific discovery. </w:t>
            </w:r>
          </w:p>
          <w:p w:rsidR="00A961A4" w:rsidRPr="00A961A4" w:rsidRDefault="00A961A4" w:rsidP="00A961A4">
            <w:pPr>
              <w:spacing w:line="256" w:lineRule="auto"/>
              <w:ind w:left="34" w:hanging="110"/>
              <w:contextualSpacing/>
              <w:rPr>
                <w:rFonts w:ascii="Arial" w:hAnsi="Arial" w:cs="Arial"/>
                <w:sz w:val="24"/>
                <w:u w:val="single"/>
                <w:lang w:val="en-US"/>
              </w:rPr>
            </w:pPr>
          </w:p>
          <w:p w:rsidR="00A961A4" w:rsidRPr="00A961A4" w:rsidRDefault="00A961A4" w:rsidP="00A961A4">
            <w:pPr>
              <w:spacing w:line="360" w:lineRule="auto"/>
              <w:ind w:left="34" w:hanging="110"/>
              <w:contextualSpacing/>
              <w:jc w:val="both"/>
              <w:rPr>
                <w:rFonts w:ascii="Arial" w:hAnsi="Arial" w:cs="Arial"/>
                <w:bCs/>
                <w:sz w:val="24"/>
                <w:lang w:val="en-US"/>
              </w:rPr>
            </w:pPr>
            <w:r w:rsidRPr="00A961A4">
              <w:rPr>
                <w:rFonts w:ascii="Arial" w:hAnsi="Arial" w:cs="Arial"/>
                <w:sz w:val="24"/>
                <w:u w:val="single"/>
                <w:lang w:val="en-US"/>
              </w:rPr>
              <w:t>Analysis</w:t>
            </w:r>
          </w:p>
          <w:p w:rsidR="00A961A4" w:rsidRPr="00A961A4" w:rsidRDefault="00A961A4" w:rsidP="00A961A4">
            <w:pPr>
              <w:spacing w:line="256" w:lineRule="auto"/>
              <w:ind w:left="34" w:hanging="110"/>
              <w:contextualSpacing/>
              <w:rPr>
                <w:rFonts w:ascii="Arial" w:hAnsi="Arial" w:cs="Arial"/>
                <w:sz w:val="24"/>
                <w:szCs w:val="24"/>
                <w:lang w:val="en-US"/>
              </w:rPr>
            </w:pPr>
          </w:p>
          <w:p w:rsidR="00A961A4" w:rsidRPr="00A961A4" w:rsidRDefault="009D27D7" w:rsidP="003E7D59">
            <w:pPr>
              <w:spacing w:line="360" w:lineRule="auto"/>
              <w:ind w:left="34"/>
              <w:contextualSpacing/>
              <w:jc w:val="both"/>
              <w:rPr>
                <w:rFonts w:ascii="Arial" w:hAnsi="Arial" w:cs="Arial"/>
                <w:bCs/>
                <w:sz w:val="24"/>
                <w:lang w:val="en-US"/>
              </w:rPr>
            </w:pPr>
            <w:r>
              <w:rPr>
                <w:rFonts w:ascii="Arial" w:hAnsi="Arial" w:cs="Arial"/>
                <w:sz w:val="24"/>
                <w:szCs w:val="24"/>
                <w:lang w:val="en-US"/>
              </w:rPr>
              <w:t>[21]</w:t>
            </w:r>
            <w:r>
              <w:rPr>
                <w:rFonts w:ascii="Arial" w:hAnsi="Arial" w:cs="Arial"/>
                <w:sz w:val="24"/>
                <w:szCs w:val="24"/>
                <w:lang w:val="en-US"/>
              </w:rPr>
              <w:tab/>
            </w:r>
            <w:r w:rsidR="003E7D59">
              <w:rPr>
                <w:rFonts w:ascii="Arial" w:hAnsi="Arial" w:cs="Arial"/>
                <w:sz w:val="24"/>
                <w:szCs w:val="24"/>
                <w:lang w:val="en-US"/>
              </w:rPr>
              <w:t xml:space="preserve"> </w:t>
            </w:r>
            <w:r w:rsidR="00A961A4" w:rsidRPr="00A961A4">
              <w:rPr>
                <w:rFonts w:ascii="Arial" w:hAnsi="Arial" w:cs="Arial"/>
                <w:sz w:val="24"/>
                <w:szCs w:val="24"/>
                <w:lang w:val="en-US"/>
              </w:rPr>
              <w:t>Applications for specific discovery are gove</w:t>
            </w:r>
            <w:r w:rsidR="008A5174">
              <w:rPr>
                <w:rFonts w:ascii="Arial" w:hAnsi="Arial" w:cs="Arial"/>
                <w:sz w:val="24"/>
                <w:szCs w:val="24"/>
                <w:lang w:val="en-US"/>
              </w:rPr>
              <w:t>rned by r</w:t>
            </w:r>
            <w:r w:rsidR="006B4C3F">
              <w:rPr>
                <w:rFonts w:ascii="Arial" w:hAnsi="Arial" w:cs="Arial"/>
                <w:sz w:val="24"/>
                <w:szCs w:val="24"/>
                <w:lang w:val="en-US"/>
              </w:rPr>
              <w:t>ule 28</w:t>
            </w:r>
            <w:r w:rsidR="006C271D">
              <w:rPr>
                <w:rFonts w:ascii="Arial" w:hAnsi="Arial" w:cs="Arial"/>
                <w:sz w:val="24"/>
                <w:szCs w:val="24"/>
                <w:lang w:val="en-US"/>
              </w:rPr>
              <w:t xml:space="preserve"> of the rules of this court</w:t>
            </w:r>
            <w:r w:rsidR="006B4C3F">
              <w:rPr>
                <w:rFonts w:ascii="Arial" w:hAnsi="Arial" w:cs="Arial"/>
                <w:sz w:val="24"/>
                <w:szCs w:val="24"/>
                <w:lang w:val="en-US"/>
              </w:rPr>
              <w:t xml:space="preserve">. The relevant </w:t>
            </w:r>
            <w:r w:rsidR="00A961A4" w:rsidRPr="00A961A4">
              <w:rPr>
                <w:rFonts w:ascii="Arial" w:hAnsi="Arial" w:cs="Arial"/>
                <w:sz w:val="24"/>
                <w:szCs w:val="24"/>
                <w:lang w:val="en-US"/>
              </w:rPr>
              <w:t xml:space="preserve">subrules, </w:t>
            </w:r>
            <w:r w:rsidR="006B4C3F">
              <w:rPr>
                <w:rFonts w:ascii="Arial" w:hAnsi="Arial" w:cs="Arial"/>
                <w:sz w:val="24"/>
                <w:szCs w:val="24"/>
                <w:lang w:val="en-US"/>
              </w:rPr>
              <w:t xml:space="preserve">are </w:t>
            </w:r>
            <w:r w:rsidR="00A961A4" w:rsidRPr="00A961A4">
              <w:rPr>
                <w:rFonts w:ascii="Arial" w:hAnsi="Arial" w:cs="Arial"/>
                <w:sz w:val="24"/>
                <w:szCs w:val="24"/>
                <w:lang w:val="en-US"/>
              </w:rPr>
              <w:t xml:space="preserve">quoted </w:t>
            </w:r>
            <w:r w:rsidR="006B4C3F">
              <w:rPr>
                <w:rFonts w:ascii="Arial" w:hAnsi="Arial" w:cs="Arial"/>
                <w:sz w:val="24"/>
                <w:szCs w:val="24"/>
                <w:lang w:val="en-US"/>
              </w:rPr>
              <w:t xml:space="preserve">below </w:t>
            </w:r>
            <w:r w:rsidR="00A961A4" w:rsidRPr="00A961A4">
              <w:rPr>
                <w:rFonts w:ascii="Arial" w:hAnsi="Arial" w:cs="Arial"/>
                <w:sz w:val="24"/>
                <w:szCs w:val="24"/>
                <w:lang w:val="en-US"/>
              </w:rPr>
              <w:t>as follows:</w:t>
            </w:r>
          </w:p>
          <w:p w:rsidR="00A961A4" w:rsidRPr="00A961A4" w:rsidRDefault="00A961A4" w:rsidP="00A961A4">
            <w:pPr>
              <w:spacing w:after="0" w:line="360" w:lineRule="auto"/>
              <w:ind w:left="34" w:hanging="110"/>
              <w:contextualSpacing/>
              <w:jc w:val="both"/>
              <w:rPr>
                <w:rFonts w:ascii="Arial" w:hAnsi="Arial" w:cs="Arial"/>
                <w:sz w:val="24"/>
                <w:szCs w:val="24"/>
                <w:lang w:val="en-US"/>
              </w:rPr>
            </w:pPr>
          </w:p>
          <w:p w:rsidR="00A961A4" w:rsidRPr="00A961A4" w:rsidRDefault="006B4C3F" w:rsidP="00A961A4">
            <w:pPr>
              <w:spacing w:after="0" w:line="360" w:lineRule="auto"/>
              <w:ind w:left="34" w:hanging="110"/>
              <w:contextualSpacing/>
              <w:jc w:val="both"/>
              <w:rPr>
                <w:rFonts w:ascii="Arial" w:hAnsi="Arial" w:cs="Arial"/>
                <w:szCs w:val="24"/>
                <w:lang w:val="en-US"/>
              </w:rPr>
            </w:pPr>
            <w:r>
              <w:rPr>
                <w:rFonts w:ascii="Arial" w:hAnsi="Arial" w:cs="Arial"/>
                <w:szCs w:val="24"/>
                <w:lang w:val="en-US"/>
              </w:rPr>
              <w:tab/>
            </w:r>
            <w:r>
              <w:rPr>
                <w:rFonts w:ascii="Arial" w:hAnsi="Arial" w:cs="Arial"/>
                <w:szCs w:val="24"/>
                <w:lang w:val="en-US"/>
              </w:rPr>
              <w:tab/>
            </w:r>
            <w:r w:rsidR="00A961A4" w:rsidRPr="00A961A4">
              <w:rPr>
                <w:rFonts w:ascii="Arial" w:hAnsi="Arial" w:cs="Arial"/>
                <w:szCs w:val="24"/>
                <w:lang w:val="en-US"/>
              </w:rPr>
              <w:t>‘(1) A party must, without the necessity of being requested by any other party to make discovery, identify and describe all documents, analogues or digital recordings that are relevant to the matter in question and in respect of which no privilege may be claimed and further identify and describe all documents that the party intends or ex</w:t>
            </w:r>
            <w:r w:rsidR="003E7D59">
              <w:rPr>
                <w:rFonts w:ascii="Arial" w:hAnsi="Arial" w:cs="Arial"/>
                <w:szCs w:val="24"/>
                <w:lang w:val="en-US"/>
              </w:rPr>
              <w:t>pects to introduce at the trial.</w:t>
            </w:r>
          </w:p>
          <w:p w:rsidR="00A961A4" w:rsidRPr="00A961A4" w:rsidRDefault="003E7D59" w:rsidP="00A961A4">
            <w:pPr>
              <w:spacing w:after="0" w:line="360" w:lineRule="auto"/>
              <w:ind w:left="34" w:hanging="110"/>
              <w:jc w:val="both"/>
              <w:rPr>
                <w:rFonts w:ascii="Arial" w:hAnsi="Arial" w:cs="Arial"/>
                <w:szCs w:val="24"/>
                <w:lang w:val="en-US"/>
              </w:rPr>
            </w:pPr>
            <w:r>
              <w:rPr>
                <w:rFonts w:ascii="Arial" w:hAnsi="Arial" w:cs="Arial"/>
                <w:szCs w:val="24"/>
                <w:lang w:val="en-US"/>
              </w:rPr>
              <w:t>…</w:t>
            </w:r>
          </w:p>
          <w:p w:rsidR="00A961A4" w:rsidRPr="00A961A4" w:rsidRDefault="00A961A4" w:rsidP="00A961A4">
            <w:pPr>
              <w:spacing w:after="0" w:line="360" w:lineRule="auto"/>
              <w:ind w:left="34" w:hanging="110"/>
              <w:jc w:val="both"/>
              <w:rPr>
                <w:rFonts w:ascii="Arial" w:hAnsi="Arial" w:cs="Arial"/>
                <w:szCs w:val="24"/>
                <w:lang w:val="en-US"/>
              </w:rPr>
            </w:pPr>
            <w:r w:rsidRPr="00A961A4">
              <w:rPr>
                <w:rFonts w:ascii="Arial" w:hAnsi="Arial" w:cs="Arial"/>
                <w:szCs w:val="24"/>
                <w:lang w:val="en-US"/>
              </w:rPr>
              <w:t xml:space="preserve">(8) If a party believes that there are, in addition to documents, analogues or digital recordings disclosed under subrule (4), other documents including copies thereof or analogues or digital recordings which may be relevant to any matter in question in the possession of any other party- </w:t>
            </w:r>
          </w:p>
          <w:p w:rsidR="00A961A4" w:rsidRPr="00A961A4" w:rsidRDefault="00A961A4" w:rsidP="00A961A4">
            <w:pPr>
              <w:spacing w:after="0" w:line="360" w:lineRule="auto"/>
              <w:ind w:left="34" w:hanging="110"/>
              <w:jc w:val="both"/>
              <w:rPr>
                <w:rFonts w:ascii="Arial" w:hAnsi="Arial" w:cs="Arial"/>
                <w:szCs w:val="24"/>
                <w:lang w:val="en-US"/>
              </w:rPr>
            </w:pPr>
          </w:p>
          <w:p w:rsidR="00A961A4" w:rsidRPr="00A961A4" w:rsidRDefault="00A961A4" w:rsidP="00A961A4">
            <w:pPr>
              <w:spacing w:after="0" w:line="360" w:lineRule="auto"/>
              <w:ind w:left="34" w:hanging="110"/>
              <w:jc w:val="both"/>
              <w:rPr>
                <w:rFonts w:ascii="Arial" w:hAnsi="Arial" w:cs="Arial"/>
                <w:szCs w:val="24"/>
                <w:lang w:val="en-US"/>
              </w:rPr>
            </w:pPr>
            <w:r w:rsidRPr="00A961A4">
              <w:rPr>
                <w:rFonts w:ascii="Arial" w:hAnsi="Arial" w:cs="Arial"/>
                <w:szCs w:val="24"/>
                <w:lang w:val="en-US"/>
              </w:rPr>
              <w:t xml:space="preserve">(a) the first named party must refer specifically to those documents, analogues or digital recordings in the report in terms of rule 24 on Form 11; and </w:t>
            </w:r>
          </w:p>
          <w:p w:rsidR="00A961A4" w:rsidRPr="00A961A4" w:rsidRDefault="00A961A4" w:rsidP="00A961A4">
            <w:pPr>
              <w:spacing w:after="0" w:line="360" w:lineRule="auto"/>
              <w:ind w:left="34" w:hanging="110"/>
              <w:jc w:val="both"/>
              <w:rPr>
                <w:rFonts w:ascii="Arial" w:hAnsi="Arial" w:cs="Arial"/>
                <w:szCs w:val="24"/>
                <w:lang w:val="en-US"/>
              </w:rPr>
            </w:pPr>
          </w:p>
          <w:p w:rsidR="00A961A4" w:rsidRPr="00A961A4" w:rsidRDefault="00A961A4" w:rsidP="00A961A4">
            <w:pPr>
              <w:spacing w:after="0" w:line="360" w:lineRule="auto"/>
              <w:ind w:left="34" w:hanging="110"/>
              <w:jc w:val="both"/>
              <w:rPr>
                <w:rFonts w:ascii="Arial" w:hAnsi="Arial" w:cs="Arial"/>
                <w:szCs w:val="24"/>
                <w:lang w:val="en-US"/>
              </w:rPr>
            </w:pPr>
            <w:r w:rsidRPr="00A961A4">
              <w:rPr>
                <w:rFonts w:ascii="Arial" w:hAnsi="Arial" w:cs="Arial"/>
                <w:szCs w:val="24"/>
                <w:lang w:val="en-US"/>
              </w:rPr>
              <w:t xml:space="preserve">(b) the managing judge must at the case management conference give any direction as he or she considers reasonable and fair, including an order that the party believed to have such documents, analogues or digital recordings in his or her possession must – </w:t>
            </w:r>
          </w:p>
          <w:p w:rsidR="00A961A4" w:rsidRPr="00A961A4" w:rsidRDefault="00A961A4" w:rsidP="00A961A4">
            <w:pPr>
              <w:spacing w:after="0" w:line="360" w:lineRule="auto"/>
              <w:ind w:left="34" w:hanging="110"/>
              <w:jc w:val="both"/>
              <w:rPr>
                <w:rFonts w:ascii="Arial" w:hAnsi="Arial" w:cs="Arial"/>
                <w:szCs w:val="24"/>
                <w:lang w:val="en-US"/>
              </w:rPr>
            </w:pPr>
          </w:p>
          <w:p w:rsidR="00A961A4" w:rsidRPr="00A961A4" w:rsidRDefault="00A961A4" w:rsidP="00A961A4">
            <w:pPr>
              <w:numPr>
                <w:ilvl w:val="0"/>
                <w:numId w:val="7"/>
              </w:numPr>
              <w:spacing w:after="0" w:line="360" w:lineRule="auto"/>
              <w:ind w:left="34" w:hanging="110"/>
              <w:contextualSpacing/>
              <w:jc w:val="both"/>
              <w:rPr>
                <w:rFonts w:ascii="Arial" w:hAnsi="Arial" w:cs="Arial"/>
                <w:szCs w:val="24"/>
                <w:lang w:val="en-US"/>
              </w:rPr>
            </w:pPr>
            <w:r w:rsidRPr="00A961A4">
              <w:rPr>
                <w:rFonts w:ascii="Arial" w:hAnsi="Arial" w:cs="Arial"/>
                <w:szCs w:val="24"/>
                <w:lang w:val="en-US"/>
              </w:rPr>
              <w:t xml:space="preserve">deliver the documents, analogues or digital recordings to the party requesting them within a specified time; or </w:t>
            </w:r>
          </w:p>
          <w:p w:rsidR="00A961A4" w:rsidRPr="00A961A4" w:rsidRDefault="00A961A4" w:rsidP="00A961A4">
            <w:pPr>
              <w:numPr>
                <w:ilvl w:val="0"/>
                <w:numId w:val="7"/>
              </w:numPr>
              <w:spacing w:after="0" w:line="360" w:lineRule="auto"/>
              <w:ind w:left="34" w:hanging="110"/>
              <w:contextualSpacing/>
              <w:jc w:val="both"/>
              <w:rPr>
                <w:rFonts w:ascii="Arial" w:hAnsi="Arial" w:cs="Arial"/>
                <w:szCs w:val="24"/>
                <w:lang w:val="en-US"/>
              </w:rPr>
            </w:pPr>
            <w:r w:rsidRPr="00A961A4">
              <w:rPr>
                <w:rFonts w:ascii="Arial" w:hAnsi="Arial" w:cs="Arial"/>
                <w:szCs w:val="24"/>
                <w:lang w:val="en-US"/>
              </w:rPr>
              <w:lastRenderedPageBreak/>
              <w:t>state on oath or by affirmation within 10 days of the order that such documents, analogues or digital recordings are not in his or her possession, in which case he or she must state their whereabouts, if known to him or her.</w:t>
            </w:r>
          </w:p>
          <w:p w:rsidR="00A961A4" w:rsidRPr="00A961A4" w:rsidRDefault="00A961A4" w:rsidP="00A961A4">
            <w:pPr>
              <w:spacing w:after="0" w:line="360" w:lineRule="auto"/>
              <w:ind w:left="34" w:hanging="110"/>
              <w:jc w:val="both"/>
              <w:rPr>
                <w:rFonts w:ascii="Arial" w:hAnsi="Arial" w:cs="Arial"/>
                <w:szCs w:val="24"/>
                <w:lang w:val="en-US"/>
              </w:rPr>
            </w:pPr>
            <w:r w:rsidRPr="00A961A4">
              <w:rPr>
                <w:rFonts w:ascii="Arial" w:hAnsi="Arial" w:cs="Arial"/>
                <w:szCs w:val="24"/>
                <w:lang w:val="en-US"/>
              </w:rPr>
              <w:t xml:space="preserve"> </w:t>
            </w:r>
          </w:p>
          <w:p w:rsidR="00A961A4" w:rsidRPr="00A961A4" w:rsidRDefault="00A961A4" w:rsidP="00A961A4">
            <w:pPr>
              <w:spacing w:after="0" w:line="360" w:lineRule="auto"/>
              <w:ind w:left="34" w:hanging="110"/>
              <w:jc w:val="both"/>
              <w:rPr>
                <w:rFonts w:ascii="Arial" w:hAnsi="Arial" w:cs="Arial"/>
                <w:szCs w:val="24"/>
                <w:lang w:val="en-US"/>
              </w:rPr>
            </w:pPr>
            <w:r w:rsidRPr="00A961A4">
              <w:rPr>
                <w:rFonts w:ascii="Arial" w:hAnsi="Arial" w:cs="Arial"/>
                <w:szCs w:val="24"/>
                <w:lang w:val="en-US"/>
              </w:rPr>
              <w:t>(9) If a party believes that the reason given by the other party as to why any document, analogue or digital recording is protected from discovery is not sufficient, that party may apply in terms of rule 32(4) to the managing judge for an order that such a document must be discovered.</w:t>
            </w:r>
          </w:p>
          <w:p w:rsidR="00A961A4" w:rsidRPr="00A961A4" w:rsidRDefault="00A961A4" w:rsidP="00A961A4">
            <w:pPr>
              <w:spacing w:after="0" w:line="360" w:lineRule="auto"/>
              <w:ind w:left="34" w:hanging="110"/>
              <w:jc w:val="both"/>
              <w:rPr>
                <w:rFonts w:ascii="Arial" w:hAnsi="Arial" w:cs="Arial"/>
                <w:szCs w:val="24"/>
                <w:lang w:val="en-US"/>
              </w:rPr>
            </w:pPr>
          </w:p>
          <w:p w:rsidR="00A961A4" w:rsidRPr="00A961A4" w:rsidRDefault="00A961A4" w:rsidP="00A961A4">
            <w:pPr>
              <w:spacing w:after="0" w:line="360" w:lineRule="auto"/>
              <w:ind w:left="34" w:hanging="110"/>
              <w:jc w:val="both"/>
              <w:rPr>
                <w:rFonts w:ascii="Arial" w:hAnsi="Arial" w:cs="Arial"/>
                <w:szCs w:val="24"/>
                <w:lang w:val="en-US"/>
              </w:rPr>
            </w:pPr>
            <w:r w:rsidRPr="00A961A4">
              <w:rPr>
                <w:rFonts w:ascii="Arial" w:hAnsi="Arial" w:cs="Arial"/>
                <w:szCs w:val="24"/>
                <w:lang w:val="en-US"/>
              </w:rPr>
              <w:t>(10) The managing judge may inspect the document, analogue or digital recording referred in subrule (9) to determine whether the party claiming the document to be protected from discovery has a valid objection and may make any order the managing judge considers fair and just in the circumstances….’</w:t>
            </w:r>
          </w:p>
          <w:p w:rsidR="00A961A4" w:rsidRPr="00A961A4" w:rsidRDefault="00A961A4" w:rsidP="00A961A4">
            <w:pPr>
              <w:spacing w:after="0" w:line="360" w:lineRule="auto"/>
              <w:ind w:left="34" w:hanging="110"/>
              <w:contextualSpacing/>
              <w:jc w:val="both"/>
              <w:rPr>
                <w:rFonts w:ascii="Arial" w:hAnsi="Arial" w:cs="Arial"/>
                <w:sz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szCs w:val="24"/>
                <w:lang w:val="en-US"/>
              </w:rPr>
              <w:t>[</w:t>
            </w:r>
            <w:r w:rsidR="003E7D59">
              <w:rPr>
                <w:rFonts w:ascii="Arial" w:hAnsi="Arial" w:cs="Arial"/>
                <w:sz w:val="24"/>
                <w:szCs w:val="24"/>
                <w:lang w:val="en-US"/>
              </w:rPr>
              <w:t>22</w:t>
            </w:r>
            <w:r>
              <w:rPr>
                <w:rFonts w:ascii="Arial" w:hAnsi="Arial" w:cs="Arial"/>
                <w:sz w:val="24"/>
                <w:szCs w:val="24"/>
                <w:lang w:val="en-US"/>
              </w:rPr>
              <w:t>]</w:t>
            </w:r>
            <w:r w:rsidR="003E7D59">
              <w:rPr>
                <w:rFonts w:ascii="Arial" w:hAnsi="Arial" w:cs="Arial"/>
                <w:sz w:val="24"/>
                <w:szCs w:val="24"/>
                <w:lang w:val="en-US"/>
              </w:rPr>
              <w:t xml:space="preserve"> </w:t>
            </w:r>
            <w:r>
              <w:rPr>
                <w:rFonts w:ascii="Arial" w:hAnsi="Arial" w:cs="Arial"/>
                <w:sz w:val="24"/>
                <w:szCs w:val="24"/>
                <w:lang w:val="en-US"/>
              </w:rPr>
              <w:tab/>
            </w:r>
            <w:r w:rsidR="008A5174">
              <w:rPr>
                <w:rFonts w:ascii="Arial" w:hAnsi="Arial" w:cs="Arial"/>
                <w:sz w:val="24"/>
                <w:szCs w:val="24"/>
                <w:lang w:val="en-US"/>
              </w:rPr>
              <w:t>It is evident from r</w:t>
            </w:r>
            <w:r w:rsidR="00A961A4" w:rsidRPr="00A961A4">
              <w:rPr>
                <w:rFonts w:ascii="Arial" w:hAnsi="Arial" w:cs="Arial"/>
                <w:sz w:val="24"/>
                <w:szCs w:val="24"/>
                <w:lang w:val="en-US"/>
              </w:rPr>
              <w:t xml:space="preserve">ule 28 quoted above, that the parties to a matter must, without being requested to, make discovery, identify and describe all documents, analogues or digital recordings that are relevant to the matter and in respect of which no privilege may be claimed. </w:t>
            </w:r>
          </w:p>
          <w:p w:rsidR="00A961A4" w:rsidRPr="00A961A4" w:rsidRDefault="00A961A4" w:rsidP="00A961A4">
            <w:pPr>
              <w:spacing w:after="0" w:line="360" w:lineRule="auto"/>
              <w:ind w:left="34" w:hanging="110"/>
              <w:contextualSpacing/>
              <w:jc w:val="both"/>
              <w:rPr>
                <w:rFonts w:ascii="Arial" w:hAnsi="Arial" w:cs="Arial"/>
                <w:sz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szCs w:val="24"/>
                <w:lang w:val="en-US"/>
              </w:rPr>
              <w:t>[23]</w:t>
            </w:r>
            <w:r>
              <w:rPr>
                <w:rFonts w:ascii="Arial" w:hAnsi="Arial" w:cs="Arial"/>
                <w:sz w:val="24"/>
                <w:szCs w:val="24"/>
                <w:lang w:val="en-US"/>
              </w:rPr>
              <w:tab/>
            </w:r>
            <w:r w:rsidR="003E7D59">
              <w:rPr>
                <w:rFonts w:ascii="Arial" w:hAnsi="Arial" w:cs="Arial"/>
                <w:sz w:val="24"/>
                <w:szCs w:val="24"/>
                <w:lang w:val="en-US"/>
              </w:rPr>
              <w:t xml:space="preserve"> </w:t>
            </w:r>
            <w:r w:rsidR="00A961A4" w:rsidRPr="00A961A4">
              <w:rPr>
                <w:rFonts w:ascii="Arial" w:hAnsi="Arial" w:cs="Arial"/>
                <w:sz w:val="24"/>
                <w:szCs w:val="24"/>
                <w:lang w:val="en-US"/>
              </w:rPr>
              <w:t xml:space="preserve">In the matter before </w:t>
            </w:r>
            <w:r w:rsidR="008A5174">
              <w:rPr>
                <w:rFonts w:ascii="Arial" w:hAnsi="Arial" w:cs="Arial"/>
                <w:sz w:val="24"/>
                <w:szCs w:val="24"/>
                <w:lang w:val="en-US"/>
              </w:rPr>
              <w:t xml:space="preserve">court </w:t>
            </w:r>
            <w:r w:rsidR="00A961A4" w:rsidRPr="00A961A4">
              <w:rPr>
                <w:rFonts w:ascii="Arial" w:hAnsi="Arial" w:cs="Arial"/>
                <w:sz w:val="24"/>
                <w:szCs w:val="24"/>
                <w:lang w:val="en-US"/>
              </w:rPr>
              <w:t>for determination</w:t>
            </w:r>
            <w:r w:rsidR="008245A2">
              <w:rPr>
                <w:rFonts w:ascii="Arial" w:hAnsi="Arial" w:cs="Arial"/>
                <w:sz w:val="24"/>
                <w:szCs w:val="24"/>
                <w:lang w:val="en-US"/>
              </w:rPr>
              <w:t>,</w:t>
            </w:r>
            <w:r w:rsidR="00A961A4" w:rsidRPr="00A961A4">
              <w:rPr>
                <w:rFonts w:ascii="Arial" w:hAnsi="Arial" w:cs="Arial"/>
                <w:sz w:val="24"/>
                <w:szCs w:val="24"/>
                <w:lang w:val="en-US"/>
              </w:rPr>
              <w:t xml:space="preserve"> the plaintiff has not established the relevance of the documents he seeks to have discovered. The plaintiff has</w:t>
            </w:r>
            <w:r w:rsidR="008A5174">
              <w:rPr>
                <w:rFonts w:ascii="Arial" w:hAnsi="Arial" w:cs="Arial"/>
                <w:sz w:val="24"/>
                <w:szCs w:val="24"/>
                <w:lang w:val="en-US"/>
              </w:rPr>
              <w:t>,</w:t>
            </w:r>
            <w:r w:rsidR="00A961A4" w:rsidRPr="00A961A4">
              <w:rPr>
                <w:rFonts w:ascii="Arial" w:hAnsi="Arial" w:cs="Arial"/>
                <w:sz w:val="24"/>
                <w:szCs w:val="24"/>
                <w:lang w:val="en-US"/>
              </w:rPr>
              <w:t xml:space="preserve"> during argument</w:t>
            </w:r>
            <w:r w:rsidR="008A5174">
              <w:rPr>
                <w:rFonts w:ascii="Arial" w:hAnsi="Arial" w:cs="Arial"/>
                <w:sz w:val="24"/>
                <w:szCs w:val="24"/>
                <w:lang w:val="en-US"/>
              </w:rPr>
              <w:t>,</w:t>
            </w:r>
            <w:r w:rsidR="00A961A4" w:rsidRPr="00A961A4">
              <w:rPr>
                <w:rFonts w:ascii="Arial" w:hAnsi="Arial" w:cs="Arial"/>
                <w:sz w:val="24"/>
                <w:szCs w:val="24"/>
                <w:lang w:val="en-US"/>
              </w:rPr>
              <w:t xml:space="preserve"> made it clear that part of the reasons for seeking discovery of the said documents is to establish </w:t>
            </w:r>
            <w:r w:rsidR="008A5174">
              <w:rPr>
                <w:rFonts w:ascii="Arial" w:hAnsi="Arial" w:cs="Arial"/>
                <w:sz w:val="24"/>
                <w:szCs w:val="24"/>
                <w:lang w:val="en-US"/>
              </w:rPr>
              <w:t xml:space="preserve">the quantum that he will be entitled to claim from the defendants. When the Court questioned both counsel on whether if the discovery sought is </w:t>
            </w:r>
            <w:r w:rsidR="003E7D59">
              <w:rPr>
                <w:rFonts w:ascii="Arial" w:hAnsi="Arial" w:cs="Arial"/>
                <w:sz w:val="24"/>
                <w:szCs w:val="24"/>
                <w:lang w:val="en-US"/>
              </w:rPr>
              <w:t xml:space="preserve">intended </w:t>
            </w:r>
            <w:r w:rsidR="008A5174">
              <w:rPr>
                <w:rFonts w:ascii="Arial" w:hAnsi="Arial" w:cs="Arial"/>
                <w:sz w:val="24"/>
                <w:szCs w:val="24"/>
                <w:lang w:val="en-US"/>
              </w:rPr>
              <w:t xml:space="preserve">to prove the quantum, Mr Olivier submitted that the specific discovery sought is further necessary for the plaintiff to examine his case </w:t>
            </w:r>
            <w:r w:rsidR="00A961A4" w:rsidRPr="00A961A4">
              <w:rPr>
                <w:rFonts w:ascii="Arial" w:hAnsi="Arial" w:cs="Arial"/>
                <w:sz w:val="24"/>
                <w:szCs w:val="24"/>
                <w:lang w:val="en-US"/>
              </w:rPr>
              <w:t>against the defendants</w:t>
            </w:r>
            <w:r w:rsidR="008A5174">
              <w:rPr>
                <w:rFonts w:ascii="Arial" w:hAnsi="Arial" w:cs="Arial"/>
                <w:sz w:val="24"/>
                <w:szCs w:val="24"/>
                <w:lang w:val="en-US"/>
              </w:rPr>
              <w:t xml:space="preserve"> and </w:t>
            </w:r>
            <w:r w:rsidR="003E7D59">
              <w:rPr>
                <w:rFonts w:ascii="Arial" w:hAnsi="Arial" w:cs="Arial"/>
                <w:sz w:val="24"/>
                <w:szCs w:val="24"/>
                <w:lang w:val="en-US"/>
              </w:rPr>
              <w:t xml:space="preserve">to </w:t>
            </w:r>
            <w:r w:rsidR="008A5174">
              <w:rPr>
                <w:rFonts w:ascii="Arial" w:hAnsi="Arial" w:cs="Arial"/>
                <w:sz w:val="24"/>
                <w:szCs w:val="24"/>
                <w:lang w:val="en-US"/>
              </w:rPr>
              <w:t>decide whether there is a case to pursue as the discovery sought may just establish that it may not be worthy to pursue this matter</w:t>
            </w:r>
            <w:r w:rsidR="003E7D59">
              <w:rPr>
                <w:rFonts w:ascii="Arial" w:hAnsi="Arial" w:cs="Arial"/>
                <w:sz w:val="24"/>
                <w:szCs w:val="24"/>
                <w:lang w:val="en-US"/>
              </w:rPr>
              <w:t>.</w:t>
            </w:r>
            <w:r w:rsidR="00A961A4" w:rsidRPr="00A961A4">
              <w:rPr>
                <w:rFonts w:ascii="Arial" w:hAnsi="Arial" w:cs="Arial"/>
                <w:sz w:val="24"/>
                <w:szCs w:val="24"/>
                <w:lang w:val="en-US"/>
              </w:rPr>
              <w:t xml:space="preserve"> </w:t>
            </w:r>
            <w:r w:rsidR="003E7D59">
              <w:rPr>
                <w:rFonts w:ascii="Arial" w:hAnsi="Arial" w:cs="Arial"/>
                <w:sz w:val="24"/>
                <w:szCs w:val="24"/>
                <w:lang w:val="en-US"/>
              </w:rPr>
              <w:t xml:space="preserve">This </w:t>
            </w:r>
            <w:r w:rsidR="00A961A4" w:rsidRPr="00A961A4">
              <w:rPr>
                <w:rFonts w:ascii="Arial" w:hAnsi="Arial" w:cs="Arial"/>
                <w:sz w:val="24"/>
                <w:szCs w:val="24"/>
                <w:lang w:val="en-US"/>
              </w:rPr>
              <w:t xml:space="preserve">is a wrong </w:t>
            </w:r>
            <w:r w:rsidR="003E7D59">
              <w:rPr>
                <w:rFonts w:ascii="Arial" w:hAnsi="Arial" w:cs="Arial"/>
                <w:sz w:val="24"/>
                <w:szCs w:val="24"/>
                <w:lang w:val="en-US"/>
              </w:rPr>
              <w:t xml:space="preserve">approach </w:t>
            </w:r>
            <w:r w:rsidR="00A961A4" w:rsidRPr="00A961A4">
              <w:rPr>
                <w:rFonts w:ascii="Arial" w:hAnsi="Arial" w:cs="Arial"/>
                <w:sz w:val="24"/>
                <w:szCs w:val="24"/>
                <w:lang w:val="en-US"/>
              </w:rPr>
              <w:t xml:space="preserve">to </w:t>
            </w:r>
            <w:r w:rsidR="003E7D59">
              <w:rPr>
                <w:rFonts w:ascii="Arial" w:hAnsi="Arial" w:cs="Arial"/>
                <w:sz w:val="24"/>
                <w:szCs w:val="24"/>
                <w:lang w:val="en-US"/>
              </w:rPr>
              <w:t xml:space="preserve">seek discovery. </w:t>
            </w:r>
          </w:p>
          <w:p w:rsidR="00A961A4" w:rsidRPr="00A961A4" w:rsidRDefault="00A961A4" w:rsidP="00A961A4">
            <w:pPr>
              <w:spacing w:line="256" w:lineRule="auto"/>
              <w:ind w:left="34" w:hanging="110"/>
              <w:contextualSpacing/>
              <w:rPr>
                <w:rFonts w:ascii="Arial" w:hAnsi="Arial" w:cs="Arial"/>
                <w:sz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[24]</w:t>
            </w:r>
            <w:r>
              <w:rPr>
                <w:rFonts w:ascii="Arial" w:hAnsi="Arial" w:cs="Arial"/>
                <w:sz w:val="24"/>
                <w:lang w:val="en-US"/>
              </w:rPr>
              <w:tab/>
            </w:r>
            <w:r w:rsidR="00A961A4" w:rsidRPr="00A961A4">
              <w:rPr>
                <w:rFonts w:ascii="Arial" w:hAnsi="Arial" w:cs="Arial"/>
                <w:sz w:val="24"/>
                <w:lang w:val="en-US"/>
              </w:rPr>
              <w:t>Parties bringing matters to court should not</w:t>
            </w:r>
            <w:r w:rsidR="00BB5E06">
              <w:rPr>
                <w:rFonts w:ascii="Arial" w:hAnsi="Arial" w:cs="Arial"/>
                <w:sz w:val="24"/>
                <w:lang w:val="en-US"/>
              </w:rPr>
              <w:t>,</w:t>
            </w:r>
            <w:r w:rsidR="00A961A4" w:rsidRPr="00A961A4">
              <w:rPr>
                <w:rFonts w:ascii="Arial" w:hAnsi="Arial" w:cs="Arial"/>
                <w:sz w:val="24"/>
                <w:lang w:val="en-US"/>
              </w:rPr>
              <w:t xml:space="preserve"> through discovery</w:t>
            </w:r>
            <w:r w:rsidR="00BB5E06">
              <w:rPr>
                <w:rFonts w:ascii="Arial" w:hAnsi="Arial" w:cs="Arial"/>
                <w:sz w:val="24"/>
                <w:lang w:val="en-US"/>
              </w:rPr>
              <w:t>,</w:t>
            </w:r>
            <w:r w:rsidR="00A961A4" w:rsidRPr="00A961A4">
              <w:rPr>
                <w:rFonts w:ascii="Arial" w:hAnsi="Arial" w:cs="Arial"/>
                <w:sz w:val="24"/>
                <w:lang w:val="en-US"/>
              </w:rPr>
              <w:t xml:space="preserve"> want to establish whether they stand a</w:t>
            </w:r>
            <w:r w:rsidR="00BB5E06">
              <w:rPr>
                <w:rFonts w:ascii="Arial" w:hAnsi="Arial" w:cs="Arial"/>
                <w:sz w:val="24"/>
                <w:lang w:val="en-US"/>
              </w:rPr>
              <w:t xml:space="preserve"> good chance or not. The parties</w:t>
            </w:r>
            <w:r w:rsidR="00A961A4" w:rsidRPr="00A961A4">
              <w:rPr>
                <w:rFonts w:ascii="Arial" w:hAnsi="Arial" w:cs="Arial"/>
                <w:sz w:val="24"/>
                <w:lang w:val="en-US"/>
              </w:rPr>
              <w:t xml:space="preserve"> should use the documents sought to be discovered to aid</w:t>
            </w:r>
            <w:r w:rsidR="008245A2">
              <w:rPr>
                <w:rFonts w:ascii="Arial" w:hAnsi="Arial" w:cs="Arial"/>
                <w:sz w:val="24"/>
                <w:lang w:val="en-US"/>
              </w:rPr>
              <w:t xml:space="preserve"> </w:t>
            </w:r>
            <w:r w:rsidR="00BB5E06">
              <w:rPr>
                <w:rFonts w:ascii="Arial" w:hAnsi="Arial" w:cs="Arial"/>
                <w:sz w:val="24"/>
                <w:lang w:val="en-US"/>
              </w:rPr>
              <w:t>themselves to prove</w:t>
            </w:r>
            <w:r w:rsidR="00A961A4" w:rsidRPr="00A961A4">
              <w:rPr>
                <w:rFonts w:ascii="Arial" w:hAnsi="Arial" w:cs="Arial"/>
                <w:sz w:val="24"/>
                <w:lang w:val="en-US"/>
              </w:rPr>
              <w:t xml:space="preserve"> their case and not </w:t>
            </w:r>
            <w:r w:rsidR="00BB5E06">
              <w:rPr>
                <w:rFonts w:ascii="Arial" w:hAnsi="Arial" w:cs="Arial"/>
                <w:sz w:val="24"/>
                <w:lang w:val="en-US"/>
              </w:rPr>
              <w:t>to establish</w:t>
            </w:r>
            <w:r w:rsidR="00A961A4" w:rsidRPr="00A961A4">
              <w:rPr>
                <w:rFonts w:ascii="Arial" w:hAnsi="Arial" w:cs="Arial"/>
                <w:sz w:val="24"/>
                <w:lang w:val="en-US"/>
              </w:rPr>
              <w:t xml:space="preserve"> whether they indeed do have a case.</w:t>
            </w:r>
          </w:p>
          <w:p w:rsidR="00A961A4" w:rsidRPr="00A961A4" w:rsidRDefault="00A961A4" w:rsidP="00A961A4">
            <w:pPr>
              <w:spacing w:line="256" w:lineRule="auto"/>
              <w:ind w:left="34" w:hanging="110"/>
              <w:contextualSpacing/>
              <w:rPr>
                <w:rFonts w:ascii="Arial" w:hAnsi="Arial" w:cs="Arial"/>
                <w:sz w:val="24"/>
                <w:szCs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szCs w:val="24"/>
                <w:lang w:val="en-US"/>
              </w:rPr>
              <w:t>[</w:t>
            </w:r>
            <w:r w:rsidR="003E7D59">
              <w:rPr>
                <w:rFonts w:ascii="Arial" w:hAnsi="Arial" w:cs="Arial"/>
                <w:sz w:val="24"/>
                <w:szCs w:val="24"/>
                <w:lang w:val="en-US"/>
              </w:rPr>
              <w:t>25</w:t>
            </w:r>
            <w:r>
              <w:rPr>
                <w:rFonts w:ascii="Arial" w:hAnsi="Arial" w:cs="Arial"/>
                <w:sz w:val="24"/>
                <w:szCs w:val="24"/>
                <w:lang w:val="en-US"/>
              </w:rPr>
              <w:t>]</w:t>
            </w:r>
            <w:r>
              <w:rPr>
                <w:rFonts w:ascii="Arial" w:hAnsi="Arial" w:cs="Arial"/>
                <w:sz w:val="24"/>
                <w:szCs w:val="24"/>
                <w:lang w:val="en-US"/>
              </w:rPr>
              <w:tab/>
            </w:r>
            <w:r w:rsidR="00A961A4" w:rsidRPr="00A961A4">
              <w:rPr>
                <w:rFonts w:ascii="Arial" w:hAnsi="Arial" w:cs="Arial"/>
                <w:sz w:val="24"/>
                <w:szCs w:val="24"/>
                <w:lang w:val="en-US"/>
              </w:rPr>
              <w:t xml:space="preserve">From reading the authorities relevant to this issue, it would appear that the relevance of the material sought to be discovered is decisive in determining whether or not the application for specific discovery should be granted. </w:t>
            </w:r>
          </w:p>
          <w:p w:rsidR="00A961A4" w:rsidRPr="00A961A4" w:rsidRDefault="00A961A4" w:rsidP="00A961A4">
            <w:pPr>
              <w:spacing w:line="256" w:lineRule="auto"/>
              <w:ind w:left="34" w:hanging="110"/>
              <w:contextualSpacing/>
              <w:rPr>
                <w:rFonts w:ascii="Arial" w:hAnsi="Arial" w:cs="Arial"/>
                <w:sz w:val="24"/>
                <w:szCs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szCs w:val="24"/>
                <w:lang w:val="en-US"/>
              </w:rPr>
              <w:t>[</w:t>
            </w:r>
            <w:r w:rsidR="003E7D59">
              <w:rPr>
                <w:rFonts w:ascii="Arial" w:hAnsi="Arial" w:cs="Arial"/>
                <w:sz w:val="24"/>
                <w:szCs w:val="24"/>
                <w:lang w:val="en-US"/>
              </w:rPr>
              <w:t>26</w:t>
            </w:r>
            <w:r>
              <w:rPr>
                <w:rFonts w:ascii="Arial" w:hAnsi="Arial" w:cs="Arial"/>
                <w:sz w:val="24"/>
                <w:szCs w:val="24"/>
                <w:lang w:val="en-US"/>
              </w:rPr>
              <w:t>]</w:t>
            </w:r>
            <w:r>
              <w:rPr>
                <w:rFonts w:ascii="Arial" w:hAnsi="Arial" w:cs="Arial"/>
                <w:sz w:val="24"/>
                <w:szCs w:val="24"/>
                <w:lang w:val="en-US"/>
              </w:rPr>
              <w:tab/>
            </w:r>
            <w:r w:rsidR="00A961A4" w:rsidRPr="00A961A4">
              <w:rPr>
                <w:rFonts w:ascii="Arial" w:hAnsi="Arial" w:cs="Arial"/>
                <w:sz w:val="24"/>
                <w:szCs w:val="24"/>
                <w:lang w:val="en-US"/>
              </w:rPr>
              <w:t xml:space="preserve">In the matter of </w:t>
            </w:r>
            <w:r w:rsidR="00A961A4" w:rsidRPr="00A961A4">
              <w:rPr>
                <w:rFonts w:ascii="Arial" w:hAnsi="Arial" w:cs="Arial"/>
                <w:i/>
                <w:sz w:val="24"/>
                <w:szCs w:val="24"/>
                <w:lang w:val="en-US"/>
              </w:rPr>
              <w:t>Walvis Bay Salt Refiners (Pty) Ltd v Blaauw’s Transport (Pty) Ltd and 4 Others</w:t>
            </w:r>
            <w:r w:rsidR="00A961A4" w:rsidRPr="00A961A4">
              <w:rPr>
                <w:rFonts w:ascii="Arial" w:hAnsi="Arial" w:cs="Arial"/>
                <w:sz w:val="24"/>
                <w:szCs w:val="24"/>
                <w:vertAlign w:val="superscript"/>
                <w:lang w:val="en-US"/>
              </w:rPr>
              <w:footnoteReference w:id="1"/>
            </w:r>
            <w:r w:rsidR="00A961A4" w:rsidRPr="00A961A4">
              <w:rPr>
                <w:rFonts w:ascii="Arial" w:hAnsi="Arial" w:cs="Arial"/>
                <w:sz w:val="24"/>
                <w:szCs w:val="24"/>
                <w:lang w:val="en-US"/>
              </w:rPr>
              <w:t>, Usiku, J with reference to</w:t>
            </w:r>
            <w:r w:rsidR="00A961A4" w:rsidRPr="00A961A4">
              <w:rPr>
                <w:rFonts w:ascii="Arial" w:hAnsi="Arial" w:cs="Arial"/>
                <w:i/>
                <w:sz w:val="24"/>
                <w:szCs w:val="24"/>
                <w:lang w:val="en-US"/>
              </w:rPr>
              <w:t xml:space="preserve"> Santam v Segal</w:t>
            </w:r>
            <w:r w:rsidR="00A961A4" w:rsidRPr="00A961A4">
              <w:rPr>
                <w:rFonts w:ascii="Arial" w:hAnsi="Arial" w:cs="Arial"/>
                <w:sz w:val="24"/>
                <w:szCs w:val="24"/>
                <w:vertAlign w:val="superscript"/>
                <w:lang w:val="en-US"/>
              </w:rPr>
              <w:footnoteReference w:id="2"/>
            </w:r>
            <w:r w:rsidR="00A961A4" w:rsidRPr="00A961A4">
              <w:rPr>
                <w:rFonts w:ascii="Arial" w:hAnsi="Arial" w:cs="Arial"/>
                <w:sz w:val="24"/>
                <w:szCs w:val="24"/>
                <w:lang w:val="en-US"/>
              </w:rPr>
              <w:t xml:space="preserve">, </w:t>
            </w:r>
            <w:r w:rsidR="003A10F8">
              <w:rPr>
                <w:rFonts w:ascii="Arial" w:hAnsi="Arial" w:cs="Arial"/>
                <w:sz w:val="24"/>
                <w:szCs w:val="24"/>
                <w:lang w:val="en-US"/>
              </w:rPr>
              <w:t xml:space="preserve">remarked as follows on the </w:t>
            </w:r>
            <w:r w:rsidR="00A961A4" w:rsidRPr="00A961A4">
              <w:rPr>
                <w:rFonts w:ascii="Arial" w:hAnsi="Arial" w:cs="Arial"/>
                <w:sz w:val="24"/>
                <w:szCs w:val="24"/>
                <w:lang w:val="en-US"/>
              </w:rPr>
              <w:t>issue of relevance</w:t>
            </w:r>
            <w:r w:rsidR="003A10F8">
              <w:rPr>
                <w:rFonts w:ascii="Arial" w:hAnsi="Arial" w:cs="Arial"/>
                <w:sz w:val="24"/>
                <w:szCs w:val="24"/>
                <w:lang w:val="en-US"/>
              </w:rPr>
              <w:t xml:space="preserve"> </w:t>
            </w:r>
            <w:r w:rsidR="003E7D59">
              <w:rPr>
                <w:rFonts w:ascii="Arial" w:hAnsi="Arial" w:cs="Arial"/>
                <w:sz w:val="24"/>
                <w:szCs w:val="24"/>
                <w:lang w:val="en-US"/>
              </w:rPr>
              <w:t xml:space="preserve">of the </w:t>
            </w:r>
            <w:r w:rsidR="003A10F8">
              <w:rPr>
                <w:rFonts w:ascii="Arial" w:hAnsi="Arial" w:cs="Arial"/>
                <w:sz w:val="24"/>
                <w:szCs w:val="24"/>
                <w:lang w:val="en-US"/>
              </w:rPr>
              <w:t xml:space="preserve">documents sought to be discovered: </w:t>
            </w:r>
          </w:p>
          <w:p w:rsidR="00A961A4" w:rsidRPr="00A961A4" w:rsidRDefault="00A961A4" w:rsidP="00A961A4">
            <w:pPr>
              <w:spacing w:after="0" w:line="360" w:lineRule="auto"/>
              <w:ind w:left="34" w:hanging="110"/>
              <w:jc w:val="both"/>
              <w:rPr>
                <w:rFonts w:ascii="Arial" w:hAnsi="Arial" w:cs="Arial"/>
                <w:sz w:val="24"/>
                <w:szCs w:val="24"/>
                <w:lang w:val="en-US"/>
              </w:rPr>
            </w:pPr>
          </w:p>
          <w:p w:rsidR="00A961A4" w:rsidRPr="00A961A4" w:rsidRDefault="008245A2" w:rsidP="00A961A4">
            <w:pPr>
              <w:spacing w:after="0" w:line="360" w:lineRule="auto"/>
              <w:ind w:left="34" w:hanging="110"/>
              <w:jc w:val="both"/>
              <w:rPr>
                <w:rFonts w:ascii="Arial" w:hAnsi="Arial" w:cs="Arial"/>
                <w:lang w:val="en-US"/>
              </w:rPr>
            </w:pPr>
            <w:r>
              <w:rPr>
                <w:rFonts w:ascii="Arial" w:hAnsi="Arial" w:cs="Arial"/>
                <w:lang w:val="en-US"/>
              </w:rPr>
              <w:tab/>
            </w:r>
            <w:r>
              <w:rPr>
                <w:rFonts w:ascii="Arial" w:hAnsi="Arial" w:cs="Arial"/>
                <w:lang w:val="en-US"/>
              </w:rPr>
              <w:tab/>
            </w:r>
            <w:r w:rsidR="00A961A4" w:rsidRPr="00A961A4">
              <w:rPr>
                <w:rFonts w:ascii="Arial" w:hAnsi="Arial" w:cs="Arial"/>
                <w:lang w:val="en-US"/>
              </w:rPr>
              <w:t>‘[17]</w:t>
            </w:r>
            <w:r w:rsidR="00A961A4" w:rsidRPr="00A961A4">
              <w:rPr>
                <w:rFonts w:ascii="Arial" w:hAnsi="Arial" w:cs="Arial"/>
                <w:lang w:val="en-US"/>
              </w:rPr>
              <w:tab/>
              <w:t xml:space="preserve">(10) </w:t>
            </w:r>
            <w:r w:rsidR="00A961A4" w:rsidRPr="00A961A4">
              <w:rPr>
                <w:rFonts w:ascii="Arial" w:hAnsi="Arial" w:cs="Arial"/>
                <w:i/>
                <w:lang w:val="en-US"/>
              </w:rPr>
              <w:t>Apropos</w:t>
            </w:r>
            <w:r w:rsidR="00A961A4" w:rsidRPr="00A961A4">
              <w:rPr>
                <w:rFonts w:ascii="Arial" w:hAnsi="Arial" w:cs="Arial"/>
                <w:lang w:val="en-US"/>
              </w:rPr>
              <w:t xml:space="preserve"> relevance, the important point to note is that assessment of relevance is objective and not subjective.  It is not for a party’s legal representative to decide what he thinks the issues are and what documents are relevant to them.  He has to provide access to documents which could be part of the issues and what documents could be relevant to them.  The question of relevance is normally answered by reference to the pleadings.  The basic principle was formulated in </w:t>
            </w:r>
            <w:r w:rsidR="00A961A4" w:rsidRPr="00A961A4">
              <w:rPr>
                <w:rFonts w:ascii="Arial" w:hAnsi="Arial" w:cs="Arial"/>
                <w:i/>
                <w:lang w:val="en-US"/>
              </w:rPr>
              <w:t>Compagnie Finan-ciere et Commerciale Du Pacifique v Peruvian Guano Company</w:t>
            </w:r>
            <w:r w:rsidR="00A961A4" w:rsidRPr="00A961A4">
              <w:rPr>
                <w:rFonts w:ascii="Arial" w:hAnsi="Arial" w:cs="Arial"/>
                <w:lang w:val="en-US"/>
              </w:rPr>
              <w:t xml:space="preserve"> (1882) 11 QBD 55 at 63; and restated in </w:t>
            </w:r>
            <w:r w:rsidR="00A961A4" w:rsidRPr="00A961A4">
              <w:rPr>
                <w:rFonts w:ascii="Arial" w:hAnsi="Arial" w:cs="Arial"/>
                <w:i/>
                <w:lang w:val="en-US"/>
              </w:rPr>
              <w:t>Thorpe v Chief Constable of Greater Manchester Police</w:t>
            </w:r>
            <w:r w:rsidR="00A961A4" w:rsidRPr="00A961A4">
              <w:rPr>
                <w:rFonts w:ascii="Arial" w:hAnsi="Arial" w:cs="Arial"/>
                <w:lang w:val="en-US"/>
              </w:rPr>
              <w:t xml:space="preserve"> [1989] I WLR 665 at 668:</w:t>
            </w:r>
          </w:p>
          <w:p w:rsidR="00A961A4" w:rsidRPr="00A961A4" w:rsidRDefault="00A961A4" w:rsidP="00A961A4">
            <w:pPr>
              <w:spacing w:after="0" w:line="360" w:lineRule="auto"/>
              <w:ind w:left="34" w:hanging="110"/>
              <w:jc w:val="both"/>
              <w:rPr>
                <w:rFonts w:ascii="Arial" w:hAnsi="Arial" w:cs="Arial"/>
                <w:lang w:val="en-US"/>
              </w:rPr>
            </w:pPr>
          </w:p>
          <w:p w:rsidR="00A961A4" w:rsidRPr="008245A2" w:rsidRDefault="00A961A4" w:rsidP="00A961A4">
            <w:pPr>
              <w:spacing w:after="0" w:line="360" w:lineRule="auto"/>
              <w:ind w:left="34" w:hanging="110"/>
              <w:jc w:val="both"/>
              <w:rPr>
                <w:rFonts w:ascii="Arial" w:hAnsi="Arial" w:cs="Arial"/>
                <w:szCs w:val="20"/>
                <w:lang w:val="en-US"/>
              </w:rPr>
            </w:pPr>
            <w:r w:rsidRPr="008245A2">
              <w:rPr>
                <w:rFonts w:ascii="Arial" w:hAnsi="Arial" w:cs="Arial"/>
                <w:szCs w:val="20"/>
                <w:lang w:val="en-US"/>
              </w:rPr>
              <w:t>“ . . . any document must be disclosed which it is reasonable to suppose contains information which may enable the party applying for discovery either to advance his own case or to damage that of his adversary or which may fairly lead him to a train of inquiry which may have either of these two consequences.  Discovery is thus not necessarily limited to documents which would be admissible in evidence.”</w:t>
            </w:r>
          </w:p>
          <w:p w:rsidR="00A961A4" w:rsidRPr="00A961A4" w:rsidRDefault="00A961A4" w:rsidP="00A961A4">
            <w:pPr>
              <w:spacing w:after="0" w:line="360" w:lineRule="auto"/>
              <w:ind w:left="34" w:hanging="110"/>
              <w:jc w:val="both"/>
              <w:rPr>
                <w:rFonts w:ascii="Arial" w:hAnsi="Arial" w:cs="Arial"/>
                <w:lang w:val="en-US"/>
              </w:rPr>
            </w:pPr>
            <w:r w:rsidRPr="00A961A4">
              <w:rPr>
                <w:rFonts w:ascii="Arial" w:hAnsi="Arial" w:cs="Arial"/>
                <w:lang w:val="en-US"/>
              </w:rPr>
              <w:t>. . .</w:t>
            </w:r>
          </w:p>
          <w:p w:rsidR="00A961A4" w:rsidRPr="00A961A4" w:rsidRDefault="00A961A4" w:rsidP="00A961A4">
            <w:pPr>
              <w:spacing w:after="0" w:line="360" w:lineRule="auto"/>
              <w:ind w:left="34" w:hanging="110"/>
              <w:jc w:val="both"/>
              <w:rPr>
                <w:rFonts w:ascii="Arial" w:hAnsi="Arial" w:cs="Arial"/>
                <w:lang w:val="en-US"/>
              </w:rPr>
            </w:pPr>
            <w:r w:rsidRPr="00A961A4">
              <w:rPr>
                <w:rFonts w:ascii="Arial" w:hAnsi="Arial" w:cs="Arial"/>
                <w:lang w:val="en-US"/>
              </w:rPr>
              <w:t>Accordingly, the test is wider than direct relevance to the pleaded issues.’</w:t>
            </w:r>
          </w:p>
          <w:p w:rsidR="00A961A4" w:rsidRPr="00A961A4" w:rsidRDefault="00A961A4" w:rsidP="00A961A4">
            <w:pPr>
              <w:spacing w:after="0" w:line="360" w:lineRule="auto"/>
              <w:ind w:left="34" w:hanging="110"/>
              <w:contextualSpacing/>
              <w:jc w:val="both"/>
              <w:rPr>
                <w:rFonts w:ascii="Arial" w:hAnsi="Arial" w:cs="Arial"/>
                <w:sz w:val="24"/>
                <w:szCs w:val="24"/>
                <w:lang w:val="en-US"/>
              </w:rPr>
            </w:pPr>
          </w:p>
          <w:p w:rsidR="00A961A4" w:rsidRPr="00A961A4" w:rsidRDefault="009D27D7" w:rsidP="003E7D59">
            <w:pPr>
              <w:spacing w:after="0" w:line="360" w:lineRule="auto"/>
              <w:ind w:left="34"/>
              <w:contextualSpacing/>
              <w:jc w:val="both"/>
              <w:rPr>
                <w:rFonts w:ascii="Arial" w:hAnsi="Arial" w:cs="Arial"/>
                <w:sz w:val="24"/>
                <w:szCs w:val="24"/>
                <w:lang w:val="en-US"/>
              </w:rPr>
            </w:pPr>
            <w:r>
              <w:rPr>
                <w:rFonts w:ascii="Arial" w:hAnsi="Arial" w:cs="Arial"/>
                <w:sz w:val="24"/>
                <w:szCs w:val="24"/>
                <w:lang w:val="en-US"/>
              </w:rPr>
              <w:t>[</w:t>
            </w:r>
            <w:r w:rsidR="003E7D59">
              <w:rPr>
                <w:rFonts w:ascii="Arial" w:hAnsi="Arial" w:cs="Arial"/>
                <w:sz w:val="24"/>
                <w:szCs w:val="24"/>
                <w:lang w:val="en-US"/>
              </w:rPr>
              <w:t>27</w:t>
            </w:r>
            <w:r>
              <w:rPr>
                <w:rFonts w:ascii="Arial" w:hAnsi="Arial" w:cs="Arial"/>
                <w:sz w:val="24"/>
                <w:szCs w:val="24"/>
                <w:lang w:val="en-US"/>
              </w:rPr>
              <w:t>]</w:t>
            </w:r>
            <w:r>
              <w:rPr>
                <w:rFonts w:ascii="Arial" w:hAnsi="Arial" w:cs="Arial"/>
                <w:sz w:val="24"/>
                <w:szCs w:val="24"/>
                <w:lang w:val="en-US"/>
              </w:rPr>
              <w:tab/>
            </w:r>
            <w:r w:rsidR="00A961A4" w:rsidRPr="00A961A4">
              <w:rPr>
                <w:rFonts w:ascii="Arial" w:hAnsi="Arial" w:cs="Arial"/>
                <w:sz w:val="24"/>
                <w:szCs w:val="24"/>
                <w:lang w:val="en-US"/>
              </w:rPr>
              <w:t xml:space="preserve">From the above excerpt, it is clear that relevance should not be interpreted as referring to issues and material that are relevant for the parties or their legal practitioners. Relevance encompasses all documents and material that are relevant to the matter at hand, whether or </w:t>
            </w:r>
            <w:r w:rsidR="00A961A4" w:rsidRPr="00A961A4">
              <w:rPr>
                <w:rFonts w:ascii="Arial" w:hAnsi="Arial" w:cs="Arial"/>
                <w:sz w:val="24"/>
                <w:szCs w:val="24"/>
                <w:lang w:val="en-US"/>
              </w:rPr>
              <w:lastRenderedPageBreak/>
              <w:t xml:space="preserve">not such documents or material are in favour or adverse to the interests of </w:t>
            </w:r>
            <w:r w:rsidR="003E7D59">
              <w:rPr>
                <w:rFonts w:ascii="Arial" w:hAnsi="Arial" w:cs="Arial"/>
                <w:sz w:val="24"/>
                <w:szCs w:val="24"/>
                <w:lang w:val="en-US"/>
              </w:rPr>
              <w:t xml:space="preserve">the </w:t>
            </w:r>
            <w:r w:rsidR="00A961A4" w:rsidRPr="00A961A4">
              <w:rPr>
                <w:rFonts w:ascii="Arial" w:hAnsi="Arial" w:cs="Arial"/>
                <w:sz w:val="24"/>
                <w:szCs w:val="24"/>
                <w:lang w:val="en-US"/>
              </w:rPr>
              <w:t>party discovering the information.</w:t>
            </w:r>
          </w:p>
          <w:p w:rsidR="00A961A4" w:rsidRPr="00A961A4" w:rsidRDefault="00A961A4" w:rsidP="00A961A4">
            <w:pPr>
              <w:spacing w:after="0" w:line="360" w:lineRule="auto"/>
              <w:ind w:left="34" w:hanging="110"/>
              <w:contextualSpacing/>
              <w:jc w:val="both"/>
              <w:rPr>
                <w:rFonts w:ascii="Arial" w:hAnsi="Arial" w:cs="Arial"/>
                <w:sz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w:t>
            </w:r>
            <w:r w:rsidR="003E7D59">
              <w:rPr>
                <w:rFonts w:ascii="Arial" w:hAnsi="Arial" w:cs="Arial"/>
                <w:sz w:val="24"/>
                <w:lang w:val="en-US"/>
              </w:rPr>
              <w:t>28</w:t>
            </w:r>
            <w:r>
              <w:rPr>
                <w:rFonts w:ascii="Arial" w:hAnsi="Arial" w:cs="Arial"/>
                <w:sz w:val="24"/>
                <w:lang w:val="en-US"/>
              </w:rPr>
              <w:t>]</w:t>
            </w:r>
            <w:r>
              <w:rPr>
                <w:rFonts w:ascii="Arial" w:hAnsi="Arial" w:cs="Arial"/>
                <w:sz w:val="24"/>
                <w:lang w:val="en-US"/>
              </w:rPr>
              <w:tab/>
            </w:r>
            <w:r w:rsidR="00A961A4" w:rsidRPr="00A961A4">
              <w:rPr>
                <w:rFonts w:ascii="Arial" w:hAnsi="Arial" w:cs="Arial"/>
                <w:sz w:val="24"/>
                <w:lang w:val="en-US"/>
              </w:rPr>
              <w:t>In this case before me</w:t>
            </w:r>
            <w:r w:rsidR="003E7D59">
              <w:rPr>
                <w:rFonts w:ascii="Arial" w:hAnsi="Arial" w:cs="Arial"/>
                <w:sz w:val="24"/>
                <w:lang w:val="en-US"/>
              </w:rPr>
              <w:t>,</w:t>
            </w:r>
            <w:r w:rsidR="00A961A4" w:rsidRPr="00A961A4">
              <w:rPr>
                <w:rFonts w:ascii="Arial" w:hAnsi="Arial" w:cs="Arial"/>
                <w:sz w:val="24"/>
                <w:lang w:val="en-US"/>
              </w:rPr>
              <w:t xml:space="preserve"> relevance was not established. In fact</w:t>
            </w:r>
            <w:r w:rsidR="003E7D59">
              <w:rPr>
                <w:rFonts w:ascii="Arial" w:hAnsi="Arial" w:cs="Arial"/>
                <w:sz w:val="24"/>
                <w:lang w:val="en-US"/>
              </w:rPr>
              <w:t>,</w:t>
            </w:r>
            <w:r w:rsidR="00A961A4" w:rsidRPr="00A961A4">
              <w:rPr>
                <w:rFonts w:ascii="Arial" w:hAnsi="Arial" w:cs="Arial"/>
                <w:sz w:val="24"/>
                <w:lang w:val="en-US"/>
              </w:rPr>
              <w:t xml:space="preserve"> the </w:t>
            </w:r>
            <w:r w:rsidR="006C7AD5">
              <w:rPr>
                <w:rFonts w:ascii="Arial" w:hAnsi="Arial" w:cs="Arial"/>
                <w:sz w:val="24"/>
                <w:lang w:val="en-US"/>
              </w:rPr>
              <w:t>plaintiff’s main concern was a non-</w:t>
            </w:r>
            <w:r w:rsidR="00A961A4" w:rsidRPr="00A961A4">
              <w:rPr>
                <w:rFonts w:ascii="Arial" w:hAnsi="Arial" w:cs="Arial"/>
                <w:sz w:val="24"/>
                <w:lang w:val="en-US"/>
              </w:rPr>
              <w:t xml:space="preserve">issue of the legal practitioner deposing to the statement and not the defendants themselves. </w:t>
            </w:r>
          </w:p>
          <w:p w:rsidR="00A961A4" w:rsidRPr="00A961A4" w:rsidRDefault="00A961A4" w:rsidP="00A961A4">
            <w:pPr>
              <w:spacing w:line="256" w:lineRule="auto"/>
              <w:ind w:left="34" w:hanging="110"/>
              <w:contextualSpacing/>
              <w:rPr>
                <w:rFonts w:ascii="Arial" w:hAnsi="Arial" w:cs="Arial"/>
                <w:sz w:val="24"/>
                <w:lang w:val="en-US"/>
              </w:rPr>
            </w:pPr>
          </w:p>
          <w:p w:rsidR="00287000"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w:t>
            </w:r>
            <w:r w:rsidR="003E7D59">
              <w:rPr>
                <w:rFonts w:ascii="Arial" w:hAnsi="Arial" w:cs="Arial"/>
                <w:sz w:val="24"/>
                <w:lang w:val="en-US"/>
              </w:rPr>
              <w:t>29</w:t>
            </w:r>
            <w:r>
              <w:rPr>
                <w:rFonts w:ascii="Arial" w:hAnsi="Arial" w:cs="Arial"/>
                <w:sz w:val="24"/>
                <w:lang w:val="en-US"/>
              </w:rPr>
              <w:t>]</w:t>
            </w:r>
            <w:r>
              <w:rPr>
                <w:rFonts w:ascii="Arial" w:hAnsi="Arial" w:cs="Arial"/>
                <w:sz w:val="24"/>
                <w:lang w:val="en-US"/>
              </w:rPr>
              <w:tab/>
            </w:r>
            <w:r w:rsidR="00A961A4" w:rsidRPr="00A961A4">
              <w:rPr>
                <w:rFonts w:ascii="Arial" w:hAnsi="Arial" w:cs="Arial"/>
                <w:sz w:val="24"/>
                <w:lang w:val="en-US"/>
              </w:rPr>
              <w:t>The plaintiff has accordingly further failed to establ</w:t>
            </w:r>
            <w:r w:rsidR="008245A2">
              <w:rPr>
                <w:rFonts w:ascii="Arial" w:hAnsi="Arial" w:cs="Arial"/>
                <w:sz w:val="24"/>
                <w:lang w:val="en-US"/>
              </w:rPr>
              <w:t>ish that it is entitled to have access to the financial statements and accounts of</w:t>
            </w:r>
            <w:r w:rsidR="00A961A4" w:rsidRPr="00A961A4">
              <w:rPr>
                <w:rFonts w:ascii="Arial" w:hAnsi="Arial" w:cs="Arial"/>
                <w:sz w:val="24"/>
                <w:lang w:val="en-US"/>
              </w:rPr>
              <w:t xml:space="preserve"> the first defendant</w:t>
            </w:r>
            <w:r w:rsidR="003E7D59">
              <w:rPr>
                <w:rFonts w:ascii="Arial" w:hAnsi="Arial" w:cs="Arial"/>
                <w:sz w:val="24"/>
                <w:lang w:val="en-US"/>
              </w:rPr>
              <w:t>,</w:t>
            </w:r>
            <w:r w:rsidR="00A961A4" w:rsidRPr="00A961A4">
              <w:rPr>
                <w:rFonts w:ascii="Arial" w:hAnsi="Arial" w:cs="Arial"/>
                <w:sz w:val="24"/>
                <w:lang w:val="en-US"/>
              </w:rPr>
              <w:t xml:space="preserve"> as he did not establish his relationship with the first defendant. The best way for the parties to go about this case was to establish liability first before the quantum is dealt with. If the issue of liability is disposed of it will curtail the proceedings and it may bring the whole matter to a finality</w:t>
            </w:r>
            <w:r w:rsidR="003E7D59">
              <w:rPr>
                <w:rFonts w:ascii="Arial" w:hAnsi="Arial" w:cs="Arial"/>
                <w:sz w:val="24"/>
                <w:lang w:val="en-US"/>
              </w:rPr>
              <w:t>,</w:t>
            </w:r>
            <w:r w:rsidR="00A961A4" w:rsidRPr="00A961A4">
              <w:rPr>
                <w:rFonts w:ascii="Arial" w:hAnsi="Arial" w:cs="Arial"/>
                <w:sz w:val="24"/>
                <w:lang w:val="en-US"/>
              </w:rPr>
              <w:t xml:space="preserve"> if the plaintiff fails to prove liability. </w:t>
            </w:r>
          </w:p>
          <w:p w:rsidR="00287000" w:rsidRDefault="00287000" w:rsidP="00287000">
            <w:pPr>
              <w:pStyle w:val="ListParagraph"/>
              <w:rPr>
                <w:rFonts w:ascii="Arial" w:hAnsi="Arial" w:cs="Arial"/>
                <w:sz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w:t>
            </w:r>
            <w:r w:rsidR="003E7D59">
              <w:rPr>
                <w:rFonts w:ascii="Arial" w:hAnsi="Arial" w:cs="Arial"/>
                <w:sz w:val="24"/>
                <w:lang w:val="en-US"/>
              </w:rPr>
              <w:t>30</w:t>
            </w:r>
            <w:r>
              <w:rPr>
                <w:rFonts w:ascii="Arial" w:hAnsi="Arial" w:cs="Arial"/>
                <w:sz w:val="24"/>
                <w:lang w:val="en-US"/>
              </w:rPr>
              <w:t>]</w:t>
            </w:r>
            <w:r>
              <w:rPr>
                <w:rFonts w:ascii="Arial" w:hAnsi="Arial" w:cs="Arial"/>
                <w:sz w:val="24"/>
                <w:lang w:val="en-US"/>
              </w:rPr>
              <w:tab/>
            </w:r>
            <w:r w:rsidR="00A961A4" w:rsidRPr="00A961A4">
              <w:rPr>
                <w:rFonts w:ascii="Arial" w:hAnsi="Arial" w:cs="Arial"/>
                <w:sz w:val="24"/>
                <w:lang w:val="en-US"/>
              </w:rPr>
              <w:t>The parties should use the judicial case management route for</w:t>
            </w:r>
            <w:r w:rsidR="006C7AD5">
              <w:rPr>
                <w:rFonts w:ascii="Arial" w:hAnsi="Arial" w:cs="Arial"/>
                <w:sz w:val="24"/>
                <w:lang w:val="en-US"/>
              </w:rPr>
              <w:t xml:space="preserve"> their own benefit as well, in order to </w:t>
            </w:r>
            <w:r w:rsidR="00A961A4" w:rsidRPr="00A961A4">
              <w:rPr>
                <w:rFonts w:ascii="Arial" w:hAnsi="Arial" w:cs="Arial"/>
                <w:sz w:val="24"/>
                <w:lang w:val="en-US"/>
              </w:rPr>
              <w:t>dispos</w:t>
            </w:r>
            <w:r w:rsidR="006C7AD5">
              <w:rPr>
                <w:rFonts w:ascii="Arial" w:hAnsi="Arial" w:cs="Arial"/>
                <w:sz w:val="24"/>
                <w:lang w:val="en-US"/>
              </w:rPr>
              <w:t xml:space="preserve">e </w:t>
            </w:r>
            <w:r w:rsidR="003E7D59">
              <w:rPr>
                <w:rFonts w:ascii="Arial" w:hAnsi="Arial" w:cs="Arial"/>
                <w:sz w:val="24"/>
                <w:lang w:val="en-US"/>
              </w:rPr>
              <w:t xml:space="preserve">of </w:t>
            </w:r>
            <w:r w:rsidR="006C7AD5">
              <w:rPr>
                <w:rFonts w:ascii="Arial" w:hAnsi="Arial" w:cs="Arial"/>
                <w:sz w:val="24"/>
                <w:lang w:val="en-US"/>
              </w:rPr>
              <w:t>m</w:t>
            </w:r>
            <w:r w:rsidR="003E7D59">
              <w:rPr>
                <w:rFonts w:ascii="Arial" w:hAnsi="Arial" w:cs="Arial"/>
                <w:sz w:val="24"/>
                <w:lang w:val="en-US"/>
              </w:rPr>
              <w:t xml:space="preserve">atters </w:t>
            </w:r>
            <w:r w:rsidR="00A961A4" w:rsidRPr="00A961A4">
              <w:rPr>
                <w:rFonts w:ascii="Arial" w:hAnsi="Arial" w:cs="Arial"/>
                <w:sz w:val="24"/>
                <w:lang w:val="en-US"/>
              </w:rPr>
              <w:t>faster and establish clear points of disagreement.</w:t>
            </w:r>
            <w:r w:rsidR="006C7AD5">
              <w:rPr>
                <w:rFonts w:ascii="Arial" w:hAnsi="Arial" w:cs="Arial"/>
                <w:sz w:val="24"/>
                <w:lang w:val="en-US"/>
              </w:rPr>
              <w:t xml:space="preserve"> In the process, parties should engage in communication to attain the quickest way to resolve the dispute.  </w:t>
            </w:r>
            <w:r w:rsidR="00A961A4" w:rsidRPr="00A961A4">
              <w:rPr>
                <w:rFonts w:ascii="Arial" w:hAnsi="Arial" w:cs="Arial"/>
                <w:sz w:val="24"/>
                <w:lang w:val="en-US"/>
              </w:rPr>
              <w:t xml:space="preserve"> </w:t>
            </w:r>
          </w:p>
          <w:p w:rsidR="00A961A4" w:rsidRPr="00A961A4" w:rsidRDefault="00A961A4" w:rsidP="00A961A4">
            <w:pPr>
              <w:spacing w:line="256" w:lineRule="auto"/>
              <w:ind w:left="34" w:hanging="110"/>
              <w:contextualSpacing/>
              <w:rPr>
                <w:rFonts w:ascii="Arial" w:hAnsi="Arial" w:cs="Arial"/>
                <w:sz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w:t>
            </w:r>
            <w:r w:rsidR="003E7D59">
              <w:rPr>
                <w:rFonts w:ascii="Arial" w:hAnsi="Arial" w:cs="Arial"/>
                <w:sz w:val="24"/>
                <w:lang w:val="en-US"/>
              </w:rPr>
              <w:t>31</w:t>
            </w:r>
            <w:r>
              <w:rPr>
                <w:rFonts w:ascii="Arial" w:hAnsi="Arial" w:cs="Arial"/>
                <w:sz w:val="24"/>
                <w:lang w:val="en-US"/>
              </w:rPr>
              <w:t>]</w:t>
            </w:r>
            <w:r>
              <w:rPr>
                <w:rFonts w:ascii="Arial" w:hAnsi="Arial" w:cs="Arial"/>
                <w:sz w:val="24"/>
                <w:lang w:val="en-US"/>
              </w:rPr>
              <w:tab/>
            </w:r>
            <w:r w:rsidR="00A961A4" w:rsidRPr="00A961A4">
              <w:rPr>
                <w:rFonts w:ascii="Arial" w:hAnsi="Arial" w:cs="Arial"/>
                <w:sz w:val="24"/>
                <w:lang w:val="en-US"/>
              </w:rPr>
              <w:t>The learned authors, Herbstein &amp; Van Winsen, in their work Civil Practice of the High Courts of South Africa</w:t>
            </w:r>
            <w:r w:rsidR="003E7D59">
              <w:rPr>
                <w:rFonts w:ascii="Arial" w:hAnsi="Arial" w:cs="Arial"/>
                <w:sz w:val="24"/>
                <w:lang w:val="en-US"/>
              </w:rPr>
              <w:t>,</w:t>
            </w:r>
            <w:r w:rsidR="00A961A4" w:rsidRPr="00A961A4">
              <w:rPr>
                <w:rFonts w:ascii="Arial" w:hAnsi="Arial" w:cs="Arial"/>
                <w:sz w:val="24"/>
                <w:lang w:val="en-US"/>
              </w:rPr>
              <w:t xml:space="preserve"> state the following regarding discovery:</w:t>
            </w:r>
          </w:p>
          <w:p w:rsidR="00A961A4" w:rsidRPr="00A961A4" w:rsidRDefault="00A961A4" w:rsidP="00A961A4">
            <w:pPr>
              <w:spacing w:line="256" w:lineRule="auto"/>
              <w:ind w:left="34" w:hanging="110"/>
              <w:contextualSpacing/>
              <w:rPr>
                <w:rFonts w:ascii="Arial" w:hAnsi="Arial" w:cs="Arial"/>
                <w:sz w:val="24"/>
                <w:lang w:val="en-US"/>
              </w:rPr>
            </w:pPr>
          </w:p>
          <w:p w:rsidR="00A961A4" w:rsidRPr="00A961A4" w:rsidRDefault="00287000" w:rsidP="00A961A4">
            <w:pPr>
              <w:spacing w:after="0" w:line="360" w:lineRule="auto"/>
              <w:ind w:left="34" w:hanging="110"/>
              <w:contextualSpacing/>
              <w:jc w:val="both"/>
              <w:rPr>
                <w:rFonts w:ascii="Arial" w:hAnsi="Arial" w:cs="Arial"/>
                <w:lang w:val="en-US"/>
              </w:rPr>
            </w:pPr>
            <w:r>
              <w:rPr>
                <w:rFonts w:ascii="Arial" w:hAnsi="Arial" w:cs="Arial"/>
                <w:lang w:val="en-US"/>
              </w:rPr>
              <w:tab/>
            </w:r>
            <w:r>
              <w:rPr>
                <w:rFonts w:ascii="Arial" w:hAnsi="Arial" w:cs="Arial"/>
                <w:lang w:val="en-US"/>
              </w:rPr>
              <w:tab/>
            </w:r>
            <w:r w:rsidR="00A961A4" w:rsidRPr="00A961A4">
              <w:rPr>
                <w:rFonts w:ascii="Arial" w:hAnsi="Arial" w:cs="Arial"/>
                <w:lang w:val="en-US"/>
              </w:rPr>
              <w:t>‘The function of discovery is to provide the parties with the relevant documents or recorded material before the hearing so as to assist them in appraising the strength or weaknesses of their respective cases, and thus to provide the basis for a fair disposal of the proceedings before or at the hearing. Each party is therefore enabled to use before the hearing or to adduce in evidence at the hearing documents or recorded material to support or rebut the case made by or against him or her to eliminate surprise at or before the hearing relating to documents or recorded evidence and to reduce the costs of litigation.’</w:t>
            </w:r>
          </w:p>
          <w:p w:rsidR="00A961A4" w:rsidRPr="00A961A4" w:rsidRDefault="00A961A4" w:rsidP="00A961A4">
            <w:pPr>
              <w:spacing w:after="0" w:line="360" w:lineRule="auto"/>
              <w:ind w:left="34" w:hanging="110"/>
              <w:jc w:val="both"/>
              <w:rPr>
                <w:rFonts w:ascii="Arial" w:hAnsi="Arial" w:cs="Arial"/>
                <w:sz w:val="24"/>
                <w:lang w:val="en-US"/>
              </w:rPr>
            </w:pPr>
          </w:p>
          <w:p w:rsidR="00A961A4" w:rsidRPr="00A961A4"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w:t>
            </w:r>
            <w:r w:rsidR="003E7D59">
              <w:rPr>
                <w:rFonts w:ascii="Arial" w:hAnsi="Arial" w:cs="Arial"/>
                <w:sz w:val="24"/>
                <w:lang w:val="en-US"/>
              </w:rPr>
              <w:t>32</w:t>
            </w:r>
            <w:r>
              <w:rPr>
                <w:rFonts w:ascii="Arial" w:hAnsi="Arial" w:cs="Arial"/>
                <w:sz w:val="24"/>
                <w:lang w:val="en-US"/>
              </w:rPr>
              <w:t>]</w:t>
            </w:r>
            <w:r>
              <w:rPr>
                <w:rFonts w:ascii="Arial" w:hAnsi="Arial" w:cs="Arial"/>
                <w:sz w:val="24"/>
                <w:lang w:val="en-US"/>
              </w:rPr>
              <w:tab/>
            </w:r>
            <w:r w:rsidR="00A961A4" w:rsidRPr="00A961A4">
              <w:rPr>
                <w:rFonts w:ascii="Arial" w:hAnsi="Arial" w:cs="Arial"/>
                <w:sz w:val="24"/>
                <w:lang w:val="en-US"/>
              </w:rPr>
              <w:t xml:space="preserve">What is evident from the above is that discovery is an important step in any proceeding, in that it curtails the proceedings by the parties already being aware of the </w:t>
            </w:r>
            <w:r w:rsidR="00A961A4" w:rsidRPr="00A961A4">
              <w:rPr>
                <w:rFonts w:ascii="Arial" w:hAnsi="Arial" w:cs="Arial"/>
                <w:sz w:val="24"/>
                <w:lang w:val="en-US"/>
              </w:rPr>
              <w:lastRenderedPageBreak/>
              <w:t xml:space="preserve">relevant documents before the hearing and for determination of the strength or weakness of each party’s case. It also assists the parties and the court in avoiding surprises that will sidetrack the proceedings and in turn it reduces the costs of litigation. </w:t>
            </w:r>
            <w:r w:rsidR="008245A2">
              <w:rPr>
                <w:rFonts w:ascii="Arial" w:hAnsi="Arial" w:cs="Arial"/>
                <w:sz w:val="24"/>
                <w:lang w:val="en-US"/>
              </w:rPr>
              <w:t xml:space="preserve">However, in the matter before me, allowing the discovery so sought may cause irreparable harm to the business of the defendants, especially in light of the fact that liability is not yet proven and access to such sensitive information by a direct competitor is prejudicial. </w:t>
            </w:r>
            <w:r w:rsidR="00A961A4" w:rsidRPr="00A961A4">
              <w:rPr>
                <w:rFonts w:ascii="Arial" w:hAnsi="Arial" w:cs="Arial"/>
                <w:sz w:val="24"/>
                <w:lang w:val="en-US"/>
              </w:rPr>
              <w:t>The parties must first deal with the liability and th</w:t>
            </w:r>
            <w:r w:rsidR="008245A2">
              <w:rPr>
                <w:rFonts w:ascii="Arial" w:hAnsi="Arial" w:cs="Arial"/>
                <w:sz w:val="24"/>
                <w:lang w:val="en-US"/>
              </w:rPr>
              <w:t>en depending on what happens</w:t>
            </w:r>
            <w:r w:rsidR="003E7D59">
              <w:rPr>
                <w:rFonts w:ascii="Arial" w:hAnsi="Arial" w:cs="Arial"/>
                <w:sz w:val="24"/>
                <w:lang w:val="en-US"/>
              </w:rPr>
              <w:t>,</w:t>
            </w:r>
            <w:r w:rsidR="00A961A4" w:rsidRPr="00A961A4">
              <w:rPr>
                <w:rFonts w:ascii="Arial" w:hAnsi="Arial" w:cs="Arial"/>
                <w:sz w:val="24"/>
                <w:lang w:val="en-US"/>
              </w:rPr>
              <w:t xml:space="preserve"> the quantum</w:t>
            </w:r>
            <w:r w:rsidR="00787C8A">
              <w:rPr>
                <w:rFonts w:ascii="Arial" w:hAnsi="Arial" w:cs="Arial"/>
                <w:sz w:val="24"/>
                <w:lang w:val="en-US"/>
              </w:rPr>
              <w:t xml:space="preserve"> may</w:t>
            </w:r>
            <w:r w:rsidR="00A961A4" w:rsidRPr="00A961A4">
              <w:rPr>
                <w:rFonts w:ascii="Arial" w:hAnsi="Arial" w:cs="Arial"/>
                <w:sz w:val="24"/>
                <w:lang w:val="en-US"/>
              </w:rPr>
              <w:t xml:space="preserve"> be considered.</w:t>
            </w:r>
          </w:p>
          <w:p w:rsidR="00A961A4" w:rsidRPr="00A961A4" w:rsidRDefault="00A961A4" w:rsidP="00A961A4">
            <w:pPr>
              <w:spacing w:after="0" w:line="360" w:lineRule="auto"/>
              <w:ind w:left="34" w:hanging="110"/>
              <w:contextualSpacing/>
              <w:jc w:val="both"/>
              <w:rPr>
                <w:rFonts w:ascii="Arial" w:hAnsi="Arial" w:cs="Arial"/>
                <w:sz w:val="24"/>
                <w:lang w:val="en-US"/>
              </w:rPr>
            </w:pPr>
          </w:p>
          <w:p w:rsidR="00A961A4" w:rsidRPr="00A961A4" w:rsidRDefault="00A961A4" w:rsidP="00A961A4">
            <w:pPr>
              <w:spacing w:after="0" w:line="360" w:lineRule="auto"/>
              <w:ind w:left="34" w:hanging="110"/>
              <w:jc w:val="both"/>
              <w:rPr>
                <w:rFonts w:ascii="Arial" w:hAnsi="Arial" w:cs="Arial"/>
                <w:sz w:val="24"/>
                <w:u w:val="single"/>
                <w:lang w:val="en-US"/>
              </w:rPr>
            </w:pPr>
            <w:r w:rsidRPr="00A961A4">
              <w:rPr>
                <w:rFonts w:ascii="Arial" w:hAnsi="Arial" w:cs="Arial"/>
                <w:sz w:val="24"/>
                <w:u w:val="single"/>
                <w:lang w:val="en-US"/>
              </w:rPr>
              <w:t>Conclusion</w:t>
            </w:r>
          </w:p>
          <w:p w:rsidR="00A961A4" w:rsidRPr="00A961A4" w:rsidRDefault="00A961A4" w:rsidP="00A961A4">
            <w:pPr>
              <w:spacing w:after="0" w:line="360" w:lineRule="auto"/>
              <w:ind w:left="34" w:hanging="110"/>
              <w:contextualSpacing/>
              <w:jc w:val="both"/>
              <w:rPr>
                <w:rFonts w:ascii="Arial" w:hAnsi="Arial" w:cs="Arial"/>
                <w:sz w:val="24"/>
                <w:lang w:val="en-US"/>
              </w:rPr>
            </w:pPr>
          </w:p>
          <w:p w:rsidR="00EF718F" w:rsidRPr="00787C8A" w:rsidRDefault="009D27D7" w:rsidP="003E7D59">
            <w:pPr>
              <w:spacing w:after="0" w:line="360" w:lineRule="auto"/>
              <w:ind w:left="34"/>
              <w:contextualSpacing/>
              <w:jc w:val="both"/>
              <w:rPr>
                <w:rFonts w:ascii="Arial" w:hAnsi="Arial" w:cs="Arial"/>
                <w:sz w:val="24"/>
                <w:lang w:val="en-US"/>
              </w:rPr>
            </w:pPr>
            <w:r>
              <w:rPr>
                <w:rFonts w:ascii="Arial" w:hAnsi="Arial" w:cs="Arial"/>
                <w:sz w:val="24"/>
                <w:lang w:val="en-US"/>
              </w:rPr>
              <w:t>[</w:t>
            </w:r>
            <w:r w:rsidR="003E7D59">
              <w:rPr>
                <w:rFonts w:ascii="Arial" w:hAnsi="Arial" w:cs="Arial"/>
                <w:sz w:val="24"/>
                <w:lang w:val="en-US"/>
              </w:rPr>
              <w:t>33</w:t>
            </w:r>
            <w:r>
              <w:rPr>
                <w:rFonts w:ascii="Arial" w:hAnsi="Arial" w:cs="Arial"/>
                <w:sz w:val="24"/>
                <w:lang w:val="en-US"/>
              </w:rPr>
              <w:t>]</w:t>
            </w:r>
            <w:r>
              <w:rPr>
                <w:rFonts w:ascii="Arial" w:hAnsi="Arial" w:cs="Arial"/>
                <w:sz w:val="24"/>
                <w:lang w:val="en-US"/>
              </w:rPr>
              <w:tab/>
            </w:r>
            <w:r w:rsidR="00A961A4" w:rsidRPr="00A961A4">
              <w:rPr>
                <w:rFonts w:ascii="Arial" w:hAnsi="Arial" w:cs="Arial"/>
                <w:sz w:val="24"/>
                <w:lang w:val="en-US"/>
              </w:rPr>
              <w:t>In the matter before me, it is not an appropriate case in which to order a party to comply with discovering documents. The discovery poses the risk of the defendants losing out financially</w:t>
            </w:r>
            <w:r w:rsidR="003E7D59">
              <w:rPr>
                <w:rFonts w:ascii="Arial" w:hAnsi="Arial" w:cs="Arial"/>
                <w:sz w:val="24"/>
                <w:lang w:val="en-US"/>
              </w:rPr>
              <w:t>,</w:t>
            </w:r>
            <w:r w:rsidR="00A961A4" w:rsidRPr="00A961A4">
              <w:rPr>
                <w:rFonts w:ascii="Arial" w:hAnsi="Arial" w:cs="Arial"/>
                <w:sz w:val="24"/>
                <w:lang w:val="en-US"/>
              </w:rPr>
              <w:t xml:space="preserve"> because of the parties being in direct competition with one another. The plaintiff also failed to prove the re</w:t>
            </w:r>
            <w:r w:rsidR="007A7952">
              <w:rPr>
                <w:rFonts w:ascii="Arial" w:hAnsi="Arial" w:cs="Arial"/>
                <w:sz w:val="24"/>
                <w:lang w:val="en-US"/>
              </w:rPr>
              <w:t>levance of the documents that he</w:t>
            </w:r>
            <w:r w:rsidR="00A961A4" w:rsidRPr="00A961A4">
              <w:rPr>
                <w:rFonts w:ascii="Arial" w:hAnsi="Arial" w:cs="Arial"/>
                <w:sz w:val="24"/>
                <w:lang w:val="en-US"/>
              </w:rPr>
              <w:t xml:space="preserve"> seeks to be discovered</w:t>
            </w:r>
            <w:r w:rsidR="009A666A">
              <w:rPr>
                <w:rFonts w:ascii="Arial" w:hAnsi="Arial" w:cs="Arial"/>
                <w:sz w:val="24"/>
                <w:lang w:val="en-US"/>
              </w:rPr>
              <w:t xml:space="preserve">, </w:t>
            </w:r>
            <w:r w:rsidR="00A961A4" w:rsidRPr="00A961A4">
              <w:rPr>
                <w:rFonts w:ascii="Arial" w:hAnsi="Arial" w:cs="Arial"/>
                <w:sz w:val="24"/>
                <w:lang w:val="en-US"/>
              </w:rPr>
              <w:t>therefor</w:t>
            </w:r>
            <w:r w:rsidR="009A666A">
              <w:rPr>
                <w:rFonts w:ascii="Arial" w:hAnsi="Arial" w:cs="Arial"/>
                <w:sz w:val="24"/>
                <w:lang w:val="en-US"/>
              </w:rPr>
              <w:t>,</w:t>
            </w:r>
            <w:r w:rsidR="00A961A4" w:rsidRPr="00A961A4">
              <w:rPr>
                <w:rFonts w:ascii="Arial" w:hAnsi="Arial" w:cs="Arial"/>
                <w:sz w:val="24"/>
                <w:lang w:val="en-US"/>
              </w:rPr>
              <w:t xml:space="preserve"> there is no duty on the defendants to discover any further documents.</w:t>
            </w:r>
          </w:p>
          <w:p w:rsidR="00EF718F" w:rsidRDefault="00EF718F" w:rsidP="00A961A4">
            <w:pPr>
              <w:spacing w:after="0" w:line="360" w:lineRule="auto"/>
              <w:ind w:left="34" w:hanging="110"/>
              <w:jc w:val="both"/>
              <w:rPr>
                <w:rFonts w:ascii="Arial" w:hAnsi="Arial" w:cs="Arial"/>
                <w:sz w:val="24"/>
                <w:u w:val="single"/>
                <w:lang w:val="en-US"/>
              </w:rPr>
            </w:pPr>
          </w:p>
          <w:p w:rsidR="00A961A4" w:rsidRPr="00A961A4" w:rsidRDefault="00A961A4" w:rsidP="00A961A4">
            <w:pPr>
              <w:spacing w:after="0" w:line="360" w:lineRule="auto"/>
              <w:ind w:left="34" w:hanging="110"/>
              <w:jc w:val="both"/>
              <w:rPr>
                <w:rFonts w:ascii="Arial" w:hAnsi="Arial" w:cs="Arial"/>
                <w:sz w:val="24"/>
                <w:u w:val="single"/>
                <w:lang w:val="en-US"/>
              </w:rPr>
            </w:pPr>
            <w:r w:rsidRPr="00A961A4">
              <w:rPr>
                <w:rFonts w:ascii="Arial" w:hAnsi="Arial" w:cs="Arial"/>
                <w:sz w:val="24"/>
                <w:u w:val="single"/>
                <w:lang w:val="en-US"/>
              </w:rPr>
              <w:t>Costs</w:t>
            </w:r>
          </w:p>
          <w:p w:rsidR="00A961A4" w:rsidRPr="00A961A4" w:rsidRDefault="00A961A4" w:rsidP="00A961A4">
            <w:pPr>
              <w:spacing w:after="0" w:line="360" w:lineRule="auto"/>
              <w:ind w:left="34" w:hanging="110"/>
              <w:jc w:val="both"/>
              <w:rPr>
                <w:rFonts w:ascii="Arial" w:hAnsi="Arial" w:cs="Arial"/>
                <w:sz w:val="24"/>
                <w:lang w:val="en-US"/>
              </w:rPr>
            </w:pPr>
          </w:p>
          <w:p w:rsidR="00A961A4" w:rsidRPr="00A961A4" w:rsidRDefault="009D27D7" w:rsidP="009D27D7">
            <w:pPr>
              <w:spacing w:after="0" w:line="360" w:lineRule="auto"/>
              <w:ind w:left="34"/>
              <w:contextualSpacing/>
              <w:jc w:val="both"/>
              <w:rPr>
                <w:rFonts w:ascii="Arial" w:hAnsi="Arial" w:cs="Arial"/>
                <w:sz w:val="24"/>
                <w:lang w:val="en-US"/>
              </w:rPr>
            </w:pPr>
            <w:r>
              <w:rPr>
                <w:rFonts w:ascii="Arial" w:hAnsi="Arial" w:cs="Arial"/>
                <w:sz w:val="24"/>
                <w:lang w:val="en-US"/>
              </w:rPr>
              <w:t>[34]</w:t>
            </w:r>
            <w:r>
              <w:rPr>
                <w:rFonts w:ascii="Arial" w:hAnsi="Arial" w:cs="Arial"/>
                <w:sz w:val="24"/>
                <w:lang w:val="en-US"/>
              </w:rPr>
              <w:tab/>
            </w:r>
            <w:r w:rsidR="00A961A4" w:rsidRPr="00A961A4">
              <w:rPr>
                <w:rFonts w:ascii="Arial" w:hAnsi="Arial" w:cs="Arial"/>
                <w:sz w:val="24"/>
                <w:lang w:val="en-US"/>
              </w:rPr>
              <w:t>The ordinary rule applicable to costs is that they follow the event. There is nothing said or apparent in this matter that would justify a departure from that well-trodden path. The respondent is accordingly ordered to pay the costs of the application, subject to rule 32(11).</w:t>
            </w:r>
          </w:p>
          <w:p w:rsidR="00A961A4" w:rsidRDefault="00A961A4" w:rsidP="00A961A4">
            <w:pPr>
              <w:spacing w:after="0" w:line="360" w:lineRule="auto"/>
              <w:ind w:left="34" w:hanging="110"/>
              <w:contextualSpacing/>
              <w:jc w:val="both"/>
              <w:rPr>
                <w:rFonts w:ascii="Arial" w:hAnsi="Arial" w:cs="Arial"/>
                <w:sz w:val="24"/>
                <w:u w:val="single"/>
                <w:lang w:val="en-US"/>
              </w:rPr>
            </w:pPr>
          </w:p>
          <w:p w:rsidR="005100DC" w:rsidRPr="00A961A4" w:rsidRDefault="005100DC" w:rsidP="00A961A4">
            <w:pPr>
              <w:spacing w:after="0" w:line="360" w:lineRule="auto"/>
              <w:ind w:left="34" w:hanging="110"/>
              <w:contextualSpacing/>
              <w:jc w:val="both"/>
              <w:rPr>
                <w:rFonts w:ascii="Arial" w:hAnsi="Arial" w:cs="Arial"/>
                <w:sz w:val="24"/>
                <w:u w:val="single"/>
                <w:lang w:val="en-US"/>
              </w:rPr>
            </w:pPr>
          </w:p>
          <w:p w:rsidR="00A961A4" w:rsidRPr="00A961A4" w:rsidRDefault="00A961A4" w:rsidP="00A961A4">
            <w:pPr>
              <w:spacing w:after="0" w:line="360" w:lineRule="auto"/>
              <w:ind w:left="34" w:hanging="110"/>
              <w:contextualSpacing/>
              <w:jc w:val="both"/>
              <w:rPr>
                <w:rFonts w:ascii="Arial" w:hAnsi="Arial" w:cs="Arial"/>
                <w:sz w:val="24"/>
                <w:u w:val="single"/>
                <w:lang w:val="en-US"/>
              </w:rPr>
            </w:pPr>
            <w:r w:rsidRPr="00A961A4">
              <w:rPr>
                <w:rFonts w:ascii="Arial" w:hAnsi="Arial" w:cs="Arial"/>
                <w:sz w:val="24"/>
                <w:u w:val="single"/>
                <w:lang w:val="en-US"/>
              </w:rPr>
              <w:t>Order</w:t>
            </w:r>
          </w:p>
          <w:p w:rsidR="00A961A4" w:rsidRPr="00A961A4" w:rsidRDefault="00A961A4" w:rsidP="00A961A4">
            <w:pPr>
              <w:spacing w:after="0" w:line="360" w:lineRule="auto"/>
              <w:ind w:left="34" w:hanging="110"/>
              <w:contextualSpacing/>
              <w:jc w:val="both"/>
              <w:rPr>
                <w:rFonts w:ascii="Arial" w:hAnsi="Arial" w:cs="Arial"/>
                <w:sz w:val="24"/>
                <w:lang w:val="en-US"/>
              </w:rPr>
            </w:pPr>
          </w:p>
          <w:p w:rsidR="00A961A4" w:rsidRPr="00A961A4" w:rsidRDefault="009D27D7" w:rsidP="009D27D7">
            <w:pPr>
              <w:spacing w:after="0" w:line="360" w:lineRule="auto"/>
              <w:ind w:left="34"/>
              <w:contextualSpacing/>
              <w:jc w:val="both"/>
              <w:rPr>
                <w:rFonts w:ascii="Arial" w:hAnsi="Arial" w:cs="Arial"/>
                <w:sz w:val="24"/>
                <w:lang w:val="en-US"/>
              </w:rPr>
            </w:pPr>
            <w:r>
              <w:rPr>
                <w:rFonts w:ascii="Arial" w:hAnsi="Arial" w:cs="Arial"/>
                <w:sz w:val="24"/>
                <w:lang w:val="en-US"/>
              </w:rPr>
              <w:t>[35]</w:t>
            </w:r>
            <w:r>
              <w:rPr>
                <w:rFonts w:ascii="Arial" w:hAnsi="Arial" w:cs="Arial"/>
                <w:sz w:val="24"/>
                <w:lang w:val="en-US"/>
              </w:rPr>
              <w:tab/>
            </w:r>
            <w:r w:rsidR="00A961A4" w:rsidRPr="00A961A4">
              <w:rPr>
                <w:rFonts w:ascii="Arial" w:hAnsi="Arial" w:cs="Arial"/>
                <w:sz w:val="24"/>
                <w:lang w:val="en-US"/>
              </w:rPr>
              <w:t>In the result, I make the following order:</w:t>
            </w:r>
          </w:p>
          <w:p w:rsidR="00A961A4" w:rsidRPr="00A961A4" w:rsidRDefault="00A961A4" w:rsidP="00A961A4">
            <w:pPr>
              <w:spacing w:after="0" w:line="360" w:lineRule="auto"/>
              <w:ind w:left="34" w:hanging="110"/>
              <w:contextualSpacing/>
              <w:jc w:val="both"/>
              <w:rPr>
                <w:rFonts w:ascii="Arial" w:hAnsi="Arial" w:cs="Arial"/>
                <w:sz w:val="24"/>
                <w:lang w:val="en-US"/>
              </w:rPr>
            </w:pPr>
          </w:p>
          <w:p w:rsidR="00A961A4" w:rsidRPr="00A961A4" w:rsidRDefault="00A961A4" w:rsidP="00A961A4">
            <w:pPr>
              <w:numPr>
                <w:ilvl w:val="0"/>
                <w:numId w:val="8"/>
              </w:numPr>
              <w:spacing w:after="0" w:line="360" w:lineRule="auto"/>
              <w:ind w:left="34" w:hanging="110"/>
              <w:jc w:val="both"/>
              <w:rPr>
                <w:rFonts w:ascii="Arial" w:eastAsia="Times New Roman" w:hAnsi="Arial" w:cs="Arial"/>
                <w:sz w:val="24"/>
                <w:szCs w:val="24"/>
                <w:lang w:val="en-GB"/>
              </w:rPr>
            </w:pPr>
            <w:r w:rsidRPr="00A961A4">
              <w:rPr>
                <w:rFonts w:ascii="Arial" w:eastAsia="Times New Roman" w:hAnsi="Arial" w:cs="Arial"/>
                <w:sz w:val="24"/>
                <w:szCs w:val="24"/>
                <w:lang w:val="en-GB"/>
              </w:rPr>
              <w:t>The application for specific discovery is dismissed.</w:t>
            </w:r>
          </w:p>
          <w:p w:rsidR="00A961A4" w:rsidRPr="00A961A4" w:rsidRDefault="00A961A4" w:rsidP="00A961A4">
            <w:pPr>
              <w:numPr>
                <w:ilvl w:val="0"/>
                <w:numId w:val="8"/>
              </w:numPr>
              <w:spacing w:after="0" w:line="360" w:lineRule="auto"/>
              <w:ind w:left="34" w:hanging="110"/>
              <w:jc w:val="both"/>
              <w:rPr>
                <w:rFonts w:ascii="Arial" w:eastAsia="Times New Roman" w:hAnsi="Arial" w:cs="Arial"/>
                <w:sz w:val="24"/>
                <w:szCs w:val="24"/>
                <w:lang w:val="en-GB"/>
              </w:rPr>
            </w:pPr>
            <w:r w:rsidRPr="00A961A4">
              <w:rPr>
                <w:rFonts w:ascii="Arial" w:eastAsia="Times New Roman" w:hAnsi="Arial" w:cs="Arial"/>
                <w:sz w:val="24"/>
                <w:szCs w:val="24"/>
                <w:lang w:val="en-GB"/>
              </w:rPr>
              <w:t>The plaintiff must pay the costs of the application subject to rule 32(11).</w:t>
            </w:r>
          </w:p>
          <w:p w:rsidR="00A961A4" w:rsidRPr="00A961A4" w:rsidRDefault="00A961A4" w:rsidP="00A961A4">
            <w:pPr>
              <w:numPr>
                <w:ilvl w:val="0"/>
                <w:numId w:val="8"/>
              </w:numPr>
              <w:spacing w:after="0" w:line="360" w:lineRule="auto"/>
              <w:ind w:left="34" w:hanging="110"/>
              <w:jc w:val="both"/>
              <w:rPr>
                <w:rFonts w:ascii="Arial" w:eastAsia="Times New Roman" w:hAnsi="Arial" w:cs="Arial"/>
                <w:sz w:val="24"/>
                <w:szCs w:val="24"/>
                <w:lang w:val="en-GB"/>
              </w:rPr>
            </w:pPr>
            <w:r w:rsidRPr="00A961A4">
              <w:rPr>
                <w:rFonts w:ascii="Arial" w:eastAsia="Times New Roman" w:hAnsi="Arial" w:cs="Arial"/>
                <w:sz w:val="24"/>
                <w:szCs w:val="24"/>
                <w:lang w:val="en-GB"/>
              </w:rPr>
              <w:t xml:space="preserve">The parties must file a joint case management report for the further conduct of the </w:t>
            </w:r>
            <w:r w:rsidR="005100DC">
              <w:rPr>
                <w:rFonts w:ascii="Arial" w:eastAsia="Times New Roman" w:hAnsi="Arial" w:cs="Arial"/>
                <w:sz w:val="24"/>
                <w:szCs w:val="24"/>
                <w:lang w:val="en-GB"/>
              </w:rPr>
              <w:tab/>
            </w:r>
            <w:r w:rsidRPr="00A961A4">
              <w:rPr>
                <w:rFonts w:ascii="Arial" w:eastAsia="Times New Roman" w:hAnsi="Arial" w:cs="Arial"/>
                <w:sz w:val="24"/>
                <w:szCs w:val="24"/>
                <w:lang w:val="en-GB"/>
              </w:rPr>
              <w:t>matter on or before 19 June 2023.</w:t>
            </w:r>
          </w:p>
          <w:p w:rsidR="00A961A4" w:rsidRPr="00A961A4" w:rsidRDefault="00A961A4" w:rsidP="00A961A4">
            <w:pPr>
              <w:numPr>
                <w:ilvl w:val="0"/>
                <w:numId w:val="8"/>
              </w:numPr>
              <w:spacing w:after="0" w:line="360" w:lineRule="auto"/>
              <w:ind w:left="34" w:hanging="110"/>
              <w:contextualSpacing/>
              <w:jc w:val="both"/>
              <w:rPr>
                <w:rFonts w:ascii="Arial" w:hAnsi="Arial" w:cs="Arial"/>
                <w:sz w:val="24"/>
                <w:szCs w:val="24"/>
                <w:lang w:val="en-US"/>
              </w:rPr>
            </w:pPr>
            <w:r w:rsidRPr="00A961A4">
              <w:rPr>
                <w:rFonts w:ascii="Arial" w:hAnsi="Arial" w:cs="Arial"/>
                <w:sz w:val="24"/>
                <w:szCs w:val="24"/>
                <w:lang w:val="en-US"/>
              </w:rPr>
              <w:lastRenderedPageBreak/>
              <w:t xml:space="preserve">The matter is postponed to 22 June 2023 </w:t>
            </w:r>
            <w:r w:rsidR="009A666A">
              <w:rPr>
                <w:rFonts w:ascii="Arial" w:hAnsi="Arial" w:cs="Arial"/>
                <w:sz w:val="24"/>
                <w:szCs w:val="24"/>
                <w:lang w:val="en-US"/>
              </w:rPr>
              <w:t>at 08h</w:t>
            </w:r>
            <w:r w:rsidR="00350874">
              <w:rPr>
                <w:rFonts w:ascii="Arial" w:hAnsi="Arial" w:cs="Arial"/>
                <w:sz w:val="24"/>
                <w:szCs w:val="24"/>
                <w:lang w:val="en-US"/>
              </w:rPr>
              <w:t xml:space="preserve">30 </w:t>
            </w:r>
            <w:r w:rsidRPr="00A961A4">
              <w:rPr>
                <w:rFonts w:ascii="Arial" w:hAnsi="Arial" w:cs="Arial"/>
                <w:sz w:val="24"/>
                <w:szCs w:val="24"/>
                <w:lang w:val="en-US"/>
              </w:rPr>
              <w:t>for a Case Management</w:t>
            </w:r>
            <w:r w:rsidR="00350874">
              <w:rPr>
                <w:rFonts w:ascii="Arial" w:hAnsi="Arial" w:cs="Arial"/>
                <w:sz w:val="24"/>
                <w:szCs w:val="24"/>
                <w:lang w:val="en-US"/>
              </w:rPr>
              <w:t xml:space="preserve"> </w:t>
            </w:r>
            <w:r w:rsidR="005100DC">
              <w:rPr>
                <w:rFonts w:ascii="Arial" w:hAnsi="Arial" w:cs="Arial"/>
                <w:sz w:val="24"/>
                <w:szCs w:val="24"/>
                <w:lang w:val="en-US"/>
              </w:rPr>
              <w:tab/>
            </w:r>
            <w:r w:rsidR="00350874">
              <w:rPr>
                <w:rFonts w:ascii="Arial" w:hAnsi="Arial" w:cs="Arial"/>
                <w:sz w:val="24"/>
                <w:szCs w:val="24"/>
                <w:lang w:val="en-US"/>
              </w:rPr>
              <w:t>Conference</w:t>
            </w:r>
            <w:r w:rsidRPr="00A961A4">
              <w:rPr>
                <w:rFonts w:ascii="Arial" w:hAnsi="Arial" w:cs="Arial"/>
                <w:sz w:val="24"/>
                <w:szCs w:val="24"/>
                <w:lang w:val="en-US"/>
              </w:rPr>
              <w:t xml:space="preserve"> hearing.</w:t>
            </w:r>
          </w:p>
          <w:p w:rsidR="00A961A4" w:rsidRPr="00530978" w:rsidRDefault="00A961A4" w:rsidP="007344A8">
            <w:pPr>
              <w:pStyle w:val="ListParagraph"/>
              <w:spacing w:after="200" w:line="360" w:lineRule="auto"/>
              <w:ind w:left="0"/>
              <w:jc w:val="both"/>
              <w:rPr>
                <w:rFonts w:ascii="Arial" w:hAnsi="Arial" w:cs="Arial"/>
                <w:sz w:val="24"/>
              </w:rPr>
            </w:pPr>
          </w:p>
        </w:tc>
      </w:tr>
      <w:tr w:rsidR="00A961A4" w:rsidRPr="00530978" w:rsidTr="00EF718F">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rsidR="00A961A4" w:rsidRPr="00530978" w:rsidRDefault="00A961A4" w:rsidP="007344A8">
            <w:pPr>
              <w:pStyle w:val="ListParagraph"/>
              <w:spacing w:after="0" w:line="360" w:lineRule="auto"/>
              <w:ind w:left="601"/>
              <w:rPr>
                <w:rFonts w:ascii="Arial" w:hAnsi="Arial" w:cs="Arial"/>
                <w:b/>
                <w:color w:val="FF0000"/>
                <w:sz w:val="24"/>
                <w:szCs w:val="24"/>
              </w:rPr>
            </w:pPr>
          </w:p>
        </w:tc>
      </w:tr>
      <w:tr w:rsidR="00A961A4" w:rsidRPr="00530978" w:rsidTr="00A961A4">
        <w:trPr>
          <w:trHeight w:val="95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961A4" w:rsidRPr="00530978" w:rsidRDefault="00A961A4" w:rsidP="007344A8">
            <w:pPr>
              <w:spacing w:after="0" w:line="360" w:lineRule="auto"/>
              <w:jc w:val="both"/>
              <w:rPr>
                <w:rFonts w:ascii="Arial" w:hAnsi="Arial" w:cs="Arial"/>
                <w:b/>
                <w:bCs/>
                <w:sz w:val="24"/>
                <w:szCs w:val="24"/>
              </w:rPr>
            </w:pPr>
            <w:r>
              <w:rPr>
                <w:rFonts w:ascii="Arial" w:hAnsi="Arial" w:cs="Arial"/>
                <w:b/>
                <w:bCs/>
                <w:sz w:val="24"/>
                <w:szCs w:val="24"/>
              </w:rPr>
              <w:t>Judge’s signature: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961A4" w:rsidRPr="00530978" w:rsidRDefault="00A961A4" w:rsidP="007344A8">
            <w:pPr>
              <w:spacing w:after="0" w:line="360" w:lineRule="auto"/>
              <w:jc w:val="both"/>
              <w:rPr>
                <w:rFonts w:ascii="Arial" w:hAnsi="Arial" w:cs="Arial"/>
                <w:sz w:val="24"/>
                <w:szCs w:val="24"/>
              </w:rPr>
            </w:pPr>
            <w:r>
              <w:rPr>
                <w:rFonts w:ascii="Arial" w:hAnsi="Arial" w:cs="Arial"/>
                <w:sz w:val="24"/>
                <w:szCs w:val="24"/>
              </w:rPr>
              <w:t>Note to parties:</w:t>
            </w:r>
          </w:p>
        </w:tc>
      </w:tr>
      <w:tr w:rsidR="00A961A4" w:rsidRPr="00530978" w:rsidTr="00A961A4">
        <w:trPr>
          <w:trHeight w:val="95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961A4" w:rsidRPr="00530978" w:rsidRDefault="00A961A4" w:rsidP="007344A8">
            <w:pPr>
              <w:spacing w:after="0" w:line="360" w:lineRule="auto"/>
              <w:jc w:val="both"/>
              <w:rPr>
                <w:rFonts w:ascii="Arial" w:hAnsi="Arial" w:cs="Arial"/>
                <w:b/>
                <w:bCs/>
                <w:sz w:val="24"/>
                <w:szCs w:val="24"/>
              </w:rPr>
            </w:pPr>
            <w:r w:rsidRPr="00530978">
              <w:rPr>
                <w:rFonts w:ascii="Arial" w:hAnsi="Arial" w:cs="Arial"/>
                <w:b/>
                <w:bCs/>
                <w:sz w:val="24"/>
                <w:szCs w:val="24"/>
              </w:rPr>
              <w:t xml:space="preserve">                   </w:t>
            </w:r>
          </w:p>
          <w:p w:rsidR="00A961A4" w:rsidRPr="00530978" w:rsidRDefault="00A961A4" w:rsidP="007344A8">
            <w:pPr>
              <w:spacing w:after="0" w:line="360" w:lineRule="auto"/>
              <w:jc w:val="center"/>
              <w:rPr>
                <w:rFonts w:ascii="Arial" w:hAnsi="Arial" w:cs="Arial"/>
                <w:b/>
                <w:bCs/>
                <w:sz w:val="24"/>
                <w:szCs w:val="24"/>
              </w:rPr>
            </w:pPr>
            <w:r w:rsidRPr="00530978">
              <w:rPr>
                <w:rFonts w:ascii="Arial" w:hAnsi="Arial" w:cs="Arial"/>
                <w:b/>
                <w:bCs/>
                <w:sz w:val="24"/>
                <w:szCs w:val="24"/>
              </w:rPr>
              <w:t>O S SIBEYA</w:t>
            </w:r>
          </w:p>
          <w:p w:rsidR="00A961A4" w:rsidRPr="00530978" w:rsidRDefault="00A961A4" w:rsidP="007344A8">
            <w:pPr>
              <w:spacing w:after="0" w:line="360" w:lineRule="auto"/>
              <w:jc w:val="center"/>
              <w:rPr>
                <w:rFonts w:ascii="Arial" w:hAnsi="Arial" w:cs="Arial"/>
                <w:sz w:val="24"/>
                <w:szCs w:val="24"/>
              </w:rPr>
            </w:pPr>
            <w:r w:rsidRPr="00530978">
              <w:rPr>
                <w:rFonts w:ascii="Arial" w:hAnsi="Arial" w:cs="Arial"/>
                <w:b/>
                <w:bCs/>
                <w:sz w:val="24"/>
                <w:szCs w:val="24"/>
              </w:rPr>
              <w:t>JUDGE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961A4" w:rsidRPr="00530978" w:rsidRDefault="00A961A4" w:rsidP="007344A8">
            <w:pPr>
              <w:spacing w:after="0" w:line="360" w:lineRule="auto"/>
              <w:jc w:val="both"/>
              <w:rPr>
                <w:rFonts w:ascii="Arial" w:hAnsi="Arial" w:cs="Arial"/>
                <w:sz w:val="24"/>
                <w:szCs w:val="24"/>
              </w:rPr>
            </w:pPr>
          </w:p>
        </w:tc>
      </w:tr>
      <w:tr w:rsidR="00A961A4" w:rsidRPr="00530978" w:rsidTr="00A961A4">
        <w:trPr>
          <w:trHeight w:val="984"/>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A961A4" w:rsidRPr="00530978" w:rsidRDefault="00A961A4" w:rsidP="007344A8">
            <w:pPr>
              <w:spacing w:after="0" w:line="360" w:lineRule="auto"/>
              <w:jc w:val="center"/>
              <w:rPr>
                <w:rFonts w:ascii="Arial" w:hAnsi="Arial" w:cs="Arial"/>
                <w:b/>
                <w:sz w:val="24"/>
                <w:szCs w:val="24"/>
              </w:rPr>
            </w:pPr>
          </w:p>
          <w:p w:rsidR="00A961A4" w:rsidRPr="00530978" w:rsidRDefault="00A961A4" w:rsidP="007344A8">
            <w:pPr>
              <w:spacing w:after="0" w:line="360" w:lineRule="auto"/>
              <w:jc w:val="center"/>
              <w:rPr>
                <w:rFonts w:ascii="Arial" w:hAnsi="Arial" w:cs="Arial"/>
                <w:b/>
                <w:sz w:val="24"/>
                <w:szCs w:val="24"/>
              </w:rPr>
            </w:pPr>
            <w:r w:rsidRPr="00530978">
              <w:rPr>
                <w:rFonts w:ascii="Arial" w:hAnsi="Arial" w:cs="Arial"/>
                <w:b/>
                <w:sz w:val="24"/>
                <w:szCs w:val="24"/>
              </w:rPr>
              <w:t>For the plaintiff:</w:t>
            </w:r>
          </w:p>
          <w:p w:rsidR="00A961A4" w:rsidRPr="00530978" w:rsidRDefault="00A961A4" w:rsidP="007344A8">
            <w:pPr>
              <w:spacing w:after="0" w:line="360" w:lineRule="auto"/>
              <w:jc w:val="center"/>
              <w:rPr>
                <w:rFonts w:ascii="Arial" w:hAnsi="Arial" w:cs="Arial"/>
                <w:sz w:val="24"/>
                <w:szCs w:val="24"/>
              </w:rPr>
            </w:pPr>
            <w:r>
              <w:rPr>
                <w:rFonts w:ascii="Arial" w:hAnsi="Arial" w:cs="Arial"/>
                <w:sz w:val="24"/>
                <w:szCs w:val="24"/>
              </w:rPr>
              <w:t>J Olivier</w:t>
            </w:r>
          </w:p>
          <w:p w:rsidR="00A961A4" w:rsidRPr="00530978" w:rsidRDefault="00063A4E" w:rsidP="007344A8">
            <w:pPr>
              <w:spacing w:after="0" w:line="360" w:lineRule="auto"/>
              <w:jc w:val="center"/>
              <w:rPr>
                <w:rFonts w:ascii="Arial" w:hAnsi="Arial" w:cs="Arial"/>
                <w:sz w:val="24"/>
                <w:szCs w:val="24"/>
              </w:rPr>
            </w:pPr>
            <w:r>
              <w:rPr>
                <w:rFonts w:ascii="Arial" w:hAnsi="Arial" w:cs="Arial"/>
                <w:sz w:val="24"/>
                <w:szCs w:val="24"/>
              </w:rPr>
              <w:t>Instructed</w:t>
            </w:r>
            <w:r w:rsidR="00A961A4">
              <w:rPr>
                <w:rFonts w:ascii="Arial" w:hAnsi="Arial" w:cs="Arial"/>
                <w:sz w:val="24"/>
                <w:szCs w:val="24"/>
              </w:rPr>
              <w:t xml:space="preserve"> by </w:t>
            </w:r>
            <w:r w:rsidR="00A961A4" w:rsidRPr="00A961A4">
              <w:rPr>
                <w:rFonts w:ascii="Arial" w:hAnsi="Arial" w:cs="Arial"/>
                <w:sz w:val="24"/>
                <w:szCs w:val="24"/>
              </w:rPr>
              <w:t>Ellis Shilengudwa Inc.</w:t>
            </w:r>
            <w:r w:rsidR="00A961A4">
              <w:rPr>
                <w:rFonts w:ascii="Arial" w:hAnsi="Arial" w:cs="Arial"/>
                <w:sz w:val="24"/>
                <w:szCs w:val="24"/>
              </w:rPr>
              <w:t xml:space="preserve">, </w:t>
            </w:r>
            <w:r w:rsidR="00A961A4" w:rsidRPr="00530978">
              <w:rPr>
                <w:rFonts w:ascii="Arial" w:hAnsi="Arial" w:cs="Arial"/>
                <w:sz w:val="24"/>
                <w:szCs w:val="24"/>
              </w:rPr>
              <w:t>Windhoek</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61A4" w:rsidRPr="00530978" w:rsidRDefault="00A961A4" w:rsidP="007344A8">
            <w:pPr>
              <w:spacing w:after="0" w:line="360" w:lineRule="auto"/>
              <w:jc w:val="center"/>
              <w:rPr>
                <w:rFonts w:ascii="Arial" w:hAnsi="Arial" w:cs="Arial"/>
                <w:b/>
                <w:sz w:val="24"/>
                <w:szCs w:val="24"/>
              </w:rPr>
            </w:pPr>
          </w:p>
          <w:p w:rsidR="00A961A4" w:rsidRPr="00530978" w:rsidRDefault="00A961A4" w:rsidP="007344A8">
            <w:pPr>
              <w:spacing w:after="0" w:line="360" w:lineRule="auto"/>
              <w:jc w:val="center"/>
              <w:rPr>
                <w:rFonts w:ascii="Arial" w:hAnsi="Arial" w:cs="Arial"/>
                <w:b/>
                <w:sz w:val="24"/>
                <w:szCs w:val="24"/>
              </w:rPr>
            </w:pPr>
            <w:r>
              <w:rPr>
                <w:rFonts w:ascii="Arial" w:hAnsi="Arial" w:cs="Arial"/>
                <w:b/>
                <w:sz w:val="24"/>
                <w:szCs w:val="24"/>
              </w:rPr>
              <w:t xml:space="preserve">For the </w:t>
            </w:r>
            <w:r w:rsidRPr="00530978">
              <w:rPr>
                <w:rFonts w:ascii="Arial" w:hAnsi="Arial" w:cs="Arial"/>
                <w:b/>
                <w:sz w:val="24"/>
                <w:szCs w:val="24"/>
              </w:rPr>
              <w:t>defendant</w:t>
            </w:r>
            <w:r w:rsidR="00817593">
              <w:rPr>
                <w:rFonts w:ascii="Arial" w:hAnsi="Arial" w:cs="Arial"/>
                <w:b/>
                <w:sz w:val="24"/>
                <w:szCs w:val="24"/>
              </w:rPr>
              <w:t>s</w:t>
            </w:r>
            <w:r w:rsidRPr="00530978">
              <w:rPr>
                <w:rFonts w:ascii="Arial" w:hAnsi="Arial" w:cs="Arial"/>
                <w:b/>
                <w:sz w:val="24"/>
                <w:szCs w:val="24"/>
              </w:rPr>
              <w:t>:</w:t>
            </w:r>
          </w:p>
          <w:p w:rsidR="00A961A4" w:rsidRDefault="00287000" w:rsidP="007344A8">
            <w:pPr>
              <w:spacing w:after="0" w:line="360" w:lineRule="auto"/>
              <w:jc w:val="center"/>
              <w:rPr>
                <w:rFonts w:ascii="Arial" w:hAnsi="Arial" w:cs="Arial"/>
                <w:sz w:val="24"/>
                <w:szCs w:val="24"/>
              </w:rPr>
            </w:pPr>
            <w:r>
              <w:rPr>
                <w:rFonts w:ascii="Arial" w:hAnsi="Arial" w:cs="Arial"/>
                <w:sz w:val="24"/>
                <w:szCs w:val="24"/>
              </w:rPr>
              <w:t>C Mouton</w:t>
            </w:r>
          </w:p>
          <w:p w:rsidR="00A961A4" w:rsidRPr="00530978" w:rsidRDefault="00287000" w:rsidP="007344A8">
            <w:pPr>
              <w:spacing w:after="0" w:line="360" w:lineRule="auto"/>
              <w:jc w:val="center"/>
              <w:rPr>
                <w:rFonts w:ascii="Arial" w:hAnsi="Arial" w:cs="Arial"/>
                <w:sz w:val="24"/>
                <w:szCs w:val="24"/>
              </w:rPr>
            </w:pPr>
            <w:r>
              <w:rPr>
                <w:rFonts w:ascii="Arial" w:hAnsi="Arial" w:cs="Arial"/>
                <w:sz w:val="24"/>
                <w:szCs w:val="24"/>
              </w:rPr>
              <w:t xml:space="preserve">Instructed by </w:t>
            </w:r>
            <w:r w:rsidRPr="00287000">
              <w:rPr>
                <w:rFonts w:ascii="Arial" w:hAnsi="Arial" w:cs="Arial"/>
                <w:sz w:val="24"/>
                <w:szCs w:val="24"/>
              </w:rPr>
              <w:t>Neves Legal Practitioners</w:t>
            </w:r>
            <w:r>
              <w:rPr>
                <w:rFonts w:ascii="Arial" w:hAnsi="Arial" w:cs="Arial"/>
                <w:sz w:val="24"/>
                <w:szCs w:val="24"/>
              </w:rPr>
              <w:t>, Windhoek</w:t>
            </w:r>
          </w:p>
          <w:p w:rsidR="00A961A4" w:rsidRPr="00530978" w:rsidRDefault="00A961A4" w:rsidP="007344A8">
            <w:pPr>
              <w:spacing w:after="0" w:line="360" w:lineRule="auto"/>
              <w:jc w:val="center"/>
              <w:rPr>
                <w:rFonts w:ascii="Arial" w:hAnsi="Arial" w:cs="Arial"/>
                <w:sz w:val="24"/>
                <w:szCs w:val="24"/>
              </w:rPr>
            </w:pPr>
          </w:p>
        </w:tc>
      </w:tr>
    </w:tbl>
    <w:p w:rsidR="00A961A4" w:rsidRPr="00A12A7A" w:rsidRDefault="00A961A4" w:rsidP="00A961A4">
      <w:pPr>
        <w:tabs>
          <w:tab w:val="left" w:pos="1815"/>
        </w:tabs>
        <w:rPr>
          <w:rFonts w:ascii="Arial" w:hAnsi="Arial" w:cs="Arial"/>
          <w:sz w:val="24"/>
          <w:szCs w:val="24"/>
        </w:rPr>
      </w:pPr>
    </w:p>
    <w:p w:rsidR="00A564DE" w:rsidRDefault="00A564DE"/>
    <w:sectPr w:rsidR="00A564DE" w:rsidSect="00842CC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B5" w:rsidRDefault="00E765B5" w:rsidP="00A961A4">
      <w:pPr>
        <w:spacing w:after="0" w:line="240" w:lineRule="auto"/>
      </w:pPr>
      <w:r>
        <w:separator/>
      </w:r>
    </w:p>
  </w:endnote>
  <w:endnote w:type="continuationSeparator" w:id="0">
    <w:p w:rsidR="00E765B5" w:rsidRDefault="00E765B5" w:rsidP="00A9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B5" w:rsidRDefault="00E765B5" w:rsidP="00A961A4">
      <w:pPr>
        <w:spacing w:after="0" w:line="240" w:lineRule="auto"/>
      </w:pPr>
      <w:r>
        <w:separator/>
      </w:r>
    </w:p>
  </w:footnote>
  <w:footnote w:type="continuationSeparator" w:id="0">
    <w:p w:rsidR="00E765B5" w:rsidRDefault="00E765B5" w:rsidP="00A961A4">
      <w:pPr>
        <w:spacing w:after="0" w:line="240" w:lineRule="auto"/>
      </w:pPr>
      <w:r>
        <w:continuationSeparator/>
      </w:r>
    </w:p>
  </w:footnote>
  <w:footnote w:id="1">
    <w:p w:rsidR="00A961A4" w:rsidRDefault="00A961A4" w:rsidP="00A961A4">
      <w:pPr>
        <w:pStyle w:val="FootnoteText"/>
      </w:pPr>
      <w:r>
        <w:rPr>
          <w:rStyle w:val="FootnoteReference"/>
        </w:rPr>
        <w:footnoteRef/>
      </w:r>
      <w:r>
        <w:t xml:space="preserve"> </w:t>
      </w:r>
      <w:r>
        <w:rPr>
          <w:rFonts w:ascii="Arial" w:hAnsi="Arial" w:cs="Arial"/>
          <w:i/>
        </w:rPr>
        <w:t>Walvis Bay Salt Refiners (Pty) Ltd v Blaauw’s Transport (Pty) Ltd and 4 Others</w:t>
      </w:r>
      <w:r>
        <w:rPr>
          <w:rFonts w:ascii="Arial" w:hAnsi="Arial" w:cs="Arial"/>
        </w:rPr>
        <w:t xml:space="preserve"> (I 3668/2014) [2019] NACHMD 23 (15 February 2019).</w:t>
      </w:r>
    </w:p>
  </w:footnote>
  <w:footnote w:id="2">
    <w:p w:rsidR="00A961A4" w:rsidRDefault="00A961A4" w:rsidP="00A961A4">
      <w:pPr>
        <w:pStyle w:val="FootnoteText"/>
      </w:pPr>
      <w:r>
        <w:rPr>
          <w:rStyle w:val="FootnoteReference"/>
        </w:rPr>
        <w:footnoteRef/>
      </w:r>
      <w:r>
        <w:t xml:space="preserve"> </w:t>
      </w:r>
      <w:r>
        <w:rPr>
          <w:rFonts w:ascii="Arial" w:hAnsi="Arial" w:cs="Arial"/>
          <w:i/>
        </w:rPr>
        <w:t>Santam v Segal</w:t>
      </w:r>
      <w:r>
        <w:rPr>
          <w:rFonts w:ascii="Arial" w:hAnsi="Arial" w:cs="Arial"/>
        </w:rPr>
        <w:t xml:space="preserve"> 2010 (2) SA 160 (N) at 165 D-G.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Default="005450BF">
    <w:pPr>
      <w:pStyle w:val="Header"/>
      <w:jc w:val="right"/>
    </w:pPr>
    <w:r>
      <w:fldChar w:fldCharType="begin"/>
    </w:r>
    <w:r>
      <w:instrText xml:space="preserve"> PAGE   \* MERGEFORMAT </w:instrText>
    </w:r>
    <w:r>
      <w:fldChar w:fldCharType="separate"/>
    </w:r>
    <w:r w:rsidR="00810F04">
      <w:rPr>
        <w:noProof/>
      </w:rPr>
      <w:t>2</w:t>
    </w:r>
    <w:r>
      <w:rPr>
        <w:noProof/>
      </w:rPr>
      <w:fldChar w:fldCharType="end"/>
    </w:r>
  </w:p>
  <w:p w:rsidR="00842CC7" w:rsidRDefault="00E76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A6071"/>
    <w:multiLevelType w:val="hybridMultilevel"/>
    <w:tmpl w:val="11F8C266"/>
    <w:lvl w:ilvl="0" w:tplc="A46078BC">
      <w:start w:val="1"/>
      <w:numFmt w:val="decimal"/>
      <w:lvlText w:val="[%1]"/>
      <w:lvlJc w:val="left"/>
      <w:pPr>
        <w:ind w:left="1920" w:hanging="360"/>
      </w:pPr>
    </w:lvl>
    <w:lvl w:ilvl="1" w:tplc="0409000F">
      <w:start w:val="1"/>
      <w:numFmt w:val="decimal"/>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 w15:restartNumberingAfterBreak="0">
    <w:nsid w:val="305439A2"/>
    <w:multiLevelType w:val="hybridMultilevel"/>
    <w:tmpl w:val="9D344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F1D8C"/>
    <w:multiLevelType w:val="hybridMultilevel"/>
    <w:tmpl w:val="FBAA56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236F3"/>
    <w:multiLevelType w:val="multilevel"/>
    <w:tmpl w:val="6A5CBCAA"/>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4" w15:restartNumberingAfterBreak="0">
    <w:nsid w:val="68A67011"/>
    <w:multiLevelType w:val="multilevel"/>
    <w:tmpl w:val="22C6929E"/>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5" w15:restartNumberingAfterBreak="0">
    <w:nsid w:val="6E6D16B0"/>
    <w:multiLevelType w:val="hybridMultilevel"/>
    <w:tmpl w:val="394812C0"/>
    <w:lvl w:ilvl="0" w:tplc="059464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486DF2"/>
    <w:multiLevelType w:val="hybridMultilevel"/>
    <w:tmpl w:val="5E2E7DA4"/>
    <w:lvl w:ilvl="0" w:tplc="57A49A8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FE451B"/>
    <w:multiLevelType w:val="hybridMultilevel"/>
    <w:tmpl w:val="05B2EA5E"/>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A553D5"/>
    <w:multiLevelType w:val="hybridMultilevel"/>
    <w:tmpl w:val="856CE72C"/>
    <w:lvl w:ilvl="0" w:tplc="335EF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9C614A"/>
    <w:multiLevelType w:val="hybridMultilevel"/>
    <w:tmpl w:val="2B2A580A"/>
    <w:lvl w:ilvl="0" w:tplc="AD566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A4"/>
    <w:rsid w:val="00057D4B"/>
    <w:rsid w:val="00063A4E"/>
    <w:rsid w:val="00080513"/>
    <w:rsid w:val="00082E52"/>
    <w:rsid w:val="00121BE6"/>
    <w:rsid w:val="001B0CFB"/>
    <w:rsid w:val="00287000"/>
    <w:rsid w:val="00350874"/>
    <w:rsid w:val="003A10F8"/>
    <w:rsid w:val="003E33A8"/>
    <w:rsid w:val="003E7D59"/>
    <w:rsid w:val="0045167D"/>
    <w:rsid w:val="004D4DBF"/>
    <w:rsid w:val="005100DC"/>
    <w:rsid w:val="005450BF"/>
    <w:rsid w:val="005B6296"/>
    <w:rsid w:val="005B73AC"/>
    <w:rsid w:val="005D2B45"/>
    <w:rsid w:val="006350D0"/>
    <w:rsid w:val="006B4C3F"/>
    <w:rsid w:val="006C271D"/>
    <w:rsid w:val="006C7AD5"/>
    <w:rsid w:val="00770747"/>
    <w:rsid w:val="00787C8A"/>
    <w:rsid w:val="007A7952"/>
    <w:rsid w:val="007F4ED5"/>
    <w:rsid w:val="00810F04"/>
    <w:rsid w:val="00817593"/>
    <w:rsid w:val="008245A2"/>
    <w:rsid w:val="008A5174"/>
    <w:rsid w:val="009400E6"/>
    <w:rsid w:val="009950D4"/>
    <w:rsid w:val="00997F00"/>
    <w:rsid w:val="009A666A"/>
    <w:rsid w:val="009D27D7"/>
    <w:rsid w:val="00A345A3"/>
    <w:rsid w:val="00A564DE"/>
    <w:rsid w:val="00A961A4"/>
    <w:rsid w:val="00B06698"/>
    <w:rsid w:val="00BB5E06"/>
    <w:rsid w:val="00C6408C"/>
    <w:rsid w:val="00CB2694"/>
    <w:rsid w:val="00D363B3"/>
    <w:rsid w:val="00D42924"/>
    <w:rsid w:val="00DD7CC6"/>
    <w:rsid w:val="00DE25AA"/>
    <w:rsid w:val="00E63C17"/>
    <w:rsid w:val="00E765B5"/>
    <w:rsid w:val="00EF718F"/>
    <w:rsid w:val="00FA165A"/>
    <w:rsid w:val="00FB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F46D1-2FF0-4D8E-B38B-AF24D5D5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1A4"/>
    <w:pPr>
      <w:spacing w:line="254"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A4"/>
    <w:pPr>
      <w:ind w:left="720"/>
      <w:contextualSpacing/>
    </w:pPr>
  </w:style>
  <w:style w:type="paragraph" w:styleId="Header">
    <w:name w:val="header"/>
    <w:basedOn w:val="Normal"/>
    <w:link w:val="HeaderChar"/>
    <w:uiPriority w:val="99"/>
    <w:unhideWhenUsed/>
    <w:rsid w:val="00A96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1A4"/>
    <w:rPr>
      <w:rFonts w:ascii="Calibri" w:eastAsia="Calibri" w:hAnsi="Calibri" w:cs="Times New Roman"/>
      <w:lang w:val="en-ZA"/>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A961A4"/>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A961A4"/>
    <w:rPr>
      <w:rFonts w:ascii="Calibri" w:eastAsia="Calibri" w:hAnsi="Calibri" w:cs="Times New Roman"/>
      <w:sz w:val="20"/>
      <w:szCs w:val="20"/>
      <w:lang w:val="en-ZA"/>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A96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4315">
      <w:bodyDiv w:val="1"/>
      <w:marLeft w:val="0"/>
      <w:marRight w:val="0"/>
      <w:marTop w:val="0"/>
      <w:marBottom w:val="0"/>
      <w:divBdr>
        <w:top w:val="none" w:sz="0" w:space="0" w:color="auto"/>
        <w:left w:val="none" w:sz="0" w:space="0" w:color="auto"/>
        <w:bottom w:val="none" w:sz="0" w:space="0" w:color="auto"/>
        <w:right w:val="none" w:sz="0" w:space="0" w:color="auto"/>
      </w:divBdr>
    </w:div>
    <w:div w:id="489058869">
      <w:bodyDiv w:val="1"/>
      <w:marLeft w:val="0"/>
      <w:marRight w:val="0"/>
      <w:marTop w:val="0"/>
      <w:marBottom w:val="0"/>
      <w:divBdr>
        <w:top w:val="none" w:sz="0" w:space="0" w:color="auto"/>
        <w:left w:val="none" w:sz="0" w:space="0" w:color="auto"/>
        <w:bottom w:val="none" w:sz="0" w:space="0" w:color="auto"/>
        <w:right w:val="none" w:sz="0" w:space="0" w:color="auto"/>
      </w:divBdr>
    </w:div>
    <w:div w:id="1226641567">
      <w:bodyDiv w:val="1"/>
      <w:marLeft w:val="0"/>
      <w:marRight w:val="0"/>
      <w:marTop w:val="0"/>
      <w:marBottom w:val="0"/>
      <w:divBdr>
        <w:top w:val="none" w:sz="0" w:space="0" w:color="auto"/>
        <w:left w:val="none" w:sz="0" w:space="0" w:color="auto"/>
        <w:bottom w:val="none" w:sz="0" w:space="0" w:color="auto"/>
        <w:right w:val="none" w:sz="0" w:space="0" w:color="auto"/>
      </w:divBdr>
    </w:div>
    <w:div w:id="1858693391">
      <w:bodyDiv w:val="1"/>
      <w:marLeft w:val="0"/>
      <w:marRight w:val="0"/>
      <w:marTop w:val="0"/>
      <w:marBottom w:val="0"/>
      <w:divBdr>
        <w:top w:val="none" w:sz="0" w:space="0" w:color="auto"/>
        <w:left w:val="none" w:sz="0" w:space="0" w:color="auto"/>
        <w:bottom w:val="none" w:sz="0" w:space="0" w:color="auto"/>
        <w:right w:val="none" w:sz="0" w:space="0" w:color="auto"/>
      </w:divBdr>
    </w:div>
    <w:div w:id="1922249654">
      <w:bodyDiv w:val="1"/>
      <w:marLeft w:val="0"/>
      <w:marRight w:val="0"/>
      <w:marTop w:val="0"/>
      <w:marBottom w:val="0"/>
      <w:divBdr>
        <w:top w:val="none" w:sz="0" w:space="0" w:color="auto"/>
        <w:left w:val="none" w:sz="0" w:space="0" w:color="auto"/>
        <w:bottom w:val="none" w:sz="0" w:space="0" w:color="auto"/>
        <w:right w:val="none" w:sz="0" w:space="0" w:color="auto"/>
      </w:divBdr>
    </w:div>
    <w:div w:id="20075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2023-06-05T18:30:00+00:00</Judgment_x0020_Date>
    <Year xmlns="c1afb1bd-f2fb-40fd-9abb-aea55b4d7662">2023</Year>
  </documentManagement>
</p:properties>
</file>

<file path=customXml/itemProps1.xml><?xml version="1.0" encoding="utf-8"?>
<ds:datastoreItem xmlns:ds="http://schemas.openxmlformats.org/officeDocument/2006/customXml" ds:itemID="{989C2F87-7AFC-493D-B7D5-FB02B2C74640}"/>
</file>

<file path=customXml/itemProps2.xml><?xml version="1.0" encoding="utf-8"?>
<ds:datastoreItem xmlns:ds="http://schemas.openxmlformats.org/officeDocument/2006/customXml" ds:itemID="{EC0CEF96-57EA-4F6F-972E-6F2B104105EF}"/>
</file>

<file path=customXml/itemProps3.xml><?xml version="1.0" encoding="utf-8"?>
<ds:datastoreItem xmlns:ds="http://schemas.openxmlformats.org/officeDocument/2006/customXml" ds:itemID="{DE424A1E-5403-441F-B027-D961D83AD06C}"/>
</file>

<file path=docProps/app.xml><?xml version="1.0" encoding="utf-8"?>
<Properties xmlns="http://schemas.openxmlformats.org/officeDocument/2006/extended-properties" xmlns:vt="http://schemas.openxmlformats.org/officeDocument/2006/docPropsVTypes">
  <Template>Normal</Template>
  <TotalTime>0</TotalTime>
  <Pages>12</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Heimstadt v Pronto Global Air and Ocean Freight CC (HC-MD-CIV-ACT-CON-2022-02528) [2023] NAHCMD 294 (6 June 2023)</dc:title>
  <dc:subject/>
  <dc:creator>Pafnutia Booysen</dc:creator>
  <cp:keywords/>
  <dc:description/>
  <cp:lastModifiedBy>Pafnutia Booysen</cp:lastModifiedBy>
  <cp:revision>2</cp:revision>
  <dcterms:created xsi:type="dcterms:W3CDTF">2023-06-12T14:32:00Z</dcterms:created>
  <dcterms:modified xsi:type="dcterms:W3CDTF">2023-06-12T14:32:00Z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