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587874" w:rsidRDefault="008006A3" w:rsidP="00B40844">
      <w:pPr>
        <w:spacing w:after="0" w:line="360" w:lineRule="auto"/>
        <w:jc w:val="center"/>
        <w:rPr>
          <w:rFonts w:ascii="Arial" w:hAnsi="Arial" w:cs="Arial"/>
          <w:b/>
          <w:sz w:val="24"/>
          <w:szCs w:val="24"/>
        </w:rPr>
      </w:pPr>
      <w:r w:rsidRPr="00587874">
        <w:rPr>
          <w:rFonts w:ascii="Arial" w:hAnsi="Arial" w:cs="Arial"/>
          <w:b/>
          <w:sz w:val="24"/>
          <w:szCs w:val="24"/>
        </w:rPr>
        <w:t>RULING</w:t>
      </w:r>
      <w:r w:rsidR="001B494D" w:rsidRPr="00587874">
        <w:rPr>
          <w:rFonts w:ascii="Arial" w:hAnsi="Arial" w:cs="Arial"/>
          <w:b/>
          <w:sz w:val="24"/>
          <w:szCs w:val="24"/>
        </w:rPr>
        <w:t xml:space="preserve"> ON AN APPLICATION FOR CONDONATION</w:t>
      </w:r>
    </w:p>
    <w:p w:rsidR="00813253" w:rsidRPr="00813253" w:rsidRDefault="00813253" w:rsidP="00B40844">
      <w:pPr>
        <w:spacing w:after="0" w:line="360" w:lineRule="auto"/>
        <w:jc w:val="center"/>
        <w:rPr>
          <w:rFonts w:ascii="Arial" w:hAnsi="Arial" w:cs="Arial"/>
          <w:sz w:val="24"/>
          <w:szCs w:val="24"/>
        </w:rPr>
      </w:pPr>
      <w:r w:rsidRPr="00813253">
        <w:rPr>
          <w:rFonts w:ascii="Arial" w:hAnsi="Arial" w:cs="Arial"/>
          <w:sz w:val="24"/>
          <w:szCs w:val="24"/>
        </w:rPr>
        <w:t>PRACTICE DIRECTION 61</w:t>
      </w:r>
    </w:p>
    <w:p w:rsidR="00B40844" w:rsidRPr="00EA2DE2" w:rsidRDefault="00B40844" w:rsidP="00B40844">
      <w:pPr>
        <w:spacing w:after="0" w:line="360" w:lineRule="auto"/>
        <w:jc w:val="both"/>
        <w:rPr>
          <w:rFonts w:ascii="Arial" w:hAnsi="Arial" w:cs="Arial"/>
          <w:sz w:val="14"/>
          <w:szCs w:val="14"/>
        </w:rPr>
      </w:pPr>
    </w:p>
    <w:tbl>
      <w:tblPr>
        <w:tblStyle w:val="TableGrid"/>
        <w:tblW w:w="10065" w:type="dxa"/>
        <w:tblInd w:w="-431" w:type="dxa"/>
        <w:tblLook w:val="04A0" w:firstRow="1" w:lastRow="0" w:firstColumn="1" w:lastColumn="0" w:noHBand="0" w:noVBand="1"/>
      </w:tblPr>
      <w:tblGrid>
        <w:gridCol w:w="4926"/>
        <w:gridCol w:w="603"/>
        <w:gridCol w:w="4536"/>
      </w:tblGrid>
      <w:tr w:rsidR="00CA7995" w:rsidRPr="00CA7995" w:rsidTr="00AB08C4">
        <w:trPr>
          <w:trHeight w:val="997"/>
        </w:trPr>
        <w:tc>
          <w:tcPr>
            <w:tcW w:w="5529"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CC57E3" w:rsidRDefault="00CC57E3" w:rsidP="00C2633E">
            <w:pPr>
              <w:jc w:val="both"/>
              <w:rPr>
                <w:rFonts w:ascii="Arial" w:hAnsi="Arial" w:cs="Arial"/>
                <w:sz w:val="24"/>
                <w:szCs w:val="24"/>
              </w:rPr>
            </w:pPr>
            <w:r w:rsidRPr="00CC57E3">
              <w:rPr>
                <w:rFonts w:ascii="Arial" w:hAnsi="Arial" w:cs="Arial"/>
                <w:sz w:val="24"/>
                <w:szCs w:val="24"/>
              </w:rPr>
              <w:t>CATERPILLAR FINANCIAL SERVICES SOUTH AFRICA PROPRIETARY LIMITED // KAMUVARE ASSETS MANAGEMENT COMMERCIAL (PTY) LTD</w:t>
            </w:r>
          </w:p>
        </w:tc>
        <w:tc>
          <w:tcPr>
            <w:tcW w:w="4536"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CC57E3" w:rsidRDefault="00813E24" w:rsidP="00937C89">
            <w:pPr>
              <w:spacing w:line="360" w:lineRule="auto"/>
              <w:jc w:val="both"/>
              <w:rPr>
                <w:rFonts w:ascii="Arial" w:hAnsi="Arial" w:cs="Arial"/>
                <w:sz w:val="24"/>
                <w:szCs w:val="24"/>
                <w:shd w:val="clear" w:color="auto" w:fill="FFFFFF"/>
              </w:rPr>
            </w:pPr>
            <w:r w:rsidRPr="00CC57E3">
              <w:rPr>
                <w:rFonts w:ascii="Arial" w:hAnsi="Arial" w:cs="Arial"/>
                <w:sz w:val="24"/>
                <w:szCs w:val="24"/>
              </w:rPr>
              <w:t>HC-MD-CIV-ACT-CON-2022/05168</w:t>
            </w:r>
          </w:p>
        </w:tc>
      </w:tr>
      <w:tr w:rsidR="00CA7995" w:rsidRPr="00CA7995" w:rsidTr="00AB08C4">
        <w:trPr>
          <w:trHeight w:val="968"/>
        </w:trPr>
        <w:tc>
          <w:tcPr>
            <w:tcW w:w="5529" w:type="dxa"/>
            <w:gridSpan w:val="2"/>
            <w:vMerge/>
          </w:tcPr>
          <w:p w:rsidR="00B40844" w:rsidRPr="00CA7995" w:rsidRDefault="00B40844" w:rsidP="00937C89">
            <w:pPr>
              <w:spacing w:line="360" w:lineRule="auto"/>
              <w:jc w:val="both"/>
              <w:rPr>
                <w:rFonts w:ascii="Arial" w:hAnsi="Arial" w:cs="Arial"/>
                <w:sz w:val="24"/>
                <w:szCs w:val="24"/>
              </w:rPr>
            </w:pPr>
          </w:p>
        </w:tc>
        <w:tc>
          <w:tcPr>
            <w:tcW w:w="4536"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AB08C4">
        <w:trPr>
          <w:trHeight w:val="965"/>
        </w:trPr>
        <w:tc>
          <w:tcPr>
            <w:tcW w:w="5529"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HONOURABLE MR JUSTICE ANGULA, DEPUTY JUDGE-PRESIDENT</w:t>
            </w:r>
          </w:p>
        </w:tc>
        <w:tc>
          <w:tcPr>
            <w:tcW w:w="4536"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CC57E3" w:rsidP="00C2633E">
            <w:pPr>
              <w:spacing w:line="360" w:lineRule="auto"/>
              <w:jc w:val="both"/>
              <w:rPr>
                <w:rFonts w:ascii="Arial" w:hAnsi="Arial" w:cs="Arial"/>
                <w:sz w:val="24"/>
                <w:szCs w:val="24"/>
              </w:rPr>
            </w:pPr>
            <w:r>
              <w:rPr>
                <w:rFonts w:ascii="Arial" w:hAnsi="Arial" w:cs="Arial"/>
                <w:sz w:val="24"/>
                <w:szCs w:val="24"/>
              </w:rPr>
              <w:t>16 MAY</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AB08C4">
        <w:trPr>
          <w:trHeight w:val="991"/>
        </w:trPr>
        <w:tc>
          <w:tcPr>
            <w:tcW w:w="5529" w:type="dxa"/>
            <w:gridSpan w:val="2"/>
            <w:vMerge/>
          </w:tcPr>
          <w:p w:rsidR="00B40844" w:rsidRPr="00CA7995" w:rsidRDefault="00B40844" w:rsidP="00937C89">
            <w:pPr>
              <w:spacing w:line="360" w:lineRule="auto"/>
              <w:jc w:val="both"/>
              <w:rPr>
                <w:rFonts w:ascii="Arial" w:hAnsi="Arial" w:cs="Arial"/>
                <w:b/>
                <w:sz w:val="24"/>
                <w:szCs w:val="24"/>
              </w:rPr>
            </w:pPr>
          </w:p>
        </w:tc>
        <w:tc>
          <w:tcPr>
            <w:tcW w:w="4536"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CC57E3" w:rsidP="00C2633E">
            <w:pPr>
              <w:spacing w:line="360" w:lineRule="auto"/>
              <w:jc w:val="both"/>
              <w:rPr>
                <w:rFonts w:ascii="Arial" w:hAnsi="Arial" w:cs="Arial"/>
                <w:b/>
                <w:sz w:val="24"/>
                <w:szCs w:val="24"/>
              </w:rPr>
            </w:pPr>
            <w:r>
              <w:rPr>
                <w:rFonts w:ascii="Arial" w:hAnsi="Arial" w:cs="Arial"/>
                <w:sz w:val="24"/>
                <w:szCs w:val="24"/>
              </w:rPr>
              <w:t>6 JUNE</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D15FF5">
        <w:trPr>
          <w:trHeight w:val="876"/>
        </w:trPr>
        <w:tc>
          <w:tcPr>
            <w:tcW w:w="10065" w:type="dxa"/>
            <w:gridSpan w:val="3"/>
          </w:tcPr>
          <w:p w:rsidR="00B40844" w:rsidRPr="00CA7995" w:rsidRDefault="00B40844" w:rsidP="00DF1BE6">
            <w:pPr>
              <w:spacing w:line="360" w:lineRule="auto"/>
              <w:jc w:val="both"/>
              <w:rPr>
                <w:rFonts w:ascii="Arial" w:hAnsi="Arial" w:cs="Arial"/>
                <w:sz w:val="24"/>
                <w:szCs w:val="24"/>
              </w:rPr>
            </w:pPr>
            <w:r w:rsidRPr="00CA7995">
              <w:rPr>
                <w:rFonts w:ascii="Arial" w:hAnsi="Arial" w:cs="Arial"/>
                <w:b/>
                <w:sz w:val="24"/>
                <w:szCs w:val="24"/>
              </w:rPr>
              <w:t xml:space="preserve">Neutral citation: </w:t>
            </w:r>
            <w:bookmarkStart w:id="0" w:name="_GoBack"/>
            <w:r w:rsidR="00CC57E3" w:rsidRPr="00816D42">
              <w:rPr>
                <w:rFonts w:ascii="Arial" w:hAnsi="Arial" w:cs="Arial"/>
                <w:i/>
                <w:sz w:val="24"/>
                <w:szCs w:val="24"/>
              </w:rPr>
              <w:t>Caterpillar Financial Services South Africa Proprietary Limited v Kamuvare Assets Management Commercial (Pty) Ltd</w:t>
            </w:r>
            <w:r w:rsidRPr="00CA7995">
              <w:rPr>
                <w:rFonts w:ascii="Arial" w:hAnsi="Arial" w:cs="Arial"/>
                <w:sz w:val="24"/>
                <w:szCs w:val="24"/>
              </w:rPr>
              <w:t xml:space="preserve"> (</w:t>
            </w:r>
            <w:r w:rsidR="00CC57E3" w:rsidRPr="00CC57E3">
              <w:rPr>
                <w:rFonts w:ascii="Arial" w:hAnsi="Arial" w:cs="Arial"/>
                <w:sz w:val="24"/>
                <w:szCs w:val="24"/>
              </w:rPr>
              <w:t>HC-MD-CIV-ACT-CON-2022/05168</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Pr="00CA7995">
              <w:rPr>
                <w:rFonts w:ascii="Arial" w:hAnsi="Arial" w:cs="Arial"/>
                <w:sz w:val="24"/>
                <w:szCs w:val="24"/>
              </w:rPr>
              <w:t xml:space="preserve">] NAHCMD </w:t>
            </w:r>
            <w:r w:rsidR="00DF1BE6">
              <w:rPr>
                <w:rFonts w:ascii="Arial" w:hAnsi="Arial" w:cs="Arial"/>
                <w:sz w:val="24"/>
                <w:szCs w:val="24"/>
              </w:rPr>
              <w:t>297</w:t>
            </w:r>
            <w:r w:rsidRPr="00CA7995">
              <w:rPr>
                <w:rFonts w:ascii="Arial" w:hAnsi="Arial" w:cs="Arial"/>
                <w:sz w:val="24"/>
                <w:szCs w:val="24"/>
              </w:rPr>
              <w:t xml:space="preserve"> (</w:t>
            </w:r>
            <w:r w:rsidR="00CC57E3">
              <w:rPr>
                <w:rFonts w:ascii="Arial" w:hAnsi="Arial" w:cs="Arial"/>
                <w:sz w:val="24"/>
                <w:szCs w:val="24"/>
              </w:rPr>
              <w:t>6 June</w:t>
            </w:r>
            <w:r w:rsidR="00B47800">
              <w:rPr>
                <w:rFonts w:ascii="Arial" w:hAnsi="Arial" w:cs="Arial"/>
                <w:sz w:val="24"/>
                <w:szCs w:val="24"/>
              </w:rPr>
              <w:t xml:space="preserve"> 2023</w:t>
            </w:r>
            <w:r w:rsidRPr="00CA7995">
              <w:rPr>
                <w:rFonts w:ascii="Arial" w:hAnsi="Arial" w:cs="Arial"/>
                <w:sz w:val="24"/>
                <w:szCs w:val="24"/>
              </w:rPr>
              <w:t>)</w:t>
            </w:r>
            <w:bookmarkEnd w:id="0"/>
          </w:p>
        </w:tc>
      </w:tr>
      <w:tr w:rsidR="00CA7995" w:rsidRPr="00CA7995" w:rsidTr="00D15FF5">
        <w:tc>
          <w:tcPr>
            <w:tcW w:w="10065" w:type="dxa"/>
            <w:gridSpan w:val="3"/>
          </w:tcPr>
          <w:p w:rsidR="00B40844" w:rsidRPr="00C52ED6" w:rsidRDefault="00B40844" w:rsidP="00937C89">
            <w:pPr>
              <w:spacing w:line="360" w:lineRule="auto"/>
              <w:jc w:val="both"/>
              <w:rPr>
                <w:rFonts w:ascii="Arial" w:hAnsi="Arial" w:cs="Arial"/>
                <w:sz w:val="24"/>
                <w:szCs w:val="24"/>
              </w:rPr>
            </w:pPr>
          </w:p>
          <w:p w:rsidR="00B40844" w:rsidRPr="00C52ED6" w:rsidRDefault="00B40844" w:rsidP="00937C89">
            <w:pPr>
              <w:spacing w:line="360" w:lineRule="auto"/>
              <w:jc w:val="both"/>
              <w:rPr>
                <w:rFonts w:ascii="Arial" w:hAnsi="Arial" w:cs="Arial"/>
                <w:b/>
                <w:sz w:val="24"/>
                <w:szCs w:val="24"/>
              </w:rPr>
            </w:pPr>
            <w:r w:rsidRPr="00C52ED6">
              <w:rPr>
                <w:rFonts w:ascii="Arial" w:hAnsi="Arial" w:cs="Arial"/>
                <w:b/>
                <w:sz w:val="24"/>
                <w:szCs w:val="24"/>
              </w:rPr>
              <w:t>The order:</w:t>
            </w:r>
          </w:p>
          <w:p w:rsidR="00B40844" w:rsidRPr="00C52ED6" w:rsidRDefault="00B40844" w:rsidP="00937C89">
            <w:pPr>
              <w:spacing w:line="360" w:lineRule="auto"/>
              <w:jc w:val="both"/>
              <w:rPr>
                <w:rFonts w:ascii="Arial" w:hAnsi="Arial" w:cs="Arial"/>
                <w:sz w:val="24"/>
                <w:szCs w:val="24"/>
              </w:rPr>
            </w:pPr>
          </w:p>
          <w:p w:rsidR="00B40844" w:rsidRPr="00AB08C4" w:rsidRDefault="00FC2237" w:rsidP="00CA7995">
            <w:pPr>
              <w:spacing w:line="360" w:lineRule="auto"/>
              <w:jc w:val="both"/>
              <w:rPr>
                <w:rFonts w:ascii="Arial" w:hAnsi="Arial" w:cs="Arial"/>
                <w:sz w:val="24"/>
                <w:szCs w:val="24"/>
              </w:rPr>
            </w:pPr>
            <w:r w:rsidRPr="00AB08C4">
              <w:rPr>
                <w:rFonts w:ascii="Arial" w:hAnsi="Arial" w:cs="Arial"/>
                <w:sz w:val="24"/>
                <w:szCs w:val="24"/>
              </w:rPr>
              <w:t>Having heard</w:t>
            </w:r>
            <w:r w:rsidR="00B40844" w:rsidRPr="00AB08C4">
              <w:rPr>
                <w:rFonts w:ascii="Arial" w:hAnsi="Arial" w:cs="Arial"/>
                <w:sz w:val="24"/>
                <w:szCs w:val="24"/>
              </w:rPr>
              <w:t xml:space="preserve"> </w:t>
            </w:r>
            <w:r w:rsidR="009F773F" w:rsidRPr="00587874">
              <w:rPr>
                <w:rFonts w:ascii="Arial" w:hAnsi="Arial" w:cs="Arial"/>
                <w:b/>
                <w:sz w:val="24"/>
                <w:szCs w:val="24"/>
                <w:lang w:val="en-US"/>
              </w:rPr>
              <w:t>Ms Ngurimuje-Katire</w:t>
            </w:r>
            <w:r w:rsidR="009F773F" w:rsidRPr="00813253">
              <w:rPr>
                <w:rFonts w:ascii="Arial" w:hAnsi="Arial" w:cs="Arial"/>
                <w:sz w:val="24"/>
                <w:szCs w:val="24"/>
                <w:lang w:val="en-US"/>
              </w:rPr>
              <w:t>,</w:t>
            </w:r>
            <w:r w:rsidR="009F773F" w:rsidRPr="00AB08C4">
              <w:rPr>
                <w:rFonts w:ascii="Arial" w:hAnsi="Arial" w:cs="Arial"/>
                <w:sz w:val="24"/>
                <w:szCs w:val="24"/>
                <w:lang w:val="en-US"/>
              </w:rPr>
              <w:t xml:space="preserve"> </w:t>
            </w:r>
            <w:r w:rsidR="001B494D">
              <w:rPr>
                <w:rFonts w:ascii="Arial" w:hAnsi="Arial" w:cs="Arial"/>
                <w:sz w:val="24"/>
                <w:szCs w:val="24"/>
                <w:lang w:val="en-US"/>
              </w:rPr>
              <w:t>the director</w:t>
            </w:r>
            <w:r w:rsidR="009F773F" w:rsidRPr="00AB08C4">
              <w:rPr>
                <w:rFonts w:ascii="Arial" w:hAnsi="Arial" w:cs="Arial"/>
                <w:sz w:val="24"/>
                <w:szCs w:val="24"/>
                <w:lang w:val="en-US"/>
              </w:rPr>
              <w:t xml:space="preserve"> acting in p</w:t>
            </w:r>
            <w:r w:rsidR="001B494D">
              <w:rPr>
                <w:rFonts w:ascii="Arial" w:hAnsi="Arial" w:cs="Arial"/>
                <w:sz w:val="24"/>
                <w:szCs w:val="24"/>
                <w:lang w:val="en-US"/>
              </w:rPr>
              <w:t>erson on behalf of the applicant</w:t>
            </w:r>
            <w:r w:rsidR="009F773F" w:rsidRPr="00AB08C4">
              <w:rPr>
                <w:rFonts w:ascii="Arial" w:hAnsi="Arial" w:cs="Arial"/>
                <w:sz w:val="24"/>
                <w:szCs w:val="24"/>
                <w:lang w:val="en-US"/>
              </w:rPr>
              <w:t xml:space="preserve"> and </w:t>
            </w:r>
            <w:r w:rsidR="00CC57E3" w:rsidRPr="00587874">
              <w:rPr>
                <w:rFonts w:ascii="Arial" w:hAnsi="Arial" w:cs="Arial"/>
                <w:b/>
                <w:sz w:val="24"/>
                <w:szCs w:val="24"/>
              </w:rPr>
              <w:t>Ms Maritz</w:t>
            </w:r>
            <w:r w:rsidR="00B40844" w:rsidRPr="00813253">
              <w:rPr>
                <w:rFonts w:ascii="Arial" w:hAnsi="Arial" w:cs="Arial"/>
                <w:sz w:val="24"/>
                <w:szCs w:val="24"/>
              </w:rPr>
              <w:t>,</w:t>
            </w:r>
            <w:r w:rsidR="00B40844" w:rsidRPr="00AB08C4">
              <w:rPr>
                <w:rFonts w:ascii="Arial" w:hAnsi="Arial" w:cs="Arial"/>
                <w:sz w:val="24"/>
                <w:szCs w:val="24"/>
              </w:rPr>
              <w:t xml:space="preserve"> </w:t>
            </w:r>
            <w:r w:rsidR="00CC57E3" w:rsidRPr="00AB08C4">
              <w:rPr>
                <w:rFonts w:ascii="Arial" w:hAnsi="Arial" w:cs="Arial"/>
                <w:sz w:val="24"/>
                <w:szCs w:val="24"/>
              </w:rPr>
              <w:t xml:space="preserve">on behalf of the </w:t>
            </w:r>
            <w:r w:rsidR="009F773F" w:rsidRPr="00AB08C4">
              <w:rPr>
                <w:rFonts w:ascii="Arial" w:hAnsi="Arial" w:cs="Arial"/>
                <w:sz w:val="24"/>
                <w:szCs w:val="24"/>
              </w:rPr>
              <w:t>respondent</w:t>
            </w:r>
            <w:r w:rsidR="00CC57E3" w:rsidRPr="00AB08C4">
              <w:rPr>
                <w:rFonts w:ascii="Arial" w:hAnsi="Arial" w:cs="Arial"/>
                <w:sz w:val="24"/>
                <w:szCs w:val="24"/>
              </w:rPr>
              <w:t xml:space="preserve"> and </w:t>
            </w:r>
            <w:r w:rsidR="00B40844" w:rsidRPr="00AB08C4">
              <w:rPr>
                <w:rFonts w:ascii="Arial" w:hAnsi="Arial" w:cs="Arial"/>
                <w:sz w:val="24"/>
                <w:szCs w:val="24"/>
              </w:rPr>
              <w:t xml:space="preserve">having read </w:t>
            </w:r>
            <w:r w:rsidR="00AA3ECB" w:rsidRPr="00AB08C4">
              <w:rPr>
                <w:rFonts w:ascii="Arial" w:hAnsi="Arial" w:cs="Arial"/>
                <w:sz w:val="24"/>
                <w:szCs w:val="24"/>
              </w:rPr>
              <w:t>the</w:t>
            </w:r>
            <w:r w:rsidR="00B40844" w:rsidRPr="00AB08C4">
              <w:rPr>
                <w:rFonts w:ascii="Arial" w:hAnsi="Arial" w:cs="Arial"/>
                <w:sz w:val="24"/>
                <w:szCs w:val="24"/>
              </w:rPr>
              <w:t xml:space="preserve"> documents filed of record:</w:t>
            </w:r>
          </w:p>
          <w:p w:rsidR="00B40844" w:rsidRPr="00AB08C4" w:rsidRDefault="00B40844" w:rsidP="00CA7995">
            <w:pPr>
              <w:spacing w:line="360" w:lineRule="auto"/>
              <w:jc w:val="both"/>
              <w:rPr>
                <w:rFonts w:ascii="Arial" w:hAnsi="Arial" w:cs="Arial"/>
                <w:sz w:val="24"/>
                <w:szCs w:val="24"/>
              </w:rPr>
            </w:pPr>
          </w:p>
          <w:p w:rsidR="00B40844" w:rsidRPr="00AB08C4" w:rsidRDefault="00B40844" w:rsidP="00CA7995">
            <w:pPr>
              <w:spacing w:line="360" w:lineRule="auto"/>
              <w:jc w:val="both"/>
              <w:rPr>
                <w:rFonts w:ascii="Arial" w:hAnsi="Arial" w:cs="Arial"/>
                <w:b/>
                <w:sz w:val="24"/>
                <w:szCs w:val="24"/>
              </w:rPr>
            </w:pPr>
            <w:r w:rsidRPr="00AB08C4">
              <w:rPr>
                <w:rFonts w:ascii="Arial" w:hAnsi="Arial" w:cs="Arial"/>
                <w:b/>
                <w:sz w:val="24"/>
                <w:szCs w:val="24"/>
              </w:rPr>
              <w:t>IT IS ORDERED THAT:</w:t>
            </w:r>
          </w:p>
          <w:p w:rsidR="00B40844" w:rsidRPr="00AB08C4" w:rsidRDefault="00B40844" w:rsidP="00CA7995">
            <w:pPr>
              <w:spacing w:line="360" w:lineRule="auto"/>
              <w:jc w:val="both"/>
              <w:rPr>
                <w:rFonts w:ascii="Arial" w:hAnsi="Arial" w:cs="Arial"/>
                <w:sz w:val="24"/>
                <w:szCs w:val="24"/>
              </w:rPr>
            </w:pPr>
          </w:p>
          <w:p w:rsidR="00B40844" w:rsidRDefault="00AB08C4" w:rsidP="00587874">
            <w:pPr>
              <w:pStyle w:val="NormalWeb"/>
              <w:numPr>
                <w:ilvl w:val="0"/>
                <w:numId w:val="8"/>
              </w:numPr>
              <w:shd w:val="clear" w:color="auto" w:fill="FFFFFF"/>
              <w:spacing w:before="0" w:beforeAutospacing="0" w:after="0" w:afterAutospacing="0" w:line="360" w:lineRule="auto"/>
              <w:ind w:left="460" w:hanging="426"/>
              <w:jc w:val="both"/>
              <w:rPr>
                <w:rFonts w:ascii="Arial" w:hAnsi="Arial" w:cs="Arial"/>
              </w:rPr>
            </w:pPr>
            <w:r>
              <w:rPr>
                <w:rFonts w:ascii="Arial" w:hAnsi="Arial" w:cs="Arial"/>
                <w:lang w:val="en-US"/>
              </w:rPr>
              <w:t>The application for condonation is refused with costs</w:t>
            </w:r>
            <w:r w:rsidR="00AA3ECB" w:rsidRPr="00B47800">
              <w:rPr>
                <w:rFonts w:ascii="Arial" w:hAnsi="Arial" w:cs="Arial"/>
              </w:rPr>
              <w:t>.</w:t>
            </w:r>
          </w:p>
          <w:p w:rsidR="006D7087" w:rsidRDefault="006D7087" w:rsidP="00587874">
            <w:pPr>
              <w:pStyle w:val="NormalWeb"/>
              <w:numPr>
                <w:ilvl w:val="0"/>
                <w:numId w:val="8"/>
              </w:numPr>
              <w:shd w:val="clear" w:color="auto" w:fill="FFFFFF"/>
              <w:spacing w:before="0" w:beforeAutospacing="0" w:after="0" w:afterAutospacing="0" w:line="360" w:lineRule="auto"/>
              <w:ind w:left="460" w:hanging="426"/>
              <w:jc w:val="both"/>
              <w:rPr>
                <w:rFonts w:ascii="Arial" w:hAnsi="Arial" w:cs="Arial"/>
              </w:rPr>
            </w:pPr>
            <w:r>
              <w:rPr>
                <w:rFonts w:ascii="Arial" w:hAnsi="Arial" w:cs="Arial"/>
              </w:rPr>
              <w:t xml:space="preserve">The matter is postponed to the </w:t>
            </w:r>
            <w:r w:rsidRPr="006D7087">
              <w:rPr>
                <w:rFonts w:ascii="Arial" w:hAnsi="Arial" w:cs="Arial"/>
                <w:b/>
              </w:rPr>
              <w:t>20 June 2023</w:t>
            </w:r>
            <w:r>
              <w:rPr>
                <w:rFonts w:ascii="Arial" w:hAnsi="Arial" w:cs="Arial"/>
              </w:rPr>
              <w:t xml:space="preserve"> at </w:t>
            </w:r>
            <w:r w:rsidRPr="006D7087">
              <w:rPr>
                <w:rFonts w:ascii="Arial" w:hAnsi="Arial" w:cs="Arial"/>
                <w:b/>
              </w:rPr>
              <w:t>08:30</w:t>
            </w:r>
            <w:r>
              <w:rPr>
                <w:rFonts w:ascii="Arial" w:hAnsi="Arial" w:cs="Arial"/>
              </w:rPr>
              <w:t xml:space="preserve"> for a Status Hearing. </w:t>
            </w:r>
          </w:p>
          <w:p w:rsidR="008314E0" w:rsidRDefault="006D7087" w:rsidP="00587874">
            <w:pPr>
              <w:pStyle w:val="NormalWeb"/>
              <w:numPr>
                <w:ilvl w:val="0"/>
                <w:numId w:val="8"/>
              </w:numPr>
              <w:shd w:val="clear" w:color="auto" w:fill="FFFFFF"/>
              <w:spacing w:before="0" w:beforeAutospacing="0" w:after="0" w:afterAutospacing="0" w:line="360" w:lineRule="auto"/>
              <w:ind w:left="460" w:hanging="426"/>
              <w:jc w:val="both"/>
              <w:rPr>
                <w:rFonts w:ascii="Arial" w:hAnsi="Arial" w:cs="Arial"/>
              </w:rPr>
            </w:pPr>
            <w:r>
              <w:rPr>
                <w:rFonts w:ascii="Arial" w:hAnsi="Arial" w:cs="Arial"/>
              </w:rPr>
              <w:t xml:space="preserve">The parties must file a joint status report on or before </w:t>
            </w:r>
            <w:r w:rsidRPr="006D7087">
              <w:rPr>
                <w:rFonts w:ascii="Arial" w:hAnsi="Arial" w:cs="Arial"/>
                <w:b/>
              </w:rPr>
              <w:t>14 June 2023</w:t>
            </w:r>
            <w:r>
              <w:rPr>
                <w:rFonts w:ascii="Arial" w:hAnsi="Arial" w:cs="Arial"/>
              </w:rPr>
              <w:t>, indicating the way forward.</w:t>
            </w:r>
          </w:p>
          <w:p w:rsidR="00442A89" w:rsidRPr="006D7087" w:rsidRDefault="00442A89" w:rsidP="00442A89">
            <w:pPr>
              <w:pStyle w:val="NormalWeb"/>
              <w:shd w:val="clear" w:color="auto" w:fill="FFFFFF"/>
              <w:spacing w:before="0" w:beforeAutospacing="0" w:after="0" w:afterAutospacing="0" w:line="360" w:lineRule="auto"/>
              <w:jc w:val="both"/>
              <w:rPr>
                <w:rFonts w:ascii="Arial" w:hAnsi="Arial" w:cs="Arial"/>
              </w:rPr>
            </w:pPr>
          </w:p>
        </w:tc>
      </w:tr>
      <w:tr w:rsidR="00CA7995" w:rsidRPr="00CA7995" w:rsidTr="00D15FF5">
        <w:trPr>
          <w:trHeight w:val="548"/>
        </w:trPr>
        <w:tc>
          <w:tcPr>
            <w:tcW w:w="10065" w:type="dxa"/>
            <w:gridSpan w:val="3"/>
          </w:tcPr>
          <w:p w:rsidR="00816D42" w:rsidRPr="00CA7995" w:rsidRDefault="00B40844" w:rsidP="00937C89">
            <w:pPr>
              <w:tabs>
                <w:tab w:val="right" w:pos="9693"/>
              </w:tabs>
              <w:spacing w:line="360" w:lineRule="auto"/>
              <w:jc w:val="both"/>
              <w:rPr>
                <w:rFonts w:ascii="Arial" w:hAnsi="Arial" w:cs="Arial"/>
                <w:b/>
                <w:sz w:val="24"/>
                <w:szCs w:val="24"/>
              </w:rPr>
            </w:pPr>
            <w:r w:rsidRPr="00CA7995">
              <w:rPr>
                <w:rFonts w:ascii="Arial" w:hAnsi="Arial" w:cs="Arial"/>
                <w:b/>
                <w:sz w:val="24"/>
                <w:szCs w:val="24"/>
              </w:rPr>
              <w:lastRenderedPageBreak/>
              <w:t>Following below are the reasons for the above order:</w:t>
            </w:r>
          </w:p>
        </w:tc>
      </w:tr>
      <w:tr w:rsidR="00CA7995" w:rsidRPr="00CA7995" w:rsidTr="00D15FF5">
        <w:tc>
          <w:tcPr>
            <w:tcW w:w="10065" w:type="dxa"/>
            <w:gridSpan w:val="3"/>
          </w:tcPr>
          <w:p w:rsidR="00EA2DE2" w:rsidRPr="001B494D" w:rsidRDefault="001B494D" w:rsidP="001B494D">
            <w:pPr>
              <w:spacing w:line="360" w:lineRule="auto"/>
              <w:rPr>
                <w:rFonts w:ascii="Arial" w:hAnsi="Arial" w:cs="Arial"/>
                <w:sz w:val="24"/>
                <w:szCs w:val="24"/>
                <w:u w:val="single"/>
              </w:rPr>
            </w:pPr>
            <w:r w:rsidRPr="001B494D">
              <w:rPr>
                <w:rFonts w:ascii="Arial" w:hAnsi="Arial" w:cs="Arial"/>
                <w:sz w:val="24"/>
                <w:szCs w:val="24"/>
                <w:u w:val="single"/>
              </w:rPr>
              <w:t>Introduction</w:t>
            </w:r>
          </w:p>
          <w:p w:rsidR="001B494D" w:rsidRDefault="001B494D" w:rsidP="001B494D">
            <w:pPr>
              <w:tabs>
                <w:tab w:val="left" w:pos="729"/>
              </w:tabs>
              <w:spacing w:line="360" w:lineRule="auto"/>
              <w:rPr>
                <w:rFonts w:ascii="Arial" w:hAnsi="Arial" w:cs="Arial"/>
                <w:sz w:val="24"/>
                <w:szCs w:val="24"/>
              </w:rPr>
            </w:pPr>
          </w:p>
          <w:p w:rsidR="00B40844" w:rsidRDefault="00B40844" w:rsidP="00ED76B2">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[1]</w:t>
            </w:r>
            <w:r w:rsidRPr="00CA7995">
              <w:rPr>
                <w:rFonts w:ascii="Arial" w:hAnsi="Arial" w:cs="Arial"/>
                <w:sz w:val="24"/>
                <w:szCs w:val="24"/>
              </w:rPr>
              <w:tab/>
            </w:r>
            <w:r w:rsidR="009F773F" w:rsidRPr="009474CC">
              <w:rPr>
                <w:rFonts w:ascii="Arial" w:hAnsi="Arial" w:cs="Arial"/>
                <w:sz w:val="24"/>
                <w:szCs w:val="24"/>
                <w:lang w:val="en-US"/>
              </w:rPr>
              <w:t xml:space="preserve">I </w:t>
            </w:r>
            <w:r w:rsidR="009F773F">
              <w:rPr>
                <w:rFonts w:ascii="Arial" w:hAnsi="Arial" w:cs="Arial"/>
                <w:sz w:val="24"/>
                <w:szCs w:val="24"/>
                <w:lang w:val="en-US"/>
              </w:rPr>
              <w:t>have before me an application for condonation by the applicant (defendant in the main action)</w:t>
            </w:r>
            <w:r w:rsidR="001B494D">
              <w:rPr>
                <w:rFonts w:ascii="Arial" w:hAnsi="Arial" w:cs="Arial"/>
                <w:sz w:val="24"/>
                <w:szCs w:val="24"/>
                <w:lang w:val="en-US"/>
              </w:rPr>
              <w:t xml:space="preserve"> seeking condonation</w:t>
            </w:r>
            <w:r w:rsidR="009F773F">
              <w:rPr>
                <w:rFonts w:ascii="Arial" w:hAnsi="Arial" w:cs="Arial"/>
                <w:sz w:val="24"/>
                <w:szCs w:val="24"/>
                <w:lang w:val="en-US"/>
              </w:rPr>
              <w:t xml:space="preserve"> for failure to comply with a case plan order issued on 7 February 2023 to file an opposing affidavit to the respondent’s (plaintiff in the main action) application for summary judgment. In terms of the order</w:t>
            </w:r>
            <w:r w:rsidR="00A95682">
              <w:rPr>
                <w:rFonts w:ascii="Arial" w:hAnsi="Arial" w:cs="Arial"/>
                <w:sz w:val="24"/>
                <w:szCs w:val="24"/>
                <w:lang w:val="en-US"/>
              </w:rPr>
              <w:t>,</w:t>
            </w:r>
            <w:r w:rsidR="009F773F">
              <w:rPr>
                <w:rFonts w:ascii="Arial" w:hAnsi="Arial" w:cs="Arial"/>
                <w:sz w:val="24"/>
                <w:szCs w:val="24"/>
                <w:lang w:val="en-US"/>
              </w:rPr>
              <w:t xml:space="preserve"> the applicant oug</w:t>
            </w:r>
            <w:r w:rsidR="001B494D">
              <w:rPr>
                <w:rFonts w:ascii="Arial" w:hAnsi="Arial" w:cs="Arial"/>
                <w:sz w:val="24"/>
                <w:szCs w:val="24"/>
                <w:lang w:val="en-US"/>
              </w:rPr>
              <w:t xml:space="preserve">ht to have filed its </w:t>
            </w:r>
            <w:r w:rsidR="009F773F">
              <w:rPr>
                <w:rFonts w:ascii="Arial" w:hAnsi="Arial" w:cs="Arial"/>
                <w:sz w:val="24"/>
                <w:szCs w:val="24"/>
                <w:lang w:val="en-US"/>
              </w:rPr>
              <w:t>opposing affidavit on or before 15 March 2023.</w:t>
            </w:r>
          </w:p>
          <w:p w:rsidR="00FC2237" w:rsidRDefault="00FC2237" w:rsidP="00ED76B2">
            <w:pPr>
              <w:tabs>
                <w:tab w:val="left" w:pos="729"/>
              </w:tabs>
              <w:spacing w:line="360" w:lineRule="auto"/>
              <w:jc w:val="both"/>
              <w:rPr>
                <w:rFonts w:ascii="Arial" w:eastAsia="Times New Roman" w:hAnsi="Arial" w:cs="Arial"/>
                <w:sz w:val="24"/>
                <w:szCs w:val="24"/>
                <w:lang w:val="en-US"/>
              </w:rPr>
            </w:pPr>
          </w:p>
          <w:p w:rsidR="00FC2237" w:rsidRDefault="00672C76" w:rsidP="009F773F">
            <w:pPr>
              <w:spacing w:line="360" w:lineRule="auto"/>
              <w:ind w:left="23" w:hanging="23"/>
              <w:jc w:val="both"/>
              <w:rPr>
                <w:rFonts w:ascii="Arial" w:hAnsi="Arial" w:cs="Arial"/>
                <w:sz w:val="24"/>
                <w:szCs w:val="24"/>
              </w:rPr>
            </w:pPr>
            <w:r w:rsidRPr="00323E22">
              <w:rPr>
                <w:rFonts w:ascii="Arial" w:hAnsi="Arial" w:cs="Arial"/>
                <w:sz w:val="24"/>
                <w:szCs w:val="24"/>
              </w:rPr>
              <w:t>[2]</w:t>
            </w:r>
            <w:r w:rsidR="000A6E7F" w:rsidRPr="00323E22">
              <w:rPr>
                <w:rFonts w:ascii="Arial" w:hAnsi="Arial" w:cs="Arial"/>
                <w:sz w:val="24"/>
                <w:szCs w:val="24"/>
              </w:rPr>
              <w:tab/>
            </w:r>
            <w:r w:rsidR="009F773F">
              <w:rPr>
                <w:rFonts w:ascii="Arial" w:hAnsi="Arial" w:cs="Arial"/>
                <w:sz w:val="24"/>
                <w:szCs w:val="24"/>
                <w:lang w:val="en-US"/>
              </w:rPr>
              <w:t>The applicant is represented by its</w:t>
            </w:r>
            <w:r w:rsidR="001B494D">
              <w:rPr>
                <w:rFonts w:ascii="Arial" w:hAnsi="Arial" w:cs="Arial"/>
                <w:sz w:val="24"/>
                <w:szCs w:val="24"/>
                <w:lang w:val="en-US"/>
              </w:rPr>
              <w:t xml:space="preserve"> sole</w:t>
            </w:r>
            <w:r w:rsidR="00A95682">
              <w:rPr>
                <w:rFonts w:ascii="Arial" w:hAnsi="Arial" w:cs="Arial"/>
                <w:sz w:val="24"/>
                <w:szCs w:val="24"/>
                <w:lang w:val="en-US"/>
              </w:rPr>
              <w:t xml:space="preserve"> director, Ms Ngurimuje Katire</w:t>
            </w:r>
            <w:r w:rsidR="001B494D">
              <w:rPr>
                <w:rFonts w:ascii="Arial" w:hAnsi="Arial" w:cs="Arial"/>
                <w:sz w:val="24"/>
                <w:szCs w:val="24"/>
                <w:lang w:val="en-US"/>
              </w:rPr>
              <w:t xml:space="preserve"> (Ms Katire</w:t>
            </w:r>
            <w:r w:rsidR="00A95682">
              <w:rPr>
                <w:rFonts w:ascii="Arial" w:hAnsi="Arial" w:cs="Arial"/>
                <w:sz w:val="24"/>
                <w:szCs w:val="24"/>
                <w:lang w:val="en-US"/>
              </w:rPr>
              <w:t>,</w:t>
            </w:r>
            <w:r w:rsidR="009F773F">
              <w:rPr>
                <w:rFonts w:ascii="Arial" w:hAnsi="Arial" w:cs="Arial"/>
                <w:sz w:val="24"/>
                <w:szCs w:val="24"/>
                <w:lang w:val="en-US"/>
              </w:rPr>
              <w:t xml:space="preserve"> who is acting in person</w:t>
            </w:r>
            <w:r w:rsidR="001B494D">
              <w:rPr>
                <w:rFonts w:ascii="Arial" w:hAnsi="Arial" w:cs="Arial"/>
                <w:sz w:val="24"/>
                <w:szCs w:val="24"/>
                <w:lang w:val="en-US"/>
              </w:rPr>
              <w:t xml:space="preserve"> that is</w:t>
            </w:r>
            <w:r w:rsidR="009F773F">
              <w:rPr>
                <w:rFonts w:ascii="Arial" w:hAnsi="Arial" w:cs="Arial"/>
                <w:sz w:val="24"/>
                <w:szCs w:val="24"/>
                <w:lang w:val="en-US"/>
              </w:rPr>
              <w:t xml:space="preserve"> without</w:t>
            </w:r>
            <w:r w:rsidR="001B494D">
              <w:rPr>
                <w:rFonts w:ascii="Arial" w:hAnsi="Arial" w:cs="Arial"/>
                <w:sz w:val="24"/>
                <w:szCs w:val="24"/>
                <w:lang w:val="en-US"/>
              </w:rPr>
              <w:t xml:space="preserve"> the defendant company</w:t>
            </w:r>
            <w:r w:rsidR="009F773F">
              <w:rPr>
                <w:rFonts w:ascii="Arial" w:hAnsi="Arial" w:cs="Arial"/>
                <w:sz w:val="24"/>
                <w:szCs w:val="24"/>
                <w:lang w:val="en-US"/>
              </w:rPr>
              <w:t xml:space="preserve"> being represented by a legal practitioner. The respondent is represented by Ms Maritz from</w:t>
            </w:r>
            <w:r w:rsidR="001B494D">
              <w:rPr>
                <w:rFonts w:ascii="Arial" w:hAnsi="Arial" w:cs="Arial"/>
                <w:sz w:val="24"/>
                <w:szCs w:val="24"/>
                <w:lang w:val="en-US"/>
              </w:rPr>
              <w:t xml:space="preserve"> the law firm,</w:t>
            </w:r>
            <w:r w:rsidR="009F773F">
              <w:rPr>
                <w:rFonts w:ascii="Arial" w:hAnsi="Arial" w:cs="Arial"/>
                <w:sz w:val="24"/>
                <w:szCs w:val="24"/>
                <w:lang w:val="en-US"/>
              </w:rPr>
              <w:t xml:space="preserve"> Koep &amp; Partners</w:t>
            </w:r>
            <w:r w:rsidR="00224808">
              <w:rPr>
                <w:rFonts w:ascii="Arial" w:hAnsi="Arial" w:cs="Arial"/>
                <w:sz w:val="24"/>
                <w:szCs w:val="24"/>
              </w:rPr>
              <w:t>.</w:t>
            </w:r>
          </w:p>
          <w:p w:rsidR="00224808" w:rsidRDefault="00224808" w:rsidP="009F773F">
            <w:pPr>
              <w:spacing w:line="360" w:lineRule="auto"/>
              <w:ind w:left="23" w:hanging="23"/>
              <w:jc w:val="both"/>
              <w:rPr>
                <w:rFonts w:ascii="Arial" w:hAnsi="Arial" w:cs="Arial"/>
                <w:sz w:val="24"/>
                <w:szCs w:val="24"/>
              </w:rPr>
            </w:pPr>
          </w:p>
          <w:p w:rsidR="009F773F" w:rsidRPr="009F773F" w:rsidRDefault="006678D1" w:rsidP="009F773F">
            <w:pPr>
              <w:spacing w:line="360" w:lineRule="auto"/>
              <w:ind w:left="23" w:hanging="23"/>
              <w:jc w:val="both"/>
              <w:rPr>
                <w:rFonts w:ascii="Arial" w:hAnsi="Arial" w:cs="Arial"/>
                <w:sz w:val="24"/>
                <w:szCs w:val="24"/>
                <w:u w:val="single"/>
              </w:rPr>
            </w:pPr>
            <w:r>
              <w:rPr>
                <w:rFonts w:ascii="Arial" w:hAnsi="Arial" w:cs="Arial"/>
                <w:sz w:val="24"/>
                <w:szCs w:val="24"/>
                <w:u w:val="single"/>
                <w:lang w:val="en-US"/>
              </w:rPr>
              <w:t>History of litigation</w:t>
            </w:r>
          </w:p>
          <w:p w:rsidR="009F773F" w:rsidRDefault="009F773F" w:rsidP="009F773F">
            <w:pPr>
              <w:spacing w:line="360" w:lineRule="auto"/>
              <w:ind w:left="23" w:hanging="23"/>
              <w:jc w:val="both"/>
              <w:rPr>
                <w:rFonts w:ascii="Arial" w:hAnsi="Arial" w:cs="Arial"/>
                <w:sz w:val="24"/>
                <w:szCs w:val="24"/>
              </w:rPr>
            </w:pPr>
          </w:p>
          <w:p w:rsidR="006678D1" w:rsidRDefault="002D20C5" w:rsidP="009F773F">
            <w:pPr>
              <w:spacing w:line="360" w:lineRule="auto"/>
              <w:ind w:left="23" w:hanging="23"/>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sidR="006678D1">
              <w:rPr>
                <w:rFonts w:ascii="Arial" w:hAnsi="Arial" w:cs="Arial"/>
                <w:sz w:val="24"/>
                <w:szCs w:val="24"/>
              </w:rPr>
              <w:t>As mention</w:t>
            </w:r>
            <w:r w:rsidR="00A95682">
              <w:rPr>
                <w:rFonts w:ascii="Arial" w:hAnsi="Arial" w:cs="Arial"/>
                <w:sz w:val="24"/>
                <w:szCs w:val="24"/>
              </w:rPr>
              <w:t>ed</w:t>
            </w:r>
            <w:r w:rsidR="006678D1">
              <w:rPr>
                <w:rFonts w:ascii="Arial" w:hAnsi="Arial" w:cs="Arial"/>
                <w:sz w:val="24"/>
                <w:szCs w:val="24"/>
              </w:rPr>
              <w:t xml:space="preserve"> </w:t>
            </w:r>
            <w:r w:rsidR="00024F0E">
              <w:rPr>
                <w:rFonts w:ascii="Arial" w:hAnsi="Arial" w:cs="Arial"/>
                <w:sz w:val="24"/>
                <w:szCs w:val="24"/>
              </w:rPr>
              <w:t>earlier herein</w:t>
            </w:r>
            <w:r w:rsidR="006678D1">
              <w:rPr>
                <w:rFonts w:ascii="Arial" w:hAnsi="Arial" w:cs="Arial"/>
                <w:sz w:val="24"/>
                <w:szCs w:val="24"/>
              </w:rPr>
              <w:t xml:space="preserve">, by order of 7 February 2023, the </w:t>
            </w:r>
            <w:r w:rsidR="00024F0E">
              <w:rPr>
                <w:rFonts w:ascii="Arial" w:hAnsi="Arial" w:cs="Arial"/>
                <w:sz w:val="24"/>
                <w:szCs w:val="24"/>
              </w:rPr>
              <w:t>applicant</w:t>
            </w:r>
            <w:r w:rsidR="006678D1">
              <w:rPr>
                <w:rFonts w:ascii="Arial" w:hAnsi="Arial" w:cs="Arial"/>
                <w:sz w:val="24"/>
                <w:szCs w:val="24"/>
              </w:rPr>
              <w:t xml:space="preserve"> wa</w:t>
            </w:r>
            <w:r w:rsidR="00024F0E">
              <w:rPr>
                <w:rFonts w:ascii="Arial" w:hAnsi="Arial" w:cs="Arial"/>
                <w:sz w:val="24"/>
                <w:szCs w:val="24"/>
              </w:rPr>
              <w:t>s</w:t>
            </w:r>
            <w:r w:rsidR="006678D1">
              <w:rPr>
                <w:rFonts w:ascii="Arial" w:hAnsi="Arial" w:cs="Arial"/>
                <w:sz w:val="24"/>
                <w:szCs w:val="24"/>
              </w:rPr>
              <w:t xml:space="preserve"> </w:t>
            </w:r>
            <w:r w:rsidR="00024F0E">
              <w:rPr>
                <w:rFonts w:ascii="Arial" w:hAnsi="Arial" w:cs="Arial"/>
                <w:sz w:val="24"/>
                <w:szCs w:val="24"/>
              </w:rPr>
              <w:t>ordered</w:t>
            </w:r>
            <w:r w:rsidR="006678D1">
              <w:rPr>
                <w:rFonts w:ascii="Arial" w:hAnsi="Arial" w:cs="Arial"/>
                <w:sz w:val="24"/>
                <w:szCs w:val="24"/>
              </w:rPr>
              <w:t xml:space="preserve"> to file it opposing affidavit to the application for summary judgment on or before 15 March 2023. T</w:t>
            </w:r>
            <w:r w:rsidR="00024F0E">
              <w:rPr>
                <w:rFonts w:ascii="Arial" w:hAnsi="Arial" w:cs="Arial"/>
                <w:sz w:val="24"/>
                <w:szCs w:val="24"/>
              </w:rPr>
              <w:t>he matter</w:t>
            </w:r>
            <w:r w:rsidR="006678D1">
              <w:rPr>
                <w:rFonts w:ascii="Arial" w:hAnsi="Arial" w:cs="Arial"/>
                <w:sz w:val="24"/>
                <w:szCs w:val="24"/>
              </w:rPr>
              <w:t xml:space="preserve"> was the postponed to 28 March 2023 for</w:t>
            </w:r>
            <w:r w:rsidR="00A95682">
              <w:rPr>
                <w:rFonts w:ascii="Arial" w:hAnsi="Arial" w:cs="Arial"/>
                <w:sz w:val="24"/>
                <w:szCs w:val="24"/>
              </w:rPr>
              <w:t xml:space="preserve"> a</w:t>
            </w:r>
            <w:r w:rsidR="006678D1">
              <w:rPr>
                <w:rFonts w:ascii="Arial" w:hAnsi="Arial" w:cs="Arial"/>
                <w:sz w:val="24"/>
                <w:szCs w:val="24"/>
              </w:rPr>
              <w:t xml:space="preserve"> status hearing. In its status report dated 27 March 2</w:t>
            </w:r>
            <w:r w:rsidR="005E066D">
              <w:rPr>
                <w:rFonts w:ascii="Arial" w:hAnsi="Arial" w:cs="Arial"/>
                <w:sz w:val="24"/>
                <w:szCs w:val="24"/>
              </w:rPr>
              <w:t>023</w:t>
            </w:r>
            <w:r w:rsidR="006678D1">
              <w:rPr>
                <w:rFonts w:ascii="Arial" w:hAnsi="Arial" w:cs="Arial"/>
                <w:sz w:val="24"/>
                <w:szCs w:val="24"/>
              </w:rPr>
              <w:t xml:space="preserve">, the applicant indicated that it would seek </w:t>
            </w:r>
            <w:r w:rsidR="00024F0E">
              <w:rPr>
                <w:rFonts w:ascii="Arial" w:hAnsi="Arial" w:cs="Arial"/>
                <w:sz w:val="24"/>
                <w:szCs w:val="24"/>
              </w:rPr>
              <w:t>leave</w:t>
            </w:r>
            <w:r w:rsidR="006678D1">
              <w:rPr>
                <w:rFonts w:ascii="Arial" w:hAnsi="Arial" w:cs="Arial"/>
                <w:sz w:val="24"/>
                <w:szCs w:val="24"/>
              </w:rPr>
              <w:t xml:space="preserve"> to </w:t>
            </w:r>
            <w:r w:rsidR="00024F0E">
              <w:rPr>
                <w:rFonts w:ascii="Arial" w:hAnsi="Arial" w:cs="Arial"/>
                <w:sz w:val="24"/>
                <w:szCs w:val="24"/>
              </w:rPr>
              <w:t xml:space="preserve">file a condonation application </w:t>
            </w:r>
            <w:r w:rsidR="006678D1">
              <w:rPr>
                <w:rFonts w:ascii="Arial" w:hAnsi="Arial" w:cs="Arial"/>
                <w:sz w:val="24"/>
                <w:szCs w:val="24"/>
              </w:rPr>
              <w:t>for its failure to file its opposing affidavit to the summary judgment application. W</w:t>
            </w:r>
            <w:r w:rsidR="00024F0E">
              <w:rPr>
                <w:rFonts w:ascii="Arial" w:hAnsi="Arial" w:cs="Arial"/>
                <w:sz w:val="24"/>
                <w:szCs w:val="24"/>
              </w:rPr>
              <w:t xml:space="preserve">hen the matter was called on 28 </w:t>
            </w:r>
            <w:r w:rsidR="006678D1">
              <w:rPr>
                <w:rFonts w:ascii="Arial" w:hAnsi="Arial" w:cs="Arial"/>
                <w:sz w:val="24"/>
                <w:szCs w:val="24"/>
              </w:rPr>
              <w:t xml:space="preserve">March 2023, the applicant moved for an order to be granted an opportunity to file its </w:t>
            </w:r>
            <w:r w:rsidR="00024F0E">
              <w:rPr>
                <w:rFonts w:ascii="Arial" w:hAnsi="Arial" w:cs="Arial"/>
                <w:sz w:val="24"/>
                <w:szCs w:val="24"/>
              </w:rPr>
              <w:t>condonation</w:t>
            </w:r>
            <w:r w:rsidR="006678D1">
              <w:rPr>
                <w:rFonts w:ascii="Arial" w:hAnsi="Arial" w:cs="Arial"/>
                <w:sz w:val="24"/>
                <w:szCs w:val="24"/>
              </w:rPr>
              <w:t xml:space="preserve"> application, which the court granted and postponed the matter to 4 April 2023 for</w:t>
            </w:r>
            <w:r w:rsidR="00024F0E">
              <w:rPr>
                <w:rFonts w:ascii="Arial" w:hAnsi="Arial" w:cs="Arial"/>
                <w:sz w:val="24"/>
                <w:szCs w:val="24"/>
              </w:rPr>
              <w:t xml:space="preserve"> a</w:t>
            </w:r>
            <w:r w:rsidR="006678D1">
              <w:rPr>
                <w:rFonts w:ascii="Arial" w:hAnsi="Arial" w:cs="Arial"/>
                <w:sz w:val="24"/>
                <w:szCs w:val="24"/>
              </w:rPr>
              <w:t xml:space="preserve"> status hearing.</w:t>
            </w:r>
          </w:p>
          <w:p w:rsidR="006678D1" w:rsidRDefault="006678D1" w:rsidP="009F773F">
            <w:pPr>
              <w:spacing w:line="360" w:lineRule="auto"/>
              <w:ind w:left="23" w:hanging="23"/>
              <w:jc w:val="both"/>
              <w:rPr>
                <w:rFonts w:ascii="Arial" w:hAnsi="Arial" w:cs="Arial"/>
                <w:sz w:val="24"/>
                <w:szCs w:val="24"/>
              </w:rPr>
            </w:pPr>
          </w:p>
          <w:p w:rsidR="00224808" w:rsidRDefault="00816D42" w:rsidP="009F773F">
            <w:pPr>
              <w:spacing w:line="360" w:lineRule="auto"/>
              <w:ind w:left="23" w:hanging="23"/>
              <w:jc w:val="both"/>
              <w:rPr>
                <w:rFonts w:ascii="Arial" w:hAnsi="Arial" w:cs="Arial"/>
                <w:sz w:val="24"/>
                <w:szCs w:val="24"/>
                <w:lang w:val="en-US"/>
              </w:rPr>
            </w:pPr>
            <w:r>
              <w:rPr>
                <w:rFonts w:ascii="Arial" w:hAnsi="Arial" w:cs="Arial"/>
                <w:sz w:val="24"/>
                <w:szCs w:val="24"/>
              </w:rPr>
              <w:t>[4]</w:t>
            </w:r>
            <w:r w:rsidRPr="00323E22">
              <w:rPr>
                <w:rFonts w:ascii="Arial" w:hAnsi="Arial" w:cs="Arial"/>
                <w:sz w:val="24"/>
                <w:szCs w:val="24"/>
              </w:rPr>
              <w:tab/>
            </w:r>
            <w:r w:rsidR="00024F0E">
              <w:rPr>
                <w:rFonts w:ascii="Arial" w:hAnsi="Arial" w:cs="Arial"/>
                <w:sz w:val="24"/>
                <w:szCs w:val="24"/>
              </w:rPr>
              <w:t>When the matter was called</w:t>
            </w:r>
            <w:r w:rsidR="00A95682">
              <w:rPr>
                <w:rFonts w:ascii="Arial" w:hAnsi="Arial" w:cs="Arial"/>
                <w:sz w:val="24"/>
                <w:szCs w:val="24"/>
              </w:rPr>
              <w:t xml:space="preserve"> on</w:t>
            </w:r>
            <w:r w:rsidR="00024F0E">
              <w:rPr>
                <w:rFonts w:ascii="Arial" w:hAnsi="Arial" w:cs="Arial"/>
                <w:sz w:val="24"/>
                <w:szCs w:val="24"/>
              </w:rPr>
              <w:t xml:space="preserve"> 4 April 2023</w:t>
            </w:r>
            <w:r w:rsidR="009F773F">
              <w:rPr>
                <w:rFonts w:ascii="Arial" w:hAnsi="Arial" w:cs="Arial"/>
                <w:sz w:val="24"/>
                <w:szCs w:val="24"/>
                <w:lang w:val="en-US"/>
              </w:rPr>
              <w:t>,</w:t>
            </w:r>
            <w:r w:rsidR="00024F0E">
              <w:rPr>
                <w:rFonts w:ascii="Arial" w:hAnsi="Arial" w:cs="Arial"/>
                <w:sz w:val="24"/>
                <w:szCs w:val="24"/>
                <w:lang w:val="en-US"/>
              </w:rPr>
              <w:t xml:space="preserve"> the applicant had filed its</w:t>
            </w:r>
            <w:r w:rsidR="009F773F">
              <w:rPr>
                <w:rFonts w:ascii="Arial" w:hAnsi="Arial" w:cs="Arial"/>
                <w:sz w:val="24"/>
                <w:szCs w:val="24"/>
                <w:lang w:val="en-US"/>
              </w:rPr>
              <w:t xml:space="preserve"> ‘Condonation Affidavit’ of 4 April 2023. The affidavit was not accompanied by notice of motion </w:t>
            </w:r>
            <w:r w:rsidR="00024F0E">
              <w:rPr>
                <w:rFonts w:ascii="Arial" w:hAnsi="Arial" w:cs="Arial"/>
                <w:sz w:val="24"/>
                <w:szCs w:val="24"/>
                <w:lang w:val="en-US"/>
              </w:rPr>
              <w:t xml:space="preserve">setting out the relief </w:t>
            </w:r>
            <w:r>
              <w:rPr>
                <w:rFonts w:ascii="Arial" w:hAnsi="Arial" w:cs="Arial"/>
                <w:sz w:val="24"/>
                <w:szCs w:val="24"/>
                <w:lang w:val="en-US"/>
              </w:rPr>
              <w:t>sought as prescribed by rule 65</w:t>
            </w:r>
            <w:r w:rsidR="00024F0E">
              <w:rPr>
                <w:rFonts w:ascii="Arial" w:hAnsi="Arial" w:cs="Arial"/>
                <w:sz w:val="24"/>
                <w:szCs w:val="24"/>
                <w:lang w:val="en-US"/>
              </w:rPr>
              <w:t>(1</w:t>
            </w:r>
            <w:r w:rsidR="00A95682">
              <w:rPr>
                <w:rFonts w:ascii="Arial" w:hAnsi="Arial" w:cs="Arial"/>
                <w:sz w:val="24"/>
                <w:szCs w:val="24"/>
                <w:lang w:val="en-US"/>
              </w:rPr>
              <w:t>) of the rules of this court. There</w:t>
            </w:r>
            <w:r w:rsidR="00024F0E">
              <w:rPr>
                <w:rFonts w:ascii="Arial" w:hAnsi="Arial" w:cs="Arial"/>
                <w:sz w:val="24"/>
                <w:szCs w:val="24"/>
                <w:lang w:val="en-US"/>
              </w:rPr>
              <w:t xml:space="preserve"> was thus non-compliance.</w:t>
            </w:r>
          </w:p>
          <w:p w:rsidR="00024F0E" w:rsidRDefault="00024F0E" w:rsidP="009F773F">
            <w:pPr>
              <w:spacing w:line="360" w:lineRule="auto"/>
              <w:ind w:left="23" w:hanging="23"/>
              <w:jc w:val="both"/>
              <w:rPr>
                <w:rFonts w:ascii="Arial" w:hAnsi="Arial" w:cs="Arial"/>
                <w:sz w:val="24"/>
                <w:szCs w:val="24"/>
                <w:lang w:val="en-US"/>
              </w:rPr>
            </w:pPr>
          </w:p>
          <w:p w:rsidR="00024F0E" w:rsidRDefault="00812772" w:rsidP="009F773F">
            <w:pPr>
              <w:spacing w:line="360" w:lineRule="auto"/>
              <w:ind w:left="23" w:hanging="23"/>
              <w:jc w:val="both"/>
              <w:rPr>
                <w:rFonts w:ascii="Arial" w:hAnsi="Arial" w:cs="Arial"/>
                <w:sz w:val="24"/>
                <w:szCs w:val="24"/>
                <w:lang w:val="en-US"/>
              </w:rPr>
            </w:pPr>
            <w:r>
              <w:rPr>
                <w:rFonts w:ascii="Arial" w:hAnsi="Arial" w:cs="Arial"/>
                <w:sz w:val="24"/>
                <w:szCs w:val="24"/>
                <w:lang w:val="en-US"/>
              </w:rPr>
              <w:t>[5]</w:t>
            </w:r>
            <w:r w:rsidRPr="00323E22">
              <w:rPr>
                <w:rFonts w:ascii="Arial" w:hAnsi="Arial" w:cs="Arial"/>
                <w:sz w:val="24"/>
                <w:szCs w:val="24"/>
              </w:rPr>
              <w:tab/>
            </w:r>
            <w:r w:rsidR="00024F0E" w:rsidRPr="00063D2B">
              <w:rPr>
                <w:rFonts w:ascii="Arial" w:hAnsi="Arial" w:cs="Arial"/>
                <w:sz w:val="24"/>
                <w:szCs w:val="24"/>
                <w:lang w:val="en-US"/>
              </w:rPr>
              <w:t xml:space="preserve">On 4 April </w:t>
            </w:r>
            <w:r w:rsidR="00024F0E">
              <w:rPr>
                <w:rFonts w:ascii="Arial" w:hAnsi="Arial" w:cs="Arial"/>
                <w:sz w:val="24"/>
                <w:szCs w:val="24"/>
                <w:lang w:val="en-US"/>
              </w:rPr>
              <w:t>2023, the respondent indicated it wanted to oppose the application for condonation and to</w:t>
            </w:r>
            <w:r w:rsidR="00063D2B">
              <w:rPr>
                <w:rFonts w:ascii="Arial" w:hAnsi="Arial" w:cs="Arial"/>
                <w:sz w:val="24"/>
                <w:szCs w:val="24"/>
                <w:lang w:val="en-US"/>
              </w:rPr>
              <w:t xml:space="preserve"> that</w:t>
            </w:r>
            <w:r w:rsidR="00024F0E">
              <w:rPr>
                <w:rFonts w:ascii="Arial" w:hAnsi="Arial" w:cs="Arial"/>
                <w:sz w:val="24"/>
                <w:szCs w:val="24"/>
                <w:lang w:val="en-US"/>
              </w:rPr>
              <w:t xml:space="preserve"> end it needed an opportunity to file an opposing affidavit. Accordingly</w:t>
            </w:r>
            <w:r>
              <w:rPr>
                <w:rFonts w:ascii="Arial" w:hAnsi="Arial" w:cs="Arial"/>
                <w:sz w:val="24"/>
                <w:szCs w:val="24"/>
                <w:lang w:val="en-US"/>
              </w:rPr>
              <w:t>,</w:t>
            </w:r>
            <w:r w:rsidR="00024F0E">
              <w:rPr>
                <w:rFonts w:ascii="Arial" w:hAnsi="Arial" w:cs="Arial"/>
                <w:sz w:val="24"/>
                <w:szCs w:val="24"/>
                <w:lang w:val="en-US"/>
              </w:rPr>
              <w:t xml:space="preserve"> the matter was again postponed to 9 March </w:t>
            </w:r>
            <w:r w:rsidR="005E066D">
              <w:rPr>
                <w:rFonts w:ascii="Arial" w:hAnsi="Arial" w:cs="Arial"/>
                <w:sz w:val="24"/>
                <w:szCs w:val="24"/>
                <w:lang w:val="en-US"/>
              </w:rPr>
              <w:t>2023 for</w:t>
            </w:r>
            <w:r w:rsidR="00063D2B">
              <w:rPr>
                <w:rFonts w:ascii="Arial" w:hAnsi="Arial" w:cs="Arial"/>
                <w:sz w:val="24"/>
                <w:szCs w:val="24"/>
                <w:lang w:val="en-US"/>
              </w:rPr>
              <w:t xml:space="preserve"> a</w:t>
            </w:r>
            <w:r w:rsidR="005E066D">
              <w:rPr>
                <w:rFonts w:ascii="Arial" w:hAnsi="Arial" w:cs="Arial"/>
                <w:sz w:val="24"/>
                <w:szCs w:val="24"/>
                <w:lang w:val="en-US"/>
              </w:rPr>
              <w:t xml:space="preserve"> status hearing. The respondent was ordered to file its opposing affidavit to the condonation application on or before 19 April 2023.</w:t>
            </w:r>
          </w:p>
          <w:p w:rsidR="00343742" w:rsidRDefault="00343742" w:rsidP="00343742">
            <w:pPr>
              <w:spacing w:line="360" w:lineRule="auto"/>
              <w:jc w:val="both"/>
              <w:rPr>
                <w:rFonts w:ascii="Arial" w:hAnsi="Arial" w:cs="Arial"/>
                <w:sz w:val="24"/>
                <w:szCs w:val="24"/>
                <w:lang w:val="en-US"/>
              </w:rPr>
            </w:pPr>
          </w:p>
          <w:p w:rsidR="008329E9" w:rsidRDefault="008329E9" w:rsidP="00343742">
            <w:pPr>
              <w:spacing w:line="360" w:lineRule="auto"/>
              <w:jc w:val="both"/>
              <w:rPr>
                <w:rFonts w:ascii="Arial" w:hAnsi="Arial" w:cs="Arial"/>
                <w:sz w:val="24"/>
                <w:szCs w:val="24"/>
                <w:lang w:val="en-US"/>
              </w:rPr>
            </w:pPr>
          </w:p>
          <w:p w:rsidR="008329E9" w:rsidRDefault="008329E9" w:rsidP="00343742">
            <w:pPr>
              <w:spacing w:line="360" w:lineRule="auto"/>
              <w:jc w:val="both"/>
              <w:rPr>
                <w:rFonts w:ascii="Arial" w:hAnsi="Arial" w:cs="Arial"/>
                <w:sz w:val="24"/>
                <w:szCs w:val="24"/>
                <w:lang w:val="en-US"/>
              </w:rPr>
            </w:pPr>
          </w:p>
          <w:p w:rsidR="005E066D" w:rsidRDefault="00812772" w:rsidP="009F773F">
            <w:pPr>
              <w:spacing w:line="360" w:lineRule="auto"/>
              <w:ind w:left="23" w:hanging="23"/>
              <w:jc w:val="both"/>
              <w:rPr>
                <w:rFonts w:ascii="Arial" w:hAnsi="Arial" w:cs="Arial"/>
                <w:sz w:val="24"/>
                <w:szCs w:val="24"/>
              </w:rPr>
            </w:pPr>
            <w:r>
              <w:rPr>
                <w:rFonts w:ascii="Arial" w:hAnsi="Arial" w:cs="Arial"/>
                <w:sz w:val="24"/>
                <w:szCs w:val="24"/>
                <w:lang w:val="en-US"/>
              </w:rPr>
              <w:t>[6]</w:t>
            </w:r>
            <w:r w:rsidRPr="00323E22">
              <w:rPr>
                <w:rFonts w:ascii="Arial" w:hAnsi="Arial" w:cs="Arial"/>
                <w:sz w:val="24"/>
                <w:szCs w:val="24"/>
              </w:rPr>
              <w:tab/>
            </w:r>
            <w:r w:rsidR="005E066D">
              <w:rPr>
                <w:rFonts w:ascii="Arial" w:hAnsi="Arial" w:cs="Arial"/>
                <w:sz w:val="24"/>
                <w:szCs w:val="24"/>
                <w:lang w:val="en-US"/>
              </w:rPr>
              <w:t>When the matter was called on 9 March 2023</w:t>
            </w:r>
            <w:r w:rsidR="00063D2B">
              <w:rPr>
                <w:rFonts w:ascii="Arial" w:hAnsi="Arial" w:cs="Arial"/>
                <w:sz w:val="24"/>
                <w:szCs w:val="24"/>
                <w:lang w:val="en-US"/>
              </w:rPr>
              <w:t>,</w:t>
            </w:r>
            <w:r w:rsidR="005E066D">
              <w:rPr>
                <w:rFonts w:ascii="Arial" w:hAnsi="Arial" w:cs="Arial"/>
                <w:sz w:val="24"/>
                <w:szCs w:val="24"/>
                <w:lang w:val="en-US"/>
              </w:rPr>
              <w:t xml:space="preserve"> the respondent had filed its opposing affidavit. The matter was then postponed to 16 May </w:t>
            </w:r>
            <w:r w:rsidR="00816D42">
              <w:rPr>
                <w:rFonts w:ascii="Arial" w:hAnsi="Arial" w:cs="Arial"/>
                <w:sz w:val="24"/>
                <w:szCs w:val="24"/>
                <w:lang w:val="en-US"/>
              </w:rPr>
              <w:t xml:space="preserve">2023 </w:t>
            </w:r>
            <w:r w:rsidR="005E066D">
              <w:rPr>
                <w:rFonts w:ascii="Arial" w:hAnsi="Arial" w:cs="Arial"/>
                <w:sz w:val="24"/>
                <w:szCs w:val="24"/>
                <w:lang w:val="en-US"/>
              </w:rPr>
              <w:t>for hearing of the condonation application. The parties were ordered to file their respective heads of argument, in the meantime.</w:t>
            </w:r>
          </w:p>
          <w:p w:rsidR="00FC2237" w:rsidRDefault="00FC2237" w:rsidP="00ED76B2">
            <w:pPr>
              <w:spacing w:line="360" w:lineRule="auto"/>
              <w:ind w:left="20" w:hanging="20"/>
              <w:jc w:val="both"/>
              <w:rPr>
                <w:rFonts w:ascii="Arial" w:hAnsi="Arial" w:cs="Arial"/>
                <w:sz w:val="24"/>
                <w:szCs w:val="24"/>
              </w:rPr>
            </w:pPr>
          </w:p>
          <w:p w:rsidR="005E066D" w:rsidRPr="00C02E2D" w:rsidRDefault="003750B1" w:rsidP="00ED76B2">
            <w:pPr>
              <w:spacing w:line="360" w:lineRule="auto"/>
              <w:ind w:left="20" w:hanging="20"/>
              <w:jc w:val="both"/>
              <w:rPr>
                <w:rFonts w:ascii="Arial" w:eastAsia="Times New Roman" w:hAnsi="Arial" w:cs="Arial"/>
                <w:i/>
                <w:sz w:val="24"/>
                <w:szCs w:val="24"/>
                <w:lang w:val="en-US"/>
              </w:rPr>
            </w:pPr>
            <w:r w:rsidRPr="00C02E2D">
              <w:rPr>
                <w:rFonts w:ascii="Arial" w:eastAsia="Times New Roman" w:hAnsi="Arial" w:cs="Arial"/>
                <w:i/>
                <w:sz w:val="24"/>
                <w:szCs w:val="24"/>
                <w:lang w:val="en-US"/>
              </w:rPr>
              <w:t>Founding affidavit</w:t>
            </w:r>
          </w:p>
          <w:p w:rsidR="005E066D" w:rsidRDefault="005E066D" w:rsidP="00ED76B2">
            <w:pPr>
              <w:spacing w:line="360" w:lineRule="auto"/>
              <w:ind w:left="20" w:hanging="20"/>
              <w:jc w:val="both"/>
              <w:rPr>
                <w:rFonts w:ascii="Arial" w:eastAsia="Times New Roman" w:hAnsi="Arial" w:cs="Arial"/>
                <w:sz w:val="24"/>
                <w:szCs w:val="24"/>
                <w:lang w:val="en-US"/>
              </w:rPr>
            </w:pPr>
          </w:p>
          <w:p w:rsidR="00672C76" w:rsidRPr="00CA7995" w:rsidRDefault="002D20C5" w:rsidP="00ED76B2">
            <w:pPr>
              <w:spacing w:line="360" w:lineRule="auto"/>
              <w:ind w:left="20" w:hanging="20"/>
              <w:jc w:val="both"/>
              <w:rPr>
                <w:rFonts w:ascii="Arial" w:hAnsi="Arial" w:cs="Arial"/>
                <w:sz w:val="24"/>
                <w:szCs w:val="24"/>
              </w:rPr>
            </w:pPr>
            <w:r>
              <w:rPr>
                <w:rFonts w:ascii="Arial" w:eastAsia="Times New Roman" w:hAnsi="Arial" w:cs="Arial"/>
                <w:sz w:val="24"/>
                <w:szCs w:val="24"/>
                <w:lang w:val="en-US"/>
              </w:rPr>
              <w:t>[</w:t>
            </w:r>
            <w:r w:rsidR="00812772">
              <w:rPr>
                <w:rFonts w:ascii="Arial" w:eastAsia="Times New Roman" w:hAnsi="Arial" w:cs="Arial"/>
                <w:sz w:val="24"/>
                <w:szCs w:val="24"/>
                <w:lang w:val="en-US"/>
              </w:rPr>
              <w:t>7</w:t>
            </w:r>
            <w:r>
              <w:rPr>
                <w:rFonts w:ascii="Arial" w:eastAsia="Times New Roman" w:hAnsi="Arial" w:cs="Arial"/>
                <w:sz w:val="24"/>
                <w:szCs w:val="24"/>
                <w:lang w:val="en-US"/>
              </w:rPr>
              <w:t>]</w:t>
            </w:r>
            <w:r w:rsidRPr="00323E22">
              <w:rPr>
                <w:rFonts w:ascii="Arial" w:hAnsi="Arial" w:cs="Arial"/>
                <w:sz w:val="24"/>
                <w:szCs w:val="24"/>
              </w:rPr>
              <w:tab/>
            </w:r>
            <w:r w:rsidR="005E066D">
              <w:rPr>
                <w:rFonts w:ascii="Arial" w:hAnsi="Arial" w:cs="Arial"/>
                <w:sz w:val="24"/>
                <w:szCs w:val="24"/>
                <w:lang w:val="en-US"/>
              </w:rPr>
              <w:t>Ms Katire deposed to</w:t>
            </w:r>
            <w:r w:rsidR="00063D2B">
              <w:rPr>
                <w:rFonts w:ascii="Arial" w:hAnsi="Arial" w:cs="Arial"/>
                <w:sz w:val="24"/>
                <w:szCs w:val="24"/>
                <w:lang w:val="en-US"/>
              </w:rPr>
              <w:t xml:space="preserve"> the</w:t>
            </w:r>
            <w:r w:rsidR="005E066D">
              <w:rPr>
                <w:rFonts w:ascii="Arial" w:hAnsi="Arial" w:cs="Arial"/>
                <w:sz w:val="24"/>
                <w:szCs w:val="24"/>
                <w:lang w:val="en-US"/>
              </w:rPr>
              <w:t xml:space="preserve"> applicant’s</w:t>
            </w:r>
            <w:r w:rsidR="009F773F">
              <w:rPr>
                <w:rFonts w:ascii="Arial" w:hAnsi="Arial" w:cs="Arial"/>
                <w:sz w:val="24"/>
                <w:szCs w:val="24"/>
                <w:lang w:val="en-US"/>
              </w:rPr>
              <w:t xml:space="preserve"> condonation affidavit</w:t>
            </w:r>
            <w:r w:rsidR="005E066D">
              <w:rPr>
                <w:rFonts w:ascii="Arial" w:hAnsi="Arial" w:cs="Arial"/>
                <w:sz w:val="24"/>
                <w:szCs w:val="24"/>
                <w:lang w:val="en-US"/>
              </w:rPr>
              <w:t>. She deposed that</w:t>
            </w:r>
            <w:r w:rsidR="009F773F">
              <w:rPr>
                <w:rFonts w:ascii="Arial" w:hAnsi="Arial" w:cs="Arial"/>
                <w:sz w:val="24"/>
                <w:szCs w:val="24"/>
                <w:lang w:val="en-US"/>
              </w:rPr>
              <w:t xml:space="preserve"> on </w:t>
            </w:r>
            <w:r w:rsidR="00442A89">
              <w:rPr>
                <w:rFonts w:ascii="Arial" w:hAnsi="Arial" w:cs="Arial"/>
                <w:sz w:val="24"/>
                <w:szCs w:val="24"/>
                <w:lang w:val="en-US"/>
              </w:rPr>
              <w:br/>
            </w:r>
            <w:r w:rsidR="009F773F">
              <w:rPr>
                <w:rFonts w:ascii="Arial" w:hAnsi="Arial" w:cs="Arial"/>
                <w:sz w:val="24"/>
                <w:szCs w:val="24"/>
                <w:lang w:val="en-US"/>
              </w:rPr>
              <w:t>10 March 2023 ‘a request for settlement statement’ was forwarded to the legal practitioner for the respondent. I should interpose here</w:t>
            </w:r>
            <w:r w:rsidR="00063D2B">
              <w:rPr>
                <w:rFonts w:ascii="Arial" w:hAnsi="Arial" w:cs="Arial"/>
                <w:sz w:val="24"/>
                <w:szCs w:val="24"/>
                <w:lang w:val="en-US"/>
              </w:rPr>
              <w:t xml:space="preserve"> </w:t>
            </w:r>
            <w:r w:rsidR="009F773F">
              <w:rPr>
                <w:rFonts w:ascii="Arial" w:hAnsi="Arial" w:cs="Arial"/>
                <w:sz w:val="24"/>
                <w:szCs w:val="24"/>
                <w:lang w:val="en-US"/>
              </w:rPr>
              <w:t xml:space="preserve">to say it is not clear </w:t>
            </w:r>
            <w:r w:rsidR="00816D42">
              <w:rPr>
                <w:rFonts w:ascii="Arial" w:hAnsi="Arial" w:cs="Arial"/>
                <w:sz w:val="24"/>
                <w:szCs w:val="24"/>
                <w:lang w:val="en-US"/>
              </w:rPr>
              <w:t>from</w:t>
            </w:r>
            <w:r w:rsidR="009F773F">
              <w:rPr>
                <w:rFonts w:ascii="Arial" w:hAnsi="Arial" w:cs="Arial"/>
                <w:sz w:val="24"/>
                <w:szCs w:val="24"/>
                <w:lang w:val="en-US"/>
              </w:rPr>
              <w:t xml:space="preserve"> the papers before me, what is a ‘settlement statement’. According to the deponent the legal practitioner for the respondent responded on 13 March 2023 stating that the applicant’s request has been conveyed to the respondent and that the legal practitioners would revert to the applicant as soon as possible</w:t>
            </w:r>
            <w:r>
              <w:rPr>
                <w:rFonts w:ascii="Arial" w:hAnsi="Arial" w:cs="Arial"/>
                <w:sz w:val="24"/>
                <w:szCs w:val="24"/>
              </w:rPr>
              <w:t>.</w:t>
            </w:r>
          </w:p>
          <w:p w:rsidR="00535F29" w:rsidRPr="00323E22" w:rsidRDefault="00535F29" w:rsidP="00ED76B2">
            <w:pPr>
              <w:spacing w:line="360" w:lineRule="auto"/>
              <w:jc w:val="both"/>
              <w:rPr>
                <w:rFonts w:ascii="Arial" w:hAnsi="Arial" w:cs="Arial"/>
                <w:sz w:val="24"/>
                <w:szCs w:val="24"/>
              </w:rPr>
            </w:pPr>
          </w:p>
          <w:p w:rsidR="00B40844" w:rsidRDefault="00C06EB4" w:rsidP="00ED76B2">
            <w:pPr>
              <w:tabs>
                <w:tab w:val="left" w:pos="729"/>
              </w:tabs>
              <w:spacing w:line="360" w:lineRule="auto"/>
              <w:jc w:val="both"/>
              <w:rPr>
                <w:rFonts w:ascii="Arial" w:hAnsi="Arial" w:cs="Arial"/>
                <w:sz w:val="24"/>
                <w:szCs w:val="24"/>
                <w:lang w:val="en-US"/>
              </w:rPr>
            </w:pPr>
            <w:r w:rsidRPr="00323E22">
              <w:rPr>
                <w:rFonts w:ascii="Arial" w:hAnsi="Arial" w:cs="Arial"/>
                <w:sz w:val="24"/>
                <w:szCs w:val="24"/>
              </w:rPr>
              <w:t>[</w:t>
            </w:r>
            <w:r w:rsidR="00812772">
              <w:rPr>
                <w:rFonts w:ascii="Arial" w:hAnsi="Arial" w:cs="Arial"/>
                <w:sz w:val="24"/>
                <w:szCs w:val="24"/>
              </w:rPr>
              <w:t>8</w:t>
            </w:r>
            <w:r w:rsidR="00B40844" w:rsidRPr="00323E22">
              <w:rPr>
                <w:rFonts w:ascii="Arial" w:hAnsi="Arial" w:cs="Arial"/>
                <w:sz w:val="24"/>
                <w:szCs w:val="24"/>
              </w:rPr>
              <w:t>]</w:t>
            </w:r>
            <w:r w:rsidR="00B40844" w:rsidRPr="00323E22">
              <w:rPr>
                <w:rFonts w:ascii="Arial" w:hAnsi="Arial" w:cs="Arial"/>
                <w:sz w:val="24"/>
                <w:szCs w:val="24"/>
              </w:rPr>
              <w:tab/>
            </w:r>
            <w:r w:rsidR="00C02E2D">
              <w:rPr>
                <w:rFonts w:ascii="Arial" w:hAnsi="Arial" w:cs="Arial"/>
                <w:sz w:val="24"/>
                <w:szCs w:val="24"/>
                <w:lang w:val="en-US"/>
              </w:rPr>
              <w:t>Ms Katire</w:t>
            </w:r>
            <w:r w:rsidR="009F773F">
              <w:rPr>
                <w:rFonts w:ascii="Arial" w:hAnsi="Arial" w:cs="Arial"/>
                <w:sz w:val="24"/>
                <w:szCs w:val="24"/>
                <w:lang w:val="en-US"/>
              </w:rPr>
              <w:t xml:space="preserve"> went on to say</w:t>
            </w:r>
            <w:r w:rsidR="00C02E2D">
              <w:rPr>
                <w:rFonts w:ascii="Arial" w:hAnsi="Arial" w:cs="Arial"/>
                <w:sz w:val="24"/>
                <w:szCs w:val="24"/>
                <w:lang w:val="en-US"/>
              </w:rPr>
              <w:t xml:space="preserve"> that</w:t>
            </w:r>
            <w:r w:rsidR="009F773F">
              <w:rPr>
                <w:rFonts w:ascii="Arial" w:hAnsi="Arial" w:cs="Arial"/>
                <w:sz w:val="24"/>
                <w:szCs w:val="24"/>
                <w:lang w:val="en-US"/>
              </w:rPr>
              <w:t xml:space="preserve"> following the exchange of those</w:t>
            </w:r>
            <w:r w:rsidR="00063D2B">
              <w:rPr>
                <w:rFonts w:ascii="Arial" w:hAnsi="Arial" w:cs="Arial"/>
                <w:sz w:val="24"/>
                <w:szCs w:val="24"/>
                <w:lang w:val="en-US"/>
              </w:rPr>
              <w:t xml:space="preserve"> correspondence</w:t>
            </w:r>
            <w:r w:rsidR="00C02E2D">
              <w:rPr>
                <w:rFonts w:ascii="Arial" w:hAnsi="Arial" w:cs="Arial"/>
                <w:sz w:val="24"/>
                <w:szCs w:val="24"/>
                <w:lang w:val="en-US"/>
              </w:rPr>
              <w:t>, she was hence forth</w:t>
            </w:r>
            <w:r w:rsidR="009F773F">
              <w:rPr>
                <w:rFonts w:ascii="Arial" w:hAnsi="Arial" w:cs="Arial"/>
                <w:sz w:val="24"/>
                <w:szCs w:val="24"/>
                <w:lang w:val="en-US"/>
              </w:rPr>
              <w:t xml:space="preserve"> under the impression that the respondent’s response would be positive to the settlement</w:t>
            </w:r>
            <w:r w:rsidR="00C02E2D">
              <w:rPr>
                <w:rFonts w:ascii="Arial" w:hAnsi="Arial" w:cs="Arial"/>
                <w:sz w:val="24"/>
                <w:szCs w:val="24"/>
                <w:lang w:val="en-US"/>
              </w:rPr>
              <w:t xml:space="preserve"> proposal</w:t>
            </w:r>
            <w:r w:rsidR="009F773F">
              <w:rPr>
                <w:rFonts w:ascii="Arial" w:hAnsi="Arial" w:cs="Arial"/>
                <w:sz w:val="24"/>
                <w:szCs w:val="24"/>
                <w:lang w:val="en-US"/>
              </w:rPr>
              <w:t>. According to her</w:t>
            </w:r>
            <w:r w:rsidR="00C02E2D">
              <w:rPr>
                <w:rFonts w:ascii="Arial" w:hAnsi="Arial" w:cs="Arial"/>
                <w:sz w:val="24"/>
                <w:szCs w:val="24"/>
                <w:lang w:val="en-US"/>
              </w:rPr>
              <w:t>,</w:t>
            </w:r>
            <w:r w:rsidR="009F773F">
              <w:rPr>
                <w:rFonts w:ascii="Arial" w:hAnsi="Arial" w:cs="Arial"/>
                <w:sz w:val="24"/>
                <w:szCs w:val="24"/>
                <w:lang w:val="en-US"/>
              </w:rPr>
              <w:t xml:space="preserve"> she reasoned that since the request was made prior to 15 March 2023 – the date she out to have file the opposing affidavit – there was no need any more to file the opposing affidavit to the application for summary judgment.</w:t>
            </w:r>
          </w:p>
          <w:p w:rsidR="003750B1" w:rsidRDefault="003750B1" w:rsidP="00ED76B2">
            <w:pPr>
              <w:tabs>
                <w:tab w:val="left" w:pos="729"/>
              </w:tabs>
              <w:spacing w:line="360" w:lineRule="auto"/>
              <w:jc w:val="both"/>
              <w:rPr>
                <w:rFonts w:ascii="Arial" w:hAnsi="Arial" w:cs="Arial"/>
                <w:sz w:val="24"/>
                <w:szCs w:val="24"/>
                <w:lang w:val="en-US"/>
              </w:rPr>
            </w:pPr>
          </w:p>
          <w:p w:rsidR="003750B1" w:rsidRPr="00C02E2D" w:rsidRDefault="003750B1" w:rsidP="00ED76B2">
            <w:pPr>
              <w:tabs>
                <w:tab w:val="left" w:pos="729"/>
              </w:tabs>
              <w:spacing w:line="360" w:lineRule="auto"/>
              <w:jc w:val="both"/>
              <w:rPr>
                <w:rFonts w:ascii="Arial" w:hAnsi="Arial" w:cs="Arial"/>
                <w:i/>
                <w:sz w:val="24"/>
                <w:szCs w:val="24"/>
              </w:rPr>
            </w:pPr>
            <w:r w:rsidRPr="00C02E2D">
              <w:rPr>
                <w:rFonts w:ascii="Arial" w:hAnsi="Arial" w:cs="Arial"/>
                <w:i/>
                <w:sz w:val="24"/>
                <w:szCs w:val="24"/>
                <w:lang w:val="en-US"/>
              </w:rPr>
              <w:t>Opposing affidavit</w:t>
            </w:r>
          </w:p>
          <w:p w:rsidR="00404B70" w:rsidRDefault="00404B70" w:rsidP="00ED76B2">
            <w:pPr>
              <w:spacing w:line="360" w:lineRule="auto"/>
              <w:jc w:val="both"/>
              <w:rPr>
                <w:rFonts w:ascii="Arial" w:hAnsi="Arial" w:cs="Arial"/>
                <w:sz w:val="24"/>
                <w:szCs w:val="24"/>
              </w:rPr>
            </w:pPr>
          </w:p>
          <w:p w:rsidR="008A1447" w:rsidRDefault="00B40844" w:rsidP="00ED76B2">
            <w:pPr>
              <w:tabs>
                <w:tab w:val="left" w:pos="729"/>
              </w:tabs>
              <w:spacing w:line="360" w:lineRule="auto"/>
              <w:jc w:val="both"/>
              <w:rPr>
                <w:rFonts w:ascii="Arial" w:eastAsia="Times New Roman" w:hAnsi="Arial" w:cs="Arial"/>
                <w:sz w:val="24"/>
                <w:szCs w:val="24"/>
                <w:lang w:val="en-US"/>
              </w:rPr>
            </w:pPr>
            <w:r w:rsidRPr="00323E22">
              <w:rPr>
                <w:rFonts w:ascii="Arial" w:hAnsi="Arial" w:cs="Arial"/>
                <w:sz w:val="24"/>
                <w:szCs w:val="24"/>
              </w:rPr>
              <w:t>[</w:t>
            </w:r>
            <w:r w:rsidR="00812772">
              <w:rPr>
                <w:rFonts w:ascii="Arial" w:hAnsi="Arial" w:cs="Arial"/>
                <w:sz w:val="24"/>
                <w:szCs w:val="24"/>
              </w:rPr>
              <w:t>9</w:t>
            </w:r>
            <w:r w:rsidRPr="00323E22">
              <w:rPr>
                <w:rFonts w:ascii="Arial" w:hAnsi="Arial" w:cs="Arial"/>
                <w:sz w:val="24"/>
                <w:szCs w:val="24"/>
              </w:rPr>
              <w:t>]</w:t>
            </w:r>
            <w:r w:rsidRPr="00323E22">
              <w:rPr>
                <w:rFonts w:ascii="Arial" w:hAnsi="Arial" w:cs="Arial"/>
                <w:sz w:val="24"/>
                <w:szCs w:val="24"/>
              </w:rPr>
              <w:tab/>
            </w:r>
            <w:r w:rsidR="009F773F">
              <w:rPr>
                <w:rFonts w:ascii="Arial" w:hAnsi="Arial" w:cs="Arial"/>
                <w:sz w:val="24"/>
                <w:szCs w:val="24"/>
                <w:lang w:val="en-US"/>
              </w:rPr>
              <w:t>The application is opposed by the respondent. Mr Hlulani Ire-Jesse Shihlomule, a direct</w:t>
            </w:r>
            <w:r w:rsidR="00816D42">
              <w:rPr>
                <w:rFonts w:ascii="Arial" w:hAnsi="Arial" w:cs="Arial"/>
                <w:sz w:val="24"/>
                <w:szCs w:val="24"/>
                <w:lang w:val="en-US"/>
              </w:rPr>
              <w:t>or</w:t>
            </w:r>
            <w:r w:rsidR="009F773F">
              <w:rPr>
                <w:rFonts w:ascii="Arial" w:hAnsi="Arial" w:cs="Arial"/>
                <w:sz w:val="24"/>
                <w:szCs w:val="24"/>
                <w:lang w:val="en-US"/>
              </w:rPr>
              <w:t xml:space="preserve"> of the respondent, deposed to the answering affidavit. The deponent points out</w:t>
            </w:r>
            <w:r w:rsidR="00C02E2D">
              <w:rPr>
                <w:rFonts w:ascii="Arial" w:hAnsi="Arial" w:cs="Arial"/>
                <w:sz w:val="24"/>
                <w:szCs w:val="24"/>
                <w:lang w:val="en-US"/>
              </w:rPr>
              <w:t xml:space="preserve"> that</w:t>
            </w:r>
            <w:r w:rsidR="009F773F">
              <w:rPr>
                <w:rFonts w:ascii="Arial" w:hAnsi="Arial" w:cs="Arial"/>
                <w:sz w:val="24"/>
                <w:szCs w:val="24"/>
                <w:lang w:val="en-US"/>
              </w:rPr>
              <w:t xml:space="preserve"> no valid application for condonation has been filed due to the fact that </w:t>
            </w:r>
            <w:r w:rsidR="00C02E2D">
              <w:rPr>
                <w:rFonts w:ascii="Arial" w:hAnsi="Arial" w:cs="Arial"/>
                <w:sz w:val="24"/>
                <w:szCs w:val="24"/>
                <w:lang w:val="en-US"/>
              </w:rPr>
              <w:t>no notice of motion accompanied the ‘condonation affidavit</w:t>
            </w:r>
            <w:r w:rsidR="009F773F">
              <w:rPr>
                <w:rFonts w:ascii="Arial" w:hAnsi="Arial" w:cs="Arial"/>
                <w:sz w:val="24"/>
                <w:szCs w:val="24"/>
                <w:lang w:val="en-US"/>
              </w:rPr>
              <w:t xml:space="preserve">’. He further points out that </w:t>
            </w:r>
            <w:r w:rsidR="00063D2B">
              <w:rPr>
                <w:rFonts w:ascii="Arial" w:hAnsi="Arial" w:cs="Arial"/>
                <w:sz w:val="24"/>
                <w:szCs w:val="24"/>
                <w:lang w:val="en-US"/>
              </w:rPr>
              <w:t xml:space="preserve">no explanation has been </w:t>
            </w:r>
            <w:r w:rsidR="009F773F">
              <w:rPr>
                <w:rFonts w:ascii="Arial" w:hAnsi="Arial" w:cs="Arial"/>
                <w:sz w:val="24"/>
                <w:szCs w:val="24"/>
                <w:lang w:val="en-US"/>
              </w:rPr>
              <w:t xml:space="preserve">placed before court as to what steps were taken to prepare and file an opposing affidavit to the application for summary judgment. </w:t>
            </w:r>
            <w:r w:rsidR="00C02E2D">
              <w:rPr>
                <w:rFonts w:ascii="Arial" w:hAnsi="Arial" w:cs="Arial"/>
                <w:sz w:val="24"/>
                <w:szCs w:val="24"/>
                <w:lang w:val="en-US"/>
              </w:rPr>
              <w:t>Furthermore, that</w:t>
            </w:r>
            <w:r w:rsidR="009F773F">
              <w:rPr>
                <w:rFonts w:ascii="Arial" w:hAnsi="Arial" w:cs="Arial"/>
                <w:sz w:val="24"/>
                <w:szCs w:val="24"/>
                <w:lang w:val="en-US"/>
              </w:rPr>
              <w:t xml:space="preserve"> the applicant failed to deal with the issue of the prospects of success in opposition to the summary judgment application</w:t>
            </w:r>
            <w:r w:rsidR="00C02E2D">
              <w:rPr>
                <w:rFonts w:ascii="Arial" w:hAnsi="Arial" w:cs="Arial"/>
                <w:sz w:val="24"/>
                <w:szCs w:val="24"/>
                <w:lang w:val="en-US"/>
              </w:rPr>
              <w:t xml:space="preserve"> if condonation was granted</w:t>
            </w:r>
            <w:r w:rsidR="009F773F">
              <w:rPr>
                <w:rFonts w:ascii="Arial" w:hAnsi="Arial" w:cs="Arial"/>
                <w:sz w:val="24"/>
                <w:szCs w:val="24"/>
                <w:lang w:val="en-US"/>
              </w:rPr>
              <w:t>. Finally</w:t>
            </w:r>
            <w:r w:rsidR="00C02E2D">
              <w:rPr>
                <w:rFonts w:ascii="Arial" w:hAnsi="Arial" w:cs="Arial"/>
                <w:sz w:val="24"/>
                <w:szCs w:val="24"/>
                <w:lang w:val="en-US"/>
              </w:rPr>
              <w:t>,</w:t>
            </w:r>
            <w:r w:rsidR="009F773F">
              <w:rPr>
                <w:rFonts w:ascii="Arial" w:hAnsi="Arial" w:cs="Arial"/>
                <w:sz w:val="24"/>
                <w:szCs w:val="24"/>
                <w:lang w:val="en-US"/>
              </w:rPr>
              <w:t xml:space="preserve"> the deponent denies that any impression was create</w:t>
            </w:r>
            <w:r w:rsidR="00816D42">
              <w:rPr>
                <w:rFonts w:ascii="Arial" w:hAnsi="Arial" w:cs="Arial"/>
                <w:sz w:val="24"/>
                <w:szCs w:val="24"/>
                <w:lang w:val="en-US"/>
              </w:rPr>
              <w:t>d</w:t>
            </w:r>
            <w:r w:rsidR="009F773F">
              <w:rPr>
                <w:rFonts w:ascii="Arial" w:hAnsi="Arial" w:cs="Arial"/>
                <w:sz w:val="24"/>
                <w:szCs w:val="24"/>
                <w:lang w:val="en-US"/>
              </w:rPr>
              <w:t xml:space="preserve"> from the respondent side that, that the respondent would not persist with the application for summary judgment</w:t>
            </w:r>
            <w:r w:rsidR="002D20C5">
              <w:rPr>
                <w:rFonts w:ascii="Arial" w:eastAsia="Times New Roman" w:hAnsi="Arial" w:cs="Arial"/>
                <w:sz w:val="24"/>
                <w:szCs w:val="24"/>
                <w:lang w:val="en-US"/>
              </w:rPr>
              <w:t>.</w:t>
            </w:r>
          </w:p>
          <w:p w:rsidR="00343742" w:rsidRDefault="00343742" w:rsidP="00ED76B2">
            <w:pPr>
              <w:spacing w:line="360" w:lineRule="auto"/>
              <w:jc w:val="both"/>
              <w:rPr>
                <w:rFonts w:ascii="Arial" w:hAnsi="Arial" w:cs="Arial"/>
                <w:sz w:val="24"/>
                <w:szCs w:val="24"/>
              </w:rPr>
            </w:pPr>
          </w:p>
          <w:p w:rsidR="00343742" w:rsidRDefault="00343742" w:rsidP="00ED76B2">
            <w:pPr>
              <w:spacing w:line="360" w:lineRule="auto"/>
              <w:jc w:val="both"/>
              <w:rPr>
                <w:rFonts w:ascii="Arial" w:hAnsi="Arial" w:cs="Arial"/>
                <w:sz w:val="24"/>
                <w:szCs w:val="24"/>
              </w:rPr>
            </w:pPr>
          </w:p>
          <w:p w:rsidR="009F773F" w:rsidRPr="009F773F" w:rsidRDefault="002E123F" w:rsidP="00ED76B2">
            <w:pPr>
              <w:spacing w:line="360" w:lineRule="auto"/>
              <w:jc w:val="both"/>
              <w:rPr>
                <w:rFonts w:ascii="Arial" w:hAnsi="Arial" w:cs="Arial"/>
                <w:sz w:val="24"/>
                <w:szCs w:val="24"/>
                <w:u w:val="single"/>
                <w:lang w:val="en-US"/>
              </w:rPr>
            </w:pPr>
            <w:r>
              <w:rPr>
                <w:rFonts w:ascii="Arial" w:hAnsi="Arial" w:cs="Arial"/>
                <w:sz w:val="24"/>
                <w:szCs w:val="24"/>
                <w:u w:val="single"/>
                <w:lang w:val="en-US"/>
              </w:rPr>
              <w:lastRenderedPageBreak/>
              <w:t>Requirements for a compliant</w:t>
            </w:r>
            <w:r w:rsidR="009F773F" w:rsidRPr="009F773F">
              <w:rPr>
                <w:rFonts w:ascii="Arial" w:hAnsi="Arial" w:cs="Arial"/>
                <w:sz w:val="24"/>
                <w:szCs w:val="24"/>
                <w:u w:val="single"/>
                <w:lang w:val="en-US"/>
              </w:rPr>
              <w:t xml:space="preserve"> application</w:t>
            </w:r>
            <w:r>
              <w:rPr>
                <w:rFonts w:ascii="Arial" w:hAnsi="Arial" w:cs="Arial"/>
                <w:sz w:val="24"/>
                <w:szCs w:val="24"/>
                <w:u w:val="single"/>
                <w:lang w:val="en-US"/>
              </w:rPr>
              <w:t xml:space="preserve"> for condonation</w:t>
            </w:r>
          </w:p>
          <w:p w:rsidR="009F773F" w:rsidRPr="00CA7995" w:rsidRDefault="009F773F" w:rsidP="00ED76B2">
            <w:pPr>
              <w:spacing w:line="360" w:lineRule="auto"/>
              <w:jc w:val="both"/>
              <w:rPr>
                <w:rFonts w:ascii="Arial" w:hAnsi="Arial" w:cs="Arial"/>
                <w:sz w:val="24"/>
                <w:szCs w:val="24"/>
              </w:rPr>
            </w:pPr>
          </w:p>
          <w:p w:rsidR="00702C62" w:rsidRDefault="00B40844" w:rsidP="009C35C9">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w:t>
            </w:r>
            <w:r w:rsidR="00812772">
              <w:rPr>
                <w:rFonts w:ascii="Arial" w:hAnsi="Arial" w:cs="Arial"/>
                <w:sz w:val="24"/>
                <w:szCs w:val="24"/>
              </w:rPr>
              <w:t>10</w:t>
            </w:r>
            <w:r w:rsidRPr="00CA7995">
              <w:rPr>
                <w:rFonts w:ascii="Arial" w:hAnsi="Arial" w:cs="Arial"/>
                <w:sz w:val="24"/>
                <w:szCs w:val="24"/>
              </w:rPr>
              <w:t>]</w:t>
            </w:r>
            <w:r w:rsidRPr="00CA7995">
              <w:rPr>
                <w:rFonts w:ascii="Arial" w:hAnsi="Arial" w:cs="Arial"/>
                <w:sz w:val="24"/>
                <w:szCs w:val="24"/>
              </w:rPr>
              <w:tab/>
            </w:r>
            <w:r w:rsidR="009F773F">
              <w:rPr>
                <w:rFonts w:ascii="Arial" w:hAnsi="Arial" w:cs="Arial"/>
                <w:sz w:val="24"/>
                <w:szCs w:val="24"/>
                <w:lang w:val="en-US"/>
              </w:rPr>
              <w:t>Rule 65(1) provides</w:t>
            </w:r>
            <w:r w:rsidR="002E123F">
              <w:rPr>
                <w:rFonts w:ascii="Arial" w:hAnsi="Arial" w:cs="Arial"/>
                <w:sz w:val="24"/>
                <w:szCs w:val="24"/>
                <w:lang w:val="en-US"/>
              </w:rPr>
              <w:t>,</w:t>
            </w:r>
            <w:r w:rsidR="009F773F">
              <w:rPr>
                <w:rFonts w:ascii="Arial" w:hAnsi="Arial" w:cs="Arial"/>
                <w:sz w:val="24"/>
                <w:szCs w:val="24"/>
                <w:lang w:val="en-US"/>
              </w:rPr>
              <w:t xml:space="preserve"> </w:t>
            </w:r>
            <w:r w:rsidR="009F773F" w:rsidRPr="002E123F">
              <w:rPr>
                <w:rFonts w:ascii="Arial" w:hAnsi="Arial" w:cs="Arial"/>
                <w:i/>
                <w:sz w:val="24"/>
                <w:szCs w:val="24"/>
                <w:lang w:val="en-US"/>
              </w:rPr>
              <w:t>inter alia</w:t>
            </w:r>
            <w:r w:rsidR="002E123F">
              <w:rPr>
                <w:rFonts w:ascii="Arial" w:hAnsi="Arial" w:cs="Arial"/>
                <w:sz w:val="24"/>
                <w:szCs w:val="24"/>
                <w:lang w:val="en-US"/>
              </w:rPr>
              <w:t>,</w:t>
            </w:r>
            <w:r w:rsidR="009F773F">
              <w:rPr>
                <w:rFonts w:ascii="Arial" w:hAnsi="Arial" w:cs="Arial"/>
                <w:sz w:val="24"/>
                <w:szCs w:val="24"/>
                <w:lang w:val="en-US"/>
              </w:rPr>
              <w:t xml:space="preserve"> that an application must be brought on a notice of motion supported by an affidavit containing facts upon which the applicant relies for the relief sought</w:t>
            </w:r>
            <w:r w:rsidR="002D20C5">
              <w:rPr>
                <w:rFonts w:ascii="Arial" w:eastAsia="Times New Roman" w:hAnsi="Arial" w:cs="Arial"/>
                <w:sz w:val="24"/>
                <w:szCs w:val="24"/>
                <w:lang w:val="en-US"/>
              </w:rPr>
              <w:t>.</w:t>
            </w:r>
          </w:p>
          <w:p w:rsidR="009C35C9" w:rsidRPr="00702C62" w:rsidRDefault="009C35C9" w:rsidP="009C35C9">
            <w:pPr>
              <w:tabs>
                <w:tab w:val="left" w:pos="729"/>
              </w:tabs>
              <w:spacing w:line="360" w:lineRule="auto"/>
              <w:jc w:val="both"/>
              <w:rPr>
                <w:rFonts w:ascii="Arial" w:hAnsi="Arial" w:cs="Arial"/>
                <w:sz w:val="24"/>
                <w:szCs w:val="24"/>
              </w:rPr>
            </w:pPr>
          </w:p>
          <w:p w:rsidR="00D6224D" w:rsidRDefault="00BB13F4" w:rsidP="00ED76B2">
            <w:pPr>
              <w:tabs>
                <w:tab w:val="left" w:pos="729"/>
              </w:tabs>
              <w:spacing w:line="360" w:lineRule="auto"/>
              <w:jc w:val="both"/>
              <w:rPr>
                <w:rFonts w:ascii="Arial" w:eastAsia="Times New Roman" w:hAnsi="Arial" w:cs="Arial"/>
                <w:sz w:val="24"/>
                <w:szCs w:val="24"/>
                <w:lang w:val="en-US"/>
              </w:rPr>
            </w:pPr>
            <w:r w:rsidRPr="00702C62">
              <w:rPr>
                <w:rFonts w:ascii="Arial" w:hAnsi="Arial" w:cs="Arial"/>
                <w:sz w:val="24"/>
                <w:szCs w:val="24"/>
              </w:rPr>
              <w:t>[</w:t>
            </w:r>
            <w:r w:rsidR="00812772">
              <w:rPr>
                <w:rFonts w:ascii="Arial" w:hAnsi="Arial" w:cs="Arial"/>
                <w:sz w:val="24"/>
                <w:szCs w:val="24"/>
              </w:rPr>
              <w:t>11</w:t>
            </w:r>
            <w:r w:rsidRPr="00702C62">
              <w:rPr>
                <w:rFonts w:ascii="Arial" w:hAnsi="Arial" w:cs="Arial"/>
                <w:sz w:val="24"/>
                <w:szCs w:val="24"/>
              </w:rPr>
              <w:t>]</w:t>
            </w:r>
            <w:r w:rsidR="00B61AC7" w:rsidRPr="00702C62">
              <w:rPr>
                <w:rFonts w:ascii="Arial" w:hAnsi="Arial" w:cs="Arial"/>
                <w:sz w:val="24"/>
                <w:szCs w:val="24"/>
              </w:rPr>
              <w:tab/>
            </w:r>
            <w:r w:rsidR="009F773F">
              <w:rPr>
                <w:rFonts w:ascii="Arial" w:hAnsi="Arial" w:cs="Arial"/>
                <w:sz w:val="24"/>
                <w:szCs w:val="24"/>
                <w:lang w:val="en-US"/>
              </w:rPr>
              <w:t>As regards the requirement</w:t>
            </w:r>
            <w:r w:rsidR="002E123F">
              <w:rPr>
                <w:rFonts w:ascii="Arial" w:hAnsi="Arial" w:cs="Arial"/>
                <w:sz w:val="24"/>
                <w:szCs w:val="24"/>
                <w:lang w:val="en-US"/>
              </w:rPr>
              <w:t>s</w:t>
            </w:r>
            <w:r w:rsidR="009F773F">
              <w:rPr>
                <w:rFonts w:ascii="Arial" w:hAnsi="Arial" w:cs="Arial"/>
                <w:sz w:val="24"/>
                <w:szCs w:val="24"/>
                <w:lang w:val="en-US"/>
              </w:rPr>
              <w:t xml:space="preserve"> for an application for condonation to succeed</w:t>
            </w:r>
            <w:r w:rsidR="002E123F">
              <w:rPr>
                <w:rFonts w:ascii="Arial" w:hAnsi="Arial" w:cs="Arial"/>
                <w:sz w:val="24"/>
                <w:szCs w:val="24"/>
                <w:lang w:val="en-US"/>
              </w:rPr>
              <w:t>,</w:t>
            </w:r>
            <w:r w:rsidR="009F773F">
              <w:rPr>
                <w:rFonts w:ascii="Arial" w:hAnsi="Arial" w:cs="Arial"/>
                <w:sz w:val="24"/>
                <w:szCs w:val="24"/>
                <w:lang w:val="en-US"/>
              </w:rPr>
              <w:t xml:space="preserve"> the principles are now well established</w:t>
            </w:r>
            <w:r w:rsidR="009F773F">
              <w:rPr>
                <w:rFonts w:ascii="Arial" w:hAnsi="Arial" w:cs="Arial"/>
                <w:sz w:val="24"/>
                <w:szCs w:val="24"/>
              </w:rPr>
              <w:t>. I do not intend to repeat them in detail save to highlight the necessary parts that guide the court to the determination of the present matter. I</w:t>
            </w:r>
            <w:r w:rsidR="009F773F" w:rsidRPr="00C73EE0">
              <w:rPr>
                <w:rFonts w:ascii="Arial" w:hAnsi="Arial" w:cs="Arial"/>
                <w:sz w:val="24"/>
                <w:szCs w:val="24"/>
              </w:rPr>
              <w:t>n the first place</w:t>
            </w:r>
            <w:r w:rsidR="009F773F">
              <w:rPr>
                <w:rFonts w:ascii="Arial" w:hAnsi="Arial" w:cs="Arial"/>
                <w:sz w:val="24"/>
                <w:szCs w:val="24"/>
              </w:rPr>
              <w:t>, the applicant is required to give</w:t>
            </w:r>
            <w:r w:rsidR="009F773F" w:rsidRPr="00C73EE0">
              <w:rPr>
                <w:rFonts w:ascii="Arial" w:hAnsi="Arial" w:cs="Arial"/>
                <w:sz w:val="24"/>
                <w:szCs w:val="24"/>
              </w:rPr>
              <w:t xml:space="preserve"> a reasonable and acceptable explanation for the non-compliance. Secondly, there must be re</w:t>
            </w:r>
            <w:r w:rsidR="009F773F">
              <w:rPr>
                <w:rFonts w:ascii="Arial" w:hAnsi="Arial" w:cs="Arial"/>
                <w:sz w:val="24"/>
                <w:szCs w:val="24"/>
              </w:rPr>
              <w:t>asonable prospects</w:t>
            </w:r>
            <w:r w:rsidR="00063D2B">
              <w:rPr>
                <w:rFonts w:ascii="Arial" w:hAnsi="Arial" w:cs="Arial"/>
                <w:sz w:val="24"/>
                <w:szCs w:val="24"/>
              </w:rPr>
              <w:t xml:space="preserve"> of the main matter </w:t>
            </w:r>
            <w:r w:rsidR="009F773F" w:rsidRPr="00C73EE0">
              <w:rPr>
                <w:rFonts w:ascii="Arial" w:hAnsi="Arial" w:cs="Arial"/>
                <w:sz w:val="24"/>
                <w:szCs w:val="24"/>
              </w:rPr>
              <w:t>succeeding</w:t>
            </w:r>
            <w:r w:rsidR="009F773F">
              <w:rPr>
                <w:rFonts w:ascii="Arial" w:hAnsi="Arial" w:cs="Arial"/>
                <w:sz w:val="24"/>
                <w:szCs w:val="24"/>
              </w:rPr>
              <w:t xml:space="preserve"> on the merits should condonation be granted</w:t>
            </w:r>
            <w:r w:rsidR="009F773F" w:rsidRPr="00C73EE0">
              <w:rPr>
                <w:rFonts w:ascii="Arial" w:hAnsi="Arial" w:cs="Arial"/>
                <w:sz w:val="24"/>
                <w:szCs w:val="24"/>
              </w:rPr>
              <w:t>. It is also an accepted principle that there may be interplay between the obligation to provide a satisfactory explanation for the non-compliance and the reasonabl</w:t>
            </w:r>
            <w:r w:rsidR="009F773F">
              <w:rPr>
                <w:rFonts w:ascii="Arial" w:hAnsi="Arial" w:cs="Arial"/>
                <w:sz w:val="24"/>
                <w:szCs w:val="24"/>
              </w:rPr>
              <w:t>e prospects of success on the merits</w:t>
            </w:r>
            <w:r w:rsidR="005F325C">
              <w:rPr>
                <w:rFonts w:ascii="Arial" w:eastAsia="Times New Roman" w:hAnsi="Arial" w:cs="Arial"/>
                <w:sz w:val="24"/>
                <w:szCs w:val="24"/>
                <w:lang w:val="en-US"/>
              </w:rPr>
              <w:t>.</w:t>
            </w:r>
            <w:r w:rsidR="00063D2B">
              <w:rPr>
                <w:rStyle w:val="FootnoteReference"/>
                <w:rFonts w:ascii="Arial" w:eastAsia="Times New Roman" w:hAnsi="Arial" w:cs="Arial"/>
                <w:sz w:val="24"/>
                <w:szCs w:val="24"/>
                <w:lang w:val="en-US"/>
              </w:rPr>
              <w:footnoteReference w:id="1"/>
            </w:r>
          </w:p>
          <w:p w:rsidR="00D6224D" w:rsidRDefault="00D6224D" w:rsidP="00ED76B2">
            <w:pPr>
              <w:tabs>
                <w:tab w:val="left" w:pos="729"/>
              </w:tabs>
              <w:spacing w:line="360" w:lineRule="auto"/>
              <w:jc w:val="both"/>
              <w:rPr>
                <w:rFonts w:ascii="Arial" w:eastAsia="Times New Roman" w:hAnsi="Arial" w:cs="Arial"/>
                <w:sz w:val="24"/>
                <w:szCs w:val="24"/>
                <w:lang w:val="en-US"/>
              </w:rPr>
            </w:pPr>
          </w:p>
          <w:p w:rsidR="00B40844" w:rsidRPr="00702C62" w:rsidRDefault="002D20C5" w:rsidP="00ED76B2">
            <w:pPr>
              <w:tabs>
                <w:tab w:val="left" w:pos="729"/>
              </w:tabs>
              <w:spacing w:line="360" w:lineRule="auto"/>
              <w:jc w:val="both"/>
              <w:rPr>
                <w:rFonts w:ascii="Arial" w:hAnsi="Arial" w:cs="Arial"/>
                <w:sz w:val="24"/>
                <w:szCs w:val="24"/>
              </w:rPr>
            </w:pPr>
            <w:r>
              <w:rPr>
                <w:rFonts w:ascii="Arial" w:eastAsia="Times New Roman" w:hAnsi="Arial" w:cs="Arial"/>
                <w:sz w:val="24"/>
                <w:szCs w:val="24"/>
                <w:lang w:val="en-US"/>
              </w:rPr>
              <w:t>[</w:t>
            </w:r>
            <w:r w:rsidR="00812772">
              <w:rPr>
                <w:rFonts w:ascii="Arial" w:eastAsia="Times New Roman" w:hAnsi="Arial" w:cs="Arial"/>
                <w:sz w:val="24"/>
                <w:szCs w:val="24"/>
                <w:lang w:val="en-US"/>
              </w:rPr>
              <w:t>12</w:t>
            </w:r>
            <w:r>
              <w:rPr>
                <w:rFonts w:ascii="Arial" w:eastAsia="Times New Roman" w:hAnsi="Arial" w:cs="Arial"/>
                <w:sz w:val="24"/>
                <w:szCs w:val="24"/>
                <w:lang w:val="en-US"/>
              </w:rPr>
              <w:t>]</w:t>
            </w:r>
            <w:r w:rsidRPr="00702C62">
              <w:rPr>
                <w:rFonts w:ascii="Arial" w:hAnsi="Arial" w:cs="Arial"/>
                <w:sz w:val="24"/>
                <w:szCs w:val="24"/>
              </w:rPr>
              <w:tab/>
            </w:r>
            <w:r w:rsidR="009F773F">
              <w:rPr>
                <w:rFonts w:ascii="Arial" w:hAnsi="Arial" w:cs="Arial"/>
                <w:sz w:val="24"/>
                <w:szCs w:val="24"/>
              </w:rPr>
              <w:t>It is against that background of the foregoing requirements and principles</w:t>
            </w:r>
            <w:r w:rsidR="009F773F" w:rsidRPr="00C73EE0">
              <w:rPr>
                <w:rFonts w:ascii="Arial" w:hAnsi="Arial" w:cs="Arial"/>
                <w:sz w:val="24"/>
                <w:szCs w:val="24"/>
              </w:rPr>
              <w:t xml:space="preserve"> that the</w:t>
            </w:r>
            <w:r w:rsidR="009F773F">
              <w:rPr>
                <w:rFonts w:ascii="Arial" w:hAnsi="Arial" w:cs="Arial"/>
                <w:sz w:val="24"/>
                <w:szCs w:val="24"/>
              </w:rPr>
              <w:t xml:space="preserve"> present</w:t>
            </w:r>
            <w:r w:rsidR="002E123F">
              <w:rPr>
                <w:rFonts w:ascii="Arial" w:hAnsi="Arial" w:cs="Arial"/>
                <w:sz w:val="24"/>
                <w:szCs w:val="24"/>
              </w:rPr>
              <w:t xml:space="preserve"> application i</w:t>
            </w:r>
            <w:r w:rsidR="00812772">
              <w:rPr>
                <w:rFonts w:ascii="Arial" w:hAnsi="Arial" w:cs="Arial"/>
                <w:sz w:val="24"/>
                <w:szCs w:val="24"/>
              </w:rPr>
              <w:t>s</w:t>
            </w:r>
            <w:r w:rsidR="002E123F">
              <w:rPr>
                <w:rFonts w:ascii="Arial" w:hAnsi="Arial" w:cs="Arial"/>
                <w:sz w:val="24"/>
                <w:szCs w:val="24"/>
              </w:rPr>
              <w:t xml:space="preserve"> to</w:t>
            </w:r>
            <w:r w:rsidR="009F773F" w:rsidRPr="00C73EE0">
              <w:rPr>
                <w:rFonts w:ascii="Arial" w:hAnsi="Arial" w:cs="Arial"/>
                <w:sz w:val="24"/>
                <w:szCs w:val="24"/>
              </w:rPr>
              <w:t xml:space="preserve"> be considered</w:t>
            </w:r>
            <w:r w:rsidR="00BB13F4" w:rsidRPr="00702C62">
              <w:rPr>
                <w:rFonts w:ascii="Arial" w:hAnsi="Arial" w:cs="Arial"/>
                <w:sz w:val="24"/>
                <w:szCs w:val="24"/>
              </w:rPr>
              <w:t>.</w:t>
            </w:r>
          </w:p>
          <w:p w:rsidR="00702C62" w:rsidRDefault="00702C62" w:rsidP="00ED76B2">
            <w:pPr>
              <w:spacing w:line="360" w:lineRule="auto"/>
              <w:jc w:val="both"/>
              <w:rPr>
                <w:rFonts w:ascii="Arial" w:hAnsi="Arial" w:cs="Arial"/>
                <w:sz w:val="24"/>
                <w:szCs w:val="24"/>
              </w:rPr>
            </w:pPr>
          </w:p>
          <w:p w:rsidR="009F773F" w:rsidRPr="009F773F" w:rsidRDefault="009F773F" w:rsidP="00ED76B2">
            <w:pPr>
              <w:spacing w:line="360" w:lineRule="auto"/>
              <w:jc w:val="both"/>
              <w:rPr>
                <w:rFonts w:ascii="Arial" w:hAnsi="Arial" w:cs="Arial"/>
                <w:sz w:val="24"/>
                <w:szCs w:val="24"/>
                <w:u w:val="single"/>
              </w:rPr>
            </w:pPr>
            <w:r w:rsidRPr="009F773F">
              <w:rPr>
                <w:rFonts w:ascii="Arial" w:hAnsi="Arial" w:cs="Arial"/>
                <w:sz w:val="24"/>
                <w:szCs w:val="24"/>
                <w:u w:val="single"/>
              </w:rPr>
              <w:t>Determination</w:t>
            </w:r>
          </w:p>
          <w:p w:rsidR="009F773F" w:rsidRPr="00702C62" w:rsidRDefault="009F773F" w:rsidP="00ED76B2">
            <w:pPr>
              <w:spacing w:line="360" w:lineRule="auto"/>
              <w:jc w:val="both"/>
              <w:rPr>
                <w:rFonts w:ascii="Arial" w:hAnsi="Arial" w:cs="Arial"/>
                <w:sz w:val="24"/>
                <w:szCs w:val="24"/>
              </w:rPr>
            </w:pPr>
          </w:p>
          <w:p w:rsidR="00323AAF" w:rsidRDefault="00B61AC7" w:rsidP="00ED76B2">
            <w:pPr>
              <w:tabs>
                <w:tab w:val="left" w:pos="729"/>
              </w:tabs>
              <w:spacing w:line="360" w:lineRule="auto"/>
              <w:jc w:val="both"/>
              <w:rPr>
                <w:rFonts w:ascii="Arial" w:hAnsi="Arial" w:cs="Arial"/>
                <w:sz w:val="24"/>
                <w:szCs w:val="24"/>
              </w:rPr>
            </w:pPr>
            <w:r w:rsidRPr="00702C62">
              <w:rPr>
                <w:rFonts w:ascii="Arial" w:hAnsi="Arial" w:cs="Arial"/>
                <w:sz w:val="24"/>
                <w:szCs w:val="24"/>
              </w:rPr>
              <w:t>[</w:t>
            </w:r>
            <w:r w:rsidR="00812772">
              <w:rPr>
                <w:rFonts w:ascii="Arial" w:hAnsi="Arial" w:cs="Arial"/>
                <w:sz w:val="24"/>
                <w:szCs w:val="24"/>
              </w:rPr>
              <w:t>13</w:t>
            </w:r>
            <w:r w:rsidR="00B40844" w:rsidRPr="00702C62">
              <w:rPr>
                <w:rFonts w:ascii="Arial" w:hAnsi="Arial" w:cs="Arial"/>
                <w:sz w:val="24"/>
                <w:szCs w:val="24"/>
              </w:rPr>
              <w:t>]</w:t>
            </w:r>
            <w:r w:rsidR="00B40844" w:rsidRPr="00702C62">
              <w:rPr>
                <w:rFonts w:ascii="Arial" w:hAnsi="Arial" w:cs="Arial"/>
                <w:sz w:val="24"/>
                <w:szCs w:val="24"/>
              </w:rPr>
              <w:tab/>
            </w:r>
            <w:r w:rsidR="00D15FF5">
              <w:rPr>
                <w:rFonts w:ascii="Arial" w:hAnsi="Arial" w:cs="Arial"/>
                <w:sz w:val="24"/>
                <w:szCs w:val="24"/>
                <w:lang w:val="en-US"/>
              </w:rPr>
              <w:t>It is common cause that the application did not comp</w:t>
            </w:r>
            <w:r w:rsidR="002E123F">
              <w:rPr>
                <w:rFonts w:ascii="Arial" w:hAnsi="Arial" w:cs="Arial"/>
                <w:sz w:val="24"/>
                <w:szCs w:val="24"/>
                <w:lang w:val="en-US"/>
              </w:rPr>
              <w:t>ly with the requirement of rule</w:t>
            </w:r>
            <w:r w:rsidR="00D15FF5">
              <w:rPr>
                <w:rFonts w:ascii="Arial" w:hAnsi="Arial" w:cs="Arial"/>
                <w:sz w:val="24"/>
                <w:szCs w:val="24"/>
                <w:lang w:val="en-US"/>
              </w:rPr>
              <w:t xml:space="preserve"> 65(1) of this court</w:t>
            </w:r>
            <w:r w:rsidR="002E123F">
              <w:rPr>
                <w:rFonts w:ascii="Arial" w:hAnsi="Arial" w:cs="Arial"/>
                <w:sz w:val="24"/>
                <w:szCs w:val="24"/>
                <w:lang w:val="en-US"/>
              </w:rPr>
              <w:t>,</w:t>
            </w:r>
            <w:r w:rsidR="00D15FF5">
              <w:rPr>
                <w:rFonts w:ascii="Arial" w:hAnsi="Arial" w:cs="Arial"/>
                <w:sz w:val="24"/>
                <w:szCs w:val="24"/>
                <w:lang w:val="en-US"/>
              </w:rPr>
              <w:t xml:space="preserve"> in that not notice of mot</w:t>
            </w:r>
            <w:r w:rsidR="002E123F">
              <w:rPr>
                <w:rFonts w:ascii="Arial" w:hAnsi="Arial" w:cs="Arial"/>
                <w:sz w:val="24"/>
                <w:szCs w:val="24"/>
                <w:lang w:val="en-US"/>
              </w:rPr>
              <w:t>ion accompanied the ‘condonation</w:t>
            </w:r>
            <w:r w:rsidR="00D15FF5">
              <w:rPr>
                <w:rFonts w:ascii="Arial" w:hAnsi="Arial" w:cs="Arial"/>
                <w:sz w:val="24"/>
                <w:szCs w:val="24"/>
                <w:lang w:val="en-US"/>
              </w:rPr>
              <w:t xml:space="preserve"> affidavit</w:t>
            </w:r>
            <w:r w:rsidR="002E123F">
              <w:rPr>
                <w:rFonts w:ascii="Arial" w:hAnsi="Arial" w:cs="Arial"/>
                <w:sz w:val="24"/>
                <w:szCs w:val="24"/>
                <w:lang w:val="en-US"/>
              </w:rPr>
              <w:t>’</w:t>
            </w:r>
            <w:r w:rsidR="00D15FF5">
              <w:rPr>
                <w:rFonts w:ascii="Arial" w:hAnsi="Arial" w:cs="Arial"/>
                <w:sz w:val="24"/>
                <w:szCs w:val="24"/>
                <w:lang w:val="en-US"/>
              </w:rPr>
              <w:t>. In this regard, I take note that Ms Katire who have been appearing in person on behalf of the applica</w:t>
            </w:r>
            <w:r w:rsidR="002E123F">
              <w:rPr>
                <w:rFonts w:ascii="Arial" w:hAnsi="Arial" w:cs="Arial"/>
                <w:sz w:val="24"/>
                <w:szCs w:val="24"/>
                <w:lang w:val="en-US"/>
              </w:rPr>
              <w:t>nt is a lay person. However from</w:t>
            </w:r>
            <w:r w:rsidR="00D15FF5">
              <w:rPr>
                <w:rFonts w:ascii="Arial" w:hAnsi="Arial" w:cs="Arial"/>
                <w:sz w:val="24"/>
                <w:szCs w:val="24"/>
                <w:lang w:val="en-US"/>
              </w:rPr>
              <w:t xml:space="preserve"> the papers filed on behalf of the applicant</w:t>
            </w:r>
            <w:r w:rsidR="002E123F">
              <w:rPr>
                <w:rFonts w:ascii="Arial" w:hAnsi="Arial" w:cs="Arial"/>
                <w:sz w:val="24"/>
                <w:szCs w:val="24"/>
                <w:lang w:val="en-US"/>
              </w:rPr>
              <w:t>,</w:t>
            </w:r>
            <w:r w:rsidR="00D15FF5">
              <w:rPr>
                <w:rFonts w:ascii="Arial" w:hAnsi="Arial" w:cs="Arial"/>
                <w:sz w:val="24"/>
                <w:szCs w:val="24"/>
                <w:lang w:val="en-US"/>
              </w:rPr>
              <w:t xml:space="preserve"> I gain the impression that she is being assisted by someone in the background with practical knowledge about the pleadings. For instance, she filed a condonation affidavit and thereafter she filed heads of argument. The format of these documents are those prescribed by the rules</w:t>
            </w:r>
            <w:r w:rsidR="002536EA" w:rsidRPr="00702C62">
              <w:rPr>
                <w:rFonts w:ascii="Arial" w:hAnsi="Arial" w:cs="Arial"/>
                <w:sz w:val="24"/>
                <w:szCs w:val="24"/>
              </w:rPr>
              <w:t>.</w:t>
            </w:r>
          </w:p>
          <w:p w:rsidR="00015808" w:rsidRDefault="00015808" w:rsidP="00ED76B2">
            <w:pPr>
              <w:tabs>
                <w:tab w:val="left" w:pos="729"/>
              </w:tabs>
              <w:spacing w:line="360" w:lineRule="auto"/>
              <w:jc w:val="both"/>
              <w:rPr>
                <w:rFonts w:ascii="Arial" w:hAnsi="Arial" w:cs="Arial"/>
                <w:sz w:val="24"/>
                <w:szCs w:val="24"/>
              </w:rPr>
            </w:pPr>
          </w:p>
          <w:p w:rsidR="00015808" w:rsidRDefault="00812772" w:rsidP="00ED76B2">
            <w:pPr>
              <w:tabs>
                <w:tab w:val="left" w:pos="729"/>
              </w:tabs>
              <w:spacing w:line="360" w:lineRule="auto"/>
              <w:jc w:val="both"/>
              <w:rPr>
                <w:rFonts w:ascii="Arial" w:hAnsi="Arial" w:cs="Arial"/>
                <w:sz w:val="24"/>
                <w:szCs w:val="24"/>
              </w:rPr>
            </w:pPr>
            <w:r>
              <w:rPr>
                <w:rFonts w:ascii="Arial" w:hAnsi="Arial" w:cs="Arial"/>
                <w:sz w:val="24"/>
                <w:szCs w:val="24"/>
              </w:rPr>
              <w:t>[14</w:t>
            </w:r>
            <w:r w:rsidR="00766C68">
              <w:rPr>
                <w:rFonts w:ascii="Arial" w:hAnsi="Arial" w:cs="Arial"/>
                <w:sz w:val="24"/>
                <w:szCs w:val="24"/>
              </w:rPr>
              <w:t>]</w:t>
            </w:r>
            <w:r w:rsidR="00766C68" w:rsidRPr="00702C62">
              <w:rPr>
                <w:rFonts w:ascii="Arial" w:hAnsi="Arial" w:cs="Arial"/>
                <w:sz w:val="24"/>
                <w:szCs w:val="24"/>
              </w:rPr>
              <w:tab/>
            </w:r>
            <w:r w:rsidR="00D15FF5">
              <w:rPr>
                <w:rFonts w:ascii="Arial" w:hAnsi="Arial" w:cs="Arial"/>
                <w:sz w:val="24"/>
                <w:szCs w:val="24"/>
                <w:lang w:val="en-US"/>
              </w:rPr>
              <w:t>I subscribe to the view tha</w:t>
            </w:r>
            <w:r w:rsidR="002E123F">
              <w:rPr>
                <w:rFonts w:ascii="Arial" w:hAnsi="Arial" w:cs="Arial"/>
                <w:sz w:val="24"/>
                <w:szCs w:val="24"/>
                <w:lang w:val="en-US"/>
              </w:rPr>
              <w:t>t there cannot be two standards</w:t>
            </w:r>
            <w:r w:rsidR="00D15FF5">
              <w:rPr>
                <w:rFonts w:ascii="Arial" w:hAnsi="Arial" w:cs="Arial"/>
                <w:sz w:val="24"/>
                <w:szCs w:val="24"/>
                <w:lang w:val="en-US"/>
              </w:rPr>
              <w:t xml:space="preserve"> when it comes to compliance with the requirements set out in the rules. By </w:t>
            </w:r>
            <w:r w:rsidR="002E123F">
              <w:rPr>
                <w:rFonts w:ascii="Arial" w:hAnsi="Arial" w:cs="Arial"/>
                <w:sz w:val="24"/>
                <w:szCs w:val="24"/>
                <w:lang w:val="en-US"/>
              </w:rPr>
              <w:t>t</w:t>
            </w:r>
            <w:r w:rsidR="00D15FF5">
              <w:rPr>
                <w:rFonts w:ascii="Arial" w:hAnsi="Arial" w:cs="Arial"/>
                <w:sz w:val="24"/>
                <w:szCs w:val="24"/>
                <w:lang w:val="en-US"/>
              </w:rPr>
              <w:t>his I mean, a standard for lay litigants and a standard for litigants represented by legal practitioners. All litigants must be treated equal and must comply with the rules of the court. It has been stated in this regard that rules are there</w:t>
            </w:r>
            <w:r w:rsidR="002E123F">
              <w:rPr>
                <w:rFonts w:ascii="Arial" w:hAnsi="Arial" w:cs="Arial"/>
                <w:sz w:val="24"/>
                <w:szCs w:val="24"/>
                <w:lang w:val="en-US"/>
              </w:rPr>
              <w:t xml:space="preserve"> to ensure a fair and </w:t>
            </w:r>
            <w:r w:rsidR="002B397D">
              <w:rPr>
                <w:rFonts w:ascii="Arial" w:hAnsi="Arial" w:cs="Arial"/>
                <w:sz w:val="24"/>
                <w:szCs w:val="24"/>
                <w:lang w:val="en-US"/>
              </w:rPr>
              <w:t>expeditious resolution</w:t>
            </w:r>
            <w:r w:rsidR="00D15FF5">
              <w:rPr>
                <w:rFonts w:ascii="Arial" w:hAnsi="Arial" w:cs="Arial"/>
                <w:sz w:val="24"/>
                <w:szCs w:val="24"/>
                <w:lang w:val="en-US"/>
              </w:rPr>
              <w:t xml:space="preserve"> of dispute</w:t>
            </w:r>
            <w:r w:rsidR="002B397D">
              <w:rPr>
                <w:rFonts w:ascii="Arial" w:hAnsi="Arial" w:cs="Arial"/>
                <w:sz w:val="24"/>
                <w:szCs w:val="24"/>
                <w:lang w:val="en-US"/>
              </w:rPr>
              <w:t>s</w:t>
            </w:r>
            <w:r w:rsidR="00D15FF5">
              <w:rPr>
                <w:rFonts w:ascii="Arial" w:hAnsi="Arial" w:cs="Arial"/>
                <w:sz w:val="24"/>
                <w:szCs w:val="24"/>
                <w:lang w:val="en-US"/>
              </w:rPr>
              <w:t xml:space="preserve"> in the interest of all litigants and</w:t>
            </w:r>
            <w:r w:rsidR="002B397D">
              <w:rPr>
                <w:rFonts w:ascii="Arial" w:hAnsi="Arial" w:cs="Arial"/>
                <w:sz w:val="24"/>
                <w:szCs w:val="24"/>
                <w:lang w:val="en-US"/>
              </w:rPr>
              <w:t xml:space="preserve"> of</w:t>
            </w:r>
            <w:r w:rsidR="00D15FF5">
              <w:rPr>
                <w:rFonts w:ascii="Arial" w:hAnsi="Arial" w:cs="Arial"/>
                <w:sz w:val="24"/>
                <w:szCs w:val="24"/>
                <w:lang w:val="en-US"/>
              </w:rPr>
              <w:t xml:space="preserve"> the administration of justice.</w:t>
            </w:r>
            <w:r w:rsidR="00D15FF5">
              <w:rPr>
                <w:rStyle w:val="FootnoteReference"/>
                <w:rFonts w:ascii="Arial" w:hAnsi="Arial" w:cs="Arial"/>
                <w:sz w:val="24"/>
                <w:szCs w:val="24"/>
                <w:lang w:val="en-US"/>
              </w:rPr>
              <w:footnoteReference w:id="2"/>
            </w:r>
            <w:r w:rsidR="00D15FF5">
              <w:rPr>
                <w:rFonts w:ascii="Arial" w:hAnsi="Arial" w:cs="Arial"/>
                <w:sz w:val="24"/>
                <w:szCs w:val="24"/>
                <w:lang w:val="en-US"/>
              </w:rPr>
              <w:t xml:space="preserve"> It has also been held that </w:t>
            </w:r>
            <w:r>
              <w:rPr>
                <w:rFonts w:ascii="Arial" w:hAnsi="Arial" w:cs="Arial"/>
                <w:sz w:val="24"/>
                <w:szCs w:val="24"/>
                <w:lang w:val="en-US"/>
              </w:rPr>
              <w:t>c</w:t>
            </w:r>
            <w:r w:rsidR="00D15FF5">
              <w:rPr>
                <w:rFonts w:ascii="Arial" w:hAnsi="Arial" w:cs="Arial"/>
                <w:sz w:val="24"/>
                <w:szCs w:val="24"/>
                <w:lang w:val="en-US"/>
              </w:rPr>
              <w:t>ourts should not condone non</w:t>
            </w:r>
            <w:r w:rsidR="002B397D">
              <w:rPr>
                <w:rFonts w:ascii="Arial" w:hAnsi="Arial" w:cs="Arial"/>
                <w:sz w:val="24"/>
                <w:szCs w:val="24"/>
                <w:lang w:val="en-US"/>
              </w:rPr>
              <w:t>-</w:t>
            </w:r>
            <w:r w:rsidR="00D15FF5">
              <w:rPr>
                <w:rFonts w:ascii="Arial" w:hAnsi="Arial" w:cs="Arial"/>
                <w:sz w:val="24"/>
                <w:szCs w:val="24"/>
                <w:lang w:val="en-US"/>
              </w:rPr>
              <w:t xml:space="preserve">compliance </w:t>
            </w:r>
            <w:r w:rsidR="00D15FF5">
              <w:rPr>
                <w:rFonts w:ascii="Arial" w:hAnsi="Arial" w:cs="Arial"/>
                <w:sz w:val="24"/>
                <w:szCs w:val="24"/>
                <w:lang w:val="en-US"/>
              </w:rPr>
              <w:lastRenderedPageBreak/>
              <w:t>with the rules by lay litigants where non-compliance would render the proceedings unfair and unduly prolonged</w:t>
            </w:r>
            <w:r w:rsidR="00D15FF5">
              <w:rPr>
                <w:rStyle w:val="FootnoteReference"/>
                <w:rFonts w:ascii="Arial" w:hAnsi="Arial" w:cs="Arial"/>
                <w:sz w:val="24"/>
                <w:szCs w:val="24"/>
                <w:lang w:val="en-US"/>
              </w:rPr>
              <w:footnoteReference w:id="3"/>
            </w:r>
            <w:r>
              <w:rPr>
                <w:rFonts w:ascii="Arial" w:hAnsi="Arial" w:cs="Arial"/>
                <w:sz w:val="24"/>
                <w:szCs w:val="24"/>
                <w:lang w:val="en-US"/>
              </w:rPr>
              <w:t>,</w:t>
            </w:r>
            <w:r w:rsidR="002B397D">
              <w:rPr>
                <w:rFonts w:ascii="Arial" w:hAnsi="Arial" w:cs="Arial"/>
                <w:sz w:val="24"/>
                <w:szCs w:val="24"/>
                <w:lang w:val="en-US"/>
              </w:rPr>
              <w:t xml:space="preserve"> I am in fully agreement with those sentiments.</w:t>
            </w:r>
          </w:p>
          <w:p w:rsidR="00015808" w:rsidRDefault="00015808" w:rsidP="00ED76B2">
            <w:pPr>
              <w:tabs>
                <w:tab w:val="left" w:pos="729"/>
              </w:tabs>
              <w:spacing w:line="360" w:lineRule="auto"/>
              <w:jc w:val="both"/>
              <w:rPr>
                <w:rFonts w:ascii="Arial" w:hAnsi="Arial" w:cs="Arial"/>
                <w:sz w:val="24"/>
                <w:szCs w:val="24"/>
              </w:rPr>
            </w:pPr>
          </w:p>
          <w:p w:rsidR="009A7A59" w:rsidRDefault="00766C68" w:rsidP="00ED76B2">
            <w:pPr>
              <w:tabs>
                <w:tab w:val="left" w:pos="729"/>
              </w:tabs>
              <w:spacing w:line="360" w:lineRule="auto"/>
              <w:jc w:val="both"/>
              <w:rPr>
                <w:rFonts w:ascii="Arial" w:hAnsi="Arial" w:cs="Arial"/>
                <w:sz w:val="24"/>
                <w:szCs w:val="24"/>
              </w:rPr>
            </w:pPr>
            <w:r>
              <w:rPr>
                <w:rFonts w:ascii="Arial" w:hAnsi="Arial" w:cs="Arial"/>
                <w:sz w:val="24"/>
                <w:szCs w:val="24"/>
              </w:rPr>
              <w:t>[1</w:t>
            </w:r>
            <w:r w:rsidR="00812772">
              <w:rPr>
                <w:rFonts w:ascii="Arial" w:hAnsi="Arial" w:cs="Arial"/>
                <w:sz w:val="24"/>
                <w:szCs w:val="24"/>
              </w:rPr>
              <w:t>5</w:t>
            </w:r>
            <w:r>
              <w:rPr>
                <w:rFonts w:ascii="Arial" w:hAnsi="Arial" w:cs="Arial"/>
                <w:sz w:val="24"/>
                <w:szCs w:val="24"/>
              </w:rPr>
              <w:t>]</w:t>
            </w:r>
            <w:r w:rsidRPr="00702C62">
              <w:rPr>
                <w:rFonts w:ascii="Arial" w:hAnsi="Arial" w:cs="Arial"/>
                <w:sz w:val="24"/>
                <w:szCs w:val="24"/>
              </w:rPr>
              <w:tab/>
            </w:r>
            <w:r w:rsidR="00D15FF5">
              <w:rPr>
                <w:rFonts w:ascii="Arial" w:hAnsi="Arial" w:cs="Arial"/>
                <w:sz w:val="24"/>
                <w:szCs w:val="24"/>
                <w:lang w:val="en-US"/>
              </w:rPr>
              <w:t>It follows thus for that due to the applicant non-compliance with rule 65(1</w:t>
            </w:r>
            <w:r w:rsidR="002B397D">
              <w:rPr>
                <w:rFonts w:ascii="Arial" w:hAnsi="Arial" w:cs="Arial"/>
                <w:sz w:val="24"/>
                <w:szCs w:val="24"/>
                <w:lang w:val="en-US"/>
              </w:rPr>
              <w:t>), the application should</w:t>
            </w:r>
            <w:r w:rsidR="00D15FF5">
              <w:rPr>
                <w:rFonts w:ascii="Arial" w:hAnsi="Arial" w:cs="Arial"/>
                <w:sz w:val="24"/>
                <w:szCs w:val="24"/>
                <w:lang w:val="en-US"/>
              </w:rPr>
              <w:t xml:space="preserve"> be struck form the roll.</w:t>
            </w:r>
          </w:p>
          <w:p w:rsidR="009A7A59" w:rsidRDefault="009A7A59" w:rsidP="00ED76B2">
            <w:pPr>
              <w:tabs>
                <w:tab w:val="left" w:pos="729"/>
              </w:tabs>
              <w:spacing w:line="360" w:lineRule="auto"/>
              <w:jc w:val="both"/>
              <w:rPr>
                <w:rFonts w:ascii="Arial" w:hAnsi="Arial" w:cs="Arial"/>
                <w:sz w:val="24"/>
                <w:szCs w:val="24"/>
              </w:rPr>
            </w:pPr>
          </w:p>
          <w:p w:rsidR="00015808" w:rsidRPr="00702C62" w:rsidRDefault="00766C68" w:rsidP="00ED76B2">
            <w:pPr>
              <w:tabs>
                <w:tab w:val="left" w:pos="729"/>
              </w:tabs>
              <w:spacing w:line="360" w:lineRule="auto"/>
              <w:jc w:val="both"/>
              <w:rPr>
                <w:rFonts w:ascii="Arial" w:hAnsi="Arial" w:cs="Arial"/>
                <w:sz w:val="24"/>
                <w:szCs w:val="24"/>
              </w:rPr>
            </w:pPr>
            <w:r>
              <w:rPr>
                <w:rFonts w:ascii="Arial" w:hAnsi="Arial" w:cs="Arial"/>
                <w:sz w:val="24"/>
                <w:szCs w:val="24"/>
              </w:rPr>
              <w:t>[1</w:t>
            </w:r>
            <w:r w:rsidR="00812772">
              <w:rPr>
                <w:rFonts w:ascii="Arial" w:hAnsi="Arial" w:cs="Arial"/>
                <w:sz w:val="24"/>
                <w:szCs w:val="24"/>
              </w:rPr>
              <w:t>6</w:t>
            </w:r>
            <w:r>
              <w:rPr>
                <w:rFonts w:ascii="Arial" w:hAnsi="Arial" w:cs="Arial"/>
                <w:sz w:val="24"/>
                <w:szCs w:val="24"/>
              </w:rPr>
              <w:t>]</w:t>
            </w:r>
            <w:r w:rsidRPr="00702C62">
              <w:rPr>
                <w:rFonts w:ascii="Arial" w:hAnsi="Arial" w:cs="Arial"/>
                <w:sz w:val="24"/>
                <w:szCs w:val="24"/>
              </w:rPr>
              <w:tab/>
            </w:r>
            <w:r w:rsidR="00D15FF5">
              <w:rPr>
                <w:rFonts w:ascii="Arial" w:hAnsi="Arial" w:cs="Arial"/>
                <w:sz w:val="24"/>
                <w:szCs w:val="24"/>
                <w:lang w:val="en-US"/>
              </w:rPr>
              <w:t>There is a further reason why the application is non-compliant and that is this: The applicant failed to set out a full, detailed and accurate explanation for its failure comply with the court order of 7 February 2023 by which it was ordered to file its opposing affidavit to the application for summary judgment. Ms Katire in her affidavit attempted</w:t>
            </w:r>
            <w:r w:rsidR="002B397D">
              <w:rPr>
                <w:rFonts w:ascii="Arial" w:hAnsi="Arial" w:cs="Arial"/>
                <w:sz w:val="24"/>
                <w:szCs w:val="24"/>
                <w:lang w:val="en-US"/>
              </w:rPr>
              <w:t>,</w:t>
            </w:r>
            <w:r w:rsidR="00D15FF5">
              <w:rPr>
                <w:rFonts w:ascii="Arial" w:hAnsi="Arial" w:cs="Arial"/>
                <w:sz w:val="24"/>
                <w:szCs w:val="24"/>
                <w:lang w:val="en-US"/>
              </w:rPr>
              <w:t xml:space="preserve"> in a most unconvincing manner</w:t>
            </w:r>
            <w:r w:rsidR="002B397D">
              <w:rPr>
                <w:rFonts w:ascii="Arial" w:hAnsi="Arial" w:cs="Arial"/>
                <w:sz w:val="24"/>
                <w:szCs w:val="24"/>
                <w:lang w:val="en-US"/>
              </w:rPr>
              <w:t>,</w:t>
            </w:r>
            <w:r w:rsidR="00D15FF5">
              <w:rPr>
                <w:rFonts w:ascii="Arial" w:hAnsi="Arial" w:cs="Arial"/>
                <w:sz w:val="24"/>
                <w:szCs w:val="24"/>
                <w:lang w:val="en-US"/>
              </w:rPr>
              <w:t xml:space="preserve"> to blame the legal practitioner for </w:t>
            </w:r>
            <w:r w:rsidR="00AE2B51">
              <w:rPr>
                <w:rFonts w:ascii="Arial" w:hAnsi="Arial" w:cs="Arial"/>
                <w:sz w:val="24"/>
                <w:szCs w:val="24"/>
                <w:lang w:val="en-US"/>
              </w:rPr>
              <w:t xml:space="preserve">the </w:t>
            </w:r>
            <w:r w:rsidR="00D15FF5">
              <w:rPr>
                <w:rFonts w:ascii="Arial" w:hAnsi="Arial" w:cs="Arial"/>
                <w:sz w:val="24"/>
                <w:szCs w:val="24"/>
                <w:lang w:val="en-US"/>
              </w:rPr>
              <w:t>applicant’s failure to file its opposing affidavit. In this regard</w:t>
            </w:r>
            <w:r w:rsidR="00AB08C4">
              <w:rPr>
                <w:rFonts w:ascii="Arial" w:hAnsi="Arial" w:cs="Arial"/>
                <w:sz w:val="24"/>
                <w:szCs w:val="24"/>
                <w:lang w:val="en-US"/>
              </w:rPr>
              <w:t>,</w:t>
            </w:r>
            <w:r w:rsidR="00D15FF5">
              <w:rPr>
                <w:rFonts w:ascii="Arial" w:hAnsi="Arial" w:cs="Arial"/>
                <w:sz w:val="24"/>
                <w:szCs w:val="24"/>
                <w:lang w:val="en-US"/>
              </w:rPr>
              <w:t xml:space="preserve"> Ms Katire alleges that, as I understand her, because she asked</w:t>
            </w:r>
            <w:r w:rsidR="002B397D">
              <w:rPr>
                <w:rFonts w:ascii="Arial" w:hAnsi="Arial" w:cs="Arial"/>
                <w:sz w:val="24"/>
                <w:szCs w:val="24"/>
                <w:lang w:val="en-US"/>
              </w:rPr>
              <w:t xml:space="preserve"> for a settlement statement from</w:t>
            </w:r>
            <w:r w:rsidR="00D15FF5">
              <w:rPr>
                <w:rFonts w:ascii="Arial" w:hAnsi="Arial" w:cs="Arial"/>
                <w:sz w:val="24"/>
                <w:szCs w:val="24"/>
                <w:lang w:val="en-US"/>
              </w:rPr>
              <w:t xml:space="preserve"> the</w:t>
            </w:r>
            <w:r w:rsidR="002B397D">
              <w:rPr>
                <w:rFonts w:ascii="Arial" w:hAnsi="Arial" w:cs="Arial"/>
                <w:sz w:val="24"/>
                <w:szCs w:val="24"/>
                <w:lang w:val="en-US"/>
              </w:rPr>
              <w:t xml:space="preserve"> respondent’s</w:t>
            </w:r>
            <w:r w:rsidR="00D15FF5">
              <w:rPr>
                <w:rFonts w:ascii="Arial" w:hAnsi="Arial" w:cs="Arial"/>
                <w:sz w:val="24"/>
                <w:szCs w:val="24"/>
                <w:lang w:val="en-US"/>
              </w:rPr>
              <w:t xml:space="preserve"> legal practitioner before the date</w:t>
            </w:r>
            <w:r w:rsidR="002B397D">
              <w:rPr>
                <w:rFonts w:ascii="Arial" w:hAnsi="Arial" w:cs="Arial"/>
                <w:sz w:val="24"/>
                <w:szCs w:val="24"/>
                <w:lang w:val="en-US"/>
              </w:rPr>
              <w:t xml:space="preserve"> for</w:t>
            </w:r>
            <w:r w:rsidR="00D15FF5">
              <w:rPr>
                <w:rFonts w:ascii="Arial" w:hAnsi="Arial" w:cs="Arial"/>
                <w:sz w:val="24"/>
                <w:szCs w:val="24"/>
                <w:lang w:val="en-US"/>
              </w:rPr>
              <w:t xml:space="preserve"> the f</w:t>
            </w:r>
            <w:r w:rsidR="002B397D">
              <w:rPr>
                <w:rFonts w:ascii="Arial" w:hAnsi="Arial" w:cs="Arial"/>
                <w:sz w:val="24"/>
                <w:szCs w:val="24"/>
                <w:lang w:val="en-US"/>
              </w:rPr>
              <w:t xml:space="preserve">iling of the opposing affidavit by the applicant, </w:t>
            </w:r>
            <w:r w:rsidR="00D15FF5">
              <w:rPr>
                <w:rFonts w:ascii="Arial" w:hAnsi="Arial" w:cs="Arial"/>
                <w:sz w:val="24"/>
                <w:szCs w:val="24"/>
                <w:lang w:val="en-US"/>
              </w:rPr>
              <w:t>was due</w:t>
            </w:r>
            <w:r w:rsidR="002B397D">
              <w:rPr>
                <w:rFonts w:ascii="Arial" w:hAnsi="Arial" w:cs="Arial"/>
                <w:sz w:val="24"/>
                <w:szCs w:val="24"/>
                <w:lang w:val="en-US"/>
              </w:rPr>
              <w:t>,</w:t>
            </w:r>
            <w:r w:rsidR="00D15FF5">
              <w:rPr>
                <w:rFonts w:ascii="Arial" w:hAnsi="Arial" w:cs="Arial"/>
                <w:sz w:val="24"/>
                <w:szCs w:val="24"/>
                <w:lang w:val="en-US"/>
              </w:rPr>
              <w:t xml:space="preserve"> she expected a positive response and therefore she did not file the opposing affidavit</w:t>
            </w:r>
            <w:r w:rsidR="009A7A59">
              <w:rPr>
                <w:rFonts w:ascii="Arial" w:hAnsi="Arial" w:cs="Arial"/>
                <w:sz w:val="24"/>
                <w:szCs w:val="24"/>
              </w:rPr>
              <w:t>.</w:t>
            </w:r>
          </w:p>
          <w:p w:rsidR="00323AAF" w:rsidRDefault="00323AAF" w:rsidP="00ED76B2">
            <w:pPr>
              <w:spacing w:line="360" w:lineRule="auto"/>
              <w:jc w:val="both"/>
              <w:rPr>
                <w:rFonts w:ascii="Arial" w:hAnsi="Arial" w:cs="Arial"/>
                <w:sz w:val="24"/>
                <w:szCs w:val="24"/>
              </w:rPr>
            </w:pPr>
          </w:p>
          <w:p w:rsidR="00B40844" w:rsidRPr="00702C62" w:rsidRDefault="00323AAF" w:rsidP="00ED76B2">
            <w:pPr>
              <w:tabs>
                <w:tab w:val="left" w:pos="729"/>
              </w:tabs>
              <w:spacing w:line="360" w:lineRule="auto"/>
              <w:jc w:val="both"/>
              <w:rPr>
                <w:rFonts w:ascii="Arial" w:hAnsi="Arial" w:cs="Arial"/>
                <w:sz w:val="24"/>
                <w:szCs w:val="24"/>
              </w:rPr>
            </w:pPr>
            <w:r w:rsidRPr="00702C62">
              <w:rPr>
                <w:rFonts w:ascii="Arial" w:hAnsi="Arial" w:cs="Arial"/>
                <w:sz w:val="24"/>
                <w:szCs w:val="24"/>
              </w:rPr>
              <w:t>[</w:t>
            </w:r>
            <w:r w:rsidR="008C2200" w:rsidRPr="00702C62">
              <w:rPr>
                <w:rFonts w:ascii="Arial" w:hAnsi="Arial" w:cs="Arial"/>
                <w:sz w:val="24"/>
                <w:szCs w:val="24"/>
              </w:rPr>
              <w:t>1</w:t>
            </w:r>
            <w:r w:rsidR="00812772">
              <w:rPr>
                <w:rFonts w:ascii="Arial" w:hAnsi="Arial" w:cs="Arial"/>
                <w:sz w:val="24"/>
                <w:szCs w:val="24"/>
              </w:rPr>
              <w:t>7</w:t>
            </w:r>
            <w:r w:rsidRPr="00702C62">
              <w:rPr>
                <w:rFonts w:ascii="Arial" w:hAnsi="Arial" w:cs="Arial"/>
                <w:sz w:val="24"/>
                <w:szCs w:val="24"/>
              </w:rPr>
              <w:t>]</w:t>
            </w:r>
            <w:r w:rsidR="00BB13F4" w:rsidRPr="00702C62">
              <w:rPr>
                <w:rFonts w:ascii="Arial" w:hAnsi="Arial" w:cs="Arial"/>
                <w:sz w:val="24"/>
                <w:szCs w:val="24"/>
              </w:rPr>
              <w:tab/>
            </w:r>
            <w:r w:rsidR="00AB08C4">
              <w:rPr>
                <w:rFonts w:ascii="Arial" w:hAnsi="Arial" w:cs="Arial"/>
                <w:sz w:val="24"/>
                <w:szCs w:val="24"/>
                <w:lang w:val="en-US"/>
              </w:rPr>
              <w:t>In my view, Ms Katire’s feeble attempt to shift blame to the legal practitioner for her failure to comply with the</w:t>
            </w:r>
            <w:r w:rsidR="002B397D">
              <w:rPr>
                <w:rFonts w:ascii="Arial" w:hAnsi="Arial" w:cs="Arial"/>
                <w:sz w:val="24"/>
                <w:szCs w:val="24"/>
                <w:lang w:val="en-US"/>
              </w:rPr>
              <w:t xml:space="preserve"> court order is unconvincing,</w:t>
            </w:r>
            <w:r w:rsidR="00AB08C4">
              <w:rPr>
                <w:rFonts w:ascii="Arial" w:hAnsi="Arial" w:cs="Arial"/>
                <w:sz w:val="24"/>
                <w:szCs w:val="24"/>
                <w:lang w:val="en-US"/>
              </w:rPr>
              <w:t xml:space="preserve"> lack</w:t>
            </w:r>
            <w:r w:rsidR="00AE2B51">
              <w:rPr>
                <w:rFonts w:ascii="Arial" w:hAnsi="Arial" w:cs="Arial"/>
                <w:sz w:val="24"/>
                <w:szCs w:val="24"/>
                <w:lang w:val="en-US"/>
              </w:rPr>
              <w:t>s</w:t>
            </w:r>
            <w:r w:rsidR="00AB08C4">
              <w:rPr>
                <w:rFonts w:ascii="Arial" w:hAnsi="Arial" w:cs="Arial"/>
                <w:sz w:val="24"/>
                <w:szCs w:val="24"/>
                <w:lang w:val="en-US"/>
              </w:rPr>
              <w:t xml:space="preserve"> candidness</w:t>
            </w:r>
            <w:r w:rsidR="002B397D">
              <w:rPr>
                <w:rFonts w:ascii="Arial" w:hAnsi="Arial" w:cs="Arial"/>
                <w:sz w:val="24"/>
                <w:szCs w:val="24"/>
                <w:lang w:val="en-US"/>
              </w:rPr>
              <w:t xml:space="preserve"> and forthrightness</w:t>
            </w:r>
            <w:r w:rsidR="00AB08C4">
              <w:rPr>
                <w:rFonts w:ascii="Arial" w:hAnsi="Arial" w:cs="Arial"/>
                <w:sz w:val="24"/>
                <w:szCs w:val="24"/>
                <w:lang w:val="en-US"/>
              </w:rPr>
              <w:t>. Her conduct is nothing else than flagrant and inexplicable disregard of the court</w:t>
            </w:r>
            <w:r w:rsidR="002B397D">
              <w:rPr>
                <w:rFonts w:ascii="Arial" w:hAnsi="Arial" w:cs="Arial"/>
                <w:sz w:val="24"/>
                <w:szCs w:val="24"/>
                <w:lang w:val="en-US"/>
              </w:rPr>
              <w:t>’s</w:t>
            </w:r>
            <w:r w:rsidR="00AB08C4">
              <w:rPr>
                <w:rFonts w:ascii="Arial" w:hAnsi="Arial" w:cs="Arial"/>
                <w:sz w:val="24"/>
                <w:szCs w:val="24"/>
                <w:lang w:val="en-US"/>
              </w:rPr>
              <w:t xml:space="preserve"> order</w:t>
            </w:r>
            <w:r w:rsidR="002B397D">
              <w:rPr>
                <w:rFonts w:ascii="Arial" w:hAnsi="Arial" w:cs="Arial"/>
                <w:sz w:val="24"/>
                <w:szCs w:val="24"/>
                <w:lang w:val="en-US"/>
              </w:rPr>
              <w:t>s of both the 7 February 2023 and 28 March 2023</w:t>
            </w:r>
            <w:r w:rsidR="00AE2B51">
              <w:rPr>
                <w:rFonts w:ascii="Arial" w:hAnsi="Arial" w:cs="Arial"/>
                <w:sz w:val="24"/>
                <w:szCs w:val="24"/>
                <w:lang w:val="en-US"/>
              </w:rPr>
              <w:t>. For this reason,</w:t>
            </w:r>
            <w:r w:rsidR="00AB08C4">
              <w:rPr>
                <w:rFonts w:ascii="Arial" w:hAnsi="Arial" w:cs="Arial"/>
                <w:sz w:val="24"/>
                <w:szCs w:val="24"/>
                <w:lang w:val="en-US"/>
              </w:rPr>
              <w:t xml:space="preserve"> the ap</w:t>
            </w:r>
            <w:r w:rsidR="002B397D">
              <w:rPr>
                <w:rFonts w:ascii="Arial" w:hAnsi="Arial" w:cs="Arial"/>
                <w:sz w:val="24"/>
                <w:szCs w:val="24"/>
                <w:lang w:val="en-US"/>
              </w:rPr>
              <w:t>plication stands to be refused</w:t>
            </w:r>
            <w:r w:rsidR="00AB08C4">
              <w:rPr>
                <w:rFonts w:ascii="Arial" w:hAnsi="Arial" w:cs="Arial"/>
                <w:sz w:val="24"/>
                <w:szCs w:val="24"/>
                <w:lang w:val="en-US"/>
              </w:rPr>
              <w:t>.</w:t>
            </w:r>
          </w:p>
          <w:p w:rsidR="003D3059" w:rsidRDefault="003D3059" w:rsidP="00ED76B2">
            <w:pPr>
              <w:spacing w:line="360" w:lineRule="auto"/>
              <w:jc w:val="both"/>
              <w:rPr>
                <w:rFonts w:ascii="Arial" w:hAnsi="Arial" w:cs="Arial"/>
                <w:sz w:val="24"/>
                <w:szCs w:val="24"/>
              </w:rPr>
            </w:pPr>
          </w:p>
          <w:p w:rsidR="00BC5931" w:rsidRDefault="00B61AC7" w:rsidP="00ED76B2">
            <w:pPr>
              <w:tabs>
                <w:tab w:val="left" w:pos="729"/>
              </w:tabs>
              <w:spacing w:line="360" w:lineRule="auto"/>
              <w:jc w:val="both"/>
              <w:rPr>
                <w:rFonts w:ascii="Arial" w:hAnsi="Arial" w:cs="Arial"/>
                <w:sz w:val="24"/>
                <w:szCs w:val="24"/>
              </w:rPr>
            </w:pPr>
            <w:r w:rsidRPr="00812409">
              <w:rPr>
                <w:rFonts w:ascii="Arial" w:hAnsi="Arial" w:cs="Arial"/>
                <w:sz w:val="24"/>
                <w:szCs w:val="24"/>
              </w:rPr>
              <w:t>[1</w:t>
            </w:r>
            <w:r w:rsidR="00812772">
              <w:rPr>
                <w:rFonts w:ascii="Arial" w:hAnsi="Arial" w:cs="Arial"/>
                <w:sz w:val="24"/>
                <w:szCs w:val="24"/>
              </w:rPr>
              <w:t>8</w:t>
            </w:r>
            <w:r w:rsidR="00B40844" w:rsidRPr="00812409">
              <w:rPr>
                <w:rFonts w:ascii="Arial" w:hAnsi="Arial" w:cs="Arial"/>
                <w:sz w:val="24"/>
                <w:szCs w:val="24"/>
              </w:rPr>
              <w:t>]</w:t>
            </w:r>
            <w:r w:rsidR="00B40844" w:rsidRPr="00812409">
              <w:rPr>
                <w:rFonts w:ascii="Arial" w:hAnsi="Arial" w:cs="Arial"/>
                <w:sz w:val="24"/>
                <w:szCs w:val="24"/>
              </w:rPr>
              <w:tab/>
            </w:r>
            <w:r w:rsidR="00AB08C4">
              <w:rPr>
                <w:rFonts w:ascii="Arial" w:hAnsi="Arial" w:cs="Arial"/>
                <w:sz w:val="24"/>
                <w:szCs w:val="24"/>
                <w:lang w:val="en-US"/>
              </w:rPr>
              <w:t>There is a further reason why the application should be refused and that is because the applicant failed to deal with the requirement regarding the prospect of success on the merits in the event</w:t>
            </w:r>
            <w:r w:rsidR="00AE2B51">
              <w:rPr>
                <w:rFonts w:ascii="Arial" w:hAnsi="Arial" w:cs="Arial"/>
                <w:sz w:val="24"/>
                <w:szCs w:val="24"/>
                <w:lang w:val="en-US"/>
              </w:rPr>
              <w:t xml:space="preserve"> that</w:t>
            </w:r>
            <w:r w:rsidR="00AB08C4">
              <w:rPr>
                <w:rFonts w:ascii="Arial" w:hAnsi="Arial" w:cs="Arial"/>
                <w:sz w:val="24"/>
                <w:szCs w:val="24"/>
                <w:lang w:val="en-US"/>
              </w:rPr>
              <w:t xml:space="preserve"> condonation is granted. According to the particulars of claim applicant being sued by the respondent for the breach of an instalment sale agreement in respect of Caterpillar Excavator in that it failed to pay the agreed monthly instalment of N$89 729.71. The respondent is praying for the cancellation of that agreement an</w:t>
            </w:r>
            <w:r w:rsidR="00AE2B51">
              <w:rPr>
                <w:rFonts w:ascii="Arial" w:hAnsi="Arial" w:cs="Arial"/>
                <w:sz w:val="24"/>
                <w:szCs w:val="24"/>
                <w:lang w:val="en-US"/>
              </w:rPr>
              <w:t>d inter alia the return of the e</w:t>
            </w:r>
            <w:r w:rsidR="00AB08C4">
              <w:rPr>
                <w:rFonts w:ascii="Arial" w:hAnsi="Arial" w:cs="Arial"/>
                <w:sz w:val="24"/>
                <w:szCs w:val="24"/>
                <w:lang w:val="en-US"/>
              </w:rPr>
              <w:t>xcavator</w:t>
            </w:r>
            <w:r w:rsidR="009A7A59">
              <w:rPr>
                <w:rFonts w:ascii="Arial" w:hAnsi="Arial" w:cs="Arial"/>
                <w:sz w:val="24"/>
                <w:szCs w:val="24"/>
              </w:rPr>
              <w:t>.</w:t>
            </w:r>
          </w:p>
          <w:p w:rsidR="00BC5931" w:rsidRDefault="00BC5931" w:rsidP="00ED76B2">
            <w:pPr>
              <w:tabs>
                <w:tab w:val="left" w:pos="729"/>
              </w:tabs>
              <w:spacing w:line="360" w:lineRule="auto"/>
              <w:jc w:val="both"/>
              <w:rPr>
                <w:rFonts w:ascii="Arial" w:hAnsi="Arial" w:cs="Arial"/>
                <w:sz w:val="24"/>
                <w:szCs w:val="24"/>
              </w:rPr>
            </w:pPr>
          </w:p>
          <w:p w:rsidR="00BE31AD" w:rsidRDefault="00766C68" w:rsidP="00ED76B2">
            <w:pPr>
              <w:tabs>
                <w:tab w:val="left" w:pos="729"/>
              </w:tabs>
              <w:spacing w:line="360" w:lineRule="auto"/>
              <w:jc w:val="both"/>
              <w:rPr>
                <w:rFonts w:ascii="Arial" w:hAnsi="Arial" w:cs="Arial"/>
                <w:sz w:val="24"/>
                <w:szCs w:val="24"/>
              </w:rPr>
            </w:pPr>
            <w:r>
              <w:rPr>
                <w:rFonts w:ascii="Arial" w:hAnsi="Arial" w:cs="Arial"/>
                <w:sz w:val="24"/>
                <w:szCs w:val="24"/>
              </w:rPr>
              <w:t>[1</w:t>
            </w:r>
            <w:r w:rsidR="00812772">
              <w:rPr>
                <w:rFonts w:ascii="Arial" w:hAnsi="Arial" w:cs="Arial"/>
                <w:sz w:val="24"/>
                <w:szCs w:val="24"/>
              </w:rPr>
              <w:t>9</w:t>
            </w:r>
            <w:r>
              <w:rPr>
                <w:rFonts w:ascii="Arial" w:hAnsi="Arial" w:cs="Arial"/>
                <w:sz w:val="24"/>
                <w:szCs w:val="24"/>
              </w:rPr>
              <w:t>]</w:t>
            </w:r>
            <w:r w:rsidRPr="00812409">
              <w:rPr>
                <w:rFonts w:ascii="Arial" w:hAnsi="Arial" w:cs="Arial"/>
                <w:sz w:val="24"/>
                <w:szCs w:val="24"/>
              </w:rPr>
              <w:tab/>
            </w:r>
            <w:r w:rsidR="00AB08C4">
              <w:rPr>
                <w:rFonts w:ascii="Arial" w:hAnsi="Arial" w:cs="Arial"/>
                <w:sz w:val="24"/>
                <w:szCs w:val="24"/>
                <w:lang w:val="en-US"/>
              </w:rPr>
              <w:t xml:space="preserve">An applicant is required to show good cause and a </w:t>
            </w:r>
            <w:r w:rsidR="00AB08C4" w:rsidRPr="00AE2B51">
              <w:rPr>
                <w:rFonts w:ascii="Arial" w:hAnsi="Arial" w:cs="Arial"/>
                <w:i/>
                <w:sz w:val="24"/>
                <w:szCs w:val="24"/>
                <w:lang w:val="en-US"/>
              </w:rPr>
              <w:t>bona fide</w:t>
            </w:r>
            <w:r w:rsidR="00AE2B51">
              <w:rPr>
                <w:rFonts w:ascii="Arial" w:hAnsi="Arial" w:cs="Arial"/>
                <w:sz w:val="24"/>
                <w:szCs w:val="24"/>
                <w:lang w:val="en-US"/>
              </w:rPr>
              <w:t xml:space="preserve"> defence to the respondent’s</w:t>
            </w:r>
            <w:r w:rsidR="00AB08C4">
              <w:rPr>
                <w:rFonts w:ascii="Arial" w:hAnsi="Arial" w:cs="Arial"/>
                <w:sz w:val="24"/>
                <w:szCs w:val="24"/>
                <w:lang w:val="en-US"/>
              </w:rPr>
              <w:t xml:space="preserve"> claim. In other words the applicant must state the facts upon which his or her defence would be based so much that if such facts are proved it would constitute a defence to the claim. However in the present application</w:t>
            </w:r>
            <w:r w:rsidR="002411C1">
              <w:rPr>
                <w:rFonts w:ascii="Arial" w:hAnsi="Arial" w:cs="Arial"/>
                <w:sz w:val="24"/>
                <w:szCs w:val="24"/>
                <w:lang w:val="en-US"/>
              </w:rPr>
              <w:t>,</w:t>
            </w:r>
            <w:r w:rsidR="00AB08C4">
              <w:rPr>
                <w:rFonts w:ascii="Arial" w:hAnsi="Arial" w:cs="Arial"/>
                <w:sz w:val="24"/>
                <w:szCs w:val="24"/>
                <w:lang w:val="en-US"/>
              </w:rPr>
              <w:t xml:space="preserve"> nowhere on the papers filed or </w:t>
            </w:r>
            <w:r w:rsidR="00AB08C4">
              <w:rPr>
                <w:rFonts w:ascii="Arial" w:hAnsi="Arial" w:cs="Arial"/>
                <w:sz w:val="24"/>
                <w:szCs w:val="24"/>
                <w:lang w:val="en-US"/>
              </w:rPr>
              <w:lastRenderedPageBreak/>
              <w:t>correspondence exchanged</w:t>
            </w:r>
            <w:r w:rsidR="00AE2B51">
              <w:rPr>
                <w:rFonts w:ascii="Arial" w:hAnsi="Arial" w:cs="Arial"/>
                <w:sz w:val="24"/>
                <w:szCs w:val="24"/>
                <w:lang w:val="en-US"/>
              </w:rPr>
              <w:t>, does the applicant indicate</w:t>
            </w:r>
            <w:r w:rsidR="006D7087">
              <w:rPr>
                <w:rFonts w:ascii="Arial" w:hAnsi="Arial" w:cs="Arial"/>
                <w:sz w:val="24"/>
                <w:szCs w:val="24"/>
                <w:lang w:val="en-US"/>
              </w:rPr>
              <w:t xml:space="preserve"> </w:t>
            </w:r>
            <w:r w:rsidR="002411C1">
              <w:rPr>
                <w:rFonts w:ascii="Arial" w:hAnsi="Arial" w:cs="Arial"/>
                <w:sz w:val="24"/>
                <w:szCs w:val="24"/>
                <w:lang w:val="en-US"/>
              </w:rPr>
              <w:t>what defence it</w:t>
            </w:r>
            <w:r w:rsidR="00AB08C4">
              <w:rPr>
                <w:rFonts w:ascii="Arial" w:hAnsi="Arial" w:cs="Arial"/>
                <w:sz w:val="24"/>
                <w:szCs w:val="24"/>
                <w:lang w:val="en-US"/>
              </w:rPr>
              <w:t xml:space="preserve"> would put up</w:t>
            </w:r>
            <w:r w:rsidR="002411C1">
              <w:rPr>
                <w:rFonts w:ascii="Arial" w:hAnsi="Arial" w:cs="Arial"/>
                <w:sz w:val="24"/>
                <w:szCs w:val="24"/>
                <w:lang w:val="en-US"/>
              </w:rPr>
              <w:t>, or advance</w:t>
            </w:r>
            <w:r w:rsidR="00AB08C4">
              <w:rPr>
                <w:rFonts w:ascii="Arial" w:hAnsi="Arial" w:cs="Arial"/>
                <w:sz w:val="24"/>
                <w:szCs w:val="24"/>
                <w:lang w:val="en-US"/>
              </w:rPr>
              <w:t xml:space="preserve"> if condonation is granted and what</w:t>
            </w:r>
            <w:r w:rsidR="002411C1">
              <w:rPr>
                <w:rFonts w:ascii="Arial" w:hAnsi="Arial" w:cs="Arial"/>
                <w:sz w:val="24"/>
                <w:szCs w:val="24"/>
                <w:lang w:val="en-US"/>
              </w:rPr>
              <w:t xml:space="preserve"> are</w:t>
            </w:r>
            <w:r w:rsidR="00AB08C4">
              <w:rPr>
                <w:rFonts w:ascii="Arial" w:hAnsi="Arial" w:cs="Arial"/>
                <w:sz w:val="24"/>
                <w:szCs w:val="24"/>
                <w:lang w:val="en-US"/>
              </w:rPr>
              <w:t xml:space="preserve"> the prospects tha</w:t>
            </w:r>
            <w:r w:rsidR="002411C1">
              <w:rPr>
                <w:rFonts w:ascii="Arial" w:hAnsi="Arial" w:cs="Arial"/>
                <w:sz w:val="24"/>
                <w:szCs w:val="24"/>
                <w:lang w:val="en-US"/>
              </w:rPr>
              <w:t>t such defence would succeed</w:t>
            </w:r>
            <w:r w:rsidR="002B38E0">
              <w:rPr>
                <w:rFonts w:ascii="Arial" w:hAnsi="Arial" w:cs="Arial"/>
                <w:sz w:val="24"/>
                <w:szCs w:val="24"/>
              </w:rPr>
              <w:t>.</w:t>
            </w:r>
          </w:p>
          <w:p w:rsidR="008F59A0" w:rsidRDefault="008F59A0" w:rsidP="00ED76B2">
            <w:pPr>
              <w:tabs>
                <w:tab w:val="left" w:pos="729"/>
              </w:tabs>
              <w:spacing w:line="360" w:lineRule="auto"/>
              <w:jc w:val="both"/>
              <w:rPr>
                <w:rFonts w:ascii="Arial" w:hAnsi="Arial" w:cs="Arial"/>
                <w:sz w:val="24"/>
                <w:szCs w:val="24"/>
              </w:rPr>
            </w:pPr>
          </w:p>
          <w:p w:rsidR="009D1768" w:rsidRDefault="00B9407E" w:rsidP="006D7087">
            <w:pPr>
              <w:tabs>
                <w:tab w:val="left" w:pos="729"/>
              </w:tabs>
              <w:spacing w:line="360" w:lineRule="auto"/>
              <w:jc w:val="both"/>
              <w:rPr>
                <w:rFonts w:ascii="Arial" w:hAnsi="Arial" w:cs="Arial"/>
                <w:sz w:val="24"/>
                <w:szCs w:val="24"/>
              </w:rPr>
            </w:pPr>
            <w:r>
              <w:rPr>
                <w:rFonts w:ascii="Arial" w:hAnsi="Arial" w:cs="Arial"/>
                <w:sz w:val="24"/>
                <w:szCs w:val="24"/>
              </w:rPr>
              <w:t>[</w:t>
            </w:r>
            <w:r w:rsidR="00716E66">
              <w:rPr>
                <w:rFonts w:ascii="Arial" w:hAnsi="Arial" w:cs="Arial"/>
                <w:sz w:val="24"/>
                <w:szCs w:val="24"/>
              </w:rPr>
              <w:t>20</w:t>
            </w:r>
            <w:r>
              <w:rPr>
                <w:rFonts w:ascii="Arial" w:hAnsi="Arial" w:cs="Arial"/>
                <w:sz w:val="24"/>
                <w:szCs w:val="24"/>
              </w:rPr>
              <w:t>]</w:t>
            </w:r>
            <w:r w:rsidRPr="00812409">
              <w:rPr>
                <w:rFonts w:ascii="Arial" w:hAnsi="Arial" w:cs="Arial"/>
                <w:sz w:val="24"/>
                <w:szCs w:val="24"/>
              </w:rPr>
              <w:tab/>
            </w:r>
            <w:r w:rsidR="00AB08C4">
              <w:rPr>
                <w:rFonts w:ascii="Arial" w:hAnsi="Arial" w:cs="Arial"/>
                <w:sz w:val="24"/>
                <w:szCs w:val="24"/>
                <w:lang w:val="en-US"/>
              </w:rPr>
              <w:t>For all the reasons and consideration</w:t>
            </w:r>
            <w:r w:rsidR="002B397D">
              <w:rPr>
                <w:rFonts w:ascii="Arial" w:hAnsi="Arial" w:cs="Arial"/>
                <w:sz w:val="24"/>
                <w:szCs w:val="24"/>
                <w:lang w:val="en-US"/>
              </w:rPr>
              <w:t>s,</w:t>
            </w:r>
            <w:r w:rsidR="00AB08C4">
              <w:rPr>
                <w:rFonts w:ascii="Arial" w:hAnsi="Arial" w:cs="Arial"/>
                <w:sz w:val="24"/>
                <w:szCs w:val="24"/>
                <w:lang w:val="en-US"/>
              </w:rPr>
              <w:t xml:space="preserve"> set out herein</w:t>
            </w:r>
            <w:r w:rsidR="002B397D">
              <w:rPr>
                <w:rFonts w:ascii="Arial" w:hAnsi="Arial" w:cs="Arial"/>
                <w:sz w:val="24"/>
                <w:szCs w:val="24"/>
                <w:lang w:val="en-US"/>
              </w:rPr>
              <w:t>before,</w:t>
            </w:r>
            <w:r w:rsidR="002411C1">
              <w:rPr>
                <w:rFonts w:ascii="Arial" w:hAnsi="Arial" w:cs="Arial"/>
                <w:sz w:val="24"/>
                <w:szCs w:val="24"/>
                <w:lang w:val="en-US"/>
              </w:rPr>
              <w:t xml:space="preserve"> the inevitable conclusion I have arrived </w:t>
            </w:r>
            <w:r w:rsidR="006D7087">
              <w:rPr>
                <w:rFonts w:ascii="Arial" w:hAnsi="Arial" w:cs="Arial"/>
                <w:sz w:val="24"/>
                <w:szCs w:val="24"/>
                <w:lang w:val="en-US"/>
              </w:rPr>
              <w:t xml:space="preserve">at </w:t>
            </w:r>
            <w:r w:rsidR="002411C1">
              <w:rPr>
                <w:rFonts w:ascii="Arial" w:hAnsi="Arial" w:cs="Arial"/>
                <w:sz w:val="24"/>
                <w:szCs w:val="24"/>
                <w:lang w:val="en-US"/>
              </w:rPr>
              <w:t>is that</w:t>
            </w:r>
            <w:r w:rsidR="00AB08C4">
              <w:rPr>
                <w:rFonts w:ascii="Arial" w:hAnsi="Arial" w:cs="Arial"/>
                <w:sz w:val="24"/>
                <w:szCs w:val="24"/>
                <w:lang w:val="en-US"/>
              </w:rPr>
              <w:t xml:space="preserve"> the application for condonation is</w:t>
            </w:r>
            <w:r w:rsidR="002411C1">
              <w:rPr>
                <w:rFonts w:ascii="Arial" w:hAnsi="Arial" w:cs="Arial"/>
                <w:sz w:val="24"/>
                <w:szCs w:val="24"/>
                <w:lang w:val="en-US"/>
              </w:rPr>
              <w:t xml:space="preserve"> to be</w:t>
            </w:r>
            <w:r w:rsidR="00AB08C4">
              <w:rPr>
                <w:rFonts w:ascii="Arial" w:hAnsi="Arial" w:cs="Arial"/>
                <w:sz w:val="24"/>
                <w:szCs w:val="24"/>
                <w:lang w:val="en-US"/>
              </w:rPr>
              <w:t xml:space="preserve"> refused with costs.</w:t>
            </w:r>
          </w:p>
          <w:p w:rsidR="009D1768" w:rsidRPr="00CA7995" w:rsidRDefault="009D1768" w:rsidP="00AB08C4">
            <w:pPr>
              <w:tabs>
                <w:tab w:val="left" w:pos="837"/>
              </w:tabs>
              <w:spacing w:line="360" w:lineRule="auto"/>
              <w:jc w:val="both"/>
              <w:rPr>
                <w:rFonts w:ascii="Arial" w:hAnsi="Arial" w:cs="Arial"/>
                <w:sz w:val="24"/>
                <w:szCs w:val="24"/>
              </w:rPr>
            </w:pPr>
          </w:p>
        </w:tc>
      </w:tr>
      <w:tr w:rsidR="00CA7995" w:rsidRPr="00CA7995" w:rsidTr="00D15FF5">
        <w:tc>
          <w:tcPr>
            <w:tcW w:w="4926"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139"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D15FF5">
        <w:trPr>
          <w:trHeight w:val="1114"/>
        </w:trPr>
        <w:tc>
          <w:tcPr>
            <w:tcW w:w="4926" w:type="dxa"/>
          </w:tcPr>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139"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D15FF5">
        <w:tc>
          <w:tcPr>
            <w:tcW w:w="10065"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D15FF5">
        <w:tc>
          <w:tcPr>
            <w:tcW w:w="4926" w:type="dxa"/>
          </w:tcPr>
          <w:p w:rsidR="00B40844" w:rsidRPr="00CA7995" w:rsidRDefault="00AB08C4" w:rsidP="00937C89">
            <w:pPr>
              <w:spacing w:line="360" w:lineRule="auto"/>
              <w:jc w:val="center"/>
              <w:rPr>
                <w:rFonts w:ascii="Arial" w:hAnsi="Arial" w:cs="Arial"/>
                <w:b/>
                <w:sz w:val="24"/>
                <w:szCs w:val="24"/>
              </w:rPr>
            </w:pPr>
            <w:r>
              <w:rPr>
                <w:rFonts w:ascii="Arial" w:hAnsi="Arial" w:cs="Arial"/>
                <w:b/>
                <w:sz w:val="24"/>
                <w:szCs w:val="24"/>
              </w:rPr>
              <w:t>Applicant</w:t>
            </w:r>
          </w:p>
        </w:tc>
        <w:tc>
          <w:tcPr>
            <w:tcW w:w="5139" w:type="dxa"/>
            <w:gridSpan w:val="2"/>
          </w:tcPr>
          <w:p w:rsidR="00B40844" w:rsidRPr="00CA7995" w:rsidRDefault="00AB08C4" w:rsidP="00937C89">
            <w:pPr>
              <w:spacing w:line="360" w:lineRule="auto"/>
              <w:jc w:val="center"/>
              <w:rPr>
                <w:rFonts w:ascii="Arial" w:hAnsi="Arial" w:cs="Arial"/>
                <w:b/>
                <w:sz w:val="24"/>
                <w:szCs w:val="24"/>
              </w:rPr>
            </w:pPr>
            <w:r>
              <w:rPr>
                <w:rFonts w:ascii="Arial" w:hAnsi="Arial" w:cs="Arial"/>
                <w:b/>
                <w:sz w:val="24"/>
                <w:szCs w:val="24"/>
              </w:rPr>
              <w:t>Respondent</w:t>
            </w:r>
          </w:p>
        </w:tc>
      </w:tr>
      <w:tr w:rsidR="00CA7995" w:rsidRPr="00CA7995" w:rsidTr="00D15FF5">
        <w:tc>
          <w:tcPr>
            <w:tcW w:w="4926" w:type="dxa"/>
          </w:tcPr>
          <w:p w:rsidR="00AB08C4" w:rsidRDefault="00442A89" w:rsidP="00AB08C4">
            <w:pPr>
              <w:spacing w:line="360" w:lineRule="auto"/>
              <w:jc w:val="center"/>
              <w:rPr>
                <w:rFonts w:ascii="Arial" w:hAnsi="Arial" w:cs="Arial"/>
                <w:sz w:val="24"/>
                <w:szCs w:val="24"/>
                <w:lang w:val="en-US"/>
              </w:rPr>
            </w:pPr>
            <w:r w:rsidRPr="00AB08C4">
              <w:rPr>
                <w:rFonts w:ascii="Arial" w:hAnsi="Arial" w:cs="Arial"/>
                <w:sz w:val="24"/>
                <w:szCs w:val="24"/>
                <w:lang w:val="en-US"/>
              </w:rPr>
              <w:t>MS NGURIMUJE-KATIRE</w:t>
            </w:r>
          </w:p>
          <w:p w:rsidR="00AB08C4" w:rsidRDefault="00AB08C4" w:rsidP="00AB08C4">
            <w:pPr>
              <w:spacing w:line="360" w:lineRule="auto"/>
              <w:jc w:val="center"/>
              <w:rPr>
                <w:rFonts w:ascii="Arial" w:hAnsi="Arial" w:cs="Arial"/>
                <w:sz w:val="24"/>
                <w:szCs w:val="24"/>
                <w:lang w:val="en-US"/>
              </w:rPr>
            </w:pPr>
          </w:p>
          <w:p w:rsidR="00B40844" w:rsidRPr="00D24453" w:rsidRDefault="00AB08C4" w:rsidP="00AB08C4">
            <w:pPr>
              <w:spacing w:line="360" w:lineRule="auto"/>
              <w:jc w:val="center"/>
              <w:rPr>
                <w:rFonts w:ascii="Arial" w:hAnsi="Arial" w:cs="Arial"/>
                <w:sz w:val="24"/>
                <w:szCs w:val="24"/>
              </w:rPr>
            </w:pPr>
            <w:r>
              <w:rPr>
                <w:rFonts w:ascii="Arial" w:hAnsi="Arial" w:cs="Arial"/>
                <w:sz w:val="24"/>
                <w:szCs w:val="24"/>
                <w:lang w:val="en-US"/>
              </w:rPr>
              <w:t>The Director who is acting in person</w:t>
            </w:r>
          </w:p>
        </w:tc>
        <w:tc>
          <w:tcPr>
            <w:tcW w:w="5139" w:type="dxa"/>
            <w:gridSpan w:val="2"/>
          </w:tcPr>
          <w:p w:rsidR="00AB08C4" w:rsidRPr="00D24453" w:rsidRDefault="00442A89" w:rsidP="00AB08C4">
            <w:pPr>
              <w:spacing w:line="360" w:lineRule="auto"/>
              <w:jc w:val="center"/>
              <w:rPr>
                <w:rFonts w:ascii="Arial" w:hAnsi="Arial" w:cs="Arial"/>
                <w:sz w:val="24"/>
                <w:szCs w:val="24"/>
              </w:rPr>
            </w:pPr>
            <w:r>
              <w:rPr>
                <w:rFonts w:ascii="Arial" w:hAnsi="Arial" w:cs="Arial"/>
                <w:sz w:val="24"/>
                <w:szCs w:val="24"/>
              </w:rPr>
              <w:t>C MARITZ</w:t>
            </w:r>
          </w:p>
          <w:p w:rsidR="00AB08C4" w:rsidRPr="00D24453" w:rsidRDefault="00AB08C4" w:rsidP="00AB08C4">
            <w:pPr>
              <w:spacing w:line="360" w:lineRule="auto"/>
              <w:jc w:val="center"/>
              <w:rPr>
                <w:rFonts w:ascii="Arial" w:hAnsi="Arial" w:cs="Arial"/>
                <w:i/>
                <w:sz w:val="24"/>
                <w:szCs w:val="24"/>
              </w:rPr>
            </w:pPr>
            <w:r w:rsidRPr="00D24453">
              <w:rPr>
                <w:rFonts w:ascii="Arial" w:hAnsi="Arial" w:cs="Arial"/>
                <w:i/>
                <w:sz w:val="24"/>
                <w:szCs w:val="24"/>
              </w:rPr>
              <w:t>of</w:t>
            </w:r>
          </w:p>
          <w:p w:rsidR="00AB08C4" w:rsidRPr="00D24453" w:rsidRDefault="00AB08C4" w:rsidP="00AB08C4">
            <w:pPr>
              <w:spacing w:line="360" w:lineRule="auto"/>
              <w:jc w:val="center"/>
              <w:rPr>
                <w:rFonts w:ascii="Arial" w:hAnsi="Arial" w:cs="Arial"/>
                <w:sz w:val="24"/>
                <w:szCs w:val="24"/>
              </w:rPr>
            </w:pPr>
            <w:r>
              <w:rPr>
                <w:rFonts w:ascii="Arial" w:hAnsi="Arial" w:cs="Arial"/>
                <w:sz w:val="24"/>
                <w:szCs w:val="24"/>
              </w:rPr>
              <w:t>Koep &amp; Partners</w:t>
            </w:r>
            <w:r w:rsidRPr="00D24453">
              <w:rPr>
                <w:rFonts w:ascii="Arial" w:hAnsi="Arial" w:cs="Arial"/>
                <w:sz w:val="24"/>
                <w:szCs w:val="24"/>
              </w:rPr>
              <w:t>, Windhoek</w:t>
            </w:r>
          </w:p>
          <w:p w:rsidR="00B40844" w:rsidRPr="00CA7995" w:rsidRDefault="00B40844" w:rsidP="00937C89">
            <w:pPr>
              <w:spacing w:line="360" w:lineRule="auto"/>
              <w:jc w:val="center"/>
              <w:rPr>
                <w:rFonts w:ascii="Arial" w:hAnsi="Arial" w:cs="Arial"/>
                <w:sz w:val="24"/>
                <w:szCs w:val="24"/>
              </w:rPr>
            </w:pPr>
          </w:p>
        </w:tc>
      </w:tr>
    </w:tbl>
    <w:p w:rsidR="00B845CF" w:rsidRPr="00442A89" w:rsidRDefault="00B845CF" w:rsidP="00442A89">
      <w:pPr>
        <w:jc w:val="both"/>
        <w:rPr>
          <w:rFonts w:ascii="Arial" w:hAnsi="Arial" w:cs="Arial"/>
          <w:sz w:val="24"/>
          <w:szCs w:val="24"/>
        </w:rPr>
      </w:pPr>
    </w:p>
    <w:sectPr w:rsidR="00B845CF" w:rsidRPr="00442A89" w:rsidSect="00C52ED6">
      <w:headerReference w:type="default" r:id="rId9"/>
      <w:footerReference w:type="default" r:id="rId10"/>
      <w:pgSz w:w="11906" w:h="16838"/>
      <w:pgMar w:top="851"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B09" w:rsidRDefault="00ED5B09" w:rsidP="00B40844">
      <w:pPr>
        <w:spacing w:after="0" w:line="240" w:lineRule="auto"/>
      </w:pPr>
      <w:r>
        <w:separator/>
      </w:r>
    </w:p>
  </w:endnote>
  <w:endnote w:type="continuationSeparator" w:id="0">
    <w:p w:rsidR="00ED5B09" w:rsidRDefault="00ED5B09"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471871"/>
      <w:docPartObj>
        <w:docPartGallery w:val="Page Numbers (Bottom of Page)"/>
        <w:docPartUnique/>
      </w:docPartObj>
    </w:sdtPr>
    <w:sdtEndPr>
      <w:rPr>
        <w:rFonts w:ascii="Arial" w:hAnsi="Arial" w:cs="Arial"/>
        <w:noProof/>
        <w:sz w:val="20"/>
        <w:szCs w:val="20"/>
      </w:rPr>
    </w:sdtEndPr>
    <w:sdtContent>
      <w:p w:rsidR="00937C89" w:rsidRPr="00F674F4" w:rsidRDefault="00937C89">
        <w:pPr>
          <w:pStyle w:val="Footer"/>
          <w:jc w:val="right"/>
          <w:rPr>
            <w:rFonts w:ascii="Arial" w:hAnsi="Arial" w:cs="Arial"/>
            <w:sz w:val="20"/>
            <w:szCs w:val="20"/>
          </w:rPr>
        </w:pPr>
        <w:r w:rsidRPr="00F674F4">
          <w:rPr>
            <w:rFonts w:ascii="Arial" w:hAnsi="Arial" w:cs="Arial"/>
            <w:sz w:val="20"/>
            <w:szCs w:val="20"/>
          </w:rPr>
          <w:fldChar w:fldCharType="begin"/>
        </w:r>
        <w:r w:rsidRPr="00F674F4">
          <w:rPr>
            <w:rFonts w:ascii="Arial" w:hAnsi="Arial" w:cs="Arial"/>
            <w:sz w:val="20"/>
            <w:szCs w:val="20"/>
          </w:rPr>
          <w:instrText xml:space="preserve"> PAGE   \* MERGEFORMAT </w:instrText>
        </w:r>
        <w:r w:rsidRPr="00F674F4">
          <w:rPr>
            <w:rFonts w:ascii="Arial" w:hAnsi="Arial" w:cs="Arial"/>
            <w:sz w:val="20"/>
            <w:szCs w:val="20"/>
          </w:rPr>
          <w:fldChar w:fldCharType="separate"/>
        </w:r>
        <w:r w:rsidR="00A04C5D">
          <w:rPr>
            <w:rFonts w:ascii="Arial" w:hAnsi="Arial" w:cs="Arial"/>
            <w:noProof/>
            <w:sz w:val="20"/>
            <w:szCs w:val="20"/>
          </w:rPr>
          <w:t>2</w:t>
        </w:r>
        <w:r w:rsidRPr="00F674F4">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B09" w:rsidRDefault="00ED5B09" w:rsidP="00B40844">
      <w:pPr>
        <w:spacing w:after="0" w:line="240" w:lineRule="auto"/>
      </w:pPr>
      <w:r>
        <w:separator/>
      </w:r>
    </w:p>
  </w:footnote>
  <w:footnote w:type="continuationSeparator" w:id="0">
    <w:p w:rsidR="00ED5B09" w:rsidRDefault="00ED5B09" w:rsidP="00B40844">
      <w:pPr>
        <w:spacing w:after="0" w:line="240" w:lineRule="auto"/>
      </w:pPr>
      <w:r>
        <w:continuationSeparator/>
      </w:r>
    </w:p>
  </w:footnote>
  <w:footnote w:id="1">
    <w:p w:rsidR="00063D2B" w:rsidRPr="00442A89" w:rsidRDefault="00063D2B" w:rsidP="00442A89">
      <w:pPr>
        <w:pStyle w:val="FootnoteText"/>
        <w:jc w:val="both"/>
        <w:rPr>
          <w:rFonts w:ascii="Arial" w:hAnsi="Arial" w:cs="Arial"/>
          <w:lang w:val="en-US"/>
        </w:rPr>
      </w:pPr>
      <w:r w:rsidRPr="00442A89">
        <w:rPr>
          <w:rStyle w:val="FootnoteReference"/>
          <w:rFonts w:ascii="Arial" w:hAnsi="Arial" w:cs="Arial"/>
        </w:rPr>
        <w:footnoteRef/>
      </w:r>
      <w:r w:rsidRPr="00442A89">
        <w:rPr>
          <w:rFonts w:ascii="Arial" w:hAnsi="Arial" w:cs="Arial"/>
        </w:rPr>
        <w:t xml:space="preserve"> </w:t>
      </w:r>
      <w:r w:rsidRPr="00442A89">
        <w:rPr>
          <w:rFonts w:ascii="Arial" w:hAnsi="Arial" w:cs="Arial"/>
          <w:i/>
          <w:lang w:val="en-US"/>
        </w:rPr>
        <w:t>Road Fund Administration v Scorpion Mining Company (PTY) LTD</w:t>
      </w:r>
      <w:r w:rsidRPr="00442A89">
        <w:rPr>
          <w:rFonts w:ascii="Arial" w:hAnsi="Arial" w:cs="Arial"/>
          <w:lang w:val="en-US"/>
        </w:rPr>
        <w:t xml:space="preserve"> (38 of 2016) [2018] NASC 398 (13 July 2018)</w:t>
      </w:r>
      <w:r w:rsidR="00442A89">
        <w:rPr>
          <w:rFonts w:ascii="Arial" w:hAnsi="Arial" w:cs="Arial"/>
          <w:lang w:val="en-US"/>
        </w:rPr>
        <w:t>.</w:t>
      </w:r>
    </w:p>
  </w:footnote>
  <w:footnote w:id="2">
    <w:p w:rsidR="00D15FF5" w:rsidRPr="00442A89" w:rsidRDefault="00D15FF5" w:rsidP="00442A89">
      <w:pPr>
        <w:pStyle w:val="FootnoteText"/>
        <w:jc w:val="both"/>
        <w:rPr>
          <w:rFonts w:ascii="Arial" w:hAnsi="Arial" w:cs="Arial"/>
        </w:rPr>
      </w:pPr>
      <w:r w:rsidRPr="00442A89">
        <w:rPr>
          <w:rStyle w:val="FootnoteReference"/>
          <w:rFonts w:ascii="Arial" w:hAnsi="Arial" w:cs="Arial"/>
        </w:rPr>
        <w:footnoteRef/>
      </w:r>
      <w:r w:rsidRPr="00442A89">
        <w:rPr>
          <w:rFonts w:ascii="Arial" w:hAnsi="Arial" w:cs="Arial"/>
        </w:rPr>
        <w:t xml:space="preserve"> Petrus T Damaseb: Court –Managed Civil Procedure of the High Court of Namibia First Edition, p 119</w:t>
      </w:r>
      <w:r w:rsidR="00442A89">
        <w:rPr>
          <w:rFonts w:ascii="Arial" w:hAnsi="Arial" w:cs="Arial"/>
        </w:rPr>
        <w:t>.</w:t>
      </w:r>
    </w:p>
  </w:footnote>
  <w:footnote w:id="3">
    <w:p w:rsidR="00D15FF5" w:rsidRPr="00D15FF5" w:rsidRDefault="00D15FF5" w:rsidP="00D15FF5">
      <w:pPr>
        <w:pStyle w:val="FootnoteText"/>
        <w:jc w:val="both"/>
        <w:rPr>
          <w:rFonts w:ascii="Arial" w:hAnsi="Arial" w:cs="Arial"/>
        </w:rPr>
      </w:pPr>
      <w:r w:rsidRPr="00D15FF5">
        <w:rPr>
          <w:rStyle w:val="FootnoteReference"/>
          <w:rFonts w:ascii="Arial" w:hAnsi="Arial" w:cs="Arial"/>
        </w:rPr>
        <w:footnoteRef/>
      </w:r>
      <w:r w:rsidRPr="00D15FF5">
        <w:rPr>
          <w:rFonts w:ascii="Arial" w:hAnsi="Arial" w:cs="Arial"/>
        </w:rPr>
        <w:t xml:space="preserve"> </w:t>
      </w:r>
      <w:r w:rsidRPr="00D15FF5">
        <w:rPr>
          <w:rFonts w:ascii="Arial" w:hAnsi="Arial" w:cs="Arial"/>
          <w:i/>
        </w:rPr>
        <w:t>Salomon v De Klerk</w:t>
      </w:r>
      <w:r w:rsidRPr="00D15FF5">
        <w:rPr>
          <w:rFonts w:ascii="Arial" w:hAnsi="Arial" w:cs="Arial"/>
        </w:rPr>
        <w:t xml:space="preserve"> 2009 (1) NR 77 (HC)</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370243"/>
      <w:docPartObj>
        <w:docPartGallery w:val="Page Numbers (Top of Page)"/>
        <w:docPartUnique/>
      </w:docPartObj>
    </w:sdtPr>
    <w:sdtEndPr>
      <w:rPr>
        <w:noProof/>
      </w:rPr>
    </w:sdtEndPr>
    <w:sdtContent>
      <w:p w:rsidR="00A95682" w:rsidRDefault="00A95682">
        <w:pPr>
          <w:pStyle w:val="Header"/>
          <w:jc w:val="right"/>
        </w:pPr>
        <w:r>
          <w:fldChar w:fldCharType="begin"/>
        </w:r>
        <w:r>
          <w:instrText xml:space="preserve"> PAGE   \* MERGEFORMAT </w:instrText>
        </w:r>
        <w:r>
          <w:fldChar w:fldCharType="separate"/>
        </w:r>
        <w:r w:rsidR="00A04C5D">
          <w:rPr>
            <w:noProof/>
          </w:rPr>
          <w:t>2</w:t>
        </w:r>
        <w:r>
          <w:rPr>
            <w:noProof/>
          </w:rPr>
          <w:fldChar w:fldCharType="end"/>
        </w:r>
      </w:p>
    </w:sdtContent>
  </w:sdt>
  <w:p w:rsidR="00A95682" w:rsidRDefault="00A95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7857689"/>
    <w:multiLevelType w:val="hybridMultilevel"/>
    <w:tmpl w:val="6B88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142CE"/>
    <w:rsid w:val="00015808"/>
    <w:rsid w:val="00024F0E"/>
    <w:rsid w:val="00030A66"/>
    <w:rsid w:val="00052806"/>
    <w:rsid w:val="00053646"/>
    <w:rsid w:val="00063D2B"/>
    <w:rsid w:val="000761CF"/>
    <w:rsid w:val="000929C5"/>
    <w:rsid w:val="000A6E7F"/>
    <w:rsid w:val="000F39A3"/>
    <w:rsid w:val="000F681E"/>
    <w:rsid w:val="00116AFB"/>
    <w:rsid w:val="001223B7"/>
    <w:rsid w:val="00124C63"/>
    <w:rsid w:val="001425DC"/>
    <w:rsid w:val="00152FEA"/>
    <w:rsid w:val="0018718C"/>
    <w:rsid w:val="001B3825"/>
    <w:rsid w:val="001B494D"/>
    <w:rsid w:val="001E097B"/>
    <w:rsid w:val="00217744"/>
    <w:rsid w:val="00224808"/>
    <w:rsid w:val="002317B0"/>
    <w:rsid w:val="0023549A"/>
    <w:rsid w:val="002411C1"/>
    <w:rsid w:val="002536EA"/>
    <w:rsid w:val="00276736"/>
    <w:rsid w:val="002A4AA3"/>
    <w:rsid w:val="002B38E0"/>
    <w:rsid w:val="002B397D"/>
    <w:rsid w:val="002C1EF6"/>
    <w:rsid w:val="002D20C5"/>
    <w:rsid w:val="002E123F"/>
    <w:rsid w:val="002E738E"/>
    <w:rsid w:val="0031523D"/>
    <w:rsid w:val="00322F39"/>
    <w:rsid w:val="00323AAF"/>
    <w:rsid w:val="00323E22"/>
    <w:rsid w:val="00340EA6"/>
    <w:rsid w:val="00343742"/>
    <w:rsid w:val="00371B8F"/>
    <w:rsid w:val="003750B1"/>
    <w:rsid w:val="0038382D"/>
    <w:rsid w:val="003A18AD"/>
    <w:rsid w:val="003C2574"/>
    <w:rsid w:val="003D165C"/>
    <w:rsid w:val="003D3059"/>
    <w:rsid w:val="00404B70"/>
    <w:rsid w:val="00412278"/>
    <w:rsid w:val="00426C60"/>
    <w:rsid w:val="00431A65"/>
    <w:rsid w:val="004352E5"/>
    <w:rsid w:val="004358E2"/>
    <w:rsid w:val="00436C2B"/>
    <w:rsid w:val="00442A89"/>
    <w:rsid w:val="00463486"/>
    <w:rsid w:val="004665B1"/>
    <w:rsid w:val="00466B36"/>
    <w:rsid w:val="00474C2A"/>
    <w:rsid w:val="00475B7A"/>
    <w:rsid w:val="004907E4"/>
    <w:rsid w:val="004936A7"/>
    <w:rsid w:val="004A2D48"/>
    <w:rsid w:val="004C646F"/>
    <w:rsid w:val="00503F36"/>
    <w:rsid w:val="00535F29"/>
    <w:rsid w:val="00536EFF"/>
    <w:rsid w:val="005629DA"/>
    <w:rsid w:val="00587874"/>
    <w:rsid w:val="00594F6C"/>
    <w:rsid w:val="005A4D90"/>
    <w:rsid w:val="005B62A0"/>
    <w:rsid w:val="005C0E24"/>
    <w:rsid w:val="005C21D7"/>
    <w:rsid w:val="005C3354"/>
    <w:rsid w:val="005E066D"/>
    <w:rsid w:val="005F325C"/>
    <w:rsid w:val="005F32EB"/>
    <w:rsid w:val="00610BF1"/>
    <w:rsid w:val="006115E2"/>
    <w:rsid w:val="006678D1"/>
    <w:rsid w:val="00672C76"/>
    <w:rsid w:val="00695745"/>
    <w:rsid w:val="006976D9"/>
    <w:rsid w:val="006A0BA4"/>
    <w:rsid w:val="006A3F29"/>
    <w:rsid w:val="006B7521"/>
    <w:rsid w:val="006D0991"/>
    <w:rsid w:val="006D264B"/>
    <w:rsid w:val="006D7087"/>
    <w:rsid w:val="006D7450"/>
    <w:rsid w:val="006E0FD4"/>
    <w:rsid w:val="00702C62"/>
    <w:rsid w:val="00703171"/>
    <w:rsid w:val="00716E66"/>
    <w:rsid w:val="00736DA4"/>
    <w:rsid w:val="00746C0C"/>
    <w:rsid w:val="00766C68"/>
    <w:rsid w:val="0078274D"/>
    <w:rsid w:val="007853D8"/>
    <w:rsid w:val="007950C8"/>
    <w:rsid w:val="007D0792"/>
    <w:rsid w:val="007D6C74"/>
    <w:rsid w:val="007F68C4"/>
    <w:rsid w:val="008006A3"/>
    <w:rsid w:val="00812409"/>
    <w:rsid w:val="00812772"/>
    <w:rsid w:val="00813253"/>
    <w:rsid w:val="00813E24"/>
    <w:rsid w:val="00816D42"/>
    <w:rsid w:val="00816D5D"/>
    <w:rsid w:val="00821A0C"/>
    <w:rsid w:val="008275AC"/>
    <w:rsid w:val="008314E0"/>
    <w:rsid w:val="008329E9"/>
    <w:rsid w:val="00835300"/>
    <w:rsid w:val="00882F73"/>
    <w:rsid w:val="00890A20"/>
    <w:rsid w:val="00892D9A"/>
    <w:rsid w:val="008A1447"/>
    <w:rsid w:val="008C2200"/>
    <w:rsid w:val="008E0730"/>
    <w:rsid w:val="008F59A0"/>
    <w:rsid w:val="009279BE"/>
    <w:rsid w:val="00937C89"/>
    <w:rsid w:val="009733A9"/>
    <w:rsid w:val="009919F6"/>
    <w:rsid w:val="00997C11"/>
    <w:rsid w:val="009A7A59"/>
    <w:rsid w:val="009C35C9"/>
    <w:rsid w:val="009C6F3F"/>
    <w:rsid w:val="009D1768"/>
    <w:rsid w:val="009D27E8"/>
    <w:rsid w:val="009F773F"/>
    <w:rsid w:val="00A04C5D"/>
    <w:rsid w:val="00A10E40"/>
    <w:rsid w:val="00A15CD1"/>
    <w:rsid w:val="00A22E0F"/>
    <w:rsid w:val="00A26B7B"/>
    <w:rsid w:val="00A3327E"/>
    <w:rsid w:val="00A50F13"/>
    <w:rsid w:val="00A66511"/>
    <w:rsid w:val="00A75ED6"/>
    <w:rsid w:val="00A90D13"/>
    <w:rsid w:val="00A95682"/>
    <w:rsid w:val="00AA3ECB"/>
    <w:rsid w:val="00AB08C4"/>
    <w:rsid w:val="00AD72DD"/>
    <w:rsid w:val="00AE2B51"/>
    <w:rsid w:val="00B01B6C"/>
    <w:rsid w:val="00B121EA"/>
    <w:rsid w:val="00B40844"/>
    <w:rsid w:val="00B433BD"/>
    <w:rsid w:val="00B47800"/>
    <w:rsid w:val="00B50C99"/>
    <w:rsid w:val="00B56E34"/>
    <w:rsid w:val="00B5737E"/>
    <w:rsid w:val="00B61AC7"/>
    <w:rsid w:val="00B808CB"/>
    <w:rsid w:val="00B845CF"/>
    <w:rsid w:val="00B92DE7"/>
    <w:rsid w:val="00B9407E"/>
    <w:rsid w:val="00BB13F4"/>
    <w:rsid w:val="00BB3273"/>
    <w:rsid w:val="00BC5931"/>
    <w:rsid w:val="00BE31AD"/>
    <w:rsid w:val="00C02E2D"/>
    <w:rsid w:val="00C04F28"/>
    <w:rsid w:val="00C06EB4"/>
    <w:rsid w:val="00C2633E"/>
    <w:rsid w:val="00C52ED6"/>
    <w:rsid w:val="00C73D5D"/>
    <w:rsid w:val="00CA5751"/>
    <w:rsid w:val="00CA7995"/>
    <w:rsid w:val="00CC57E3"/>
    <w:rsid w:val="00CC7431"/>
    <w:rsid w:val="00CD62C0"/>
    <w:rsid w:val="00CF2332"/>
    <w:rsid w:val="00D113DD"/>
    <w:rsid w:val="00D15FF5"/>
    <w:rsid w:val="00D24453"/>
    <w:rsid w:val="00D250B6"/>
    <w:rsid w:val="00D25285"/>
    <w:rsid w:val="00D30D4D"/>
    <w:rsid w:val="00D37DAA"/>
    <w:rsid w:val="00D5070E"/>
    <w:rsid w:val="00D547B6"/>
    <w:rsid w:val="00D6224D"/>
    <w:rsid w:val="00D80947"/>
    <w:rsid w:val="00D960EA"/>
    <w:rsid w:val="00DB3B82"/>
    <w:rsid w:val="00DB5AA2"/>
    <w:rsid w:val="00DD76E7"/>
    <w:rsid w:val="00DF1BE6"/>
    <w:rsid w:val="00E0573A"/>
    <w:rsid w:val="00E221FD"/>
    <w:rsid w:val="00E41BE5"/>
    <w:rsid w:val="00E533BE"/>
    <w:rsid w:val="00E62DB3"/>
    <w:rsid w:val="00E96F9E"/>
    <w:rsid w:val="00EA2DE2"/>
    <w:rsid w:val="00EB1AE0"/>
    <w:rsid w:val="00ED5B09"/>
    <w:rsid w:val="00ED5B76"/>
    <w:rsid w:val="00ED7008"/>
    <w:rsid w:val="00ED76B2"/>
    <w:rsid w:val="00EF184A"/>
    <w:rsid w:val="00EF2FFD"/>
    <w:rsid w:val="00F0235A"/>
    <w:rsid w:val="00F05CAB"/>
    <w:rsid w:val="00F0783D"/>
    <w:rsid w:val="00F17C62"/>
    <w:rsid w:val="00F65529"/>
    <w:rsid w:val="00F65903"/>
    <w:rsid w:val="00F72231"/>
    <w:rsid w:val="00F7691A"/>
    <w:rsid w:val="00F82EDF"/>
    <w:rsid w:val="00F92D04"/>
    <w:rsid w:val="00FB2E9E"/>
    <w:rsid w:val="00FB5F14"/>
    <w:rsid w:val="00FC2237"/>
    <w:rsid w:val="00FC6F2E"/>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063D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A95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682"/>
    <w:rPr>
      <w:lang w:val="en-ZA"/>
    </w:rPr>
  </w:style>
  <w:style w:type="character" w:customStyle="1" w:styleId="Heading1Char">
    <w:name w:val="Heading 1 Char"/>
    <w:basedOn w:val="DefaultParagraphFont"/>
    <w:link w:val="Heading1"/>
    <w:uiPriority w:val="9"/>
    <w:rsid w:val="00063D2B"/>
    <w:rPr>
      <w:rFonts w:asciiTheme="majorHAnsi" w:eastAsiaTheme="majorEastAsia" w:hAnsiTheme="majorHAnsi" w:cstheme="majorBidi"/>
      <w:color w:val="2E74B5" w:themeColor="accent1" w:themeShade="B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2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2023-06-05T18:30:00+00:00</Judgment_x0020_Date>
    <Year xmlns="c1afb1bd-f2fb-40fd-9abb-aea55b4d7662">2023</Year>
  </documentManagement>
</p:properties>
</file>

<file path=customXml/itemProps1.xml><?xml version="1.0" encoding="utf-8"?>
<ds:datastoreItem xmlns:ds="http://schemas.openxmlformats.org/officeDocument/2006/customXml" ds:itemID="{8466BCC3-4693-4FF6-84B2-3577C0D004DF}"/>
</file>

<file path=customXml/itemProps2.xml><?xml version="1.0" encoding="utf-8"?>
<ds:datastoreItem xmlns:ds="http://schemas.openxmlformats.org/officeDocument/2006/customXml" ds:itemID="{B9C0C382-6952-4AA1-9A54-F0A0E56BE496}"/>
</file>

<file path=customXml/itemProps3.xml><?xml version="1.0" encoding="utf-8"?>
<ds:datastoreItem xmlns:ds="http://schemas.openxmlformats.org/officeDocument/2006/customXml" ds:itemID="{EC582DCB-D7BB-48DA-AE8A-7B2E5AC72518}"/>
</file>

<file path=customXml/itemProps4.xml><?xml version="1.0" encoding="utf-8"?>
<ds:datastoreItem xmlns:ds="http://schemas.openxmlformats.org/officeDocument/2006/customXml" ds:itemID="{5678DFB8-16FC-44A9-9251-F6A1DD56D5F8}"/>
</file>

<file path=docProps/app.xml><?xml version="1.0" encoding="utf-8"?>
<Properties xmlns="http://schemas.openxmlformats.org/officeDocument/2006/extended-properties" xmlns:vt="http://schemas.openxmlformats.org/officeDocument/2006/docPropsVTypes">
  <Template>Normal</Template>
  <TotalTime>1</TotalTime>
  <Pages>6</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Caterpillar Financial Services South Africa Proprietary Limited v Kamuvare Assets Management Commercial (Pty) Ltd (HC-MD-CIV-ACT-CON-2022-05168) [2023] NAHCMD 297 (6 June 2023)</dc:title>
  <dc:subject/>
  <dc:creator>shomany keister</dc:creator>
  <cp:keywords/>
  <dc:description/>
  <cp:lastModifiedBy>Eklien P Kharases</cp:lastModifiedBy>
  <cp:revision>2</cp:revision>
  <cp:lastPrinted>2023-06-06T08:19:00Z</cp:lastPrinted>
  <dcterms:created xsi:type="dcterms:W3CDTF">2023-06-06T08:33:00Z</dcterms:created>
  <dcterms:modified xsi:type="dcterms:W3CDTF">2023-06-06T08:33:00Z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