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211DE9" w:rsidP="00B40844">
      <w:pPr>
        <w:spacing w:after="0" w:line="360" w:lineRule="auto"/>
        <w:jc w:val="center"/>
        <w:rPr>
          <w:rFonts w:ascii="Arial" w:hAnsi="Arial" w:cs="Arial"/>
          <w:b/>
          <w:sz w:val="24"/>
          <w:szCs w:val="24"/>
        </w:rPr>
      </w:pPr>
      <w:r>
        <w:rPr>
          <w:rFonts w:ascii="Arial" w:hAnsi="Arial" w:cs="Arial"/>
          <w:b/>
          <w:sz w:val="24"/>
          <w:szCs w:val="24"/>
        </w:rPr>
        <w:t xml:space="preserve">RULING </w:t>
      </w:r>
      <w:r w:rsidR="00B931B5">
        <w:rPr>
          <w:rFonts w:ascii="Arial" w:hAnsi="Arial" w:cs="Arial"/>
          <w:b/>
          <w:sz w:val="24"/>
          <w:szCs w:val="24"/>
        </w:rPr>
        <w:t>IN CHAMBERS</w:t>
      </w:r>
    </w:p>
    <w:p w:rsidR="00A6151E" w:rsidRDefault="00A6151E" w:rsidP="00A6151E">
      <w:pPr>
        <w:spacing w:after="0" w:line="360" w:lineRule="auto"/>
        <w:jc w:val="center"/>
        <w:rPr>
          <w:rFonts w:ascii="Arial" w:hAnsi="Arial" w:cs="Arial"/>
          <w:b/>
          <w:sz w:val="24"/>
          <w:szCs w:val="24"/>
        </w:rPr>
      </w:pPr>
      <w:r>
        <w:rPr>
          <w:rFonts w:ascii="Arial" w:hAnsi="Arial" w:cs="Arial"/>
          <w:b/>
          <w:sz w:val="24"/>
          <w:szCs w:val="24"/>
        </w:rPr>
        <w:t>PRACTICE DIRECTIVE 61</w:t>
      </w:r>
    </w:p>
    <w:p w:rsidR="00B40844" w:rsidRPr="00A6151E"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B931B5" w:rsidRDefault="00661194" w:rsidP="00661194">
            <w:pPr>
              <w:jc w:val="both"/>
              <w:rPr>
                <w:rFonts w:ascii="Arial" w:hAnsi="Arial" w:cs="Arial"/>
                <w:sz w:val="24"/>
                <w:szCs w:val="24"/>
              </w:rPr>
            </w:pPr>
            <w:r w:rsidRPr="00B931B5">
              <w:rPr>
                <w:rFonts w:ascii="Arial" w:hAnsi="Arial" w:cs="Arial"/>
                <w:sz w:val="24"/>
                <w:szCs w:val="24"/>
              </w:rPr>
              <w:t xml:space="preserve">DR KAZUVIRE VEII </w:t>
            </w:r>
            <w:r w:rsidR="00136505" w:rsidRPr="00B931B5">
              <w:rPr>
                <w:rFonts w:ascii="Arial" w:hAnsi="Arial" w:cs="Arial"/>
                <w:sz w:val="24"/>
                <w:szCs w:val="24"/>
                <w:shd w:val="clear" w:color="auto" w:fill="FFFFFF"/>
              </w:rPr>
              <w:t xml:space="preserve">// </w:t>
            </w:r>
            <w:r w:rsidRPr="00B931B5">
              <w:rPr>
                <w:rFonts w:ascii="Arial" w:hAnsi="Arial" w:cs="Arial"/>
                <w:sz w:val="24"/>
                <w:szCs w:val="24"/>
              </w:rPr>
              <w:t>DAJA PROPERTY DEVELOPERS CLOSE CORPORATION</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B931B5" w:rsidRDefault="00B931B5" w:rsidP="00937C89">
            <w:pPr>
              <w:spacing w:line="360" w:lineRule="auto"/>
              <w:jc w:val="both"/>
              <w:rPr>
                <w:rFonts w:ascii="Arial" w:hAnsi="Arial" w:cs="Arial"/>
                <w:sz w:val="24"/>
                <w:szCs w:val="24"/>
                <w:shd w:val="clear" w:color="auto" w:fill="FFFFFF"/>
              </w:rPr>
            </w:pPr>
            <w:r w:rsidRPr="00B931B5">
              <w:rPr>
                <w:rFonts w:ascii="Arial" w:hAnsi="Arial" w:cs="Arial"/>
                <w:sz w:val="24"/>
                <w:szCs w:val="24"/>
              </w:rPr>
              <w:t>HC-MD-CIV-ACT-CON-2020/05002</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A31E0C">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 xml:space="preserve">Date </w:t>
            </w:r>
            <w:r w:rsidR="00B931B5">
              <w:rPr>
                <w:rFonts w:ascii="Arial" w:hAnsi="Arial" w:cs="Arial"/>
                <w:b/>
                <w:sz w:val="24"/>
                <w:szCs w:val="24"/>
              </w:rPr>
              <w:t>Determined</w:t>
            </w:r>
            <w:r w:rsidRPr="00CA7995">
              <w:rPr>
                <w:rFonts w:ascii="Arial" w:hAnsi="Arial" w:cs="Arial"/>
                <w:b/>
                <w:sz w:val="24"/>
                <w:szCs w:val="24"/>
              </w:rPr>
              <w:t>:</w:t>
            </w:r>
          </w:p>
          <w:p w:rsidR="00B40844" w:rsidRPr="00CA7995" w:rsidRDefault="00B931B5" w:rsidP="00B931B5">
            <w:pPr>
              <w:spacing w:line="360" w:lineRule="auto"/>
              <w:jc w:val="both"/>
              <w:rPr>
                <w:rFonts w:ascii="Arial" w:hAnsi="Arial" w:cs="Arial"/>
                <w:sz w:val="24"/>
                <w:szCs w:val="24"/>
              </w:rPr>
            </w:pPr>
            <w:r>
              <w:rPr>
                <w:rFonts w:ascii="Arial" w:hAnsi="Arial" w:cs="Arial"/>
                <w:sz w:val="24"/>
                <w:szCs w:val="24"/>
              </w:rPr>
              <w:t>10</w:t>
            </w:r>
            <w:r w:rsidR="00C2633E">
              <w:rPr>
                <w:rFonts w:ascii="Arial" w:hAnsi="Arial" w:cs="Arial"/>
                <w:sz w:val="24"/>
                <w:szCs w:val="24"/>
              </w:rPr>
              <w:t xml:space="preserve"> </w:t>
            </w:r>
            <w:r>
              <w:rPr>
                <w:rFonts w:ascii="Arial" w:hAnsi="Arial" w:cs="Arial"/>
                <w:sz w:val="24"/>
                <w:szCs w:val="24"/>
              </w:rPr>
              <w:t>MAY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B931B5" w:rsidP="00211DE9">
            <w:pPr>
              <w:spacing w:line="360" w:lineRule="auto"/>
              <w:jc w:val="both"/>
              <w:rPr>
                <w:rFonts w:ascii="Arial" w:hAnsi="Arial" w:cs="Arial"/>
                <w:b/>
                <w:sz w:val="24"/>
                <w:szCs w:val="24"/>
              </w:rPr>
            </w:pPr>
            <w:r>
              <w:rPr>
                <w:rFonts w:ascii="Arial" w:hAnsi="Arial" w:cs="Arial"/>
                <w:sz w:val="24"/>
                <w:szCs w:val="24"/>
              </w:rPr>
              <w:t>7</w:t>
            </w:r>
            <w:r w:rsidR="00136505">
              <w:rPr>
                <w:rFonts w:ascii="Arial" w:hAnsi="Arial" w:cs="Arial"/>
                <w:sz w:val="24"/>
                <w:szCs w:val="24"/>
              </w:rPr>
              <w:t xml:space="preserve"> </w:t>
            </w:r>
            <w:r w:rsidR="00211DE9">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B40844" w:rsidP="00B65E6B">
            <w:pPr>
              <w:spacing w:line="360" w:lineRule="auto"/>
              <w:ind w:left="2019" w:hanging="2019"/>
              <w:jc w:val="both"/>
              <w:rPr>
                <w:rFonts w:ascii="Arial" w:hAnsi="Arial" w:cs="Arial"/>
                <w:sz w:val="24"/>
                <w:szCs w:val="24"/>
              </w:rPr>
            </w:pPr>
            <w:r w:rsidRPr="00CA7995">
              <w:rPr>
                <w:rFonts w:ascii="Arial" w:hAnsi="Arial" w:cs="Arial"/>
                <w:b/>
                <w:sz w:val="24"/>
                <w:szCs w:val="24"/>
              </w:rPr>
              <w:t xml:space="preserve">Neutral citation: </w:t>
            </w:r>
            <w:r w:rsidR="00211DE9">
              <w:rPr>
                <w:rFonts w:ascii="Arial" w:hAnsi="Arial" w:cs="Arial"/>
                <w:b/>
                <w:sz w:val="24"/>
                <w:szCs w:val="24"/>
              </w:rPr>
              <w:t xml:space="preserve"> </w:t>
            </w:r>
            <w:r w:rsidR="00211DE9">
              <w:rPr>
                <w:rFonts w:ascii="Arial" w:hAnsi="Arial" w:cs="Arial"/>
                <w:sz w:val="24"/>
                <w:szCs w:val="24"/>
                <w:shd w:val="clear" w:color="auto" w:fill="FFFFFF"/>
              </w:rPr>
              <w:t>Dr Veii</w:t>
            </w:r>
            <w:r w:rsidR="00211DE9">
              <w:rPr>
                <w:rFonts w:ascii="Arial" w:hAnsi="Arial" w:cs="Arial"/>
                <w:i/>
                <w:sz w:val="24"/>
                <w:szCs w:val="24"/>
                <w:shd w:val="clear" w:color="auto" w:fill="FFFFFF"/>
              </w:rPr>
              <w:t xml:space="preserve"> </w:t>
            </w:r>
            <w:r w:rsidRPr="00CA7995">
              <w:rPr>
                <w:rFonts w:ascii="Arial" w:hAnsi="Arial" w:cs="Arial"/>
                <w:i/>
                <w:sz w:val="24"/>
                <w:szCs w:val="24"/>
                <w:shd w:val="clear" w:color="auto" w:fill="FFFFFF"/>
              </w:rPr>
              <w:t xml:space="preserve">v </w:t>
            </w:r>
            <w:proofErr w:type="spellStart"/>
            <w:r w:rsidR="00211DE9">
              <w:rPr>
                <w:rFonts w:ascii="Arial" w:hAnsi="Arial" w:cs="Arial"/>
                <w:i/>
                <w:sz w:val="24"/>
                <w:szCs w:val="24"/>
                <w:shd w:val="clear" w:color="auto" w:fill="FFFFFF"/>
              </w:rPr>
              <w:t>Daja</w:t>
            </w:r>
            <w:proofErr w:type="spellEnd"/>
            <w:r w:rsidR="00211DE9">
              <w:rPr>
                <w:rFonts w:ascii="Arial" w:hAnsi="Arial" w:cs="Arial"/>
                <w:i/>
                <w:sz w:val="24"/>
                <w:szCs w:val="24"/>
                <w:shd w:val="clear" w:color="auto" w:fill="FFFFFF"/>
              </w:rPr>
              <w:t xml:space="preserve"> Property Developers Close Corporation</w:t>
            </w:r>
            <w:r w:rsidRPr="00CA7995">
              <w:rPr>
                <w:rFonts w:ascii="Arial" w:hAnsi="Arial" w:cs="Arial"/>
                <w:sz w:val="24"/>
                <w:szCs w:val="24"/>
              </w:rPr>
              <w:t xml:space="preserve"> (</w:t>
            </w:r>
            <w:r w:rsidR="00B931B5" w:rsidRPr="00B931B5">
              <w:rPr>
                <w:rFonts w:ascii="Arial" w:hAnsi="Arial" w:cs="Arial"/>
                <w:sz w:val="24"/>
                <w:szCs w:val="24"/>
              </w:rPr>
              <w:t>HC-MD-CIV-ACT-CON-2020/05002</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B65E6B">
              <w:rPr>
                <w:rFonts w:ascii="Arial" w:hAnsi="Arial" w:cs="Arial"/>
                <w:sz w:val="24"/>
                <w:szCs w:val="24"/>
                <w:shd w:val="clear" w:color="auto" w:fill="FFFFFF" w:themeFill="background1"/>
              </w:rPr>
              <w:t>299</w:t>
            </w:r>
            <w:r w:rsidRPr="00CA7995">
              <w:rPr>
                <w:rFonts w:ascii="Arial" w:hAnsi="Arial" w:cs="Arial"/>
                <w:sz w:val="24"/>
                <w:szCs w:val="24"/>
              </w:rPr>
              <w:t xml:space="preserve"> (</w:t>
            </w:r>
            <w:r w:rsidR="00B931B5">
              <w:rPr>
                <w:rFonts w:ascii="Arial" w:hAnsi="Arial" w:cs="Arial"/>
                <w:sz w:val="24"/>
                <w:szCs w:val="24"/>
              </w:rPr>
              <w:t>7</w:t>
            </w:r>
            <w:r w:rsidR="00136505">
              <w:rPr>
                <w:rFonts w:ascii="Arial" w:hAnsi="Arial" w:cs="Arial"/>
                <w:sz w:val="24"/>
                <w:szCs w:val="24"/>
              </w:rPr>
              <w:t xml:space="preserve"> </w:t>
            </w:r>
            <w:r w:rsidR="00211DE9">
              <w:rPr>
                <w:rFonts w:ascii="Arial" w:hAnsi="Arial" w:cs="Arial"/>
                <w:sz w:val="24"/>
                <w:szCs w:val="24"/>
              </w:rPr>
              <w:t>June</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4A44BE" w:rsidRDefault="004A44BE" w:rsidP="004A44BE">
            <w:pPr>
              <w:spacing w:line="360" w:lineRule="auto"/>
              <w:ind w:left="743" w:hanging="710"/>
              <w:jc w:val="both"/>
              <w:rPr>
                <w:rFonts w:ascii="Arial" w:hAnsi="Arial" w:cs="Arial"/>
                <w:sz w:val="24"/>
                <w:szCs w:val="24"/>
              </w:rPr>
            </w:pPr>
          </w:p>
          <w:p w:rsidR="004A44BE" w:rsidRPr="004A44BE" w:rsidRDefault="004A44BE" w:rsidP="004A44BE">
            <w:pPr>
              <w:pStyle w:val="ListParagraph"/>
              <w:numPr>
                <w:ilvl w:val="0"/>
                <w:numId w:val="8"/>
              </w:numPr>
              <w:spacing w:line="360" w:lineRule="auto"/>
              <w:ind w:left="743" w:hanging="710"/>
              <w:jc w:val="both"/>
              <w:rPr>
                <w:rFonts w:ascii="Arial" w:hAnsi="Arial" w:cs="Arial"/>
                <w:sz w:val="24"/>
                <w:szCs w:val="24"/>
              </w:rPr>
            </w:pPr>
            <w:r w:rsidRPr="004A44BE">
              <w:rPr>
                <w:rFonts w:ascii="Arial" w:hAnsi="Arial" w:cs="Arial"/>
                <w:sz w:val="24"/>
                <w:szCs w:val="24"/>
              </w:rPr>
              <w:t>The application is dismissed.</w:t>
            </w:r>
          </w:p>
          <w:p w:rsidR="004A44BE" w:rsidRDefault="004A44BE" w:rsidP="004A44BE">
            <w:pPr>
              <w:spacing w:line="360" w:lineRule="auto"/>
              <w:ind w:left="743" w:hanging="710"/>
              <w:jc w:val="both"/>
              <w:rPr>
                <w:rFonts w:ascii="Arial" w:hAnsi="Arial" w:cs="Arial"/>
                <w:sz w:val="24"/>
                <w:szCs w:val="24"/>
              </w:rPr>
            </w:pPr>
          </w:p>
          <w:p w:rsidR="004A44BE" w:rsidRDefault="004A44BE" w:rsidP="004A44BE">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Pr>
                <w:rFonts w:ascii="Arial" w:hAnsi="Arial" w:cs="Arial"/>
                <w:sz w:val="24"/>
                <w:szCs w:val="24"/>
              </w:rPr>
              <w:t>There is no order as to costs.</w:t>
            </w:r>
          </w:p>
          <w:p w:rsidR="004A44BE" w:rsidRDefault="004A44BE" w:rsidP="004A44BE">
            <w:pPr>
              <w:spacing w:line="360" w:lineRule="auto"/>
              <w:ind w:left="743" w:hanging="710"/>
              <w:jc w:val="both"/>
              <w:rPr>
                <w:rFonts w:ascii="Arial" w:hAnsi="Arial" w:cs="Arial"/>
                <w:sz w:val="24"/>
                <w:szCs w:val="24"/>
              </w:rPr>
            </w:pPr>
          </w:p>
          <w:p w:rsidR="004A44BE" w:rsidRPr="00CA7995" w:rsidRDefault="004A44BE" w:rsidP="004A44BE">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matter is finalised and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Pr="00CA7995" w:rsidRDefault="00B40844"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482E25">
              <w:rPr>
                <w:rFonts w:ascii="Arial" w:hAnsi="Arial" w:cs="Arial"/>
                <w:sz w:val="24"/>
                <w:szCs w:val="24"/>
              </w:rPr>
              <w:t xml:space="preserve">This application is brought in terms of rule 75(1) of the rules of court to review the taxation of costs issued on 7 December 2022 by the taxing officer in an action under Case No. </w:t>
            </w:r>
            <w:r w:rsidR="00482E25" w:rsidRPr="00B931B5">
              <w:rPr>
                <w:rFonts w:ascii="Arial" w:hAnsi="Arial" w:cs="Arial"/>
                <w:sz w:val="24"/>
                <w:szCs w:val="24"/>
              </w:rPr>
              <w:t>HC-MD-</w:t>
            </w:r>
            <w:r w:rsidR="00482E25" w:rsidRPr="00B931B5">
              <w:rPr>
                <w:rFonts w:ascii="Arial" w:hAnsi="Arial" w:cs="Arial"/>
                <w:sz w:val="24"/>
                <w:szCs w:val="24"/>
              </w:rPr>
              <w:lastRenderedPageBreak/>
              <w:t>CIV-ACT-CON-2020/05002</w:t>
            </w:r>
            <w:r w:rsidR="00482E25">
              <w:rPr>
                <w:rFonts w:ascii="Arial" w:hAnsi="Arial" w:cs="Arial"/>
                <w:sz w:val="24"/>
                <w:szCs w:val="24"/>
              </w:rPr>
              <w:t>.  In the present review application, the defendant is the applicant and the pl</w:t>
            </w:r>
            <w:r w:rsidR="009B6C6E">
              <w:rPr>
                <w:rFonts w:ascii="Arial" w:hAnsi="Arial" w:cs="Arial"/>
                <w:sz w:val="24"/>
                <w:szCs w:val="24"/>
              </w:rPr>
              <w:t>aintiff is the first respondent</w:t>
            </w:r>
            <w:r w:rsidR="00482E25">
              <w:rPr>
                <w:rFonts w:ascii="Arial" w:hAnsi="Arial" w:cs="Arial"/>
                <w:sz w:val="24"/>
                <w:szCs w:val="24"/>
              </w:rPr>
              <w:t xml:space="preserve"> and the taxing officer the second respondent.  The defendant (applicant), being dissatisfied with the ruling of the taxing officer as to items objected to or disallowed requested the taxing officer to state a case for the decision of a judge.  And the respondent and the applicant had submitted their written contentions in compliance with rule 75(4) of the rules of court. </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AC44AB">
              <w:rPr>
                <w:rFonts w:ascii="Arial" w:hAnsi="Arial" w:cs="Arial"/>
                <w:sz w:val="24"/>
                <w:szCs w:val="24"/>
              </w:rPr>
              <w:t>The key principles applicable to the determination of such applications include the following:</w:t>
            </w:r>
          </w:p>
          <w:p w:rsidR="00AC44AB" w:rsidRDefault="00AC44AB" w:rsidP="00ED76B2">
            <w:pPr>
              <w:spacing w:line="360" w:lineRule="auto"/>
              <w:ind w:left="20" w:hanging="20"/>
              <w:jc w:val="both"/>
              <w:rPr>
                <w:rFonts w:ascii="Arial" w:hAnsi="Arial" w:cs="Arial"/>
                <w:sz w:val="24"/>
                <w:szCs w:val="24"/>
              </w:rPr>
            </w:pPr>
          </w:p>
          <w:p w:rsidR="00AC44AB" w:rsidRPr="00334459" w:rsidRDefault="00AC44AB" w:rsidP="00AC44AB">
            <w:pPr>
              <w:pStyle w:val="BodyText"/>
              <w:spacing w:line="360" w:lineRule="auto"/>
              <w:jc w:val="both"/>
              <w:rPr>
                <w:rFonts w:ascii="Arial" w:hAnsi="Arial" w:cs="Arial"/>
                <w:sz w:val="22"/>
                <w:szCs w:val="22"/>
              </w:rPr>
            </w:pPr>
            <w:r w:rsidRPr="00323E22">
              <w:rPr>
                <w:rFonts w:ascii="Arial" w:hAnsi="Arial" w:cs="Arial"/>
              </w:rPr>
              <w:tab/>
            </w:r>
            <w:r w:rsidRPr="00334459">
              <w:rPr>
                <w:rFonts w:ascii="Arial" w:hAnsi="Arial" w:cs="Arial"/>
                <w:sz w:val="22"/>
                <w:szCs w:val="22"/>
              </w:rPr>
              <w:t>‘[3]</w:t>
            </w:r>
            <w:r w:rsidRPr="00334459">
              <w:rPr>
                <w:rFonts w:ascii="Arial" w:hAnsi="Arial" w:cs="Arial"/>
                <w:sz w:val="22"/>
                <w:szCs w:val="22"/>
              </w:rPr>
              <w:tab/>
              <w:t>If the costs have been awarded on a party-and-party basis, the taxing officer is required to “allow all such costs, charges and expenses as appear to him or her to have been necessary or proper for the attainment of justice or for defending the rights of any party, but save as against the party who incurred same, no costs shall be allowed which appear to the Taxing Master to have been incurred or increased through over-caution, negligence or mistake, or by payment of a special fee to counsel, or special charges and expenses to witnesses or to other persons or by other unusual expenses”.</w:t>
            </w:r>
          </w:p>
          <w:p w:rsidR="00AC44AB" w:rsidRPr="00334459" w:rsidRDefault="00AC44AB" w:rsidP="00AC44AB">
            <w:pPr>
              <w:pStyle w:val="BodyText"/>
              <w:spacing w:line="360" w:lineRule="auto"/>
              <w:jc w:val="both"/>
              <w:rPr>
                <w:rFonts w:ascii="Arial" w:hAnsi="Arial" w:cs="Arial"/>
                <w:sz w:val="22"/>
                <w:szCs w:val="22"/>
              </w:rPr>
            </w:pPr>
          </w:p>
          <w:p w:rsidR="00AC44AB" w:rsidRPr="00334459" w:rsidRDefault="00AC44AB" w:rsidP="00AC44AB">
            <w:pPr>
              <w:pStyle w:val="BodyText"/>
              <w:spacing w:line="360" w:lineRule="auto"/>
              <w:jc w:val="both"/>
              <w:rPr>
                <w:rFonts w:ascii="Arial" w:hAnsi="Arial" w:cs="Arial"/>
                <w:sz w:val="22"/>
                <w:szCs w:val="22"/>
              </w:rPr>
            </w:pPr>
            <w:r w:rsidRPr="00334459">
              <w:rPr>
                <w:rFonts w:ascii="Arial" w:hAnsi="Arial" w:cs="Arial"/>
                <w:sz w:val="22"/>
                <w:szCs w:val="22"/>
              </w:rPr>
              <w:t>(</w:t>
            </w:r>
            <w:r w:rsidRPr="00334459">
              <w:rPr>
                <w:rFonts w:ascii="Arial" w:hAnsi="Arial" w:cs="Arial"/>
                <w:i/>
                <w:sz w:val="22"/>
                <w:szCs w:val="22"/>
              </w:rPr>
              <w:t xml:space="preserve">Pinkster </w:t>
            </w:r>
            <w:proofErr w:type="spellStart"/>
            <w:r w:rsidRPr="00334459">
              <w:rPr>
                <w:rFonts w:ascii="Arial" w:hAnsi="Arial" w:cs="Arial"/>
                <w:i/>
                <w:sz w:val="22"/>
                <w:szCs w:val="22"/>
              </w:rPr>
              <w:t>Gemeente</w:t>
            </w:r>
            <w:proofErr w:type="spellEnd"/>
            <w:r w:rsidRPr="00334459">
              <w:rPr>
                <w:rFonts w:ascii="Arial" w:hAnsi="Arial" w:cs="Arial"/>
                <w:i/>
                <w:sz w:val="22"/>
                <w:szCs w:val="22"/>
              </w:rPr>
              <w:t xml:space="preserve"> van Namibia v </w:t>
            </w:r>
            <w:proofErr w:type="spellStart"/>
            <w:r w:rsidRPr="00334459">
              <w:rPr>
                <w:rFonts w:ascii="Arial" w:hAnsi="Arial" w:cs="Arial"/>
                <w:i/>
                <w:sz w:val="22"/>
                <w:szCs w:val="22"/>
              </w:rPr>
              <w:t>Navolgers</w:t>
            </w:r>
            <w:proofErr w:type="spellEnd"/>
            <w:r w:rsidRPr="00334459">
              <w:rPr>
                <w:rFonts w:ascii="Arial" w:hAnsi="Arial" w:cs="Arial"/>
                <w:i/>
                <w:sz w:val="22"/>
                <w:szCs w:val="22"/>
              </w:rPr>
              <w:t xml:space="preserve"> van </w:t>
            </w:r>
            <w:proofErr w:type="spellStart"/>
            <w:r w:rsidRPr="00334459">
              <w:rPr>
                <w:rFonts w:ascii="Arial" w:hAnsi="Arial" w:cs="Arial"/>
                <w:i/>
                <w:sz w:val="22"/>
                <w:szCs w:val="22"/>
              </w:rPr>
              <w:t>Christus</w:t>
            </w:r>
            <w:proofErr w:type="spellEnd"/>
            <w:r w:rsidRPr="00334459">
              <w:rPr>
                <w:rFonts w:ascii="Arial" w:hAnsi="Arial" w:cs="Arial"/>
                <w:i/>
                <w:sz w:val="22"/>
                <w:szCs w:val="22"/>
              </w:rPr>
              <w:t xml:space="preserve"> </w:t>
            </w:r>
            <w:proofErr w:type="spellStart"/>
            <w:r w:rsidRPr="00334459">
              <w:rPr>
                <w:rFonts w:ascii="Arial" w:hAnsi="Arial" w:cs="Arial"/>
                <w:i/>
                <w:sz w:val="22"/>
                <w:szCs w:val="22"/>
              </w:rPr>
              <w:t>Kerk</w:t>
            </w:r>
            <w:proofErr w:type="spellEnd"/>
            <w:r w:rsidRPr="00334459">
              <w:rPr>
                <w:rFonts w:ascii="Arial" w:hAnsi="Arial" w:cs="Arial"/>
                <w:i/>
                <w:sz w:val="22"/>
                <w:szCs w:val="22"/>
              </w:rPr>
              <w:t xml:space="preserve"> SA</w:t>
            </w:r>
            <w:r w:rsidRPr="00334459">
              <w:rPr>
                <w:rFonts w:ascii="Arial" w:hAnsi="Arial" w:cs="Arial"/>
                <w:sz w:val="22"/>
                <w:szCs w:val="22"/>
              </w:rPr>
              <w:t xml:space="preserve"> 2002 NR 14 at 15G-H)</w:t>
            </w:r>
          </w:p>
          <w:p w:rsidR="00AC44AB" w:rsidRPr="00334459" w:rsidRDefault="00AC44AB" w:rsidP="00AC44AB">
            <w:pPr>
              <w:pStyle w:val="BodyText"/>
              <w:spacing w:line="360" w:lineRule="auto"/>
              <w:jc w:val="both"/>
              <w:rPr>
                <w:rFonts w:ascii="Arial" w:hAnsi="Arial" w:cs="Arial"/>
                <w:sz w:val="22"/>
                <w:szCs w:val="22"/>
              </w:rPr>
            </w:pPr>
          </w:p>
          <w:p w:rsidR="00AC44AB" w:rsidRPr="00334459" w:rsidRDefault="00AC44AB" w:rsidP="00AC44AB">
            <w:pPr>
              <w:pStyle w:val="BodyText"/>
              <w:spacing w:line="360" w:lineRule="auto"/>
              <w:jc w:val="both"/>
              <w:rPr>
                <w:rFonts w:ascii="Arial" w:hAnsi="Arial" w:cs="Arial"/>
                <w:sz w:val="22"/>
                <w:szCs w:val="22"/>
              </w:rPr>
            </w:pPr>
            <w:r w:rsidRPr="00334459">
              <w:rPr>
                <w:rFonts w:ascii="Arial" w:hAnsi="Arial" w:cs="Arial"/>
                <w:sz w:val="22"/>
                <w:szCs w:val="22"/>
              </w:rPr>
              <w:t>[4]</w:t>
            </w:r>
            <w:r w:rsidRPr="00334459">
              <w:rPr>
                <w:rFonts w:ascii="Arial" w:hAnsi="Arial" w:cs="Arial"/>
                <w:sz w:val="22"/>
                <w:szCs w:val="22"/>
              </w:rPr>
              <w:tab/>
              <w:t>At every taxation the taxing officer is the officer of the court having the power to decide which costs to allow by bringing an objective evaluation on the basis of the stipulated criteria to bear on the bill; and so, during taxation the taxing officer ought to ensure that only the costs, charges and expenses as appear to him or her to have been necessary or proper for the attainment of justice and fairness are allowed.</w:t>
            </w:r>
          </w:p>
          <w:p w:rsidR="00AC44AB" w:rsidRPr="00334459" w:rsidRDefault="00AC44AB" w:rsidP="00AC44AB">
            <w:pPr>
              <w:pStyle w:val="BodyText"/>
              <w:spacing w:line="360" w:lineRule="auto"/>
              <w:jc w:val="both"/>
              <w:rPr>
                <w:rFonts w:ascii="Arial" w:hAnsi="Arial" w:cs="Arial"/>
                <w:sz w:val="22"/>
                <w:szCs w:val="22"/>
              </w:rPr>
            </w:pPr>
          </w:p>
          <w:p w:rsidR="00AC44AB" w:rsidRPr="00334459" w:rsidRDefault="00AC44AB" w:rsidP="00AC44AB">
            <w:pPr>
              <w:pStyle w:val="BodyText"/>
              <w:spacing w:line="360" w:lineRule="auto"/>
              <w:jc w:val="both"/>
              <w:rPr>
                <w:rFonts w:ascii="Arial" w:hAnsi="Arial" w:cs="Arial"/>
                <w:sz w:val="22"/>
                <w:szCs w:val="22"/>
              </w:rPr>
            </w:pPr>
            <w:r w:rsidRPr="00334459">
              <w:rPr>
                <w:rFonts w:ascii="Arial" w:hAnsi="Arial" w:cs="Arial"/>
                <w:sz w:val="22"/>
                <w:szCs w:val="22"/>
              </w:rPr>
              <w:t>[5]</w:t>
            </w:r>
            <w:r w:rsidRPr="00334459">
              <w:rPr>
                <w:rFonts w:ascii="Arial" w:hAnsi="Arial" w:cs="Arial"/>
                <w:sz w:val="22"/>
                <w:szCs w:val="22"/>
              </w:rPr>
              <w:tab/>
              <w:t xml:space="preserve">Thus, in taxation of costs, the taxing master exercises a discretion. In that regard the court may interfere with the taxing officer’s decision if he or she has not exercised his or her discretion judicially; if he or she has not brought his mind to bear upon the question; or he or she has disregarded important matters and taken into account extraneous matters, or he or she has acted on the basis of a wrong principle. These are common law grounds of review so succinctly enunciated in the landmark case of </w:t>
            </w:r>
            <w:r w:rsidRPr="00334459">
              <w:rPr>
                <w:rFonts w:ascii="Arial" w:hAnsi="Arial" w:cs="Arial"/>
                <w:i/>
                <w:sz w:val="22"/>
                <w:szCs w:val="22"/>
              </w:rPr>
              <w:t>Johannesburg Consolidated Investment Co (JCI) v Johannesburg Town Council</w:t>
            </w:r>
            <w:r w:rsidRPr="00334459">
              <w:rPr>
                <w:rFonts w:ascii="Arial" w:hAnsi="Arial" w:cs="Arial"/>
                <w:sz w:val="22"/>
                <w:szCs w:val="22"/>
              </w:rPr>
              <w:t xml:space="preserve"> 1903 TS 111 at 116. And, as Maritz J stated in </w:t>
            </w:r>
            <w:r w:rsidRPr="00334459">
              <w:rPr>
                <w:rFonts w:ascii="Arial" w:hAnsi="Arial" w:cs="Arial"/>
                <w:i/>
                <w:sz w:val="22"/>
                <w:szCs w:val="22"/>
              </w:rPr>
              <w:t xml:space="preserve">Pinkster </w:t>
            </w:r>
            <w:proofErr w:type="spellStart"/>
            <w:r w:rsidRPr="00334459">
              <w:rPr>
                <w:rFonts w:ascii="Arial" w:hAnsi="Arial" w:cs="Arial"/>
                <w:i/>
                <w:sz w:val="22"/>
                <w:szCs w:val="22"/>
              </w:rPr>
              <w:t>Gemeente</w:t>
            </w:r>
            <w:proofErr w:type="spellEnd"/>
            <w:r w:rsidRPr="00334459">
              <w:rPr>
                <w:rFonts w:ascii="Arial" w:hAnsi="Arial" w:cs="Arial"/>
                <w:i/>
                <w:sz w:val="22"/>
                <w:szCs w:val="22"/>
              </w:rPr>
              <w:t xml:space="preserve"> van Namibia</w:t>
            </w:r>
            <w:r w:rsidRPr="00334459">
              <w:rPr>
                <w:rFonts w:ascii="Arial" w:hAnsi="Arial" w:cs="Arial"/>
                <w:sz w:val="22"/>
                <w:szCs w:val="22"/>
              </w:rPr>
              <w:t xml:space="preserve"> at 17B-C –</w:t>
            </w:r>
          </w:p>
          <w:p w:rsidR="00AC44AB" w:rsidRPr="00334459" w:rsidRDefault="00AC44AB" w:rsidP="00AC44AB">
            <w:pPr>
              <w:pStyle w:val="BodyText"/>
              <w:spacing w:line="360" w:lineRule="auto"/>
              <w:jc w:val="both"/>
              <w:rPr>
                <w:rFonts w:ascii="Arial" w:hAnsi="Arial" w:cs="Arial"/>
                <w:sz w:val="22"/>
                <w:szCs w:val="22"/>
              </w:rPr>
            </w:pPr>
          </w:p>
          <w:p w:rsidR="00AC44AB" w:rsidRDefault="00AC44AB" w:rsidP="009B6C6E">
            <w:pPr>
              <w:pStyle w:val="BodyText"/>
              <w:spacing w:line="360" w:lineRule="auto"/>
              <w:ind w:left="743"/>
              <w:jc w:val="both"/>
              <w:rPr>
                <w:rFonts w:ascii="Arial" w:hAnsi="Arial" w:cs="Arial"/>
              </w:rPr>
            </w:pPr>
            <w:r w:rsidRPr="00334459">
              <w:rPr>
                <w:rFonts w:ascii="Arial" w:hAnsi="Arial" w:cs="Arial"/>
                <w:sz w:val="22"/>
                <w:szCs w:val="22"/>
              </w:rPr>
              <w:t>“It should be borne in mind, however, that the review of the Taxing Master’s decision on taxation is one going beyond the rather narrow common law parameters of judicial review applicable to the acts or omissions of public bodies.  It is by its nature a review denoting “a wider exercise of supervision</w:t>
            </w:r>
            <w:r w:rsidR="007A013F" w:rsidRPr="00334459">
              <w:rPr>
                <w:rFonts w:ascii="Arial" w:hAnsi="Arial" w:cs="Arial"/>
                <w:sz w:val="22"/>
                <w:szCs w:val="22"/>
              </w:rPr>
              <w:t xml:space="preserve"> and a greater scope of authority than those which the Court enjoyed” under either </w:t>
            </w:r>
            <w:r w:rsidR="007A013F" w:rsidRPr="00334459">
              <w:rPr>
                <w:rFonts w:ascii="Arial" w:hAnsi="Arial" w:cs="Arial"/>
                <w:sz w:val="22"/>
                <w:szCs w:val="22"/>
              </w:rPr>
              <w:lastRenderedPageBreak/>
              <w:t>the review of the proceedings of lower courts or of public bodies acting irregularly, illegally or in disregard of important provisions of statute”.’</w:t>
            </w:r>
            <w:r w:rsidR="00A0055C">
              <w:rPr>
                <w:rStyle w:val="FootnoteReference"/>
                <w:rFonts w:ascii="Arial" w:hAnsi="Arial" w:cs="Arial"/>
              </w:rPr>
              <w:footnoteReference w:id="1"/>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A0055C">
              <w:rPr>
                <w:rFonts w:ascii="Arial" w:hAnsi="Arial" w:cs="Arial"/>
                <w:sz w:val="24"/>
                <w:szCs w:val="24"/>
              </w:rPr>
              <w:t>The trite foundational principle on review of exercise of discretion is this.  The principles justifying interference by a reviewing (or appeal) court with the exercise of discretion is circumscribed.</w:t>
            </w:r>
            <w:r w:rsidR="00A05C47">
              <w:rPr>
                <w:rStyle w:val="FootnoteReference"/>
                <w:rFonts w:ascii="Arial" w:hAnsi="Arial" w:cs="Arial"/>
                <w:sz w:val="24"/>
                <w:szCs w:val="24"/>
              </w:rPr>
              <w:footnoteReference w:id="2"/>
            </w:r>
            <w:r w:rsidR="00A05C47">
              <w:rPr>
                <w:rFonts w:ascii="Arial" w:hAnsi="Arial" w:cs="Arial"/>
                <w:sz w:val="24"/>
                <w:szCs w:val="24"/>
              </w:rPr>
              <w:t xml:space="preserve">  If the discretion has been exercised on judicial grounds and for a sound reason, that is, without caprice or bias or the application of a wrong principle, the reviewing court will be very slow to interfere and substitute its own decision.</w:t>
            </w:r>
            <w:r w:rsidR="00810E4A">
              <w:rPr>
                <w:rStyle w:val="FootnoteReference"/>
                <w:rFonts w:ascii="Arial" w:hAnsi="Arial" w:cs="Arial"/>
                <w:sz w:val="24"/>
                <w:szCs w:val="24"/>
              </w:rPr>
              <w:footnoteReference w:id="3"/>
            </w:r>
            <w:r w:rsidR="0069665B">
              <w:rPr>
                <w:rFonts w:ascii="Arial" w:hAnsi="Arial" w:cs="Arial"/>
                <w:sz w:val="24"/>
                <w:szCs w:val="24"/>
              </w:rPr>
              <w:t xml:space="preserve">  Doubtless, the taxing officer exercises discretion in taxation of costs in terms of rule 125(3) of the rules of court.</w:t>
            </w:r>
          </w:p>
          <w:p w:rsidR="00FC2237" w:rsidRDefault="00FC2237" w:rsidP="00ED76B2">
            <w:pPr>
              <w:spacing w:line="360" w:lineRule="auto"/>
              <w:ind w:left="20" w:hanging="20"/>
              <w:jc w:val="both"/>
              <w:rPr>
                <w:rFonts w:ascii="Arial" w:hAnsi="Arial" w:cs="Arial"/>
                <w:sz w:val="24"/>
                <w:szCs w:val="24"/>
              </w:rPr>
            </w:pPr>
          </w:p>
          <w:p w:rsidR="00D951F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FF6CEA">
              <w:rPr>
                <w:rFonts w:ascii="Arial" w:hAnsi="Arial" w:cs="Arial"/>
                <w:sz w:val="24"/>
                <w:szCs w:val="24"/>
              </w:rPr>
              <w:t>As it is with any applicant who challenges by judicial review the validity of a decision by an administrative body or official and an inferior court or tribunal, for an applicant who brings an application to review taxation of costs by a taxing officer to succeed, he or she must establish that good grounds exist to review the taxing officer’s taxation of costs.</w:t>
            </w:r>
            <w:r w:rsidR="00FF6CEA">
              <w:rPr>
                <w:rStyle w:val="FootnoteReference"/>
                <w:rFonts w:ascii="Arial" w:hAnsi="Arial" w:cs="Arial"/>
                <w:sz w:val="24"/>
                <w:szCs w:val="24"/>
              </w:rPr>
              <w:footnoteReference w:id="4"/>
            </w:r>
            <w:r w:rsidR="0069060B">
              <w:rPr>
                <w:rFonts w:ascii="Arial" w:hAnsi="Arial" w:cs="Arial"/>
                <w:sz w:val="24"/>
                <w:szCs w:val="24"/>
              </w:rPr>
              <w:t xml:space="preserve">  In that regard, it is well to remember that such applicant bears even a more onerous burden.  The reason is that a taxing officer, compared with an administrative body, an administrative official, an inferior court and an in</w:t>
            </w:r>
            <w:r w:rsidR="00334459">
              <w:rPr>
                <w:rFonts w:ascii="Arial" w:hAnsi="Arial" w:cs="Arial"/>
                <w:sz w:val="24"/>
                <w:szCs w:val="24"/>
              </w:rPr>
              <w:t>ferior tribunal, exercises by fa</w:t>
            </w:r>
            <w:r w:rsidR="0069060B">
              <w:rPr>
                <w:rFonts w:ascii="Arial" w:hAnsi="Arial" w:cs="Arial"/>
                <w:sz w:val="24"/>
                <w:szCs w:val="24"/>
              </w:rPr>
              <w:t>r a wider discretion.</w:t>
            </w:r>
            <w:r w:rsidR="00CF4A25">
              <w:rPr>
                <w:rStyle w:val="FootnoteReference"/>
                <w:rFonts w:ascii="Arial" w:hAnsi="Arial" w:cs="Arial"/>
                <w:sz w:val="24"/>
                <w:szCs w:val="24"/>
              </w:rPr>
              <w:footnoteReference w:id="5"/>
            </w:r>
          </w:p>
          <w:p w:rsidR="00D951F5" w:rsidRDefault="00D951F5" w:rsidP="00ED76B2">
            <w:pPr>
              <w:spacing w:line="360" w:lineRule="auto"/>
              <w:ind w:left="20" w:hanging="20"/>
              <w:jc w:val="both"/>
              <w:rPr>
                <w:rFonts w:ascii="Arial" w:hAnsi="Arial" w:cs="Arial"/>
                <w:sz w:val="24"/>
                <w:szCs w:val="24"/>
              </w:rPr>
            </w:pPr>
          </w:p>
          <w:p w:rsidR="00672C76" w:rsidRDefault="00D951F5" w:rsidP="00ED76B2">
            <w:pPr>
              <w:spacing w:line="360" w:lineRule="auto"/>
              <w:ind w:left="20" w:hanging="20"/>
              <w:jc w:val="both"/>
              <w:rPr>
                <w:rFonts w:ascii="Arial" w:hAnsi="Arial" w:cs="Arial"/>
                <w:sz w:val="24"/>
                <w:szCs w:val="24"/>
              </w:rPr>
            </w:pPr>
            <w:r>
              <w:rPr>
                <w:rFonts w:ascii="Arial" w:hAnsi="Arial" w:cs="Arial"/>
                <w:sz w:val="24"/>
                <w:szCs w:val="24"/>
              </w:rPr>
              <w:t>[5]</w:t>
            </w:r>
            <w:r w:rsidRPr="00323E22">
              <w:rPr>
                <w:rFonts w:ascii="Arial" w:hAnsi="Arial" w:cs="Arial"/>
                <w:sz w:val="24"/>
                <w:szCs w:val="24"/>
              </w:rPr>
              <w:t xml:space="preserve"> </w:t>
            </w:r>
            <w:r w:rsidRPr="00323E22">
              <w:rPr>
                <w:rFonts w:ascii="Arial" w:hAnsi="Arial" w:cs="Arial"/>
                <w:sz w:val="24"/>
                <w:szCs w:val="24"/>
              </w:rPr>
              <w:tab/>
            </w:r>
            <w:r w:rsidR="009723CD">
              <w:rPr>
                <w:rFonts w:ascii="Arial" w:hAnsi="Arial" w:cs="Arial"/>
                <w:sz w:val="24"/>
                <w:szCs w:val="24"/>
              </w:rPr>
              <w:t xml:space="preserve">On the papers, I accept the taxing officer’s conclusion that her decision whereby certain items were allowed or disallowed in their entirety and certain items had the claimed amounts there reduced was based on agreement between the parties or concessions </w:t>
            </w:r>
            <w:r w:rsidR="00334459">
              <w:rPr>
                <w:rFonts w:ascii="Arial" w:hAnsi="Arial" w:cs="Arial"/>
                <w:sz w:val="24"/>
                <w:szCs w:val="24"/>
              </w:rPr>
              <w:t>made by on</w:t>
            </w:r>
            <w:r w:rsidR="008604D7">
              <w:rPr>
                <w:rFonts w:ascii="Arial" w:hAnsi="Arial" w:cs="Arial"/>
                <w:sz w:val="24"/>
                <w:szCs w:val="24"/>
              </w:rPr>
              <w:t>e</w:t>
            </w:r>
            <w:r w:rsidR="00334459">
              <w:rPr>
                <w:rFonts w:ascii="Arial" w:hAnsi="Arial" w:cs="Arial"/>
                <w:sz w:val="24"/>
                <w:szCs w:val="24"/>
              </w:rPr>
              <w:t xml:space="preserve"> </w:t>
            </w:r>
            <w:r w:rsidR="008604D7">
              <w:rPr>
                <w:rFonts w:ascii="Arial" w:hAnsi="Arial" w:cs="Arial"/>
                <w:sz w:val="24"/>
                <w:szCs w:val="24"/>
              </w:rPr>
              <w:t>party or another.  In that regard</w:t>
            </w:r>
            <w:r w:rsidR="00334459">
              <w:rPr>
                <w:rFonts w:ascii="Arial" w:hAnsi="Arial" w:cs="Arial"/>
                <w:sz w:val="24"/>
                <w:szCs w:val="24"/>
              </w:rPr>
              <w:t>,</w:t>
            </w:r>
            <w:r w:rsidR="008604D7">
              <w:rPr>
                <w:rFonts w:ascii="Arial" w:hAnsi="Arial" w:cs="Arial"/>
                <w:sz w:val="24"/>
                <w:szCs w:val="24"/>
              </w:rPr>
              <w:t xml:space="preserve"> it should be emphasised, ‘where an item was not object</w:t>
            </w:r>
            <w:r w:rsidR="00334459">
              <w:rPr>
                <w:rFonts w:ascii="Arial" w:hAnsi="Arial" w:cs="Arial"/>
                <w:sz w:val="24"/>
                <w:szCs w:val="24"/>
              </w:rPr>
              <w:t>e</w:t>
            </w:r>
            <w:r w:rsidR="008604D7">
              <w:rPr>
                <w:rFonts w:ascii="Arial" w:hAnsi="Arial" w:cs="Arial"/>
                <w:sz w:val="24"/>
                <w:szCs w:val="24"/>
              </w:rPr>
              <w:t>d to at the taxation</w:t>
            </w:r>
            <w:r w:rsidR="00334459">
              <w:rPr>
                <w:rFonts w:ascii="Arial" w:hAnsi="Arial" w:cs="Arial"/>
                <w:sz w:val="24"/>
                <w:szCs w:val="24"/>
              </w:rPr>
              <w:t>,</w:t>
            </w:r>
            <w:r w:rsidR="008604D7">
              <w:rPr>
                <w:rFonts w:ascii="Arial" w:hAnsi="Arial" w:cs="Arial"/>
                <w:sz w:val="24"/>
                <w:szCs w:val="24"/>
              </w:rPr>
              <w:t xml:space="preserve"> an objection cannot be raised afterwards.’</w:t>
            </w:r>
            <w:r w:rsidR="008604D7">
              <w:rPr>
                <w:rStyle w:val="FootnoteReference"/>
                <w:rFonts w:ascii="Arial" w:hAnsi="Arial" w:cs="Arial"/>
                <w:sz w:val="24"/>
                <w:szCs w:val="24"/>
              </w:rPr>
              <w:footnoteReference w:id="6"/>
            </w:r>
          </w:p>
          <w:p w:rsidR="008604D7" w:rsidRDefault="008604D7" w:rsidP="00ED76B2">
            <w:pPr>
              <w:spacing w:line="360" w:lineRule="auto"/>
              <w:ind w:left="20" w:hanging="20"/>
              <w:jc w:val="both"/>
              <w:rPr>
                <w:rFonts w:ascii="Arial" w:hAnsi="Arial" w:cs="Arial"/>
                <w:sz w:val="24"/>
                <w:szCs w:val="24"/>
              </w:rPr>
            </w:pPr>
          </w:p>
          <w:p w:rsidR="008604D7" w:rsidRDefault="008604D7"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6</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On the facts and in the circumstances, I cannot say that the taxing officer’s exercise of discretion was wrong.  Indeed, I find that she exercised her discretion on judicial grounds and for a sound reason.</w:t>
            </w:r>
            <w:r>
              <w:rPr>
                <w:rStyle w:val="FootnoteReference"/>
                <w:rFonts w:ascii="Arial" w:hAnsi="Arial" w:cs="Arial"/>
                <w:sz w:val="24"/>
                <w:szCs w:val="24"/>
              </w:rPr>
              <w:footnoteReference w:id="7"/>
            </w:r>
            <w:r w:rsidR="00DD05C9">
              <w:rPr>
                <w:rFonts w:ascii="Arial" w:hAnsi="Arial" w:cs="Arial"/>
                <w:sz w:val="24"/>
                <w:szCs w:val="24"/>
              </w:rPr>
              <w:t xml:space="preserve">  </w:t>
            </w:r>
            <w:r w:rsidR="00DD05C9" w:rsidRPr="00334459">
              <w:rPr>
                <w:rFonts w:ascii="Arial" w:hAnsi="Arial" w:cs="Arial"/>
                <w:i/>
                <w:sz w:val="24"/>
                <w:szCs w:val="24"/>
              </w:rPr>
              <w:t>A priori</w:t>
            </w:r>
            <w:r w:rsidR="00DD05C9">
              <w:rPr>
                <w:rFonts w:ascii="Arial" w:hAnsi="Arial" w:cs="Arial"/>
                <w:sz w:val="24"/>
                <w:szCs w:val="24"/>
              </w:rPr>
              <w:t>, I conclude that the applicant has failed to establish that good grounds exist to review the taxation of costs.</w:t>
            </w:r>
            <w:r w:rsidR="00DD05C9">
              <w:rPr>
                <w:rStyle w:val="FootnoteReference"/>
                <w:rFonts w:ascii="Arial" w:hAnsi="Arial" w:cs="Arial"/>
                <w:sz w:val="24"/>
                <w:szCs w:val="24"/>
              </w:rPr>
              <w:footnoteReference w:id="8"/>
            </w:r>
          </w:p>
          <w:p w:rsidR="00DD05C9" w:rsidRDefault="00DD05C9" w:rsidP="00ED76B2">
            <w:pPr>
              <w:spacing w:line="360" w:lineRule="auto"/>
              <w:ind w:left="20" w:hanging="20"/>
              <w:jc w:val="both"/>
              <w:rPr>
                <w:rFonts w:ascii="Arial" w:hAnsi="Arial" w:cs="Arial"/>
                <w:sz w:val="24"/>
                <w:szCs w:val="24"/>
              </w:rPr>
            </w:pPr>
          </w:p>
          <w:p w:rsidR="00DD05C9" w:rsidRPr="00CA7995" w:rsidRDefault="00DD05C9"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7</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 xml:space="preserve">Based on the foregoing reasons, I cannot review the taxing officer’s decision without offending </w:t>
            </w:r>
            <w:proofErr w:type="spellStart"/>
            <w:r w:rsidRPr="00334459">
              <w:rPr>
                <w:rFonts w:ascii="Arial" w:hAnsi="Arial" w:cs="Arial"/>
                <w:i/>
                <w:sz w:val="24"/>
                <w:szCs w:val="24"/>
              </w:rPr>
              <w:t>Paweni</w:t>
            </w:r>
            <w:proofErr w:type="spellEnd"/>
            <w:r w:rsidRPr="00334459">
              <w:rPr>
                <w:rFonts w:ascii="Arial" w:hAnsi="Arial" w:cs="Arial"/>
                <w:i/>
                <w:sz w:val="24"/>
                <w:szCs w:val="24"/>
              </w:rPr>
              <w:t xml:space="preserve"> and Another</w:t>
            </w:r>
            <w:r>
              <w:rPr>
                <w:rFonts w:ascii="Arial" w:hAnsi="Arial" w:cs="Arial"/>
                <w:sz w:val="24"/>
                <w:szCs w:val="24"/>
              </w:rPr>
              <w:t>;</w:t>
            </w:r>
            <w:r>
              <w:rPr>
                <w:rStyle w:val="FootnoteReference"/>
                <w:rFonts w:ascii="Arial" w:hAnsi="Arial" w:cs="Arial"/>
                <w:sz w:val="24"/>
                <w:szCs w:val="24"/>
              </w:rPr>
              <w:footnoteReference w:id="9"/>
            </w:r>
            <w:r>
              <w:rPr>
                <w:rFonts w:ascii="Arial" w:hAnsi="Arial" w:cs="Arial"/>
                <w:sz w:val="24"/>
                <w:szCs w:val="24"/>
              </w:rPr>
              <w:t xml:space="preserve"> and </w:t>
            </w:r>
            <w:proofErr w:type="spellStart"/>
            <w:r w:rsidRPr="00334459">
              <w:rPr>
                <w:rFonts w:ascii="Arial" w:hAnsi="Arial" w:cs="Arial"/>
                <w:i/>
                <w:sz w:val="24"/>
                <w:szCs w:val="24"/>
              </w:rPr>
              <w:t>Transnamib</w:t>
            </w:r>
            <w:proofErr w:type="spellEnd"/>
            <w:r w:rsidRPr="00334459">
              <w:rPr>
                <w:rFonts w:ascii="Arial" w:hAnsi="Arial" w:cs="Arial"/>
                <w:i/>
                <w:sz w:val="24"/>
                <w:szCs w:val="24"/>
              </w:rPr>
              <w:t xml:space="preserve"> Holdings Ltd</w:t>
            </w:r>
            <w:r>
              <w:rPr>
                <w:rFonts w:ascii="Arial" w:hAnsi="Arial" w:cs="Arial"/>
                <w:sz w:val="24"/>
                <w:szCs w:val="24"/>
              </w:rPr>
              <w:t>.</w:t>
            </w:r>
            <w:r>
              <w:rPr>
                <w:rStyle w:val="FootnoteReference"/>
                <w:rFonts w:ascii="Arial" w:hAnsi="Arial" w:cs="Arial"/>
                <w:sz w:val="24"/>
                <w:szCs w:val="24"/>
              </w:rPr>
              <w:footnoteReference w:id="10"/>
            </w:r>
            <w:r>
              <w:rPr>
                <w:rFonts w:ascii="Arial" w:hAnsi="Arial" w:cs="Arial"/>
                <w:sz w:val="24"/>
                <w:szCs w:val="24"/>
              </w:rPr>
              <w:t xml:space="preserve">  The application stands to be refused.  In the result, I order as follows:</w:t>
            </w:r>
          </w:p>
          <w:p w:rsidR="00A85792" w:rsidRDefault="00A85792" w:rsidP="00ED76B2">
            <w:pPr>
              <w:tabs>
                <w:tab w:val="left" w:pos="729"/>
              </w:tabs>
              <w:spacing w:line="360" w:lineRule="auto"/>
              <w:jc w:val="both"/>
              <w:rPr>
                <w:rFonts w:ascii="Arial" w:hAnsi="Arial" w:cs="Arial"/>
                <w:sz w:val="24"/>
                <w:szCs w:val="24"/>
              </w:rPr>
            </w:pPr>
          </w:p>
          <w:p w:rsidR="00A85792" w:rsidRDefault="00A85792" w:rsidP="00C34E5E">
            <w:pPr>
              <w:spacing w:line="360" w:lineRule="auto"/>
              <w:ind w:left="743" w:hanging="710"/>
              <w:jc w:val="both"/>
              <w:rPr>
                <w:rFonts w:ascii="Arial" w:hAnsi="Arial" w:cs="Arial"/>
                <w:sz w:val="24"/>
                <w:szCs w:val="24"/>
              </w:rPr>
            </w:pPr>
            <w:r>
              <w:rPr>
                <w:rFonts w:ascii="Arial" w:hAnsi="Arial" w:cs="Arial"/>
                <w:sz w:val="24"/>
                <w:szCs w:val="24"/>
              </w:rPr>
              <w:t>1.</w:t>
            </w:r>
            <w:r w:rsidRPr="00323E22">
              <w:rPr>
                <w:rFonts w:ascii="Arial" w:hAnsi="Arial" w:cs="Arial"/>
                <w:sz w:val="24"/>
                <w:szCs w:val="24"/>
              </w:rPr>
              <w:tab/>
            </w:r>
            <w:r w:rsidR="00DD05C9">
              <w:rPr>
                <w:rFonts w:ascii="Arial" w:hAnsi="Arial" w:cs="Arial"/>
                <w:sz w:val="24"/>
                <w:szCs w:val="24"/>
              </w:rPr>
              <w:t>The application is dismissed.</w:t>
            </w:r>
          </w:p>
          <w:p w:rsidR="00A85792" w:rsidRDefault="00A85792" w:rsidP="00C34E5E">
            <w:pPr>
              <w:spacing w:line="360" w:lineRule="auto"/>
              <w:ind w:left="743" w:hanging="710"/>
              <w:jc w:val="both"/>
              <w:rPr>
                <w:rFonts w:ascii="Arial" w:hAnsi="Arial" w:cs="Arial"/>
                <w:sz w:val="24"/>
                <w:szCs w:val="24"/>
              </w:rPr>
            </w:pPr>
          </w:p>
          <w:p w:rsidR="00A85792" w:rsidRDefault="00A85792" w:rsidP="00C34E5E">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sidR="00DD05C9">
              <w:rPr>
                <w:rFonts w:ascii="Arial" w:hAnsi="Arial" w:cs="Arial"/>
                <w:sz w:val="24"/>
                <w:szCs w:val="24"/>
              </w:rPr>
              <w:t>There is no order as to costs.</w:t>
            </w:r>
          </w:p>
          <w:p w:rsidR="00DD05C9" w:rsidRDefault="00DD05C9" w:rsidP="00C34E5E">
            <w:pPr>
              <w:spacing w:line="360" w:lineRule="auto"/>
              <w:ind w:left="743" w:hanging="710"/>
              <w:jc w:val="both"/>
              <w:rPr>
                <w:rFonts w:ascii="Arial" w:hAnsi="Arial" w:cs="Arial"/>
                <w:sz w:val="24"/>
                <w:szCs w:val="24"/>
              </w:rPr>
            </w:pPr>
          </w:p>
          <w:p w:rsidR="00DD05C9" w:rsidRPr="00CA7995" w:rsidRDefault="00DD05C9" w:rsidP="00C34E5E">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matter is finalised and removed from the roll.</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A2173A"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bookmarkStart w:id="0" w:name="_GoBack"/>
            <w:bookmarkEnd w:id="0"/>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661194" w:rsidP="00661194">
            <w:pPr>
              <w:spacing w:line="360" w:lineRule="auto"/>
              <w:jc w:val="center"/>
              <w:rPr>
                <w:rFonts w:ascii="Arial" w:hAnsi="Arial" w:cs="Arial"/>
                <w:b/>
                <w:sz w:val="24"/>
                <w:szCs w:val="24"/>
              </w:rPr>
            </w:pPr>
            <w:r>
              <w:rPr>
                <w:rFonts w:ascii="Arial" w:hAnsi="Arial" w:cs="Arial"/>
                <w:b/>
                <w:sz w:val="24"/>
                <w:szCs w:val="24"/>
              </w:rPr>
              <w:t xml:space="preserve">Applicant/Defendant </w:t>
            </w:r>
          </w:p>
        </w:tc>
        <w:tc>
          <w:tcPr>
            <w:tcW w:w="5436" w:type="dxa"/>
            <w:gridSpan w:val="2"/>
          </w:tcPr>
          <w:p w:rsidR="00B40844" w:rsidRPr="00CA7995" w:rsidRDefault="009B6C6E" w:rsidP="00937C89">
            <w:pPr>
              <w:spacing w:line="360" w:lineRule="auto"/>
              <w:jc w:val="center"/>
              <w:rPr>
                <w:rFonts w:ascii="Arial" w:hAnsi="Arial" w:cs="Arial"/>
                <w:b/>
                <w:sz w:val="24"/>
                <w:szCs w:val="24"/>
              </w:rPr>
            </w:pPr>
            <w:r>
              <w:rPr>
                <w:rFonts w:ascii="Arial" w:hAnsi="Arial" w:cs="Arial"/>
                <w:b/>
                <w:sz w:val="24"/>
                <w:szCs w:val="24"/>
              </w:rPr>
              <w:t xml:space="preserve">First </w:t>
            </w:r>
            <w:r w:rsidR="00661194">
              <w:rPr>
                <w:rFonts w:ascii="Arial" w:hAnsi="Arial" w:cs="Arial"/>
                <w:b/>
                <w:sz w:val="24"/>
                <w:szCs w:val="24"/>
              </w:rPr>
              <w:t>Respondent/Plaintiff</w:t>
            </w:r>
          </w:p>
        </w:tc>
      </w:tr>
      <w:tr w:rsidR="00CA7995" w:rsidRPr="00CA7995" w:rsidTr="00136505">
        <w:tc>
          <w:tcPr>
            <w:tcW w:w="4770" w:type="dxa"/>
          </w:tcPr>
          <w:p w:rsidR="00661194" w:rsidRPr="00B931B5" w:rsidRDefault="00661194" w:rsidP="00661194">
            <w:pPr>
              <w:spacing w:line="360" w:lineRule="auto"/>
              <w:jc w:val="center"/>
              <w:rPr>
                <w:rFonts w:ascii="Arial" w:hAnsi="Arial" w:cs="Arial"/>
                <w:sz w:val="24"/>
                <w:szCs w:val="24"/>
              </w:rPr>
            </w:pPr>
            <w:r w:rsidRPr="00B931B5">
              <w:rPr>
                <w:rFonts w:ascii="Arial" w:hAnsi="Arial" w:cs="Arial"/>
                <w:sz w:val="24"/>
                <w:szCs w:val="24"/>
              </w:rPr>
              <w:t>J TJIZO</w:t>
            </w:r>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661194" w:rsidRPr="00136505" w:rsidRDefault="00661194" w:rsidP="00661194">
            <w:pPr>
              <w:spacing w:line="360" w:lineRule="auto"/>
              <w:jc w:val="center"/>
              <w:rPr>
                <w:rFonts w:ascii="Arial" w:hAnsi="Arial" w:cs="Arial"/>
                <w:sz w:val="24"/>
                <w:szCs w:val="24"/>
              </w:rPr>
            </w:pPr>
            <w:proofErr w:type="spellStart"/>
            <w:r w:rsidRPr="00603B6F">
              <w:rPr>
                <w:rFonts w:ascii="Arial" w:hAnsi="Arial" w:cs="Arial"/>
                <w:sz w:val="24"/>
                <w:szCs w:val="24"/>
              </w:rPr>
              <w:t>Jerhome</w:t>
            </w:r>
            <w:proofErr w:type="spellEnd"/>
            <w:r w:rsidRPr="00603B6F">
              <w:rPr>
                <w:rFonts w:ascii="Arial" w:hAnsi="Arial" w:cs="Arial"/>
                <w:sz w:val="24"/>
                <w:szCs w:val="24"/>
              </w:rPr>
              <w:t xml:space="preserve"> </w:t>
            </w:r>
            <w:proofErr w:type="spellStart"/>
            <w:r w:rsidRPr="00603B6F">
              <w:rPr>
                <w:rFonts w:ascii="Arial" w:hAnsi="Arial" w:cs="Arial"/>
                <w:sz w:val="24"/>
                <w:szCs w:val="24"/>
              </w:rPr>
              <w:t>Tjizo</w:t>
            </w:r>
            <w:proofErr w:type="spellEnd"/>
            <w:r w:rsidRPr="00603B6F">
              <w:rPr>
                <w:rFonts w:ascii="Arial" w:hAnsi="Arial" w:cs="Arial"/>
                <w:sz w:val="24"/>
                <w:szCs w:val="24"/>
              </w:rPr>
              <w:t xml:space="preserve"> &amp; Co</w:t>
            </w:r>
            <w:r>
              <w:rPr>
                <w:rFonts w:ascii="Arial" w:hAnsi="Arial" w:cs="Arial"/>
                <w:sz w:val="24"/>
                <w:szCs w:val="24"/>
              </w:rPr>
              <w:t>.</w:t>
            </w:r>
            <w:r w:rsidRPr="00603B6F">
              <w:rPr>
                <w:rFonts w:ascii="Arial" w:hAnsi="Arial" w:cs="Arial"/>
                <w:sz w:val="24"/>
                <w:szCs w:val="24"/>
              </w:rPr>
              <w:t xml:space="preserve"> Inc</w:t>
            </w:r>
            <w:r>
              <w:rPr>
                <w:rFonts w:ascii="Arial" w:hAnsi="Arial" w:cs="Arial"/>
                <w:sz w:val="24"/>
                <w:szCs w:val="24"/>
              </w:rPr>
              <w:t>.</w:t>
            </w:r>
            <w:r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661194" w:rsidRPr="00B931B5" w:rsidRDefault="00661194" w:rsidP="00661194">
            <w:pPr>
              <w:spacing w:line="360" w:lineRule="auto"/>
              <w:jc w:val="center"/>
              <w:rPr>
                <w:rFonts w:ascii="Arial" w:hAnsi="Arial" w:cs="Arial"/>
                <w:sz w:val="24"/>
                <w:szCs w:val="24"/>
              </w:rPr>
            </w:pPr>
            <w:r w:rsidRPr="00B931B5">
              <w:rPr>
                <w:rFonts w:ascii="Arial" w:hAnsi="Arial" w:cs="Arial"/>
                <w:sz w:val="24"/>
                <w:szCs w:val="24"/>
              </w:rPr>
              <w:t>S F MARITZ</w:t>
            </w:r>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661194" w:rsidRPr="00136505" w:rsidRDefault="00661194" w:rsidP="00661194">
            <w:pPr>
              <w:spacing w:line="360" w:lineRule="auto"/>
              <w:jc w:val="center"/>
              <w:rPr>
                <w:rFonts w:ascii="Arial" w:hAnsi="Arial" w:cs="Arial"/>
                <w:sz w:val="24"/>
                <w:szCs w:val="24"/>
              </w:rPr>
            </w:pPr>
            <w:r w:rsidRPr="00B931B5">
              <w:rPr>
                <w:rFonts w:ascii="Arial" w:hAnsi="Arial" w:cs="Arial"/>
                <w:sz w:val="24"/>
                <w:szCs w:val="24"/>
              </w:rPr>
              <w:t xml:space="preserve">Dr </w:t>
            </w:r>
            <w:proofErr w:type="spellStart"/>
            <w:r w:rsidRPr="00B931B5">
              <w:rPr>
                <w:rFonts w:ascii="Arial" w:hAnsi="Arial" w:cs="Arial"/>
                <w:sz w:val="24"/>
                <w:szCs w:val="24"/>
              </w:rPr>
              <w:t>Weder</w:t>
            </w:r>
            <w:proofErr w:type="spellEnd"/>
            <w:r w:rsidRPr="00B931B5">
              <w:rPr>
                <w:rFonts w:ascii="Arial" w:hAnsi="Arial" w:cs="Arial"/>
                <w:sz w:val="24"/>
                <w:szCs w:val="24"/>
              </w:rPr>
              <w:t xml:space="preserve">, </w:t>
            </w:r>
            <w:proofErr w:type="spellStart"/>
            <w:r w:rsidRPr="00B931B5">
              <w:rPr>
                <w:rFonts w:ascii="Arial" w:hAnsi="Arial" w:cs="Arial"/>
                <w:sz w:val="24"/>
                <w:szCs w:val="24"/>
              </w:rPr>
              <w:t>Kauta</w:t>
            </w:r>
            <w:proofErr w:type="spellEnd"/>
            <w:r w:rsidRPr="00B931B5">
              <w:rPr>
                <w:rFonts w:ascii="Arial" w:hAnsi="Arial" w:cs="Arial"/>
                <w:sz w:val="24"/>
                <w:szCs w:val="24"/>
              </w:rPr>
              <w:t xml:space="preserve"> &amp; </w:t>
            </w:r>
            <w:proofErr w:type="spellStart"/>
            <w:r w:rsidRPr="00B931B5">
              <w:rPr>
                <w:rFonts w:ascii="Arial" w:hAnsi="Arial" w:cs="Arial"/>
                <w:sz w:val="24"/>
                <w:szCs w:val="24"/>
              </w:rPr>
              <w:t>Hoveka</w:t>
            </w:r>
            <w:proofErr w:type="spellEnd"/>
            <w:r w:rsidRPr="00B931B5">
              <w:rPr>
                <w:rFonts w:ascii="Arial" w:hAnsi="Arial" w:cs="Arial"/>
                <w:sz w:val="24"/>
                <w:szCs w:val="24"/>
              </w:rPr>
              <w:t xml:space="preserve"> Inc</w:t>
            </w:r>
            <w:r>
              <w:t>.</w:t>
            </w:r>
            <w:r w:rsidRPr="00136505">
              <w:rPr>
                <w:rFonts w:ascii="Arial" w:hAnsi="Arial" w:cs="Arial"/>
                <w:sz w:val="24"/>
                <w:szCs w:val="24"/>
              </w:rPr>
              <w:t>, Windhoek</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21263E">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22" w:rsidRDefault="002F4122" w:rsidP="00B40844">
      <w:pPr>
        <w:spacing w:after="0" w:line="240" w:lineRule="auto"/>
      </w:pPr>
      <w:r>
        <w:separator/>
      </w:r>
    </w:p>
  </w:endnote>
  <w:endnote w:type="continuationSeparator" w:id="0">
    <w:p w:rsidR="002F4122" w:rsidRDefault="002F4122"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22" w:rsidRDefault="002F4122" w:rsidP="00B40844">
      <w:pPr>
        <w:spacing w:after="0" w:line="240" w:lineRule="auto"/>
      </w:pPr>
      <w:r>
        <w:separator/>
      </w:r>
    </w:p>
  </w:footnote>
  <w:footnote w:type="continuationSeparator" w:id="0">
    <w:p w:rsidR="002F4122" w:rsidRDefault="002F4122" w:rsidP="00B40844">
      <w:pPr>
        <w:spacing w:after="0" w:line="240" w:lineRule="auto"/>
      </w:pPr>
      <w:r>
        <w:continuationSeparator/>
      </w:r>
    </w:p>
  </w:footnote>
  <w:footnote w:id="1">
    <w:p w:rsidR="00A0055C" w:rsidRPr="009B6C6E" w:rsidRDefault="00A0055C"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w:t>
      </w:r>
      <w:proofErr w:type="spellStart"/>
      <w:r w:rsidRPr="009B6C6E">
        <w:rPr>
          <w:rFonts w:ascii="Arial" w:hAnsi="Arial" w:cs="Arial"/>
          <w:i/>
        </w:rPr>
        <w:t>Kaura</w:t>
      </w:r>
      <w:proofErr w:type="spellEnd"/>
      <w:r w:rsidRPr="009B6C6E">
        <w:rPr>
          <w:rFonts w:ascii="Arial" w:hAnsi="Arial" w:cs="Arial"/>
          <w:i/>
        </w:rPr>
        <w:t xml:space="preserve"> v Taxing Master of the High Court</w:t>
      </w:r>
      <w:r w:rsidRPr="009B6C6E">
        <w:rPr>
          <w:rFonts w:ascii="Arial" w:hAnsi="Arial" w:cs="Arial"/>
        </w:rPr>
        <w:t xml:space="preserve"> </w:t>
      </w:r>
      <w:r w:rsidR="00DF1296" w:rsidRPr="009B6C6E">
        <w:rPr>
          <w:rFonts w:ascii="Arial" w:hAnsi="Arial" w:cs="Arial"/>
        </w:rPr>
        <w:t xml:space="preserve">(A 121/2015) </w:t>
      </w:r>
      <w:r w:rsidRPr="009B6C6E">
        <w:rPr>
          <w:rFonts w:ascii="Arial" w:hAnsi="Arial" w:cs="Arial"/>
        </w:rPr>
        <w:t>[2016] NAHCMD 138 (10 May 2016).</w:t>
      </w:r>
    </w:p>
  </w:footnote>
  <w:footnote w:id="2">
    <w:p w:rsidR="00A05C47" w:rsidRPr="009B6C6E" w:rsidRDefault="00A05C47"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w:t>
      </w:r>
      <w:proofErr w:type="spellStart"/>
      <w:r w:rsidRPr="009B6C6E">
        <w:rPr>
          <w:rFonts w:ascii="Arial" w:hAnsi="Arial" w:cs="Arial"/>
          <w:i/>
        </w:rPr>
        <w:t>Transnamib</w:t>
      </w:r>
      <w:proofErr w:type="spellEnd"/>
      <w:r w:rsidRPr="009B6C6E">
        <w:rPr>
          <w:rFonts w:ascii="Arial" w:hAnsi="Arial" w:cs="Arial"/>
          <w:i/>
        </w:rPr>
        <w:t xml:space="preserve"> Holdings Ltd v Stocks &amp; Stocks Leisure (Namibia Ltd &amp; Others)</w:t>
      </w:r>
      <w:r w:rsidRPr="009B6C6E">
        <w:rPr>
          <w:rFonts w:ascii="Arial" w:hAnsi="Arial" w:cs="Arial"/>
        </w:rPr>
        <w:t xml:space="preserve"> 2021 (2) NR 497 (SC) para 58.</w:t>
      </w:r>
    </w:p>
  </w:footnote>
  <w:footnote w:id="3">
    <w:p w:rsidR="00810E4A" w:rsidRPr="009B6C6E" w:rsidRDefault="00810E4A"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w:t>
      </w:r>
      <w:proofErr w:type="spellStart"/>
      <w:r w:rsidR="007149A0" w:rsidRPr="009B6C6E">
        <w:rPr>
          <w:rFonts w:ascii="Arial" w:hAnsi="Arial" w:cs="Arial"/>
          <w:i/>
        </w:rPr>
        <w:t>Paweni</w:t>
      </w:r>
      <w:proofErr w:type="spellEnd"/>
      <w:r w:rsidR="007149A0" w:rsidRPr="009B6C6E">
        <w:rPr>
          <w:rFonts w:ascii="Arial" w:hAnsi="Arial" w:cs="Arial"/>
          <w:i/>
        </w:rPr>
        <w:t xml:space="preserve"> and </w:t>
      </w:r>
      <w:proofErr w:type="gramStart"/>
      <w:r w:rsidR="007149A0" w:rsidRPr="009B6C6E">
        <w:rPr>
          <w:rFonts w:ascii="Arial" w:hAnsi="Arial" w:cs="Arial"/>
          <w:i/>
        </w:rPr>
        <w:t>Another</w:t>
      </w:r>
      <w:proofErr w:type="gramEnd"/>
      <w:r w:rsidR="007149A0" w:rsidRPr="009B6C6E">
        <w:rPr>
          <w:rFonts w:ascii="Arial" w:hAnsi="Arial" w:cs="Arial"/>
          <w:i/>
        </w:rPr>
        <w:t xml:space="preserve"> v Acting Attorney-General</w:t>
      </w:r>
      <w:r w:rsidR="007149A0" w:rsidRPr="009B6C6E">
        <w:rPr>
          <w:rFonts w:ascii="Arial" w:hAnsi="Arial" w:cs="Arial"/>
        </w:rPr>
        <w:t xml:space="preserve"> 1985 (3) SA 720 (ZS) at 724H-J.</w:t>
      </w:r>
    </w:p>
  </w:footnote>
  <w:footnote w:id="4">
    <w:p w:rsidR="00FF6CEA" w:rsidRPr="009B6C6E" w:rsidRDefault="00FF6CEA"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See </w:t>
      </w:r>
      <w:r w:rsidRPr="009B6C6E">
        <w:rPr>
          <w:rFonts w:ascii="Arial" w:hAnsi="Arial" w:cs="Arial"/>
          <w:i/>
        </w:rPr>
        <w:t>Christian v Metropolitan Life Namibia Retirement Annuity Fund</w:t>
      </w:r>
      <w:r w:rsidRPr="009B6C6E">
        <w:rPr>
          <w:rFonts w:ascii="Arial" w:hAnsi="Arial" w:cs="Arial"/>
        </w:rPr>
        <w:t xml:space="preserve"> 2008 (2) NR 75 (SC) para 15.</w:t>
      </w:r>
    </w:p>
  </w:footnote>
  <w:footnote w:id="5">
    <w:p w:rsidR="00CF4A25" w:rsidRPr="009B6C6E" w:rsidRDefault="00CF4A25"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See </w:t>
      </w:r>
      <w:r w:rsidRPr="009B6C6E">
        <w:rPr>
          <w:rFonts w:ascii="Arial" w:hAnsi="Arial" w:cs="Arial"/>
          <w:i/>
        </w:rPr>
        <w:t xml:space="preserve">Pinkster </w:t>
      </w:r>
      <w:proofErr w:type="spellStart"/>
      <w:r w:rsidRPr="009B6C6E">
        <w:rPr>
          <w:rFonts w:ascii="Arial" w:hAnsi="Arial" w:cs="Arial"/>
          <w:i/>
        </w:rPr>
        <w:t>Gemeente</w:t>
      </w:r>
      <w:proofErr w:type="spellEnd"/>
      <w:r w:rsidRPr="009B6C6E">
        <w:rPr>
          <w:rFonts w:ascii="Arial" w:hAnsi="Arial" w:cs="Arial"/>
          <w:i/>
        </w:rPr>
        <w:t xml:space="preserve"> van Namibia v </w:t>
      </w:r>
      <w:proofErr w:type="spellStart"/>
      <w:r w:rsidRPr="009B6C6E">
        <w:rPr>
          <w:rFonts w:ascii="Arial" w:hAnsi="Arial" w:cs="Arial"/>
          <w:i/>
        </w:rPr>
        <w:t>Novolgers</w:t>
      </w:r>
      <w:proofErr w:type="spellEnd"/>
      <w:r w:rsidRPr="009B6C6E">
        <w:rPr>
          <w:rFonts w:ascii="Arial" w:hAnsi="Arial" w:cs="Arial"/>
          <w:i/>
        </w:rPr>
        <w:t xml:space="preserve"> van </w:t>
      </w:r>
      <w:proofErr w:type="spellStart"/>
      <w:r w:rsidRPr="009B6C6E">
        <w:rPr>
          <w:rFonts w:ascii="Arial" w:hAnsi="Arial" w:cs="Arial"/>
          <w:i/>
        </w:rPr>
        <w:t>Christus</w:t>
      </w:r>
      <w:proofErr w:type="spellEnd"/>
      <w:r w:rsidRPr="009B6C6E">
        <w:rPr>
          <w:rFonts w:ascii="Arial" w:hAnsi="Arial" w:cs="Arial"/>
          <w:i/>
        </w:rPr>
        <w:t xml:space="preserve"> </w:t>
      </w:r>
      <w:proofErr w:type="spellStart"/>
      <w:r w:rsidRPr="009B6C6E">
        <w:rPr>
          <w:rFonts w:ascii="Arial" w:hAnsi="Arial" w:cs="Arial"/>
          <w:i/>
        </w:rPr>
        <w:t>Kerk</w:t>
      </w:r>
      <w:proofErr w:type="spellEnd"/>
      <w:r w:rsidRPr="009B6C6E">
        <w:rPr>
          <w:rFonts w:ascii="Arial" w:hAnsi="Arial" w:cs="Arial"/>
        </w:rPr>
        <w:t xml:space="preserve"> SA 2002 NR 14 (HC) at 17B-C.</w:t>
      </w:r>
    </w:p>
  </w:footnote>
  <w:footnote w:id="6">
    <w:p w:rsidR="008604D7" w:rsidRPr="009B6C6E" w:rsidRDefault="008604D7"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w:t>
      </w:r>
      <w:proofErr w:type="spellStart"/>
      <w:r w:rsidR="00334459" w:rsidRPr="009B6C6E">
        <w:rPr>
          <w:rFonts w:ascii="Arial" w:hAnsi="Arial" w:cs="Arial"/>
          <w:i/>
        </w:rPr>
        <w:t>Dietmar</w:t>
      </w:r>
      <w:proofErr w:type="spellEnd"/>
      <w:r w:rsidRPr="009B6C6E">
        <w:rPr>
          <w:rFonts w:ascii="Arial" w:hAnsi="Arial" w:cs="Arial"/>
          <w:i/>
        </w:rPr>
        <w:t xml:space="preserve"> </w:t>
      </w:r>
      <w:proofErr w:type="spellStart"/>
      <w:r w:rsidRPr="009B6C6E">
        <w:rPr>
          <w:rFonts w:ascii="Arial" w:hAnsi="Arial" w:cs="Arial"/>
          <w:i/>
        </w:rPr>
        <w:t>Dannecker</w:t>
      </w:r>
      <w:proofErr w:type="spellEnd"/>
      <w:r w:rsidRPr="009B6C6E">
        <w:rPr>
          <w:rFonts w:ascii="Arial" w:hAnsi="Arial" w:cs="Arial"/>
          <w:i/>
        </w:rPr>
        <w:t xml:space="preserve"> v Leopard Tours Car and Camping Hire CC &amp; Others</w:t>
      </w:r>
      <w:r w:rsidR="00A31E0C" w:rsidRPr="009B6C6E">
        <w:rPr>
          <w:rFonts w:ascii="Arial" w:hAnsi="Arial" w:cs="Arial"/>
        </w:rPr>
        <w:t xml:space="preserve"> [2021] NAHCMD 496 (27 October 2021).</w:t>
      </w:r>
    </w:p>
  </w:footnote>
  <w:footnote w:id="7">
    <w:p w:rsidR="008604D7" w:rsidRPr="009B6C6E" w:rsidRDefault="008604D7"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See </w:t>
      </w:r>
      <w:proofErr w:type="spellStart"/>
      <w:r w:rsidRPr="009B6C6E">
        <w:rPr>
          <w:rFonts w:ascii="Arial" w:hAnsi="Arial" w:cs="Arial"/>
          <w:i/>
        </w:rPr>
        <w:t>Paw</w:t>
      </w:r>
      <w:r w:rsidR="00334459" w:rsidRPr="009B6C6E">
        <w:rPr>
          <w:rFonts w:ascii="Arial" w:hAnsi="Arial" w:cs="Arial"/>
          <w:i/>
        </w:rPr>
        <w:t>e</w:t>
      </w:r>
      <w:r w:rsidRPr="009B6C6E">
        <w:rPr>
          <w:rFonts w:ascii="Arial" w:hAnsi="Arial" w:cs="Arial"/>
          <w:i/>
        </w:rPr>
        <w:t>ni</w:t>
      </w:r>
      <w:proofErr w:type="spellEnd"/>
      <w:r w:rsidRPr="009B6C6E">
        <w:rPr>
          <w:rFonts w:ascii="Arial" w:hAnsi="Arial" w:cs="Arial"/>
          <w:i/>
        </w:rPr>
        <w:t xml:space="preserve"> v Acting Attorney-General</w:t>
      </w:r>
      <w:r w:rsidRPr="009B6C6E">
        <w:rPr>
          <w:rFonts w:ascii="Arial" w:hAnsi="Arial" w:cs="Arial"/>
        </w:rPr>
        <w:t xml:space="preserve"> footnote</w:t>
      </w:r>
      <w:r w:rsidR="00334459" w:rsidRPr="009B6C6E">
        <w:rPr>
          <w:rFonts w:ascii="Arial" w:hAnsi="Arial" w:cs="Arial"/>
        </w:rPr>
        <w:t xml:space="preserve"> 3</w:t>
      </w:r>
      <w:r w:rsidRPr="009B6C6E">
        <w:rPr>
          <w:rFonts w:ascii="Arial" w:hAnsi="Arial" w:cs="Arial"/>
        </w:rPr>
        <w:t xml:space="preserve">; and </w:t>
      </w:r>
      <w:proofErr w:type="spellStart"/>
      <w:r w:rsidRPr="009B6C6E">
        <w:rPr>
          <w:rFonts w:ascii="Arial" w:hAnsi="Arial" w:cs="Arial"/>
          <w:i/>
        </w:rPr>
        <w:t>Transnamib</w:t>
      </w:r>
      <w:proofErr w:type="spellEnd"/>
      <w:r w:rsidRPr="009B6C6E">
        <w:rPr>
          <w:rFonts w:ascii="Arial" w:hAnsi="Arial" w:cs="Arial"/>
          <w:i/>
        </w:rPr>
        <w:t xml:space="preserve"> Holdings v Stocks and Stocks Leisure (Namibia) Ltd &amp; Others</w:t>
      </w:r>
      <w:r w:rsidRPr="009B6C6E">
        <w:rPr>
          <w:rFonts w:ascii="Arial" w:hAnsi="Arial" w:cs="Arial"/>
        </w:rPr>
        <w:t xml:space="preserve"> footnote 2.</w:t>
      </w:r>
    </w:p>
  </w:footnote>
  <w:footnote w:id="8">
    <w:p w:rsidR="00DD05C9" w:rsidRPr="009B6C6E" w:rsidRDefault="00DD05C9" w:rsidP="00DF1296">
      <w:pPr>
        <w:pStyle w:val="FootnoteText"/>
        <w:jc w:val="both"/>
        <w:rPr>
          <w:rFonts w:ascii="Arial" w:hAnsi="Arial" w:cs="Arial"/>
        </w:rPr>
      </w:pPr>
      <w:r w:rsidRPr="009B6C6E">
        <w:rPr>
          <w:rStyle w:val="FootnoteReference"/>
          <w:rFonts w:ascii="Arial" w:hAnsi="Arial" w:cs="Arial"/>
        </w:rPr>
        <w:footnoteRef/>
      </w:r>
      <w:r w:rsidRPr="009B6C6E">
        <w:rPr>
          <w:rFonts w:ascii="Arial" w:hAnsi="Arial" w:cs="Arial"/>
        </w:rPr>
        <w:t xml:space="preserve"> </w:t>
      </w:r>
      <w:r w:rsidRPr="009B6C6E">
        <w:rPr>
          <w:rFonts w:ascii="Arial" w:hAnsi="Arial" w:cs="Arial"/>
          <w:i/>
        </w:rPr>
        <w:t>Christian v Metropolitan Life Namibia Retirement Annuity Fund</w:t>
      </w:r>
      <w:r w:rsidRPr="009B6C6E">
        <w:rPr>
          <w:rFonts w:ascii="Arial" w:hAnsi="Arial" w:cs="Arial"/>
        </w:rPr>
        <w:t xml:space="preserve"> footnote 4.</w:t>
      </w:r>
    </w:p>
  </w:footnote>
  <w:footnote w:id="9">
    <w:p w:rsidR="00DD05C9" w:rsidRPr="00334459" w:rsidRDefault="00DD05C9">
      <w:pPr>
        <w:pStyle w:val="FootnoteText"/>
        <w:rPr>
          <w:rFonts w:ascii="Arial" w:hAnsi="Arial" w:cs="Arial"/>
        </w:rPr>
      </w:pPr>
      <w:r w:rsidRPr="00334459">
        <w:rPr>
          <w:rStyle w:val="FootnoteReference"/>
          <w:rFonts w:ascii="Arial" w:hAnsi="Arial" w:cs="Arial"/>
        </w:rPr>
        <w:footnoteRef/>
      </w:r>
      <w:r w:rsidRPr="00334459">
        <w:rPr>
          <w:rFonts w:ascii="Arial" w:hAnsi="Arial" w:cs="Arial"/>
        </w:rPr>
        <w:t xml:space="preserve"> See footnote 3.</w:t>
      </w:r>
    </w:p>
  </w:footnote>
  <w:footnote w:id="10">
    <w:p w:rsidR="00DD05C9" w:rsidRPr="00334459" w:rsidRDefault="00DD05C9">
      <w:pPr>
        <w:pStyle w:val="FootnoteText"/>
        <w:rPr>
          <w:rFonts w:ascii="Arial" w:hAnsi="Arial" w:cs="Arial"/>
        </w:rPr>
      </w:pPr>
      <w:r w:rsidRPr="00334459">
        <w:rPr>
          <w:rStyle w:val="FootnoteReference"/>
          <w:rFonts w:ascii="Arial" w:hAnsi="Arial" w:cs="Arial"/>
        </w:rPr>
        <w:footnoteRef/>
      </w:r>
      <w:r w:rsidRPr="00334459">
        <w:rPr>
          <w:rFonts w:ascii="Arial" w:hAnsi="Arial" w:cs="Arial"/>
        </w:rPr>
        <w:t xml:space="preserve"> See footnote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6805"/>
      <w:docPartObj>
        <w:docPartGallery w:val="Page Numbers (Top of Page)"/>
        <w:docPartUnique/>
      </w:docPartObj>
    </w:sdtPr>
    <w:sdtEndPr>
      <w:rPr>
        <w:rFonts w:ascii="Arial" w:hAnsi="Arial" w:cs="Arial"/>
        <w:noProof/>
        <w:sz w:val="24"/>
        <w:szCs w:val="24"/>
      </w:rPr>
    </w:sdtEndPr>
    <w:sdtContent>
      <w:p w:rsidR="0021263E" w:rsidRPr="0021263E" w:rsidRDefault="0021263E">
        <w:pPr>
          <w:pStyle w:val="Header"/>
          <w:jc w:val="right"/>
          <w:rPr>
            <w:rFonts w:ascii="Arial" w:hAnsi="Arial" w:cs="Arial"/>
            <w:sz w:val="24"/>
            <w:szCs w:val="24"/>
          </w:rPr>
        </w:pPr>
        <w:r w:rsidRPr="0021263E">
          <w:rPr>
            <w:rFonts w:ascii="Arial" w:hAnsi="Arial" w:cs="Arial"/>
            <w:sz w:val="24"/>
            <w:szCs w:val="24"/>
          </w:rPr>
          <w:fldChar w:fldCharType="begin"/>
        </w:r>
        <w:r w:rsidRPr="0021263E">
          <w:rPr>
            <w:rFonts w:ascii="Arial" w:hAnsi="Arial" w:cs="Arial"/>
            <w:sz w:val="24"/>
            <w:szCs w:val="24"/>
          </w:rPr>
          <w:instrText xml:space="preserve"> PAGE   \* MERGEFORMAT </w:instrText>
        </w:r>
        <w:r w:rsidRPr="0021263E">
          <w:rPr>
            <w:rFonts w:ascii="Arial" w:hAnsi="Arial" w:cs="Arial"/>
            <w:sz w:val="24"/>
            <w:szCs w:val="24"/>
          </w:rPr>
          <w:fldChar w:fldCharType="separate"/>
        </w:r>
        <w:r w:rsidR="00A2173A">
          <w:rPr>
            <w:rFonts w:ascii="Arial" w:hAnsi="Arial" w:cs="Arial"/>
            <w:noProof/>
            <w:sz w:val="24"/>
            <w:szCs w:val="24"/>
          </w:rPr>
          <w:t>3</w:t>
        </w:r>
        <w:r w:rsidRPr="0021263E">
          <w:rPr>
            <w:rFonts w:ascii="Arial" w:hAnsi="Arial" w:cs="Arial"/>
            <w:noProof/>
            <w:sz w:val="24"/>
            <w:szCs w:val="24"/>
          </w:rPr>
          <w:fldChar w:fldCharType="end"/>
        </w:r>
      </w:p>
    </w:sdtContent>
  </w:sdt>
  <w:p w:rsidR="0021263E" w:rsidRDefault="002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52806"/>
    <w:rsid w:val="00053646"/>
    <w:rsid w:val="000929C5"/>
    <w:rsid w:val="000A6E7F"/>
    <w:rsid w:val="000E7C99"/>
    <w:rsid w:val="000F39A3"/>
    <w:rsid w:val="000F681E"/>
    <w:rsid w:val="00116AFB"/>
    <w:rsid w:val="001223B7"/>
    <w:rsid w:val="00124C63"/>
    <w:rsid w:val="00136505"/>
    <w:rsid w:val="00152FEA"/>
    <w:rsid w:val="0018718C"/>
    <w:rsid w:val="001B3825"/>
    <w:rsid w:val="001E097B"/>
    <w:rsid w:val="001E2A2D"/>
    <w:rsid w:val="00211DE9"/>
    <w:rsid w:val="0021263E"/>
    <w:rsid w:val="00217744"/>
    <w:rsid w:val="00224808"/>
    <w:rsid w:val="002317B0"/>
    <w:rsid w:val="0023549A"/>
    <w:rsid w:val="002536EA"/>
    <w:rsid w:val="00276736"/>
    <w:rsid w:val="002A4AA3"/>
    <w:rsid w:val="002B38E0"/>
    <w:rsid w:val="002C1EF6"/>
    <w:rsid w:val="002D20C5"/>
    <w:rsid w:val="002E738E"/>
    <w:rsid w:val="002F4122"/>
    <w:rsid w:val="0031523D"/>
    <w:rsid w:val="00322F39"/>
    <w:rsid w:val="00323AAF"/>
    <w:rsid w:val="00323E22"/>
    <w:rsid w:val="00334459"/>
    <w:rsid w:val="00340EA6"/>
    <w:rsid w:val="00371B8F"/>
    <w:rsid w:val="0038382D"/>
    <w:rsid w:val="003A18AD"/>
    <w:rsid w:val="003C2574"/>
    <w:rsid w:val="003D165C"/>
    <w:rsid w:val="003D3059"/>
    <w:rsid w:val="00404B70"/>
    <w:rsid w:val="00412278"/>
    <w:rsid w:val="00426C60"/>
    <w:rsid w:val="00431A65"/>
    <w:rsid w:val="004352E5"/>
    <w:rsid w:val="004358E2"/>
    <w:rsid w:val="00436C2B"/>
    <w:rsid w:val="00463486"/>
    <w:rsid w:val="004665B1"/>
    <w:rsid w:val="00466B36"/>
    <w:rsid w:val="00474C2A"/>
    <w:rsid w:val="00475B7A"/>
    <w:rsid w:val="00482E25"/>
    <w:rsid w:val="004907E4"/>
    <w:rsid w:val="004936A7"/>
    <w:rsid w:val="004A2D48"/>
    <w:rsid w:val="004A44BE"/>
    <w:rsid w:val="004C646F"/>
    <w:rsid w:val="00503F36"/>
    <w:rsid w:val="00533624"/>
    <w:rsid w:val="00535F29"/>
    <w:rsid w:val="00536EFF"/>
    <w:rsid w:val="005629DA"/>
    <w:rsid w:val="00594F6C"/>
    <w:rsid w:val="005A4D90"/>
    <w:rsid w:val="005B62A0"/>
    <w:rsid w:val="005C0E24"/>
    <w:rsid w:val="005C21D7"/>
    <w:rsid w:val="005C3354"/>
    <w:rsid w:val="005F325C"/>
    <w:rsid w:val="005F32EB"/>
    <w:rsid w:val="00603B6F"/>
    <w:rsid w:val="00610BF1"/>
    <w:rsid w:val="006115E2"/>
    <w:rsid w:val="00622B5F"/>
    <w:rsid w:val="00661194"/>
    <w:rsid w:val="00672C76"/>
    <w:rsid w:val="0069060B"/>
    <w:rsid w:val="00695745"/>
    <w:rsid w:val="0069665B"/>
    <w:rsid w:val="006976D9"/>
    <w:rsid w:val="006A0BA4"/>
    <w:rsid w:val="006B0E0D"/>
    <w:rsid w:val="006B5854"/>
    <w:rsid w:val="006B7521"/>
    <w:rsid w:val="006D0991"/>
    <w:rsid w:val="006D7450"/>
    <w:rsid w:val="006E0FD4"/>
    <w:rsid w:val="006F07B3"/>
    <w:rsid w:val="00702C62"/>
    <w:rsid w:val="00703171"/>
    <w:rsid w:val="007149A0"/>
    <w:rsid w:val="00736DA4"/>
    <w:rsid w:val="00746C0C"/>
    <w:rsid w:val="0076681A"/>
    <w:rsid w:val="00766C68"/>
    <w:rsid w:val="0078274D"/>
    <w:rsid w:val="007853D8"/>
    <w:rsid w:val="007950C8"/>
    <w:rsid w:val="007979CA"/>
    <w:rsid w:val="007A013F"/>
    <w:rsid w:val="007D0792"/>
    <w:rsid w:val="007D6C74"/>
    <w:rsid w:val="007F68C4"/>
    <w:rsid w:val="008006A3"/>
    <w:rsid w:val="00810E4A"/>
    <w:rsid w:val="00812409"/>
    <w:rsid w:val="00816D5D"/>
    <w:rsid w:val="00821A0C"/>
    <w:rsid w:val="008275AC"/>
    <w:rsid w:val="00835300"/>
    <w:rsid w:val="00852CB7"/>
    <w:rsid w:val="008604D7"/>
    <w:rsid w:val="00882F73"/>
    <w:rsid w:val="00890A20"/>
    <w:rsid w:val="00892D9A"/>
    <w:rsid w:val="008A1447"/>
    <w:rsid w:val="008C2200"/>
    <w:rsid w:val="008E0730"/>
    <w:rsid w:val="008F59A0"/>
    <w:rsid w:val="009279BE"/>
    <w:rsid w:val="00937C89"/>
    <w:rsid w:val="009723CD"/>
    <w:rsid w:val="009733A9"/>
    <w:rsid w:val="009919F6"/>
    <w:rsid w:val="00997C11"/>
    <w:rsid w:val="009A7A59"/>
    <w:rsid w:val="009B6C6E"/>
    <w:rsid w:val="009C35C9"/>
    <w:rsid w:val="009C6F3F"/>
    <w:rsid w:val="009D27E8"/>
    <w:rsid w:val="009D5BA7"/>
    <w:rsid w:val="00A0055C"/>
    <w:rsid w:val="00A05C47"/>
    <w:rsid w:val="00A10E40"/>
    <w:rsid w:val="00A15CD1"/>
    <w:rsid w:val="00A2173A"/>
    <w:rsid w:val="00A22E0F"/>
    <w:rsid w:val="00A2391E"/>
    <w:rsid w:val="00A26B7B"/>
    <w:rsid w:val="00A31E0C"/>
    <w:rsid w:val="00A3327E"/>
    <w:rsid w:val="00A50F13"/>
    <w:rsid w:val="00A6151E"/>
    <w:rsid w:val="00A66511"/>
    <w:rsid w:val="00A75ED6"/>
    <w:rsid w:val="00A85792"/>
    <w:rsid w:val="00AA3ECB"/>
    <w:rsid w:val="00AC44AB"/>
    <w:rsid w:val="00AD72DD"/>
    <w:rsid w:val="00B01B6C"/>
    <w:rsid w:val="00B121EA"/>
    <w:rsid w:val="00B23D77"/>
    <w:rsid w:val="00B40844"/>
    <w:rsid w:val="00B47800"/>
    <w:rsid w:val="00B50C99"/>
    <w:rsid w:val="00B56E34"/>
    <w:rsid w:val="00B5737E"/>
    <w:rsid w:val="00B61AC7"/>
    <w:rsid w:val="00B65E6B"/>
    <w:rsid w:val="00B808CB"/>
    <w:rsid w:val="00B845CF"/>
    <w:rsid w:val="00B92DE7"/>
    <w:rsid w:val="00B931B5"/>
    <w:rsid w:val="00B9407E"/>
    <w:rsid w:val="00BB13F4"/>
    <w:rsid w:val="00BB3273"/>
    <w:rsid w:val="00BC5931"/>
    <w:rsid w:val="00BE31AD"/>
    <w:rsid w:val="00C04F28"/>
    <w:rsid w:val="00C06EB4"/>
    <w:rsid w:val="00C209BE"/>
    <w:rsid w:val="00C2633E"/>
    <w:rsid w:val="00C34E5E"/>
    <w:rsid w:val="00C66695"/>
    <w:rsid w:val="00C73D5D"/>
    <w:rsid w:val="00CA7995"/>
    <w:rsid w:val="00CC7431"/>
    <w:rsid w:val="00CD62C0"/>
    <w:rsid w:val="00CF4A25"/>
    <w:rsid w:val="00D113DD"/>
    <w:rsid w:val="00D24453"/>
    <w:rsid w:val="00D25285"/>
    <w:rsid w:val="00D30D4D"/>
    <w:rsid w:val="00D37DAA"/>
    <w:rsid w:val="00D5070E"/>
    <w:rsid w:val="00D547B6"/>
    <w:rsid w:val="00D6224D"/>
    <w:rsid w:val="00D624C6"/>
    <w:rsid w:val="00D74D48"/>
    <w:rsid w:val="00D80947"/>
    <w:rsid w:val="00D878A9"/>
    <w:rsid w:val="00D951F5"/>
    <w:rsid w:val="00D960EA"/>
    <w:rsid w:val="00DB5AA2"/>
    <w:rsid w:val="00DD05C9"/>
    <w:rsid w:val="00DD76E7"/>
    <w:rsid w:val="00DF1296"/>
    <w:rsid w:val="00E0573A"/>
    <w:rsid w:val="00E221FD"/>
    <w:rsid w:val="00E41BE5"/>
    <w:rsid w:val="00E533BE"/>
    <w:rsid w:val="00E62DB3"/>
    <w:rsid w:val="00E94E67"/>
    <w:rsid w:val="00E96F9E"/>
    <w:rsid w:val="00EA2DE2"/>
    <w:rsid w:val="00EA55B5"/>
    <w:rsid w:val="00EB1AE0"/>
    <w:rsid w:val="00ED5B76"/>
    <w:rsid w:val="00ED7008"/>
    <w:rsid w:val="00ED76B2"/>
    <w:rsid w:val="00EF184A"/>
    <w:rsid w:val="00EF2FFD"/>
    <w:rsid w:val="00F0235A"/>
    <w:rsid w:val="00F05CAB"/>
    <w:rsid w:val="00F0783D"/>
    <w:rsid w:val="00F21EDB"/>
    <w:rsid w:val="00F4726A"/>
    <w:rsid w:val="00F65529"/>
    <w:rsid w:val="00F65903"/>
    <w:rsid w:val="00F72231"/>
    <w:rsid w:val="00F7691A"/>
    <w:rsid w:val="00F82EDF"/>
    <w:rsid w:val="00F92D04"/>
    <w:rsid w:val="00FB2E9E"/>
    <w:rsid w:val="00FB5F14"/>
    <w:rsid w:val="00FC2237"/>
    <w:rsid w:val="00FC6F2E"/>
    <w:rsid w:val="00FD68B7"/>
    <w:rsid w:val="00FF6CE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semiHidden/>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3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2023-06-06T18:30:00+00:00</Judgment_x0020_Date>
    <Year xmlns="c1afb1bd-f2fb-40fd-9abb-aea55b4d7662">2023</Year>
  </documentManagement>
</p:properties>
</file>

<file path=customXml/itemProps1.xml><?xml version="1.0" encoding="utf-8"?>
<ds:datastoreItem xmlns:ds="http://schemas.openxmlformats.org/officeDocument/2006/customXml" ds:itemID="{39B12B44-7F0E-4F62-A2E5-0F3A20ACE4B7}"/>
</file>

<file path=customXml/itemProps2.xml><?xml version="1.0" encoding="utf-8"?>
<ds:datastoreItem xmlns:ds="http://schemas.openxmlformats.org/officeDocument/2006/customXml" ds:itemID="{ADFB9D01-A1A1-40AC-B1AD-4470D118F2D6}"/>
</file>

<file path=customXml/itemProps3.xml><?xml version="1.0" encoding="utf-8"?>
<ds:datastoreItem xmlns:ds="http://schemas.openxmlformats.org/officeDocument/2006/customXml" ds:itemID="{81EFC070-BDC6-40F4-86E9-03486C597815}"/>
</file>

<file path=customXml/itemProps4.xml><?xml version="1.0" encoding="utf-8"?>
<ds:datastoreItem xmlns:ds="http://schemas.openxmlformats.org/officeDocument/2006/customXml" ds:itemID="{D5F84443-E739-4B08-A606-2191419D8A8F}"/>
</file>

<file path=docProps/app.xml><?xml version="1.0" encoding="utf-8"?>
<Properties xmlns="http://schemas.openxmlformats.org/officeDocument/2006/extended-properties" xmlns:vt="http://schemas.openxmlformats.org/officeDocument/2006/docPropsVTypes">
  <Template>Normal</Template>
  <TotalTime>1249</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Veii v Daja Property Developers Close Corporation (HC-MD-CIV-ACT-CON-2020-05002) [2023] NAHCMD 299 (7 June 2023)</dc:title>
  <dc:subject/>
  <dc:creator>shomany keister</dc:creator>
  <cp:keywords/>
  <dc:description/>
  <cp:lastModifiedBy>Lusia Simon</cp:lastModifiedBy>
  <cp:revision>32</cp:revision>
  <cp:lastPrinted>2023-06-06T12:30:00Z</cp:lastPrinted>
  <dcterms:created xsi:type="dcterms:W3CDTF">2023-05-08T09:38:00Z</dcterms:created>
  <dcterms:modified xsi:type="dcterms:W3CDTF">2023-06-06T12:31:00Z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