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33" w:rsidRPr="002D1433" w:rsidRDefault="002D1433" w:rsidP="002D1433">
      <w:pPr>
        <w:spacing w:after="0" w:line="240" w:lineRule="auto"/>
        <w:jc w:val="center"/>
        <w:rPr>
          <w:rFonts w:ascii="Arial" w:eastAsia="Times New Roman" w:hAnsi="Arial" w:cs="Arial"/>
          <w:b/>
          <w:sz w:val="24"/>
          <w:szCs w:val="24"/>
          <w:lang w:val="en-GB"/>
        </w:rPr>
      </w:pPr>
      <w:r w:rsidRPr="002D1433">
        <w:rPr>
          <w:rFonts w:ascii="Arial" w:eastAsia="Times New Roman" w:hAnsi="Arial" w:cs="Arial"/>
          <w:b/>
          <w:sz w:val="24"/>
          <w:szCs w:val="24"/>
          <w:lang w:val="en-GB"/>
        </w:rPr>
        <w:t>REPUBLIC OF NAMIBIA</w:t>
      </w:r>
    </w:p>
    <w:p w:rsidR="002D1433" w:rsidRPr="002D1433" w:rsidRDefault="002D1433" w:rsidP="002D1433">
      <w:pPr>
        <w:spacing w:after="0" w:line="240" w:lineRule="auto"/>
        <w:jc w:val="center"/>
        <w:rPr>
          <w:rFonts w:ascii="Arial" w:eastAsia="Times New Roman" w:hAnsi="Arial" w:cs="Arial"/>
          <w:sz w:val="24"/>
          <w:szCs w:val="24"/>
          <w:lang w:val="en-GB"/>
        </w:rPr>
      </w:pPr>
      <w:r w:rsidRPr="002D1433">
        <w:rPr>
          <w:rFonts w:ascii="Arial" w:eastAsia="Times New Roman" w:hAnsi="Arial" w:cs="Arial"/>
          <w:noProof/>
          <w:sz w:val="24"/>
          <w:szCs w:val="24"/>
        </w:rPr>
        <w:drawing>
          <wp:inline distT="0" distB="0" distL="0" distR="0" wp14:anchorId="5DD6E2BA" wp14:editId="17C4CEFE">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2D1433" w:rsidRPr="002D1433" w:rsidRDefault="002D1433" w:rsidP="002D1433">
      <w:pPr>
        <w:spacing w:after="0" w:line="240" w:lineRule="auto"/>
        <w:jc w:val="center"/>
        <w:rPr>
          <w:rFonts w:ascii="Arial" w:eastAsia="Times New Roman" w:hAnsi="Arial" w:cs="Arial"/>
          <w:sz w:val="24"/>
          <w:szCs w:val="24"/>
          <w:lang w:val="en-GB"/>
        </w:rPr>
      </w:pPr>
    </w:p>
    <w:p w:rsidR="002D1433" w:rsidRPr="002D1433" w:rsidRDefault="002D1433" w:rsidP="002D1433">
      <w:pPr>
        <w:spacing w:after="0" w:line="360" w:lineRule="auto"/>
        <w:jc w:val="center"/>
        <w:rPr>
          <w:rFonts w:ascii="Arial" w:eastAsia="Times New Roman" w:hAnsi="Arial" w:cs="Arial"/>
          <w:b/>
          <w:sz w:val="24"/>
          <w:szCs w:val="24"/>
          <w:lang w:val="en-GB"/>
        </w:rPr>
      </w:pPr>
      <w:r w:rsidRPr="002D1433">
        <w:rPr>
          <w:rFonts w:ascii="Arial" w:eastAsia="Times New Roman" w:hAnsi="Arial" w:cs="Arial"/>
          <w:b/>
          <w:sz w:val="24"/>
          <w:szCs w:val="24"/>
          <w:lang w:val="en-GB"/>
        </w:rPr>
        <w:t>IN THE HIGH COURT OF NAMIBIA, MAIN DIVISION, WINDHOEK</w:t>
      </w:r>
    </w:p>
    <w:p w:rsidR="002D1433" w:rsidRPr="002D1433" w:rsidRDefault="002D1433" w:rsidP="002D1433">
      <w:pPr>
        <w:spacing w:after="0" w:line="360" w:lineRule="auto"/>
        <w:jc w:val="center"/>
        <w:rPr>
          <w:rFonts w:ascii="Arial" w:eastAsia="Times New Roman" w:hAnsi="Arial" w:cs="Arial"/>
          <w:sz w:val="24"/>
          <w:szCs w:val="24"/>
          <w:lang w:val="en-GB"/>
        </w:rPr>
      </w:pPr>
      <w:r w:rsidRPr="002D1433">
        <w:rPr>
          <w:rFonts w:ascii="Arial" w:eastAsia="Times New Roman" w:hAnsi="Arial" w:cs="Arial"/>
          <w:b/>
          <w:sz w:val="24"/>
          <w:szCs w:val="24"/>
          <w:lang w:val="en-GB"/>
        </w:rPr>
        <w:t>REVIEW JUDGMENT</w:t>
      </w:r>
    </w:p>
    <w:p w:rsidR="002D1433" w:rsidRPr="002D1433" w:rsidRDefault="002D1433" w:rsidP="002D1433">
      <w:pPr>
        <w:spacing w:line="256" w:lineRule="auto"/>
        <w:rPr>
          <w:rFonts w:ascii="Arial" w:hAnsi="Arial" w:cs="Arial"/>
          <w:sz w:val="24"/>
          <w:szCs w:val="24"/>
          <w:lang w:val="en-ZA"/>
        </w:rPr>
      </w:pPr>
    </w:p>
    <w:tbl>
      <w:tblPr>
        <w:tblStyle w:val="TableGrid"/>
        <w:tblW w:w="9720" w:type="dxa"/>
        <w:tblInd w:w="-275" w:type="dxa"/>
        <w:tblLook w:val="04A0" w:firstRow="1" w:lastRow="0" w:firstColumn="1" w:lastColumn="0" w:noHBand="0" w:noVBand="1"/>
      </w:tblPr>
      <w:tblGrid>
        <w:gridCol w:w="4770"/>
        <w:gridCol w:w="627"/>
        <w:gridCol w:w="4323"/>
      </w:tblGrid>
      <w:tr w:rsidR="002D1433" w:rsidRPr="002D1433" w:rsidTr="00DA5DD1">
        <w:trPr>
          <w:trHeight w:val="744"/>
        </w:trPr>
        <w:tc>
          <w:tcPr>
            <w:tcW w:w="5397" w:type="dxa"/>
            <w:gridSpan w:val="2"/>
            <w:tcBorders>
              <w:top w:val="single" w:sz="4" w:space="0" w:color="auto"/>
              <w:left w:val="single" w:sz="4" w:space="0" w:color="auto"/>
              <w:bottom w:val="single" w:sz="4" w:space="0" w:color="auto"/>
              <w:right w:val="single" w:sz="4" w:space="0" w:color="auto"/>
            </w:tcBorders>
            <w:hideMark/>
          </w:tcPr>
          <w:p w:rsidR="002D1433" w:rsidRPr="002D1433" w:rsidRDefault="002D1433" w:rsidP="002D1433">
            <w:pPr>
              <w:spacing w:line="360" w:lineRule="auto"/>
              <w:jc w:val="both"/>
              <w:rPr>
                <w:rFonts w:ascii="Arial" w:hAnsi="Arial" w:cs="Arial"/>
                <w:color w:val="171717" w:themeColor="background2" w:themeShade="1A"/>
                <w:sz w:val="24"/>
                <w:szCs w:val="24"/>
              </w:rPr>
            </w:pPr>
            <w:proofErr w:type="spellStart"/>
            <w:r w:rsidRPr="002D1433">
              <w:rPr>
                <w:rFonts w:ascii="Arial" w:hAnsi="Arial" w:cs="Arial"/>
                <w:b/>
                <w:color w:val="171717" w:themeColor="background2" w:themeShade="1A"/>
                <w:sz w:val="24"/>
                <w:szCs w:val="24"/>
              </w:rPr>
              <w:t>ase</w:t>
            </w:r>
            <w:proofErr w:type="spellEnd"/>
            <w:r w:rsidRPr="002D1433">
              <w:rPr>
                <w:rFonts w:ascii="Arial" w:hAnsi="Arial" w:cs="Arial"/>
                <w:b/>
                <w:color w:val="171717" w:themeColor="background2" w:themeShade="1A"/>
                <w:sz w:val="24"/>
                <w:szCs w:val="24"/>
              </w:rPr>
              <w:t xml:space="preserve"> Title:</w:t>
            </w:r>
          </w:p>
          <w:p w:rsidR="002D1433" w:rsidRPr="002D1433" w:rsidRDefault="002D1433" w:rsidP="002D1433">
            <w:pPr>
              <w:spacing w:line="360" w:lineRule="auto"/>
              <w:jc w:val="both"/>
              <w:rPr>
                <w:rFonts w:ascii="Arial" w:hAnsi="Arial" w:cs="Arial"/>
                <w:color w:val="171717" w:themeColor="background2" w:themeShade="1A"/>
                <w:sz w:val="24"/>
                <w:szCs w:val="24"/>
              </w:rPr>
            </w:pPr>
            <w:r w:rsidRPr="002D1433">
              <w:rPr>
                <w:rFonts w:ascii="Arial" w:hAnsi="Arial" w:cs="Arial"/>
                <w:color w:val="171717" w:themeColor="background2" w:themeShade="1A"/>
                <w:sz w:val="24"/>
                <w:szCs w:val="24"/>
              </w:rPr>
              <w:t xml:space="preserve">The State v Daniel </w:t>
            </w:r>
            <w:proofErr w:type="spellStart"/>
            <w:r w:rsidRPr="002D1433">
              <w:rPr>
                <w:rFonts w:ascii="Arial" w:hAnsi="Arial" w:cs="Arial"/>
                <w:color w:val="171717" w:themeColor="background2" w:themeShade="1A"/>
                <w:sz w:val="24"/>
                <w:szCs w:val="24"/>
              </w:rPr>
              <w:t>Daniel</w:t>
            </w:r>
            <w:proofErr w:type="spellEnd"/>
          </w:p>
        </w:tc>
        <w:tc>
          <w:tcPr>
            <w:tcW w:w="4323" w:type="dxa"/>
            <w:tcBorders>
              <w:top w:val="single" w:sz="4" w:space="0" w:color="auto"/>
              <w:left w:val="single" w:sz="4" w:space="0" w:color="auto"/>
              <w:bottom w:val="single" w:sz="4" w:space="0" w:color="auto"/>
              <w:right w:val="single" w:sz="4" w:space="0" w:color="auto"/>
            </w:tcBorders>
            <w:hideMark/>
          </w:tcPr>
          <w:p w:rsidR="002D1433" w:rsidRPr="002D1433" w:rsidRDefault="002D1433" w:rsidP="002D1433">
            <w:pPr>
              <w:spacing w:line="360" w:lineRule="auto"/>
              <w:jc w:val="both"/>
              <w:rPr>
                <w:rFonts w:ascii="Arial" w:hAnsi="Arial" w:cs="Arial"/>
                <w:b/>
                <w:color w:val="171717" w:themeColor="background2" w:themeShade="1A"/>
                <w:sz w:val="24"/>
                <w:szCs w:val="24"/>
              </w:rPr>
            </w:pPr>
            <w:r w:rsidRPr="002D1433">
              <w:rPr>
                <w:rFonts w:ascii="Arial" w:hAnsi="Arial" w:cs="Arial"/>
                <w:b/>
                <w:color w:val="171717" w:themeColor="background2" w:themeShade="1A"/>
                <w:sz w:val="24"/>
                <w:szCs w:val="24"/>
              </w:rPr>
              <w:t>Case No:</w:t>
            </w:r>
          </w:p>
          <w:p w:rsidR="002D1433" w:rsidRPr="002D1433" w:rsidRDefault="007E0A7E" w:rsidP="007E0A7E">
            <w:pPr>
              <w:spacing w:line="36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CR 125</w:t>
            </w:r>
            <w:r w:rsidR="002D1433" w:rsidRPr="002D1433">
              <w:rPr>
                <w:rFonts w:ascii="Arial" w:hAnsi="Arial" w:cs="Arial"/>
                <w:color w:val="171717" w:themeColor="background2" w:themeShade="1A"/>
                <w:sz w:val="24"/>
                <w:szCs w:val="24"/>
              </w:rPr>
              <w:t>/2022</w:t>
            </w:r>
          </w:p>
        </w:tc>
      </w:tr>
      <w:tr w:rsidR="002D1433" w:rsidRPr="002D1433" w:rsidTr="00DA5DD1">
        <w:trPr>
          <w:trHeight w:val="844"/>
        </w:trPr>
        <w:tc>
          <w:tcPr>
            <w:tcW w:w="5397" w:type="dxa"/>
            <w:gridSpan w:val="2"/>
            <w:tcBorders>
              <w:top w:val="single" w:sz="4" w:space="0" w:color="auto"/>
              <w:left w:val="single" w:sz="4" w:space="0" w:color="auto"/>
              <w:bottom w:val="single" w:sz="4" w:space="0" w:color="auto"/>
              <w:right w:val="single" w:sz="4" w:space="0" w:color="auto"/>
            </w:tcBorders>
          </w:tcPr>
          <w:p w:rsidR="002D1433" w:rsidRPr="002D1433" w:rsidRDefault="002D1433" w:rsidP="002D1433">
            <w:pPr>
              <w:spacing w:line="360" w:lineRule="auto"/>
              <w:jc w:val="both"/>
              <w:rPr>
                <w:rFonts w:ascii="Arial" w:hAnsi="Arial" w:cs="Arial"/>
                <w:b/>
                <w:sz w:val="24"/>
                <w:szCs w:val="24"/>
              </w:rPr>
            </w:pPr>
            <w:r w:rsidRPr="002D1433">
              <w:rPr>
                <w:rFonts w:ascii="Arial" w:hAnsi="Arial" w:cs="Arial"/>
                <w:b/>
                <w:sz w:val="24"/>
                <w:szCs w:val="24"/>
              </w:rPr>
              <w:t>High Court MD Review No:</w:t>
            </w:r>
          </w:p>
          <w:p w:rsidR="002D1433" w:rsidRPr="002D1433" w:rsidRDefault="002D1433" w:rsidP="002D1433">
            <w:pPr>
              <w:spacing w:line="360" w:lineRule="auto"/>
              <w:jc w:val="both"/>
              <w:rPr>
                <w:rFonts w:ascii="Arial" w:hAnsi="Arial" w:cs="Arial"/>
                <w:sz w:val="24"/>
                <w:szCs w:val="24"/>
              </w:rPr>
            </w:pPr>
            <w:r w:rsidRPr="002D1433">
              <w:rPr>
                <w:rFonts w:ascii="Arial" w:hAnsi="Arial" w:cs="Arial"/>
                <w:sz w:val="24"/>
                <w:szCs w:val="24"/>
              </w:rPr>
              <w:t>1173/2022</w:t>
            </w:r>
          </w:p>
        </w:tc>
        <w:tc>
          <w:tcPr>
            <w:tcW w:w="4323" w:type="dxa"/>
            <w:tcBorders>
              <w:top w:val="single" w:sz="4" w:space="0" w:color="auto"/>
              <w:left w:val="single" w:sz="4" w:space="0" w:color="auto"/>
              <w:bottom w:val="single" w:sz="4" w:space="0" w:color="auto"/>
              <w:right w:val="single" w:sz="4" w:space="0" w:color="auto"/>
            </w:tcBorders>
            <w:hideMark/>
          </w:tcPr>
          <w:p w:rsidR="002D1433" w:rsidRPr="002D1433" w:rsidRDefault="002D1433" w:rsidP="002D1433">
            <w:pPr>
              <w:spacing w:line="360" w:lineRule="auto"/>
              <w:jc w:val="both"/>
              <w:rPr>
                <w:rFonts w:ascii="Arial" w:hAnsi="Arial" w:cs="Arial"/>
                <w:sz w:val="24"/>
                <w:szCs w:val="24"/>
              </w:rPr>
            </w:pPr>
            <w:r w:rsidRPr="002D1433">
              <w:rPr>
                <w:rFonts w:ascii="Arial" w:hAnsi="Arial" w:cs="Arial"/>
                <w:b/>
                <w:sz w:val="24"/>
                <w:szCs w:val="24"/>
              </w:rPr>
              <w:t>Division of Court:</w:t>
            </w:r>
          </w:p>
          <w:p w:rsidR="002D1433" w:rsidRPr="002D1433" w:rsidRDefault="002D1433" w:rsidP="002D1433">
            <w:pPr>
              <w:spacing w:line="360" w:lineRule="auto"/>
              <w:jc w:val="both"/>
              <w:rPr>
                <w:rFonts w:ascii="Arial" w:hAnsi="Arial" w:cs="Arial"/>
                <w:sz w:val="24"/>
                <w:szCs w:val="24"/>
              </w:rPr>
            </w:pPr>
            <w:r w:rsidRPr="002D1433">
              <w:rPr>
                <w:rFonts w:ascii="Arial" w:hAnsi="Arial" w:cs="Arial"/>
                <w:sz w:val="24"/>
                <w:szCs w:val="24"/>
              </w:rPr>
              <w:t>Main Division</w:t>
            </w:r>
          </w:p>
        </w:tc>
      </w:tr>
      <w:tr w:rsidR="002D1433" w:rsidRPr="002D1433" w:rsidTr="00DA5DD1">
        <w:trPr>
          <w:trHeight w:val="796"/>
        </w:trPr>
        <w:tc>
          <w:tcPr>
            <w:tcW w:w="5397" w:type="dxa"/>
            <w:gridSpan w:val="2"/>
            <w:tcBorders>
              <w:top w:val="single" w:sz="4" w:space="0" w:color="auto"/>
              <w:left w:val="single" w:sz="4" w:space="0" w:color="auto"/>
              <w:bottom w:val="single" w:sz="4" w:space="0" w:color="auto"/>
              <w:right w:val="single" w:sz="4" w:space="0" w:color="auto"/>
            </w:tcBorders>
            <w:hideMark/>
          </w:tcPr>
          <w:p w:rsidR="002D1433" w:rsidRPr="002D1433" w:rsidRDefault="002D1433" w:rsidP="002D1433">
            <w:pPr>
              <w:spacing w:line="276" w:lineRule="auto"/>
              <w:contextualSpacing/>
              <w:jc w:val="both"/>
              <w:rPr>
                <w:rFonts w:ascii="Arial" w:hAnsi="Arial" w:cs="Arial"/>
                <w:b/>
                <w:sz w:val="24"/>
                <w:szCs w:val="24"/>
              </w:rPr>
            </w:pPr>
            <w:r w:rsidRPr="002D1433">
              <w:rPr>
                <w:rFonts w:ascii="Arial" w:hAnsi="Arial" w:cs="Arial"/>
                <w:b/>
                <w:sz w:val="24"/>
                <w:szCs w:val="24"/>
              </w:rPr>
              <w:t>Heard before:</w:t>
            </w:r>
          </w:p>
          <w:p w:rsidR="002D1433" w:rsidRPr="002D1433" w:rsidRDefault="002D1433" w:rsidP="002D1433">
            <w:pPr>
              <w:spacing w:line="276" w:lineRule="auto"/>
              <w:contextualSpacing/>
              <w:jc w:val="both"/>
              <w:rPr>
                <w:rFonts w:ascii="Arial" w:hAnsi="Arial" w:cs="Arial"/>
                <w:sz w:val="24"/>
                <w:szCs w:val="24"/>
              </w:rPr>
            </w:pPr>
            <w:r w:rsidRPr="002D1433">
              <w:rPr>
                <w:rFonts w:ascii="Arial" w:hAnsi="Arial" w:cs="Arial"/>
                <w:sz w:val="24"/>
                <w:szCs w:val="24"/>
              </w:rPr>
              <w:t xml:space="preserve">Judge January </w:t>
            </w:r>
            <w:r w:rsidRPr="002D1433">
              <w:rPr>
                <w:rFonts w:ascii="Arial" w:hAnsi="Arial" w:cs="Arial"/>
                <w:i/>
                <w:sz w:val="24"/>
                <w:szCs w:val="24"/>
              </w:rPr>
              <w:t xml:space="preserve">et </w:t>
            </w:r>
            <w:r w:rsidRPr="002D1433">
              <w:rPr>
                <w:rFonts w:ascii="Arial" w:hAnsi="Arial" w:cs="Arial"/>
                <w:sz w:val="24"/>
                <w:szCs w:val="24"/>
              </w:rPr>
              <w:t>Acting</w:t>
            </w:r>
            <w:r w:rsidRPr="002D1433">
              <w:rPr>
                <w:rFonts w:ascii="Arial" w:hAnsi="Arial" w:cs="Arial"/>
                <w:i/>
                <w:sz w:val="24"/>
                <w:szCs w:val="24"/>
              </w:rPr>
              <w:t xml:space="preserve"> </w:t>
            </w:r>
            <w:r w:rsidRPr="002D1433">
              <w:rPr>
                <w:rFonts w:ascii="Arial" w:hAnsi="Arial" w:cs="Arial"/>
                <w:sz w:val="24"/>
                <w:szCs w:val="24"/>
              </w:rPr>
              <w:t>Judge Christiaan</w:t>
            </w:r>
          </w:p>
        </w:tc>
        <w:tc>
          <w:tcPr>
            <w:tcW w:w="4323" w:type="dxa"/>
            <w:tcBorders>
              <w:top w:val="single" w:sz="4" w:space="0" w:color="auto"/>
              <w:left w:val="single" w:sz="4" w:space="0" w:color="auto"/>
              <w:bottom w:val="single" w:sz="4" w:space="0" w:color="auto"/>
              <w:right w:val="single" w:sz="4" w:space="0" w:color="auto"/>
            </w:tcBorders>
          </w:tcPr>
          <w:p w:rsidR="002D1433" w:rsidRPr="002D1433" w:rsidRDefault="002D1433" w:rsidP="002D1433">
            <w:pPr>
              <w:spacing w:line="276" w:lineRule="auto"/>
              <w:contextualSpacing/>
              <w:jc w:val="both"/>
              <w:rPr>
                <w:rFonts w:ascii="Arial" w:hAnsi="Arial" w:cs="Arial"/>
                <w:b/>
                <w:sz w:val="24"/>
                <w:szCs w:val="24"/>
              </w:rPr>
            </w:pPr>
            <w:r w:rsidRPr="002D1433">
              <w:rPr>
                <w:rFonts w:ascii="Arial" w:hAnsi="Arial" w:cs="Arial"/>
                <w:b/>
                <w:sz w:val="24"/>
                <w:szCs w:val="24"/>
              </w:rPr>
              <w:t>Delivered on:</w:t>
            </w:r>
          </w:p>
          <w:p w:rsidR="002D1433" w:rsidRPr="002D1433" w:rsidRDefault="000F203C" w:rsidP="002D1433">
            <w:pPr>
              <w:spacing w:line="276" w:lineRule="auto"/>
              <w:contextualSpacing/>
              <w:jc w:val="both"/>
              <w:rPr>
                <w:rFonts w:ascii="Arial" w:hAnsi="Arial" w:cs="Arial"/>
                <w:sz w:val="24"/>
                <w:szCs w:val="24"/>
              </w:rPr>
            </w:pPr>
            <w:r>
              <w:rPr>
                <w:rFonts w:ascii="Arial" w:hAnsi="Arial" w:cs="Arial"/>
                <w:sz w:val="24"/>
                <w:szCs w:val="24"/>
              </w:rPr>
              <w:t>13</w:t>
            </w:r>
            <w:r w:rsidR="007E0A7E">
              <w:rPr>
                <w:rFonts w:ascii="Arial" w:hAnsi="Arial" w:cs="Arial"/>
                <w:sz w:val="24"/>
                <w:szCs w:val="24"/>
              </w:rPr>
              <w:t xml:space="preserve"> June</w:t>
            </w:r>
            <w:r w:rsidR="002D1433" w:rsidRPr="002D1433">
              <w:rPr>
                <w:rFonts w:ascii="Arial" w:hAnsi="Arial" w:cs="Arial"/>
                <w:sz w:val="24"/>
                <w:szCs w:val="24"/>
              </w:rPr>
              <w:t xml:space="preserve"> 2023</w:t>
            </w:r>
          </w:p>
          <w:p w:rsidR="002D1433" w:rsidRPr="002D1433" w:rsidRDefault="002D1433" w:rsidP="002D1433">
            <w:pPr>
              <w:spacing w:line="276" w:lineRule="auto"/>
              <w:contextualSpacing/>
              <w:jc w:val="both"/>
              <w:rPr>
                <w:rFonts w:ascii="Arial" w:hAnsi="Arial" w:cs="Arial"/>
                <w:sz w:val="24"/>
                <w:szCs w:val="24"/>
              </w:rPr>
            </w:pPr>
          </w:p>
        </w:tc>
      </w:tr>
      <w:tr w:rsidR="002D1433" w:rsidRPr="002D1433" w:rsidTr="00DA5DD1">
        <w:tc>
          <w:tcPr>
            <w:tcW w:w="9720" w:type="dxa"/>
            <w:gridSpan w:val="3"/>
            <w:tcBorders>
              <w:top w:val="single" w:sz="4" w:space="0" w:color="auto"/>
              <w:left w:val="single" w:sz="4" w:space="0" w:color="auto"/>
              <w:bottom w:val="single" w:sz="4" w:space="0" w:color="auto"/>
              <w:right w:val="single" w:sz="4" w:space="0" w:color="auto"/>
            </w:tcBorders>
            <w:hideMark/>
          </w:tcPr>
          <w:p w:rsidR="002D1433" w:rsidRPr="002D1433" w:rsidRDefault="002D1433" w:rsidP="002D1433">
            <w:pPr>
              <w:spacing w:line="360" w:lineRule="auto"/>
              <w:jc w:val="both"/>
              <w:rPr>
                <w:rFonts w:ascii="Arial" w:hAnsi="Arial" w:cs="Arial"/>
                <w:color w:val="0D0D0D" w:themeColor="text1" w:themeTint="F2"/>
                <w:sz w:val="24"/>
                <w:szCs w:val="24"/>
              </w:rPr>
            </w:pPr>
            <w:r w:rsidRPr="002D1433">
              <w:rPr>
                <w:rFonts w:ascii="Arial" w:hAnsi="Arial" w:cs="Arial"/>
                <w:b/>
                <w:color w:val="0D0D0D" w:themeColor="text1" w:themeTint="F2"/>
                <w:sz w:val="24"/>
                <w:szCs w:val="24"/>
              </w:rPr>
              <w:t xml:space="preserve">Neutral citation: </w:t>
            </w:r>
            <w:bookmarkStart w:id="0" w:name="_GoBack"/>
            <w:r w:rsidRPr="002D1433">
              <w:rPr>
                <w:rFonts w:ascii="Arial" w:hAnsi="Arial" w:cs="Arial"/>
                <w:i/>
                <w:color w:val="0D0D0D" w:themeColor="text1" w:themeTint="F2"/>
                <w:sz w:val="24"/>
                <w:szCs w:val="24"/>
              </w:rPr>
              <w:t>S v</w:t>
            </w:r>
            <w:r w:rsidRPr="002D1433">
              <w:rPr>
                <w:rFonts w:ascii="Arial" w:hAnsi="Arial" w:cs="Arial"/>
                <w:b/>
                <w:color w:val="0D0D0D" w:themeColor="text1" w:themeTint="F2"/>
                <w:sz w:val="24"/>
                <w:szCs w:val="24"/>
              </w:rPr>
              <w:t xml:space="preserve"> </w:t>
            </w:r>
            <w:r w:rsidRPr="002D1433">
              <w:rPr>
                <w:rFonts w:ascii="Arial" w:hAnsi="Arial" w:cs="Arial"/>
                <w:i/>
                <w:color w:val="0D0D0D" w:themeColor="text1" w:themeTint="F2"/>
                <w:sz w:val="24"/>
                <w:szCs w:val="24"/>
              </w:rPr>
              <w:t xml:space="preserve">Daniel </w:t>
            </w:r>
            <w:r w:rsidR="007E0A7E">
              <w:rPr>
                <w:rFonts w:ascii="Arial" w:hAnsi="Arial" w:cs="Arial"/>
                <w:color w:val="0D0D0D" w:themeColor="text1" w:themeTint="F2"/>
                <w:sz w:val="24"/>
                <w:szCs w:val="24"/>
              </w:rPr>
              <w:t xml:space="preserve">(CR 125/2022) [2023] NAHCMD </w:t>
            </w:r>
            <w:r w:rsidR="000F203C">
              <w:rPr>
                <w:rFonts w:ascii="Arial" w:hAnsi="Arial" w:cs="Arial"/>
                <w:color w:val="0D0D0D" w:themeColor="text1" w:themeTint="F2"/>
                <w:sz w:val="24"/>
                <w:szCs w:val="24"/>
              </w:rPr>
              <w:t>315</w:t>
            </w:r>
            <w:r w:rsidR="007E0A7E">
              <w:rPr>
                <w:rFonts w:ascii="Arial" w:hAnsi="Arial" w:cs="Arial"/>
                <w:color w:val="0D0D0D" w:themeColor="text1" w:themeTint="F2"/>
                <w:sz w:val="24"/>
                <w:szCs w:val="24"/>
              </w:rPr>
              <w:t xml:space="preserve"> (</w:t>
            </w:r>
            <w:r w:rsidR="000F203C">
              <w:rPr>
                <w:rFonts w:ascii="Arial" w:hAnsi="Arial" w:cs="Arial"/>
                <w:color w:val="0D0D0D" w:themeColor="text1" w:themeTint="F2"/>
                <w:sz w:val="24"/>
                <w:szCs w:val="24"/>
              </w:rPr>
              <w:t>13</w:t>
            </w:r>
            <w:r w:rsidR="007E0A7E">
              <w:rPr>
                <w:rFonts w:ascii="Arial" w:hAnsi="Arial" w:cs="Arial"/>
                <w:color w:val="0D0D0D" w:themeColor="text1" w:themeTint="F2"/>
                <w:sz w:val="24"/>
                <w:szCs w:val="24"/>
              </w:rPr>
              <w:t xml:space="preserve"> June</w:t>
            </w:r>
            <w:r w:rsidRPr="002D1433">
              <w:rPr>
                <w:rFonts w:ascii="Arial" w:hAnsi="Arial" w:cs="Arial"/>
                <w:color w:val="0D0D0D" w:themeColor="text1" w:themeTint="F2"/>
                <w:sz w:val="24"/>
                <w:szCs w:val="24"/>
              </w:rPr>
              <w:t xml:space="preserve"> 2023)</w:t>
            </w:r>
            <w:bookmarkEnd w:id="0"/>
          </w:p>
          <w:p w:rsidR="002D1433" w:rsidRPr="002D1433" w:rsidRDefault="002D1433" w:rsidP="002D1433">
            <w:pPr>
              <w:spacing w:line="360" w:lineRule="auto"/>
              <w:jc w:val="both"/>
              <w:rPr>
                <w:rFonts w:ascii="Arial" w:hAnsi="Arial" w:cs="Arial"/>
                <w:color w:val="0D0D0D" w:themeColor="text1" w:themeTint="F2"/>
                <w:sz w:val="24"/>
                <w:szCs w:val="24"/>
              </w:rPr>
            </w:pPr>
          </w:p>
        </w:tc>
      </w:tr>
      <w:tr w:rsidR="002D1433" w:rsidRPr="002D1433" w:rsidTr="00DA5DD1">
        <w:tc>
          <w:tcPr>
            <w:tcW w:w="9720" w:type="dxa"/>
            <w:gridSpan w:val="3"/>
            <w:tcBorders>
              <w:top w:val="single" w:sz="4" w:space="0" w:color="auto"/>
              <w:left w:val="single" w:sz="4" w:space="0" w:color="auto"/>
              <w:bottom w:val="single" w:sz="4" w:space="0" w:color="auto"/>
              <w:right w:val="single" w:sz="4" w:space="0" w:color="auto"/>
            </w:tcBorders>
          </w:tcPr>
          <w:p w:rsidR="002D1433" w:rsidRPr="002D1433" w:rsidRDefault="002D1433" w:rsidP="002D1433">
            <w:pPr>
              <w:spacing w:line="360" w:lineRule="auto"/>
              <w:jc w:val="both"/>
              <w:rPr>
                <w:rFonts w:ascii="Arial" w:hAnsi="Arial" w:cs="Arial"/>
                <w:b/>
                <w:sz w:val="24"/>
                <w:szCs w:val="24"/>
              </w:rPr>
            </w:pPr>
          </w:p>
          <w:p w:rsidR="002D1433" w:rsidRPr="002D1433" w:rsidRDefault="002D1433" w:rsidP="002D1433">
            <w:pPr>
              <w:spacing w:line="360" w:lineRule="auto"/>
              <w:jc w:val="both"/>
              <w:rPr>
                <w:rFonts w:ascii="Arial" w:hAnsi="Arial" w:cs="Arial"/>
                <w:b/>
                <w:sz w:val="24"/>
                <w:szCs w:val="24"/>
              </w:rPr>
            </w:pPr>
            <w:r w:rsidRPr="002D1433">
              <w:rPr>
                <w:rFonts w:ascii="Arial" w:hAnsi="Arial" w:cs="Arial"/>
                <w:b/>
                <w:sz w:val="24"/>
                <w:szCs w:val="24"/>
              </w:rPr>
              <w:t>The order:</w:t>
            </w:r>
          </w:p>
          <w:p w:rsidR="002D1433" w:rsidRPr="002D1433" w:rsidRDefault="002D1433" w:rsidP="002D1433">
            <w:pPr>
              <w:numPr>
                <w:ilvl w:val="0"/>
                <w:numId w:val="3"/>
              </w:numPr>
              <w:spacing w:line="360" w:lineRule="auto"/>
              <w:ind w:left="1440" w:right="318"/>
              <w:contextualSpacing/>
              <w:jc w:val="both"/>
              <w:rPr>
                <w:rFonts w:ascii="Arial" w:eastAsia="Calibri" w:hAnsi="Arial" w:cs="Arial"/>
                <w:sz w:val="24"/>
                <w:szCs w:val="24"/>
                <w:shd w:val="clear" w:color="auto" w:fill="FFFFFF"/>
              </w:rPr>
            </w:pPr>
            <w:r w:rsidRPr="002D1433">
              <w:rPr>
                <w:rFonts w:ascii="Arial" w:eastAsia="Calibri" w:hAnsi="Arial" w:cs="Arial"/>
                <w:sz w:val="24"/>
                <w:szCs w:val="24"/>
                <w:shd w:val="clear" w:color="auto" w:fill="FFFFFF"/>
              </w:rPr>
              <w:t>The conviction and sentence are set aside</w:t>
            </w:r>
          </w:p>
          <w:p w:rsidR="002D1433" w:rsidRPr="002D1433" w:rsidRDefault="002D1433" w:rsidP="007E0A7E">
            <w:pPr>
              <w:ind w:left="1440" w:right="318"/>
              <w:contextualSpacing/>
              <w:jc w:val="both"/>
              <w:rPr>
                <w:rFonts w:ascii="Arial" w:eastAsia="Calibri" w:hAnsi="Arial" w:cs="Arial"/>
                <w:sz w:val="24"/>
                <w:szCs w:val="24"/>
                <w:shd w:val="clear" w:color="auto" w:fill="FFFFFF"/>
              </w:rPr>
            </w:pPr>
          </w:p>
          <w:p w:rsidR="002D1433" w:rsidRPr="002D1433" w:rsidRDefault="002D1433" w:rsidP="002D1433">
            <w:pPr>
              <w:numPr>
                <w:ilvl w:val="0"/>
                <w:numId w:val="3"/>
              </w:numPr>
              <w:spacing w:line="360" w:lineRule="auto"/>
              <w:ind w:left="1440" w:right="318"/>
              <w:contextualSpacing/>
              <w:jc w:val="both"/>
              <w:rPr>
                <w:rFonts w:ascii="Arial" w:eastAsia="Calibri" w:hAnsi="Arial" w:cs="Arial"/>
                <w:sz w:val="24"/>
                <w:szCs w:val="24"/>
                <w:shd w:val="clear" w:color="auto" w:fill="FFFFFF"/>
              </w:rPr>
            </w:pPr>
            <w:r w:rsidRPr="002D1433">
              <w:rPr>
                <w:rFonts w:ascii="Arial" w:eastAsia="Times New Roman" w:hAnsi="Arial" w:cs="Arial"/>
                <w:sz w:val="24"/>
                <w:szCs w:val="24"/>
                <w:lang w:eastAsia="en-GB"/>
              </w:rPr>
              <w:t xml:space="preserve">The matter is remitted to the trial magistrate in terms of s 312 of the Criminal Procedure Act, 51 of 1977, as amended, with the direction that the proceedings in respect of count 1 </w:t>
            </w:r>
            <w:proofErr w:type="gramStart"/>
            <w:r w:rsidRPr="002D1433">
              <w:rPr>
                <w:rFonts w:ascii="Arial" w:eastAsia="Times New Roman" w:hAnsi="Arial" w:cs="Arial"/>
                <w:sz w:val="24"/>
                <w:szCs w:val="24"/>
                <w:lang w:eastAsia="en-GB"/>
              </w:rPr>
              <w:t>be</w:t>
            </w:r>
            <w:proofErr w:type="gramEnd"/>
            <w:r w:rsidRPr="002D1433">
              <w:rPr>
                <w:rFonts w:ascii="Arial" w:eastAsia="Times New Roman" w:hAnsi="Arial" w:cs="Arial"/>
                <w:sz w:val="24"/>
                <w:szCs w:val="24"/>
                <w:lang w:eastAsia="en-GB"/>
              </w:rPr>
              <w:t xml:space="preserve"> dealt with afresh from the stage of plea</w:t>
            </w:r>
            <w:r w:rsidRPr="002D1433">
              <w:rPr>
                <w:rFonts w:ascii="Arial" w:eastAsia="Times New Roman" w:hAnsi="Arial" w:cs="Arial"/>
                <w:color w:val="FF0000"/>
                <w:sz w:val="24"/>
                <w:szCs w:val="24"/>
                <w:lang w:eastAsia="en-GB"/>
              </w:rPr>
              <w:t>.</w:t>
            </w:r>
            <w:r w:rsidRPr="002D1433">
              <w:rPr>
                <w:rFonts w:ascii="Arial" w:eastAsia="Times New Roman" w:hAnsi="Arial" w:cs="Arial"/>
                <w:i/>
                <w:sz w:val="24"/>
                <w:szCs w:val="24"/>
                <w:lang w:val="en-GB" w:eastAsia="en-GB"/>
              </w:rPr>
              <w:t xml:space="preserve"> </w:t>
            </w:r>
          </w:p>
          <w:p w:rsidR="002D1433" w:rsidRPr="002D1433" w:rsidRDefault="002D1433" w:rsidP="007E0A7E">
            <w:pPr>
              <w:ind w:left="720"/>
              <w:contextualSpacing/>
              <w:rPr>
                <w:rFonts w:ascii="Arial" w:eastAsia="Calibri" w:hAnsi="Arial" w:cs="Arial"/>
                <w:sz w:val="24"/>
                <w:szCs w:val="24"/>
                <w:shd w:val="clear" w:color="auto" w:fill="FFFFFF"/>
              </w:rPr>
            </w:pPr>
          </w:p>
          <w:p w:rsidR="002D1433" w:rsidRPr="002D1433" w:rsidRDefault="002D1433" w:rsidP="002D1433">
            <w:pPr>
              <w:numPr>
                <w:ilvl w:val="0"/>
                <w:numId w:val="3"/>
              </w:numPr>
              <w:spacing w:before="240" w:line="360" w:lineRule="auto"/>
              <w:ind w:left="1438" w:right="317"/>
              <w:contextualSpacing/>
              <w:jc w:val="both"/>
              <w:rPr>
                <w:rFonts w:ascii="Arial" w:eastAsia="Times New Roman" w:hAnsi="Arial" w:cs="Arial"/>
                <w:spacing w:val="-3"/>
                <w:sz w:val="24"/>
                <w:szCs w:val="24"/>
              </w:rPr>
            </w:pPr>
            <w:r w:rsidRPr="002D1433">
              <w:rPr>
                <w:rFonts w:ascii="Arial" w:eastAsia="Calibri" w:hAnsi="Arial" w:cs="Arial"/>
                <w:color w:val="000000" w:themeColor="text1"/>
                <w:sz w:val="24"/>
                <w:szCs w:val="24"/>
              </w:rPr>
              <w:t>In the event of a conviction, the magistrate, in considering an appropriate sentence, should have regard to the time the accused has spent in custody and/or a fine he might have paid.</w:t>
            </w:r>
          </w:p>
        </w:tc>
      </w:tr>
      <w:tr w:rsidR="002D1433" w:rsidRPr="002D1433" w:rsidTr="00DA5DD1">
        <w:tc>
          <w:tcPr>
            <w:tcW w:w="9720" w:type="dxa"/>
            <w:gridSpan w:val="3"/>
            <w:tcBorders>
              <w:top w:val="single" w:sz="4" w:space="0" w:color="auto"/>
              <w:left w:val="single" w:sz="4" w:space="0" w:color="auto"/>
              <w:bottom w:val="single" w:sz="4" w:space="0" w:color="auto"/>
              <w:right w:val="single" w:sz="4" w:space="0" w:color="auto"/>
            </w:tcBorders>
          </w:tcPr>
          <w:p w:rsidR="002D1433" w:rsidRPr="002D1433" w:rsidRDefault="002D1433" w:rsidP="002D1433">
            <w:pPr>
              <w:spacing w:line="360" w:lineRule="auto"/>
              <w:jc w:val="both"/>
              <w:rPr>
                <w:rFonts w:ascii="Arial" w:hAnsi="Arial" w:cs="Arial"/>
                <w:b/>
                <w:sz w:val="24"/>
                <w:szCs w:val="24"/>
              </w:rPr>
            </w:pPr>
          </w:p>
          <w:p w:rsidR="002D1433" w:rsidRPr="002D1433" w:rsidRDefault="002D1433" w:rsidP="002D1433">
            <w:pPr>
              <w:spacing w:line="360" w:lineRule="auto"/>
              <w:jc w:val="both"/>
              <w:rPr>
                <w:rFonts w:ascii="Arial" w:hAnsi="Arial" w:cs="Arial"/>
                <w:b/>
                <w:sz w:val="24"/>
                <w:szCs w:val="24"/>
              </w:rPr>
            </w:pPr>
            <w:r w:rsidRPr="002D1433">
              <w:rPr>
                <w:rFonts w:ascii="Arial" w:hAnsi="Arial" w:cs="Arial"/>
                <w:b/>
                <w:sz w:val="24"/>
                <w:szCs w:val="24"/>
              </w:rPr>
              <w:t>Reasons for order:</w:t>
            </w:r>
          </w:p>
        </w:tc>
      </w:tr>
      <w:tr w:rsidR="002D1433" w:rsidRPr="002D1433" w:rsidTr="00DA5DD1">
        <w:trPr>
          <w:trHeight w:val="70"/>
        </w:trPr>
        <w:tc>
          <w:tcPr>
            <w:tcW w:w="9720" w:type="dxa"/>
            <w:gridSpan w:val="3"/>
            <w:tcBorders>
              <w:top w:val="single" w:sz="4" w:space="0" w:color="auto"/>
              <w:left w:val="single" w:sz="4" w:space="0" w:color="auto"/>
              <w:bottom w:val="single" w:sz="4" w:space="0" w:color="auto"/>
              <w:right w:val="single" w:sz="4" w:space="0" w:color="auto"/>
            </w:tcBorders>
          </w:tcPr>
          <w:p w:rsidR="002D1433" w:rsidRPr="002D1433" w:rsidRDefault="002D1433" w:rsidP="002D1433">
            <w:pPr>
              <w:spacing w:line="360" w:lineRule="auto"/>
              <w:jc w:val="both"/>
              <w:rPr>
                <w:rFonts w:ascii="Arial" w:hAnsi="Arial" w:cs="Arial"/>
                <w:sz w:val="24"/>
                <w:szCs w:val="24"/>
              </w:rPr>
            </w:pPr>
          </w:p>
          <w:p w:rsidR="002D1433" w:rsidRPr="002D1433" w:rsidRDefault="002D1433" w:rsidP="002D1433">
            <w:pPr>
              <w:spacing w:line="360" w:lineRule="auto"/>
              <w:jc w:val="both"/>
              <w:rPr>
                <w:rFonts w:ascii="Arial" w:hAnsi="Arial" w:cs="Arial"/>
                <w:sz w:val="24"/>
                <w:szCs w:val="24"/>
              </w:rPr>
            </w:pPr>
            <w:r w:rsidRPr="002D1433">
              <w:rPr>
                <w:rFonts w:ascii="Arial" w:hAnsi="Arial" w:cs="Arial"/>
                <w:sz w:val="24"/>
                <w:szCs w:val="24"/>
              </w:rPr>
              <w:lastRenderedPageBreak/>
              <w:t>January J ( AJ Christiaan concurring)</w:t>
            </w:r>
          </w:p>
          <w:p w:rsidR="002D1433" w:rsidRPr="002D1433" w:rsidRDefault="002D1433" w:rsidP="002D1433">
            <w:pPr>
              <w:spacing w:line="360" w:lineRule="auto"/>
              <w:jc w:val="both"/>
              <w:rPr>
                <w:rFonts w:ascii="Arial" w:hAnsi="Arial" w:cs="Arial"/>
                <w:sz w:val="24"/>
                <w:szCs w:val="24"/>
              </w:rPr>
            </w:pPr>
          </w:p>
          <w:p w:rsidR="002D1433" w:rsidRPr="002D1433" w:rsidRDefault="007E0A7E" w:rsidP="002D1433">
            <w:pPr>
              <w:spacing w:line="360" w:lineRule="auto"/>
              <w:jc w:val="both"/>
              <w:rPr>
                <w:rFonts w:ascii="Arial" w:hAnsi="Arial" w:cs="Arial"/>
                <w:b/>
                <w:sz w:val="24"/>
                <w:szCs w:val="24"/>
              </w:rPr>
            </w:pPr>
            <w:r>
              <w:rPr>
                <w:rFonts w:ascii="Arial" w:hAnsi="Arial" w:cs="Arial"/>
                <w:sz w:val="24"/>
                <w:szCs w:val="24"/>
              </w:rPr>
              <w:t xml:space="preserve">[1]    </w:t>
            </w:r>
            <w:r w:rsidR="002D1433" w:rsidRPr="002D1433">
              <w:rPr>
                <w:rFonts w:ascii="Arial" w:hAnsi="Arial" w:cs="Arial"/>
                <w:sz w:val="24"/>
                <w:szCs w:val="24"/>
              </w:rPr>
              <w:t xml:space="preserve">The case was submitted from the Katutura Magistrate’s Court for automatic review pursuant to s 302(1) of the Criminal Procedure Act 51 of 1977 (the CPA). </w:t>
            </w:r>
          </w:p>
          <w:p w:rsidR="002D1433" w:rsidRPr="002D1433" w:rsidRDefault="002D1433" w:rsidP="002D1433">
            <w:pPr>
              <w:tabs>
                <w:tab w:val="left" w:pos="851"/>
              </w:tabs>
              <w:spacing w:before="240" w:line="360" w:lineRule="auto"/>
              <w:jc w:val="both"/>
              <w:rPr>
                <w:rFonts w:ascii="Arial" w:hAnsi="Arial" w:cs="Arial"/>
                <w:sz w:val="24"/>
                <w:szCs w:val="24"/>
              </w:rPr>
            </w:pPr>
            <w:r w:rsidRPr="002D1433">
              <w:rPr>
                <w:rFonts w:ascii="Arial" w:hAnsi="Arial" w:cs="Arial"/>
                <w:sz w:val="24"/>
                <w:szCs w:val="24"/>
              </w:rPr>
              <w:t xml:space="preserve">[2]    The accused was charged with: 1. Possession of stolen stock in contravention of s 2 read with </w:t>
            </w:r>
            <w:proofErr w:type="spellStart"/>
            <w:r w:rsidRPr="002D1433">
              <w:rPr>
                <w:rFonts w:ascii="Arial" w:hAnsi="Arial" w:cs="Arial"/>
                <w:sz w:val="24"/>
                <w:szCs w:val="24"/>
              </w:rPr>
              <w:t>ss</w:t>
            </w:r>
            <w:proofErr w:type="spellEnd"/>
            <w:r w:rsidRPr="002D1433">
              <w:rPr>
                <w:rFonts w:ascii="Arial" w:hAnsi="Arial" w:cs="Arial"/>
                <w:sz w:val="24"/>
                <w:szCs w:val="24"/>
              </w:rPr>
              <w:t xml:space="preserve"> 1, 11(1)(a), 15 and 17 of Act 12 of 1990, as amended in that upon or about the 6</w:t>
            </w:r>
            <w:r w:rsidRPr="002D1433">
              <w:rPr>
                <w:rFonts w:ascii="Arial" w:hAnsi="Arial" w:cs="Arial"/>
                <w:sz w:val="24"/>
                <w:szCs w:val="24"/>
                <w:vertAlign w:val="superscript"/>
              </w:rPr>
              <w:t>th</w:t>
            </w:r>
            <w:r w:rsidRPr="002D1433">
              <w:rPr>
                <w:rFonts w:ascii="Arial" w:hAnsi="Arial" w:cs="Arial"/>
                <w:sz w:val="24"/>
                <w:szCs w:val="24"/>
              </w:rPr>
              <w:t xml:space="preserve"> of December 2021 at or near </w:t>
            </w:r>
            <w:proofErr w:type="spellStart"/>
            <w:r w:rsidRPr="002D1433">
              <w:rPr>
                <w:rFonts w:ascii="Arial" w:hAnsi="Arial" w:cs="Arial"/>
                <w:sz w:val="24"/>
                <w:szCs w:val="24"/>
              </w:rPr>
              <w:t>Seeis</w:t>
            </w:r>
            <w:proofErr w:type="spellEnd"/>
            <w:r w:rsidRPr="002D1433">
              <w:rPr>
                <w:rFonts w:ascii="Arial" w:hAnsi="Arial" w:cs="Arial"/>
                <w:sz w:val="24"/>
                <w:szCs w:val="24"/>
              </w:rPr>
              <w:t xml:space="preserve"> in the district of Windhoek the accused was found in wrongful and unlawful possession of stock and produce, to wit: a cattle carcass to which there is a reasonable suspicion that it has been stolen and was unable to give a satisfactory account for such possession. 2. Transport of stolen meat in contravention of s 8 of the Stock Theft Act 12 of 1990 in that upon or about the 6</w:t>
            </w:r>
            <w:r w:rsidRPr="002D1433">
              <w:rPr>
                <w:rFonts w:ascii="Arial" w:hAnsi="Arial" w:cs="Arial"/>
                <w:sz w:val="24"/>
                <w:szCs w:val="24"/>
                <w:vertAlign w:val="superscript"/>
              </w:rPr>
              <w:t>th</w:t>
            </w:r>
            <w:r w:rsidRPr="002D1433">
              <w:rPr>
                <w:rFonts w:ascii="Arial" w:hAnsi="Arial" w:cs="Arial"/>
                <w:sz w:val="24"/>
                <w:szCs w:val="24"/>
              </w:rPr>
              <w:t xml:space="preserve"> December 2021 and at or near B6 National road between Hosea </w:t>
            </w:r>
            <w:proofErr w:type="spellStart"/>
            <w:r w:rsidRPr="002D1433">
              <w:rPr>
                <w:rFonts w:ascii="Arial" w:hAnsi="Arial" w:cs="Arial"/>
                <w:sz w:val="24"/>
                <w:szCs w:val="24"/>
              </w:rPr>
              <w:t>Kutako</w:t>
            </w:r>
            <w:proofErr w:type="spellEnd"/>
            <w:r w:rsidRPr="002D1433">
              <w:rPr>
                <w:rFonts w:ascii="Arial" w:hAnsi="Arial" w:cs="Arial"/>
                <w:sz w:val="24"/>
                <w:szCs w:val="24"/>
              </w:rPr>
              <w:t xml:space="preserve"> Airport and </w:t>
            </w:r>
            <w:proofErr w:type="spellStart"/>
            <w:r w:rsidRPr="002D1433">
              <w:rPr>
                <w:rFonts w:ascii="Arial" w:hAnsi="Arial" w:cs="Arial"/>
                <w:sz w:val="24"/>
                <w:szCs w:val="24"/>
              </w:rPr>
              <w:t>Seeis</w:t>
            </w:r>
            <w:proofErr w:type="spellEnd"/>
            <w:r w:rsidRPr="002D1433">
              <w:rPr>
                <w:rFonts w:ascii="Arial" w:hAnsi="Arial" w:cs="Arial"/>
                <w:sz w:val="24"/>
                <w:szCs w:val="24"/>
              </w:rPr>
              <w:t xml:space="preserve"> in the district of Windhoek the accused did unlawfully and intentionally transport cattle meat without a permit. </w:t>
            </w:r>
          </w:p>
          <w:p w:rsidR="002D1433" w:rsidRPr="002D1433" w:rsidRDefault="007E0A7E" w:rsidP="002D1433">
            <w:pPr>
              <w:tabs>
                <w:tab w:val="left" w:pos="851"/>
              </w:tabs>
              <w:spacing w:before="240" w:line="360" w:lineRule="auto"/>
              <w:jc w:val="both"/>
              <w:rPr>
                <w:rFonts w:ascii="Arial" w:hAnsi="Arial" w:cs="Arial"/>
                <w:sz w:val="24"/>
                <w:szCs w:val="24"/>
              </w:rPr>
            </w:pPr>
            <w:r>
              <w:rPr>
                <w:rFonts w:ascii="Arial" w:hAnsi="Arial" w:cs="Arial"/>
                <w:sz w:val="24"/>
                <w:szCs w:val="24"/>
              </w:rPr>
              <w:t xml:space="preserve">[3]   </w:t>
            </w:r>
            <w:r w:rsidR="002D1433" w:rsidRPr="002D1433">
              <w:rPr>
                <w:rFonts w:ascii="Arial" w:hAnsi="Arial" w:cs="Arial"/>
                <w:sz w:val="24"/>
                <w:szCs w:val="24"/>
              </w:rPr>
              <w:t xml:space="preserve"> The second charge was eventually withdrawn and the prosecutor informed the court that it amounts to </w:t>
            </w:r>
            <w:proofErr w:type="gramStart"/>
            <w:r w:rsidR="002D1433" w:rsidRPr="002D1433">
              <w:rPr>
                <w:rFonts w:ascii="Arial" w:hAnsi="Arial" w:cs="Arial"/>
                <w:sz w:val="24"/>
                <w:szCs w:val="24"/>
              </w:rPr>
              <w:t>a duplication</w:t>
            </w:r>
            <w:proofErr w:type="gramEnd"/>
            <w:r w:rsidR="002D1433" w:rsidRPr="002D1433">
              <w:rPr>
                <w:rFonts w:ascii="Arial" w:hAnsi="Arial" w:cs="Arial"/>
                <w:sz w:val="24"/>
                <w:szCs w:val="24"/>
              </w:rPr>
              <w:t xml:space="preserve">. It is arguable whether or not it would have constituted </w:t>
            </w:r>
            <w:proofErr w:type="gramStart"/>
            <w:r w:rsidR="002D1433" w:rsidRPr="002D1433">
              <w:rPr>
                <w:rFonts w:ascii="Arial" w:hAnsi="Arial" w:cs="Arial"/>
                <w:sz w:val="24"/>
                <w:szCs w:val="24"/>
              </w:rPr>
              <w:t>a duplication</w:t>
            </w:r>
            <w:proofErr w:type="gramEnd"/>
            <w:r w:rsidR="002D1433" w:rsidRPr="002D1433">
              <w:rPr>
                <w:rFonts w:ascii="Arial" w:hAnsi="Arial" w:cs="Arial"/>
                <w:sz w:val="24"/>
                <w:szCs w:val="24"/>
              </w:rPr>
              <w:t xml:space="preserve"> but it is best left for a decision at another appropriate time. The accused pleaded guilty on the first count of possession of suspected stolen stock or produce, to wit a cattle carcass. The public prosecutor indicated that the matter may be disposed of in terms of section 112(1</w:t>
            </w:r>
            <w:proofErr w:type="gramStart"/>
            <w:r w:rsidR="002D1433" w:rsidRPr="002D1433">
              <w:rPr>
                <w:rFonts w:ascii="Arial" w:hAnsi="Arial" w:cs="Arial"/>
                <w:sz w:val="24"/>
                <w:szCs w:val="24"/>
              </w:rPr>
              <w:t>)</w:t>
            </w:r>
            <w:r w:rsidR="002D1433" w:rsidRPr="002D1433">
              <w:rPr>
                <w:rFonts w:ascii="Arial" w:hAnsi="Arial" w:cs="Arial"/>
                <w:i/>
                <w:sz w:val="24"/>
                <w:szCs w:val="24"/>
              </w:rPr>
              <w:t>(</w:t>
            </w:r>
            <w:proofErr w:type="gramEnd"/>
            <w:r w:rsidR="002D1433" w:rsidRPr="002D1433">
              <w:rPr>
                <w:rFonts w:ascii="Arial" w:hAnsi="Arial" w:cs="Arial"/>
                <w:i/>
                <w:sz w:val="24"/>
                <w:szCs w:val="24"/>
              </w:rPr>
              <w:t xml:space="preserve">a) </w:t>
            </w:r>
            <w:r w:rsidR="002D1433" w:rsidRPr="002D1433">
              <w:rPr>
                <w:rFonts w:ascii="Arial" w:hAnsi="Arial" w:cs="Arial"/>
                <w:sz w:val="24"/>
                <w:szCs w:val="24"/>
              </w:rPr>
              <w:t xml:space="preserve">of the CPA. The magistrate acceded, convicted the accused and sentenced him to N$4000 or 24 months’ imprisonment of which N$2000 or 12 months are suspended for 3 years on condition that the accused is not convicted of possession of game meat (sic) committed during the period of suspension. </w:t>
            </w:r>
          </w:p>
          <w:p w:rsidR="002D1433" w:rsidRPr="002D1433" w:rsidRDefault="007E0A7E" w:rsidP="002D1433">
            <w:pPr>
              <w:tabs>
                <w:tab w:val="left" w:pos="851"/>
              </w:tabs>
              <w:spacing w:before="240" w:line="360" w:lineRule="auto"/>
              <w:jc w:val="both"/>
              <w:rPr>
                <w:rFonts w:ascii="Arial" w:hAnsi="Arial" w:cs="Arial"/>
                <w:color w:val="FF0000"/>
                <w:sz w:val="24"/>
                <w:szCs w:val="24"/>
              </w:rPr>
            </w:pPr>
            <w:r>
              <w:rPr>
                <w:rFonts w:ascii="Arial" w:hAnsi="Arial" w:cs="Arial"/>
                <w:sz w:val="24"/>
                <w:szCs w:val="24"/>
              </w:rPr>
              <w:t xml:space="preserve">[4]    </w:t>
            </w:r>
            <w:r w:rsidR="002D1433" w:rsidRPr="002D1433">
              <w:rPr>
                <w:rFonts w:ascii="Arial" w:hAnsi="Arial" w:cs="Arial"/>
                <w:sz w:val="24"/>
                <w:szCs w:val="24"/>
              </w:rPr>
              <w:t>The review cover sheet erroneously reflects that the accused was also convicted for contravention of s 8 of the Stock Theft Act 12 of 1990 whereas this charge was withdrawn. In addition, there is no typed annexure of the charge attached to the typed proceedings sent for review.</w:t>
            </w:r>
          </w:p>
          <w:p w:rsidR="002D1433" w:rsidRPr="002D1433" w:rsidRDefault="007E0A7E" w:rsidP="002D1433">
            <w:pPr>
              <w:tabs>
                <w:tab w:val="left" w:pos="851"/>
              </w:tabs>
              <w:spacing w:before="240" w:line="360" w:lineRule="auto"/>
              <w:jc w:val="both"/>
              <w:rPr>
                <w:rFonts w:ascii="Arial" w:hAnsi="Arial" w:cs="Arial"/>
                <w:sz w:val="24"/>
                <w:szCs w:val="24"/>
              </w:rPr>
            </w:pPr>
            <w:r>
              <w:rPr>
                <w:rFonts w:ascii="Arial" w:hAnsi="Arial" w:cs="Arial"/>
                <w:sz w:val="24"/>
                <w:szCs w:val="24"/>
              </w:rPr>
              <w:t xml:space="preserve">[5]   </w:t>
            </w:r>
            <w:r w:rsidR="002D1433" w:rsidRPr="002D1433">
              <w:rPr>
                <w:rFonts w:ascii="Arial" w:hAnsi="Arial" w:cs="Arial"/>
                <w:sz w:val="24"/>
                <w:szCs w:val="24"/>
              </w:rPr>
              <w:t xml:space="preserve"> I directed a query to the magistrate in the following terms:</w:t>
            </w:r>
          </w:p>
          <w:p w:rsidR="002D1433" w:rsidRPr="002D1433" w:rsidRDefault="002D1433" w:rsidP="002D1433">
            <w:pPr>
              <w:widowControl w:val="0"/>
              <w:numPr>
                <w:ilvl w:val="0"/>
                <w:numId w:val="1"/>
              </w:numPr>
              <w:spacing w:line="276" w:lineRule="auto"/>
              <w:contextualSpacing/>
              <w:jc w:val="both"/>
              <w:rPr>
                <w:rFonts w:ascii="Arial" w:eastAsia="Times New Roman" w:hAnsi="Arial" w:cs="Arial"/>
                <w:spacing w:val="-3"/>
                <w:lang w:val="en-GB"/>
              </w:rPr>
            </w:pPr>
            <w:r w:rsidRPr="002D1433">
              <w:rPr>
                <w:rFonts w:ascii="Arial" w:eastAsia="Times New Roman" w:hAnsi="Arial" w:cs="Arial"/>
                <w:spacing w:val="-3"/>
                <w:lang w:val="en-GB"/>
              </w:rPr>
              <w:t xml:space="preserve">‘The magistrate must see to it that the case record submitted for review is properly bound in </w:t>
            </w:r>
            <w:r w:rsidRPr="002D1433">
              <w:rPr>
                <w:rFonts w:ascii="Arial" w:eastAsia="Times New Roman" w:hAnsi="Arial" w:cs="Arial"/>
                <w:spacing w:val="-3"/>
                <w:lang w:val="en-GB"/>
              </w:rPr>
              <w:lastRenderedPageBreak/>
              <w:t>sequence to the proceedings. In this case there is no charge annexure for the typed review proceedings.</w:t>
            </w:r>
          </w:p>
          <w:p w:rsidR="002D1433" w:rsidRPr="002D1433" w:rsidRDefault="002D1433" w:rsidP="002D1433">
            <w:pPr>
              <w:widowControl w:val="0"/>
              <w:spacing w:line="276" w:lineRule="auto"/>
              <w:ind w:left="720"/>
              <w:contextualSpacing/>
              <w:jc w:val="both"/>
              <w:rPr>
                <w:rFonts w:ascii="Arial" w:eastAsia="Times New Roman" w:hAnsi="Arial" w:cs="Arial"/>
                <w:spacing w:val="-3"/>
                <w:lang w:val="en-GB"/>
              </w:rPr>
            </w:pPr>
          </w:p>
          <w:p w:rsidR="002D1433" w:rsidRPr="002D1433" w:rsidRDefault="002D1433" w:rsidP="002D1433">
            <w:pPr>
              <w:widowControl w:val="0"/>
              <w:numPr>
                <w:ilvl w:val="0"/>
                <w:numId w:val="1"/>
              </w:numPr>
              <w:spacing w:line="276" w:lineRule="auto"/>
              <w:contextualSpacing/>
              <w:jc w:val="both"/>
              <w:rPr>
                <w:rFonts w:ascii="Arial" w:eastAsia="Times New Roman" w:hAnsi="Arial" w:cs="Arial"/>
                <w:spacing w:val="-3"/>
                <w:lang w:val="en-GB"/>
              </w:rPr>
            </w:pPr>
            <w:r w:rsidRPr="002D1433">
              <w:rPr>
                <w:rFonts w:ascii="Arial" w:eastAsia="Times New Roman" w:hAnsi="Arial" w:cs="Arial"/>
                <w:spacing w:val="-3"/>
                <w:lang w:val="en-GB"/>
              </w:rPr>
              <w:t xml:space="preserve">Whereas the original record reflects that the accused was charged with possession of suspected stolen stock, to wit, a </w:t>
            </w:r>
            <w:r w:rsidRPr="002D1433">
              <w:rPr>
                <w:rFonts w:ascii="Arial" w:eastAsia="Times New Roman" w:hAnsi="Arial" w:cs="Arial"/>
                <w:spacing w:val="-3"/>
                <w:u w:val="single"/>
                <w:lang w:val="en-GB"/>
              </w:rPr>
              <w:t>cattle carcass</w:t>
            </w:r>
            <w:r w:rsidRPr="002D1433">
              <w:rPr>
                <w:rFonts w:ascii="Arial" w:eastAsia="Times New Roman" w:hAnsi="Arial" w:cs="Arial"/>
                <w:spacing w:val="-3"/>
                <w:lang w:val="en-GB"/>
              </w:rPr>
              <w:t>, firstly, how is the disposal of the matter in terms of section 112(1)(a) of the CPA justified and;</w:t>
            </w:r>
          </w:p>
          <w:p w:rsidR="002D1433" w:rsidRPr="002D1433" w:rsidRDefault="002D1433" w:rsidP="002D1433">
            <w:pPr>
              <w:widowControl w:val="0"/>
              <w:spacing w:line="360" w:lineRule="auto"/>
              <w:ind w:left="720"/>
              <w:contextualSpacing/>
              <w:jc w:val="both"/>
              <w:rPr>
                <w:rFonts w:ascii="Arial" w:eastAsia="Times New Roman" w:hAnsi="Arial" w:cs="Arial"/>
                <w:spacing w:val="-3"/>
                <w:lang w:val="en-GB"/>
              </w:rPr>
            </w:pPr>
          </w:p>
          <w:p w:rsidR="002D1433" w:rsidRPr="002D1433" w:rsidRDefault="002D1433" w:rsidP="002D1433">
            <w:pPr>
              <w:widowControl w:val="0"/>
              <w:numPr>
                <w:ilvl w:val="0"/>
                <w:numId w:val="1"/>
              </w:numPr>
              <w:spacing w:line="276" w:lineRule="auto"/>
              <w:contextualSpacing/>
              <w:jc w:val="both"/>
              <w:rPr>
                <w:rFonts w:ascii="Arial" w:eastAsia="Times New Roman" w:hAnsi="Arial" w:cs="Arial"/>
                <w:spacing w:val="-3"/>
                <w:lang w:val="en-GB"/>
              </w:rPr>
            </w:pPr>
            <w:r w:rsidRPr="002D1433">
              <w:rPr>
                <w:rFonts w:ascii="Arial" w:eastAsia="Times New Roman" w:hAnsi="Arial" w:cs="Arial"/>
                <w:spacing w:val="-3"/>
                <w:lang w:val="en-GB"/>
              </w:rPr>
              <w:t>Secondly</w:t>
            </w:r>
            <w:r w:rsidR="007E0A7E">
              <w:rPr>
                <w:rFonts w:ascii="Arial" w:eastAsia="Times New Roman" w:hAnsi="Arial" w:cs="Arial"/>
                <w:spacing w:val="-3"/>
                <w:lang w:val="en-GB"/>
              </w:rPr>
              <w:t>,</w:t>
            </w:r>
            <w:r w:rsidRPr="002D1433">
              <w:rPr>
                <w:rFonts w:ascii="Arial" w:eastAsia="Times New Roman" w:hAnsi="Arial" w:cs="Arial"/>
                <w:spacing w:val="-3"/>
                <w:lang w:val="en-GB"/>
              </w:rPr>
              <w:t xml:space="preserve"> what is the relevance of the partly suspended sentence on condition that the accused is not convicted of the possession of </w:t>
            </w:r>
            <w:r w:rsidRPr="002D1433">
              <w:rPr>
                <w:rFonts w:ascii="Arial" w:eastAsia="Times New Roman" w:hAnsi="Arial" w:cs="Arial"/>
                <w:spacing w:val="-3"/>
                <w:u w:val="single"/>
                <w:lang w:val="en-GB"/>
              </w:rPr>
              <w:t>game meat?</w:t>
            </w:r>
            <w:r w:rsidRPr="002D1433">
              <w:rPr>
                <w:rFonts w:ascii="Arial" w:eastAsia="Times New Roman" w:hAnsi="Arial" w:cs="Arial"/>
                <w:spacing w:val="-3"/>
                <w:lang w:val="en-GB"/>
              </w:rPr>
              <w:t>’</w:t>
            </w:r>
          </w:p>
          <w:p w:rsidR="002D1433" w:rsidRPr="002D1433" w:rsidRDefault="002D1433" w:rsidP="002D1433">
            <w:pPr>
              <w:widowControl w:val="0"/>
              <w:spacing w:line="360" w:lineRule="auto"/>
              <w:ind w:left="720"/>
              <w:contextualSpacing/>
              <w:jc w:val="both"/>
              <w:rPr>
                <w:rFonts w:ascii="Arial" w:eastAsia="Times New Roman" w:hAnsi="Arial" w:cs="Arial"/>
                <w:spacing w:val="-3"/>
                <w:lang w:val="en-GB"/>
              </w:rPr>
            </w:pPr>
          </w:p>
          <w:p w:rsidR="002D1433" w:rsidRPr="002D1433" w:rsidRDefault="007E0A7E" w:rsidP="002D1433">
            <w:pPr>
              <w:spacing w:line="276" w:lineRule="auto"/>
              <w:rPr>
                <w:rFonts w:ascii="Arial" w:hAnsi="Arial" w:cs="Arial"/>
                <w:sz w:val="24"/>
                <w:szCs w:val="24"/>
              </w:rPr>
            </w:pPr>
            <w:r>
              <w:rPr>
                <w:rFonts w:ascii="Arial" w:hAnsi="Arial" w:cs="Arial"/>
                <w:sz w:val="24"/>
                <w:szCs w:val="24"/>
              </w:rPr>
              <w:t xml:space="preserve">[6]    </w:t>
            </w:r>
            <w:r w:rsidR="002D1433" w:rsidRPr="002D1433">
              <w:rPr>
                <w:rFonts w:ascii="Arial" w:hAnsi="Arial" w:cs="Arial"/>
                <w:sz w:val="24"/>
                <w:szCs w:val="24"/>
              </w:rPr>
              <w:t>The response from the magistrate is as follows:</w:t>
            </w:r>
          </w:p>
          <w:p w:rsidR="002D1433" w:rsidRPr="002D1433" w:rsidRDefault="002D1433" w:rsidP="002D1433">
            <w:pPr>
              <w:widowControl w:val="0"/>
              <w:numPr>
                <w:ilvl w:val="0"/>
                <w:numId w:val="2"/>
              </w:numPr>
              <w:spacing w:line="276" w:lineRule="auto"/>
              <w:contextualSpacing/>
              <w:jc w:val="both"/>
              <w:rPr>
                <w:rFonts w:ascii="Arial" w:eastAsia="Times New Roman" w:hAnsi="Arial" w:cs="Arial"/>
                <w:spacing w:val="-3"/>
              </w:rPr>
            </w:pPr>
            <w:r w:rsidRPr="002D1433">
              <w:rPr>
                <w:rFonts w:ascii="Arial" w:eastAsia="Times New Roman" w:hAnsi="Arial" w:cs="Arial"/>
                <w:spacing w:val="-3"/>
              </w:rPr>
              <w:t>‘I apologise for the lack of charge annexure for the typed review proceedings, it’s an oversight on my part, shall not happen again.</w:t>
            </w:r>
          </w:p>
          <w:p w:rsidR="002D1433" w:rsidRPr="002D1433" w:rsidRDefault="002D1433" w:rsidP="002D1433">
            <w:pPr>
              <w:widowControl w:val="0"/>
              <w:spacing w:line="276" w:lineRule="auto"/>
              <w:ind w:left="720"/>
              <w:contextualSpacing/>
              <w:jc w:val="both"/>
              <w:rPr>
                <w:rFonts w:ascii="Arial" w:eastAsia="Times New Roman" w:hAnsi="Arial" w:cs="Arial"/>
                <w:spacing w:val="-3"/>
              </w:rPr>
            </w:pPr>
          </w:p>
          <w:p w:rsidR="002D1433" w:rsidRPr="002D1433" w:rsidRDefault="002D1433" w:rsidP="002D1433">
            <w:pPr>
              <w:widowControl w:val="0"/>
              <w:numPr>
                <w:ilvl w:val="0"/>
                <w:numId w:val="2"/>
              </w:numPr>
              <w:spacing w:line="276" w:lineRule="auto"/>
              <w:contextualSpacing/>
              <w:jc w:val="both"/>
              <w:rPr>
                <w:rFonts w:ascii="Arial" w:eastAsia="Times New Roman" w:hAnsi="Arial" w:cs="Arial"/>
                <w:spacing w:val="-3"/>
              </w:rPr>
            </w:pPr>
            <w:r w:rsidRPr="002D1433">
              <w:rPr>
                <w:rFonts w:ascii="Arial" w:eastAsia="Times New Roman" w:hAnsi="Arial" w:cs="Arial"/>
                <w:spacing w:val="-3"/>
              </w:rPr>
              <w:t>I concede that, I shall have used 112(b) but I mistook it for game meat, an oversight on my part. I again apologise.</w:t>
            </w:r>
          </w:p>
          <w:p w:rsidR="002D1433" w:rsidRPr="002D1433" w:rsidRDefault="002D1433" w:rsidP="002D1433">
            <w:pPr>
              <w:widowControl w:val="0"/>
              <w:spacing w:line="276" w:lineRule="auto"/>
              <w:ind w:left="720"/>
              <w:contextualSpacing/>
              <w:jc w:val="both"/>
              <w:rPr>
                <w:rFonts w:ascii="Arial" w:eastAsia="Times New Roman" w:hAnsi="Arial" w:cs="Arial"/>
                <w:spacing w:val="-3"/>
              </w:rPr>
            </w:pPr>
          </w:p>
          <w:p w:rsidR="002D1433" w:rsidRPr="002D1433" w:rsidRDefault="002D1433" w:rsidP="002D1433">
            <w:pPr>
              <w:widowControl w:val="0"/>
              <w:numPr>
                <w:ilvl w:val="0"/>
                <w:numId w:val="2"/>
              </w:numPr>
              <w:spacing w:line="276" w:lineRule="auto"/>
              <w:contextualSpacing/>
              <w:jc w:val="both"/>
              <w:rPr>
                <w:rFonts w:ascii="Arial" w:eastAsia="Times New Roman" w:hAnsi="Arial" w:cs="Arial"/>
                <w:spacing w:val="-3"/>
              </w:rPr>
            </w:pPr>
            <w:r w:rsidRPr="002D1433">
              <w:rPr>
                <w:rFonts w:ascii="Arial" w:eastAsia="Times New Roman" w:hAnsi="Arial" w:cs="Arial"/>
                <w:spacing w:val="-3"/>
              </w:rPr>
              <w:t>It was further an (sic) typing error and should have read possession of suspended stolen stock.’</w:t>
            </w:r>
          </w:p>
          <w:p w:rsidR="002D1433" w:rsidRPr="002D1433" w:rsidRDefault="002D1433" w:rsidP="002D1433">
            <w:pPr>
              <w:spacing w:line="276" w:lineRule="auto"/>
              <w:rPr>
                <w:rFonts w:cs="Arial"/>
              </w:rPr>
            </w:pPr>
          </w:p>
          <w:p w:rsidR="002D1433" w:rsidRPr="002D1433" w:rsidRDefault="007E0A7E" w:rsidP="002D1433">
            <w:pPr>
              <w:spacing w:before="240" w:line="360" w:lineRule="auto"/>
              <w:jc w:val="both"/>
              <w:rPr>
                <w:rFonts w:ascii="Arial" w:hAnsi="Arial" w:cs="Arial"/>
                <w:sz w:val="24"/>
                <w:szCs w:val="24"/>
              </w:rPr>
            </w:pPr>
            <w:r>
              <w:rPr>
                <w:rFonts w:ascii="Arial" w:hAnsi="Arial" w:cs="Arial"/>
                <w:sz w:val="24"/>
                <w:szCs w:val="24"/>
              </w:rPr>
              <w:t xml:space="preserve">[7]  </w:t>
            </w:r>
            <w:r w:rsidR="002D1433" w:rsidRPr="002D1433">
              <w:rPr>
                <w:rFonts w:ascii="Arial" w:hAnsi="Arial" w:cs="Arial"/>
                <w:sz w:val="24"/>
                <w:szCs w:val="24"/>
              </w:rPr>
              <w:t xml:space="preserve"> It is reiterated that magistrates should not slavishly follow requests by public prosecutors in the adjudicating of cases in terms of section 112(1</w:t>
            </w:r>
            <w:proofErr w:type="gramStart"/>
            <w:r w:rsidR="002D1433" w:rsidRPr="002D1433">
              <w:rPr>
                <w:rFonts w:ascii="Arial" w:hAnsi="Arial" w:cs="Arial"/>
                <w:sz w:val="24"/>
                <w:szCs w:val="24"/>
              </w:rPr>
              <w:t>)</w:t>
            </w:r>
            <w:r w:rsidR="002D1433" w:rsidRPr="002D1433">
              <w:rPr>
                <w:rFonts w:ascii="Arial" w:hAnsi="Arial" w:cs="Arial"/>
                <w:i/>
                <w:sz w:val="24"/>
                <w:szCs w:val="24"/>
              </w:rPr>
              <w:t>(</w:t>
            </w:r>
            <w:proofErr w:type="gramEnd"/>
            <w:r w:rsidR="002D1433" w:rsidRPr="002D1433">
              <w:rPr>
                <w:rFonts w:ascii="Arial" w:hAnsi="Arial" w:cs="Arial"/>
                <w:i/>
                <w:sz w:val="24"/>
                <w:szCs w:val="24"/>
              </w:rPr>
              <w:t>a)</w:t>
            </w:r>
            <w:r w:rsidR="002D1433" w:rsidRPr="002D1433">
              <w:rPr>
                <w:rFonts w:ascii="Arial" w:hAnsi="Arial" w:cs="Arial"/>
                <w:sz w:val="24"/>
                <w:szCs w:val="24"/>
              </w:rPr>
              <w:t xml:space="preserve"> of the CPA. Once the case is before court and the accused has pleaded, the invoking of section 112 (1</w:t>
            </w:r>
            <w:proofErr w:type="gramStart"/>
            <w:r w:rsidR="002D1433" w:rsidRPr="002D1433">
              <w:rPr>
                <w:rFonts w:ascii="Arial" w:hAnsi="Arial" w:cs="Arial"/>
                <w:sz w:val="24"/>
                <w:szCs w:val="24"/>
              </w:rPr>
              <w:t>)</w:t>
            </w:r>
            <w:r w:rsidR="002D1433" w:rsidRPr="002D1433">
              <w:rPr>
                <w:rFonts w:ascii="Arial" w:hAnsi="Arial" w:cs="Arial"/>
                <w:i/>
                <w:sz w:val="24"/>
                <w:szCs w:val="24"/>
              </w:rPr>
              <w:t>(</w:t>
            </w:r>
            <w:proofErr w:type="gramEnd"/>
            <w:r w:rsidR="002D1433" w:rsidRPr="002D1433">
              <w:rPr>
                <w:rFonts w:ascii="Arial" w:hAnsi="Arial" w:cs="Arial"/>
                <w:i/>
                <w:sz w:val="24"/>
                <w:szCs w:val="24"/>
              </w:rPr>
              <w:t>a)</w:t>
            </w:r>
            <w:r w:rsidR="002D1433" w:rsidRPr="002D1433">
              <w:rPr>
                <w:rFonts w:ascii="Arial" w:hAnsi="Arial" w:cs="Arial"/>
                <w:sz w:val="24"/>
                <w:szCs w:val="24"/>
              </w:rPr>
              <w:t xml:space="preserve"> of the CPA after a plea of guilty, falls within the discretion of the court. The prosecutor may be invited to address the court as regards to the charge(s) but the court must exercise its discretion judiciously on the way forward. The court is guided by the nature and seriousness of the offence to form an opinion if the offence does not merit a fine in excess of N$6000 or punishment of imprisonment or any other form of detention without the option of a fine.</w:t>
            </w:r>
            <w:r w:rsidR="002D1433" w:rsidRPr="002D1433">
              <w:rPr>
                <w:rFonts w:ascii="Arial" w:hAnsi="Arial" w:cs="Arial"/>
                <w:sz w:val="24"/>
                <w:szCs w:val="24"/>
                <w:vertAlign w:val="superscript"/>
              </w:rPr>
              <w:footnoteReference w:id="1"/>
            </w:r>
          </w:p>
          <w:p w:rsidR="002D1433" w:rsidRPr="002D1433" w:rsidRDefault="007E0A7E" w:rsidP="002D1433">
            <w:pPr>
              <w:spacing w:before="240" w:line="360" w:lineRule="auto"/>
              <w:jc w:val="both"/>
              <w:rPr>
                <w:rFonts w:ascii="Arial" w:hAnsi="Arial" w:cs="Arial"/>
                <w:sz w:val="24"/>
                <w:szCs w:val="24"/>
              </w:rPr>
            </w:pPr>
            <w:r>
              <w:rPr>
                <w:rFonts w:ascii="Arial" w:hAnsi="Arial" w:cs="Arial"/>
                <w:sz w:val="24"/>
                <w:szCs w:val="24"/>
              </w:rPr>
              <w:t xml:space="preserve">[8]    </w:t>
            </w:r>
            <w:r w:rsidR="002D1433" w:rsidRPr="002D1433">
              <w:rPr>
                <w:rFonts w:ascii="Arial" w:hAnsi="Arial" w:cs="Arial"/>
                <w:sz w:val="24"/>
                <w:szCs w:val="24"/>
              </w:rPr>
              <w:t>Section 112 (1</w:t>
            </w:r>
            <w:proofErr w:type="gramStart"/>
            <w:r w:rsidR="002D1433" w:rsidRPr="002D1433">
              <w:rPr>
                <w:rFonts w:ascii="Arial" w:hAnsi="Arial" w:cs="Arial"/>
                <w:sz w:val="24"/>
                <w:szCs w:val="24"/>
              </w:rPr>
              <w:t>)</w:t>
            </w:r>
            <w:r w:rsidR="002D1433" w:rsidRPr="002D1433">
              <w:rPr>
                <w:rFonts w:ascii="Arial" w:hAnsi="Arial" w:cs="Arial"/>
                <w:i/>
                <w:sz w:val="24"/>
                <w:szCs w:val="24"/>
              </w:rPr>
              <w:t>(</w:t>
            </w:r>
            <w:proofErr w:type="gramEnd"/>
            <w:r w:rsidR="002D1433" w:rsidRPr="002D1433">
              <w:rPr>
                <w:rFonts w:ascii="Arial" w:hAnsi="Arial" w:cs="Arial"/>
                <w:i/>
                <w:sz w:val="24"/>
                <w:szCs w:val="24"/>
              </w:rPr>
              <w:t>a)</w:t>
            </w:r>
            <w:r w:rsidR="002D1433" w:rsidRPr="002D1433">
              <w:rPr>
                <w:rFonts w:ascii="Arial" w:hAnsi="Arial" w:cs="Arial"/>
                <w:sz w:val="24"/>
                <w:szCs w:val="24"/>
              </w:rPr>
              <w:t xml:space="preserve"> of the CPA should only be applied where the crimes are ‘trivial’, ‘minor’ or not ‘serious’.</w:t>
            </w:r>
            <w:r w:rsidR="002D1433" w:rsidRPr="002D1433">
              <w:rPr>
                <w:rFonts w:ascii="Arial" w:hAnsi="Arial" w:cs="Arial"/>
                <w:sz w:val="24"/>
                <w:szCs w:val="24"/>
                <w:vertAlign w:val="superscript"/>
              </w:rPr>
              <w:footnoteReference w:id="2"/>
            </w:r>
            <w:r w:rsidR="002D1433" w:rsidRPr="002D1433">
              <w:rPr>
                <w:rFonts w:ascii="Arial" w:hAnsi="Arial" w:cs="Arial"/>
                <w:sz w:val="24"/>
                <w:szCs w:val="24"/>
              </w:rPr>
              <w:t xml:space="preserve"> Presiding judicial officers should not lose sight of the objective of s 112 (1</w:t>
            </w:r>
            <w:proofErr w:type="gramStart"/>
            <w:r w:rsidR="002D1433" w:rsidRPr="002D1433">
              <w:rPr>
                <w:rFonts w:ascii="Arial" w:hAnsi="Arial" w:cs="Arial"/>
                <w:sz w:val="24"/>
                <w:szCs w:val="24"/>
              </w:rPr>
              <w:t>)</w:t>
            </w:r>
            <w:r w:rsidR="002D1433" w:rsidRPr="002D1433">
              <w:rPr>
                <w:rFonts w:ascii="Arial" w:hAnsi="Arial" w:cs="Arial"/>
                <w:i/>
                <w:sz w:val="24"/>
                <w:szCs w:val="24"/>
              </w:rPr>
              <w:t>(</w:t>
            </w:r>
            <w:proofErr w:type="gramEnd"/>
            <w:r w:rsidR="002D1433" w:rsidRPr="002D1433">
              <w:rPr>
                <w:rFonts w:ascii="Arial" w:hAnsi="Arial" w:cs="Arial"/>
                <w:i/>
                <w:sz w:val="24"/>
                <w:szCs w:val="24"/>
              </w:rPr>
              <w:t>a)</w:t>
            </w:r>
            <w:r w:rsidR="002D1433" w:rsidRPr="002D1433">
              <w:rPr>
                <w:rFonts w:ascii="Arial" w:hAnsi="Arial" w:cs="Arial"/>
                <w:sz w:val="24"/>
                <w:szCs w:val="24"/>
              </w:rPr>
              <w:t xml:space="preserve"> which is to dispose of trivial offences and only if the offence does not merit </w:t>
            </w:r>
            <w:r>
              <w:rPr>
                <w:rFonts w:ascii="Arial" w:hAnsi="Arial" w:cs="Arial"/>
                <w:sz w:val="24"/>
                <w:szCs w:val="24"/>
              </w:rPr>
              <w:lastRenderedPageBreak/>
              <w:t>punishment of imprisonment or</w:t>
            </w:r>
            <w:r w:rsidR="002D1433" w:rsidRPr="002D1433">
              <w:rPr>
                <w:rFonts w:ascii="Arial" w:hAnsi="Arial" w:cs="Arial"/>
                <w:sz w:val="24"/>
                <w:szCs w:val="24"/>
              </w:rPr>
              <w:t xml:space="preserve"> any other form of detention. The provision confers a discretionary power to the presiding judicial officer that must be exercised judiciously.</w:t>
            </w:r>
            <w:r w:rsidR="002D1433" w:rsidRPr="002D1433">
              <w:rPr>
                <w:rFonts w:ascii="Arial" w:hAnsi="Arial" w:cs="Arial"/>
                <w:sz w:val="24"/>
                <w:szCs w:val="24"/>
                <w:vertAlign w:val="superscript"/>
              </w:rPr>
              <w:footnoteReference w:id="3"/>
            </w:r>
          </w:p>
          <w:p w:rsidR="002D1433" w:rsidRPr="002D1433" w:rsidRDefault="007E0A7E" w:rsidP="002D1433">
            <w:pPr>
              <w:spacing w:before="240" w:line="360" w:lineRule="auto"/>
              <w:jc w:val="both"/>
              <w:rPr>
                <w:rFonts w:ascii="Arial" w:hAnsi="Arial" w:cs="Arial"/>
                <w:sz w:val="24"/>
                <w:szCs w:val="24"/>
              </w:rPr>
            </w:pPr>
            <w:r>
              <w:rPr>
                <w:rFonts w:ascii="Arial" w:hAnsi="Arial" w:cs="Arial"/>
                <w:sz w:val="24"/>
                <w:szCs w:val="24"/>
              </w:rPr>
              <w:t xml:space="preserve">[9]   </w:t>
            </w:r>
            <w:r w:rsidR="002D1433" w:rsidRPr="002D1433">
              <w:rPr>
                <w:rFonts w:ascii="Arial" w:hAnsi="Arial" w:cs="Arial"/>
                <w:sz w:val="24"/>
                <w:szCs w:val="24"/>
              </w:rPr>
              <w:t xml:space="preserve"> The questioning in terms of s 112(1</w:t>
            </w:r>
            <w:proofErr w:type="gramStart"/>
            <w:r w:rsidR="002D1433" w:rsidRPr="002D1433">
              <w:rPr>
                <w:rFonts w:ascii="Arial" w:hAnsi="Arial" w:cs="Arial"/>
                <w:sz w:val="24"/>
                <w:szCs w:val="24"/>
              </w:rPr>
              <w:t>)</w:t>
            </w:r>
            <w:r w:rsidR="002D1433" w:rsidRPr="002D1433">
              <w:rPr>
                <w:rFonts w:ascii="Arial" w:hAnsi="Arial" w:cs="Arial"/>
                <w:i/>
                <w:sz w:val="24"/>
                <w:szCs w:val="24"/>
              </w:rPr>
              <w:t>(</w:t>
            </w:r>
            <w:proofErr w:type="gramEnd"/>
            <w:r w:rsidR="002D1433" w:rsidRPr="002D1433">
              <w:rPr>
                <w:rFonts w:ascii="Arial" w:hAnsi="Arial" w:cs="Arial"/>
                <w:i/>
                <w:sz w:val="24"/>
                <w:szCs w:val="24"/>
              </w:rPr>
              <w:t>b)</w:t>
            </w:r>
            <w:r w:rsidR="002D1433" w:rsidRPr="002D1433">
              <w:rPr>
                <w:rFonts w:ascii="Arial" w:hAnsi="Arial" w:cs="Arial"/>
                <w:sz w:val="24"/>
                <w:szCs w:val="24"/>
              </w:rPr>
              <w:t xml:space="preserve"> has a twofold purpose, namely to establish the factual basis of the plea of guilty and to establish the legal basis of such plea. The court must conclude whether the legal requirements for the commission of the offence have been met from the accused’s admissions.</w:t>
            </w:r>
            <w:r w:rsidR="002D1433" w:rsidRPr="002D1433">
              <w:rPr>
                <w:rFonts w:ascii="Arial" w:hAnsi="Arial" w:cs="Arial"/>
                <w:sz w:val="24"/>
                <w:szCs w:val="24"/>
                <w:vertAlign w:val="superscript"/>
              </w:rPr>
              <w:footnoteReference w:id="4"/>
            </w:r>
            <w:r w:rsidR="002D1433" w:rsidRPr="002D1433">
              <w:rPr>
                <w:rFonts w:ascii="Arial" w:hAnsi="Arial" w:cs="Arial"/>
                <w:sz w:val="24"/>
                <w:szCs w:val="24"/>
              </w:rPr>
              <w:t xml:space="preserve"> In addition, the magistrate needs to satisfy him/herself that the accused does not have a valid defence.</w:t>
            </w:r>
          </w:p>
          <w:p w:rsidR="002D1433" w:rsidRPr="002D1433" w:rsidRDefault="007E0A7E" w:rsidP="002D1433">
            <w:pPr>
              <w:spacing w:before="240" w:line="360" w:lineRule="auto"/>
              <w:jc w:val="both"/>
              <w:rPr>
                <w:rFonts w:ascii="Arial" w:hAnsi="Arial" w:cs="Arial"/>
                <w:sz w:val="24"/>
                <w:szCs w:val="24"/>
              </w:rPr>
            </w:pPr>
            <w:r>
              <w:rPr>
                <w:rFonts w:ascii="Arial" w:hAnsi="Arial" w:cs="Arial"/>
                <w:sz w:val="24"/>
                <w:szCs w:val="24"/>
              </w:rPr>
              <w:t xml:space="preserve">[10]  </w:t>
            </w:r>
            <w:r w:rsidR="002D1433" w:rsidRPr="002D1433">
              <w:rPr>
                <w:rFonts w:ascii="Arial" w:hAnsi="Arial" w:cs="Arial"/>
                <w:sz w:val="24"/>
                <w:szCs w:val="24"/>
              </w:rPr>
              <w:t xml:space="preserve">  The accused in this matter might have had a valid defence in the matter at hand. Without any questioning, it remains guesswork. </w:t>
            </w:r>
            <w:r w:rsidR="002D1433" w:rsidRPr="002D1433">
              <w:rPr>
                <w:rFonts w:ascii="Arial" w:eastAsia="Times New Roman" w:hAnsi="Arial" w:cs="Arial"/>
                <w:bCs/>
                <w:color w:val="000000"/>
                <w:sz w:val="24"/>
                <w:szCs w:val="24"/>
              </w:rPr>
              <w:t xml:space="preserve">The magistrate </w:t>
            </w:r>
            <w:r w:rsidR="002D1433" w:rsidRPr="002D1433">
              <w:rPr>
                <w:rFonts w:ascii="Arial" w:hAnsi="Arial" w:cs="Arial"/>
                <w:sz w:val="24"/>
                <w:szCs w:val="24"/>
              </w:rPr>
              <w:t>misdirected himself in applying section 112(1)</w:t>
            </w:r>
            <w:r w:rsidR="002D1433" w:rsidRPr="002D1433">
              <w:rPr>
                <w:rFonts w:ascii="Arial" w:hAnsi="Arial" w:cs="Arial"/>
                <w:i/>
                <w:sz w:val="24"/>
                <w:szCs w:val="24"/>
              </w:rPr>
              <w:t>(a)</w:t>
            </w:r>
            <w:r w:rsidR="002D1433" w:rsidRPr="002D1433">
              <w:rPr>
                <w:rFonts w:ascii="Arial" w:hAnsi="Arial" w:cs="Arial"/>
                <w:sz w:val="24"/>
                <w:szCs w:val="24"/>
              </w:rPr>
              <w:t xml:space="preserve"> because the offence of possession of suspected stolen stock contravening section 2 of Act 12 of 1990 cannot be regarded as a minor offence. </w:t>
            </w:r>
          </w:p>
          <w:p w:rsidR="002D1433" w:rsidRPr="002D1433" w:rsidRDefault="007E0A7E" w:rsidP="002D1433">
            <w:pPr>
              <w:spacing w:before="240" w:line="360" w:lineRule="auto"/>
              <w:jc w:val="both"/>
              <w:rPr>
                <w:rFonts w:ascii="Arial" w:hAnsi="Arial" w:cs="Arial"/>
                <w:sz w:val="24"/>
                <w:szCs w:val="24"/>
              </w:rPr>
            </w:pPr>
            <w:r>
              <w:rPr>
                <w:rFonts w:ascii="Arial" w:hAnsi="Arial" w:cs="Arial"/>
                <w:sz w:val="24"/>
                <w:szCs w:val="24"/>
              </w:rPr>
              <w:t xml:space="preserve"> [11]   </w:t>
            </w:r>
            <w:r w:rsidR="002D1433" w:rsidRPr="002D1433">
              <w:rPr>
                <w:rFonts w:ascii="Arial" w:hAnsi="Arial" w:cs="Arial"/>
                <w:sz w:val="24"/>
                <w:szCs w:val="24"/>
              </w:rPr>
              <w:t>The condition of suspension of the sentence with reference to game meat is irrelevant to the crime of possession of a cattle carcass. The apology that the magistrate mistook the allegation of a cattle carcass, as alleged, for game meat does not make sense. In the circumstances, the conviction and sentences fall to be set aside.</w:t>
            </w:r>
          </w:p>
          <w:p w:rsidR="002D1433" w:rsidRPr="002D1433" w:rsidRDefault="007E0A7E" w:rsidP="002D1433">
            <w:pPr>
              <w:spacing w:before="240" w:line="360" w:lineRule="auto"/>
              <w:jc w:val="both"/>
              <w:rPr>
                <w:rFonts w:ascii="Arial" w:hAnsi="Arial" w:cs="Arial"/>
                <w:sz w:val="24"/>
                <w:szCs w:val="24"/>
              </w:rPr>
            </w:pPr>
            <w:r>
              <w:rPr>
                <w:rFonts w:ascii="Arial" w:hAnsi="Arial" w:cs="Arial"/>
                <w:sz w:val="24"/>
                <w:szCs w:val="24"/>
              </w:rPr>
              <w:t xml:space="preserve">[12]   </w:t>
            </w:r>
            <w:r w:rsidR="002D1433" w:rsidRPr="002D1433">
              <w:rPr>
                <w:rFonts w:ascii="Arial" w:hAnsi="Arial" w:cs="Arial"/>
                <w:sz w:val="24"/>
                <w:szCs w:val="24"/>
              </w:rPr>
              <w:t xml:space="preserve"> In the result:</w:t>
            </w:r>
          </w:p>
          <w:p w:rsidR="002D1433" w:rsidRPr="002D1433" w:rsidRDefault="002D1433" w:rsidP="002D1433">
            <w:pPr>
              <w:widowControl w:val="0"/>
              <w:numPr>
                <w:ilvl w:val="0"/>
                <w:numId w:val="4"/>
              </w:numPr>
              <w:spacing w:before="240" w:line="360" w:lineRule="auto"/>
              <w:contextualSpacing/>
              <w:jc w:val="both"/>
              <w:rPr>
                <w:rFonts w:ascii="Arial" w:eastAsia="Times New Roman" w:hAnsi="Arial" w:cs="Arial"/>
                <w:spacing w:val="-3"/>
                <w:sz w:val="24"/>
                <w:szCs w:val="24"/>
              </w:rPr>
            </w:pPr>
            <w:r w:rsidRPr="002D1433">
              <w:rPr>
                <w:rFonts w:ascii="Arial" w:eastAsia="Calibri" w:hAnsi="Arial" w:cs="Arial"/>
                <w:spacing w:val="-3"/>
                <w:sz w:val="24"/>
                <w:szCs w:val="24"/>
                <w:shd w:val="clear" w:color="auto" w:fill="FFFFFF"/>
              </w:rPr>
              <w:t>The conviction and sentence are set aside.</w:t>
            </w:r>
          </w:p>
          <w:p w:rsidR="002D1433" w:rsidRPr="002D1433" w:rsidRDefault="002D1433" w:rsidP="002D1433">
            <w:pPr>
              <w:widowControl w:val="0"/>
              <w:spacing w:before="240" w:line="360" w:lineRule="auto"/>
              <w:ind w:left="720"/>
              <w:contextualSpacing/>
              <w:jc w:val="both"/>
              <w:rPr>
                <w:rFonts w:ascii="Arial" w:eastAsia="Times New Roman" w:hAnsi="Arial" w:cs="Arial"/>
                <w:spacing w:val="-3"/>
                <w:sz w:val="24"/>
                <w:szCs w:val="24"/>
              </w:rPr>
            </w:pPr>
          </w:p>
          <w:p w:rsidR="002D1433" w:rsidRPr="002D1433" w:rsidRDefault="002D1433" w:rsidP="002D1433">
            <w:pPr>
              <w:widowControl w:val="0"/>
              <w:numPr>
                <w:ilvl w:val="0"/>
                <w:numId w:val="4"/>
              </w:numPr>
              <w:spacing w:before="240" w:line="360" w:lineRule="auto"/>
              <w:contextualSpacing/>
              <w:jc w:val="both"/>
              <w:rPr>
                <w:rFonts w:ascii="Arial" w:eastAsia="Times New Roman" w:hAnsi="Arial" w:cs="Arial"/>
                <w:spacing w:val="-3"/>
                <w:sz w:val="24"/>
                <w:szCs w:val="24"/>
              </w:rPr>
            </w:pPr>
            <w:r w:rsidRPr="002D1433">
              <w:rPr>
                <w:rFonts w:ascii="Arial" w:eastAsia="Calibri" w:hAnsi="Arial" w:cs="Arial"/>
                <w:spacing w:val="-3"/>
                <w:sz w:val="24"/>
                <w:szCs w:val="24"/>
              </w:rPr>
              <w:t xml:space="preserve"> </w:t>
            </w:r>
            <w:r w:rsidRPr="002D1433">
              <w:rPr>
                <w:rFonts w:ascii="Arial" w:eastAsia="Times New Roman" w:hAnsi="Arial" w:cs="Arial"/>
                <w:spacing w:val="-3"/>
                <w:sz w:val="24"/>
                <w:szCs w:val="24"/>
                <w:lang w:eastAsia="en-GB"/>
              </w:rPr>
              <w:t xml:space="preserve">The matter is remitted to the trial magistrate in terms of s 312 of the Criminal Procedure Act, 51 of 1977, as amended, with the direction that the proceedings in respect of count 1 </w:t>
            </w:r>
            <w:proofErr w:type="gramStart"/>
            <w:r w:rsidRPr="002D1433">
              <w:rPr>
                <w:rFonts w:ascii="Arial" w:eastAsia="Times New Roman" w:hAnsi="Arial" w:cs="Arial"/>
                <w:spacing w:val="-3"/>
                <w:sz w:val="24"/>
                <w:szCs w:val="24"/>
                <w:lang w:eastAsia="en-GB"/>
              </w:rPr>
              <w:t>be</w:t>
            </w:r>
            <w:proofErr w:type="gramEnd"/>
            <w:r w:rsidRPr="002D1433">
              <w:rPr>
                <w:rFonts w:ascii="Arial" w:eastAsia="Times New Roman" w:hAnsi="Arial" w:cs="Arial"/>
                <w:spacing w:val="-3"/>
                <w:sz w:val="24"/>
                <w:szCs w:val="24"/>
                <w:lang w:eastAsia="en-GB"/>
              </w:rPr>
              <w:t xml:space="preserve"> dealt with afresh from the stage of plea</w:t>
            </w:r>
            <w:r w:rsidRPr="002D1433">
              <w:rPr>
                <w:rFonts w:ascii="Arial" w:eastAsia="Times New Roman" w:hAnsi="Arial" w:cs="Arial"/>
                <w:color w:val="FF0000"/>
                <w:spacing w:val="-3"/>
                <w:sz w:val="24"/>
                <w:szCs w:val="24"/>
                <w:lang w:eastAsia="en-GB"/>
              </w:rPr>
              <w:t>.</w:t>
            </w:r>
          </w:p>
          <w:p w:rsidR="002D1433" w:rsidRPr="002D1433" w:rsidRDefault="002D1433" w:rsidP="002D1433">
            <w:pPr>
              <w:widowControl w:val="0"/>
              <w:spacing w:before="240" w:line="360" w:lineRule="auto"/>
              <w:ind w:left="720"/>
              <w:contextualSpacing/>
              <w:jc w:val="both"/>
              <w:rPr>
                <w:rFonts w:ascii="Arial" w:eastAsia="Times New Roman" w:hAnsi="Arial" w:cs="Arial"/>
                <w:spacing w:val="-3"/>
                <w:sz w:val="24"/>
                <w:szCs w:val="24"/>
              </w:rPr>
            </w:pPr>
          </w:p>
          <w:p w:rsidR="002D1433" w:rsidRPr="002D1433" w:rsidRDefault="002D1433" w:rsidP="002D1433">
            <w:pPr>
              <w:widowControl w:val="0"/>
              <w:numPr>
                <w:ilvl w:val="0"/>
                <w:numId w:val="4"/>
              </w:numPr>
              <w:spacing w:before="240" w:line="360" w:lineRule="auto"/>
              <w:contextualSpacing/>
              <w:jc w:val="both"/>
              <w:rPr>
                <w:rFonts w:ascii="Arial" w:eastAsia="Times New Roman" w:hAnsi="Arial" w:cs="Arial"/>
                <w:spacing w:val="-3"/>
                <w:sz w:val="24"/>
                <w:szCs w:val="24"/>
              </w:rPr>
            </w:pPr>
            <w:r w:rsidRPr="002D1433">
              <w:rPr>
                <w:rFonts w:ascii="Arial" w:eastAsia="Times New Roman" w:hAnsi="Arial" w:cs="Arial"/>
                <w:i/>
                <w:spacing w:val="-3"/>
                <w:sz w:val="24"/>
                <w:szCs w:val="24"/>
                <w:lang w:val="en-GB" w:eastAsia="en-GB"/>
              </w:rPr>
              <w:t xml:space="preserve"> </w:t>
            </w:r>
            <w:r w:rsidRPr="002D1433">
              <w:rPr>
                <w:rFonts w:ascii="Arial" w:eastAsia="Calibri" w:hAnsi="Arial" w:cs="Arial"/>
                <w:color w:val="000000" w:themeColor="text1"/>
                <w:spacing w:val="-3"/>
                <w:sz w:val="24"/>
                <w:szCs w:val="24"/>
              </w:rPr>
              <w:t>In the event of a conviction, the magistrate, in considering an appropriate sentence, should have regard to the time the accused has spent in custody and/or a fine he might have paid.</w:t>
            </w:r>
          </w:p>
          <w:p w:rsidR="002D1433" w:rsidRDefault="002D1433" w:rsidP="002D1433">
            <w:pPr>
              <w:pStyle w:val="ListParagraph"/>
              <w:rPr>
                <w:rFonts w:ascii="Arial" w:eastAsia="Times New Roman" w:hAnsi="Arial" w:cs="Arial"/>
                <w:spacing w:val="-3"/>
                <w:sz w:val="24"/>
                <w:szCs w:val="24"/>
              </w:rPr>
            </w:pPr>
          </w:p>
          <w:p w:rsidR="002D1433" w:rsidRPr="002D1433" w:rsidRDefault="002D1433" w:rsidP="002D1433">
            <w:pPr>
              <w:spacing w:line="360" w:lineRule="auto"/>
              <w:jc w:val="both"/>
              <w:rPr>
                <w:rFonts w:ascii="Arial" w:eastAsia="Times New Roman" w:hAnsi="Arial" w:cs="Arial"/>
                <w:spacing w:val="-3"/>
                <w:sz w:val="24"/>
                <w:szCs w:val="24"/>
              </w:rPr>
            </w:pPr>
          </w:p>
        </w:tc>
      </w:tr>
      <w:tr w:rsidR="002D1433" w:rsidRPr="002D1433" w:rsidTr="00DA5DD1">
        <w:tc>
          <w:tcPr>
            <w:tcW w:w="4770" w:type="dxa"/>
            <w:tcBorders>
              <w:top w:val="single" w:sz="4" w:space="0" w:color="auto"/>
              <w:left w:val="single" w:sz="4" w:space="0" w:color="auto"/>
              <w:bottom w:val="single" w:sz="4" w:space="0" w:color="auto"/>
              <w:right w:val="single" w:sz="4" w:space="0" w:color="auto"/>
            </w:tcBorders>
          </w:tcPr>
          <w:p w:rsidR="002D1433" w:rsidRPr="002D1433" w:rsidRDefault="002D1433" w:rsidP="002D1433">
            <w:pPr>
              <w:spacing w:line="360" w:lineRule="auto"/>
              <w:ind w:left="-18" w:firstLine="18"/>
              <w:rPr>
                <w:rFonts w:ascii="Arial Narrow" w:hAnsi="Arial Narrow" w:cs="Arial"/>
                <w:b/>
                <w:sz w:val="24"/>
                <w:szCs w:val="24"/>
              </w:rPr>
            </w:pPr>
            <w:r w:rsidRPr="002D1433">
              <w:rPr>
                <w:rFonts w:ascii="Arial Narrow" w:hAnsi="Arial Narrow" w:cs="Arial"/>
                <w:b/>
                <w:sz w:val="24"/>
                <w:szCs w:val="24"/>
              </w:rPr>
              <w:lastRenderedPageBreak/>
              <w:t xml:space="preserve">    </w:t>
            </w:r>
          </w:p>
          <w:p w:rsidR="002D1433" w:rsidRPr="002D1433" w:rsidRDefault="002D1433" w:rsidP="002D1433">
            <w:pPr>
              <w:spacing w:line="360" w:lineRule="auto"/>
              <w:rPr>
                <w:rFonts w:ascii="Arial Narrow" w:hAnsi="Arial Narrow"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2D1433" w:rsidRPr="002D1433" w:rsidRDefault="002D1433" w:rsidP="002D1433">
            <w:pPr>
              <w:spacing w:line="360" w:lineRule="auto"/>
              <w:rPr>
                <w:rFonts w:ascii="Arial Narrow" w:hAnsi="Arial Narrow" w:cs="Arial"/>
                <w:b/>
                <w:sz w:val="24"/>
                <w:szCs w:val="24"/>
              </w:rPr>
            </w:pPr>
          </w:p>
          <w:p w:rsidR="002D1433" w:rsidRPr="002D1433" w:rsidRDefault="002D1433" w:rsidP="002D1433">
            <w:pPr>
              <w:spacing w:line="360" w:lineRule="auto"/>
              <w:rPr>
                <w:rFonts w:ascii="Arial Narrow" w:hAnsi="Arial Narrow" w:cs="Arial"/>
                <w:b/>
                <w:sz w:val="24"/>
                <w:szCs w:val="24"/>
              </w:rPr>
            </w:pPr>
          </w:p>
        </w:tc>
      </w:tr>
      <w:tr w:rsidR="002D1433" w:rsidRPr="002D1433" w:rsidTr="00DA5DD1">
        <w:trPr>
          <w:trHeight w:val="827"/>
        </w:trPr>
        <w:tc>
          <w:tcPr>
            <w:tcW w:w="4770" w:type="dxa"/>
            <w:tcBorders>
              <w:top w:val="single" w:sz="4" w:space="0" w:color="auto"/>
              <w:left w:val="single" w:sz="4" w:space="0" w:color="auto"/>
              <w:bottom w:val="single" w:sz="4" w:space="0" w:color="auto"/>
              <w:right w:val="single" w:sz="4" w:space="0" w:color="auto"/>
            </w:tcBorders>
            <w:hideMark/>
          </w:tcPr>
          <w:p w:rsidR="002D1433" w:rsidRPr="002D1433" w:rsidRDefault="002D1433" w:rsidP="002D1433">
            <w:pPr>
              <w:spacing w:line="360" w:lineRule="auto"/>
              <w:jc w:val="center"/>
              <w:rPr>
                <w:rFonts w:ascii="Arial Narrow" w:hAnsi="Arial Narrow" w:cs="Arial"/>
                <w:b/>
                <w:sz w:val="24"/>
                <w:szCs w:val="24"/>
              </w:rPr>
            </w:pPr>
            <w:r w:rsidRPr="002D1433">
              <w:rPr>
                <w:rFonts w:ascii="Arial Narrow" w:hAnsi="Arial Narrow" w:cs="Arial"/>
                <w:b/>
                <w:sz w:val="24"/>
                <w:szCs w:val="24"/>
              </w:rPr>
              <w:t>H C JANUARY</w:t>
            </w:r>
          </w:p>
          <w:p w:rsidR="002D1433" w:rsidRPr="002D1433" w:rsidRDefault="002D1433" w:rsidP="002D1433">
            <w:pPr>
              <w:spacing w:line="360" w:lineRule="auto"/>
              <w:jc w:val="center"/>
              <w:rPr>
                <w:rFonts w:ascii="Arial Narrow" w:hAnsi="Arial Narrow" w:cs="Arial"/>
                <w:b/>
                <w:sz w:val="24"/>
                <w:szCs w:val="24"/>
              </w:rPr>
            </w:pPr>
            <w:r w:rsidRPr="002D1433">
              <w:rPr>
                <w:rFonts w:ascii="Arial Narrow" w:hAnsi="Arial Narrow"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hideMark/>
          </w:tcPr>
          <w:p w:rsidR="002D1433" w:rsidRPr="002D1433" w:rsidRDefault="002D1433" w:rsidP="002D1433">
            <w:pPr>
              <w:spacing w:line="360" w:lineRule="auto"/>
              <w:jc w:val="center"/>
              <w:rPr>
                <w:rFonts w:ascii="Arial Narrow" w:hAnsi="Arial Narrow" w:cs="Arial"/>
                <w:b/>
                <w:sz w:val="24"/>
                <w:szCs w:val="24"/>
              </w:rPr>
            </w:pPr>
            <w:r w:rsidRPr="002D1433">
              <w:rPr>
                <w:rFonts w:ascii="Arial Narrow" w:hAnsi="Arial Narrow" w:cs="Arial"/>
                <w:b/>
                <w:sz w:val="24"/>
                <w:szCs w:val="24"/>
              </w:rPr>
              <w:t>P CHRISTIAAN</w:t>
            </w:r>
          </w:p>
          <w:p w:rsidR="002D1433" w:rsidRPr="002D1433" w:rsidRDefault="002D1433" w:rsidP="002D1433">
            <w:pPr>
              <w:spacing w:line="360" w:lineRule="auto"/>
              <w:jc w:val="center"/>
              <w:rPr>
                <w:rFonts w:ascii="Arial Narrow" w:hAnsi="Arial Narrow" w:cs="Arial"/>
                <w:sz w:val="24"/>
                <w:szCs w:val="24"/>
              </w:rPr>
            </w:pPr>
            <w:r w:rsidRPr="002D1433">
              <w:rPr>
                <w:rFonts w:ascii="Arial Narrow" w:hAnsi="Arial Narrow" w:cs="Arial"/>
                <w:b/>
                <w:sz w:val="24"/>
                <w:szCs w:val="24"/>
              </w:rPr>
              <w:t>ACTING JUDGE</w:t>
            </w:r>
          </w:p>
        </w:tc>
      </w:tr>
    </w:tbl>
    <w:p w:rsidR="00ED6732" w:rsidRPr="002D1433" w:rsidRDefault="00ED6732">
      <w:pPr>
        <w:rPr>
          <w:rFonts w:ascii="Arial" w:hAnsi="Arial" w:cs="Arial"/>
          <w:sz w:val="24"/>
          <w:szCs w:val="24"/>
        </w:rPr>
      </w:pPr>
    </w:p>
    <w:sectPr w:rsidR="00ED6732" w:rsidRPr="002D1433" w:rsidSect="00785D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D8" w:rsidRDefault="003766D8" w:rsidP="002D1433">
      <w:pPr>
        <w:spacing w:after="0" w:line="240" w:lineRule="auto"/>
      </w:pPr>
      <w:r>
        <w:separator/>
      </w:r>
    </w:p>
  </w:endnote>
  <w:endnote w:type="continuationSeparator" w:id="0">
    <w:p w:rsidR="003766D8" w:rsidRDefault="003766D8" w:rsidP="002D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D8" w:rsidRDefault="003766D8" w:rsidP="002D1433">
      <w:pPr>
        <w:spacing w:after="0" w:line="240" w:lineRule="auto"/>
      </w:pPr>
      <w:r>
        <w:separator/>
      </w:r>
    </w:p>
  </w:footnote>
  <w:footnote w:type="continuationSeparator" w:id="0">
    <w:p w:rsidR="003766D8" w:rsidRDefault="003766D8" w:rsidP="002D1433">
      <w:pPr>
        <w:spacing w:after="0" w:line="240" w:lineRule="auto"/>
      </w:pPr>
      <w:r>
        <w:continuationSeparator/>
      </w:r>
    </w:p>
  </w:footnote>
  <w:footnote w:id="1">
    <w:p w:rsidR="002D1433" w:rsidRDefault="002D1433" w:rsidP="002D1433">
      <w:pPr>
        <w:pStyle w:val="FootnoteText"/>
      </w:pPr>
      <w:r>
        <w:rPr>
          <w:rStyle w:val="FootnoteReference"/>
        </w:rPr>
        <w:footnoteRef/>
      </w:r>
      <w:r>
        <w:t xml:space="preserve"> </w:t>
      </w:r>
      <w:r>
        <w:rPr>
          <w:rFonts w:ascii="Arial" w:hAnsi="Arial" w:cs="Arial"/>
        </w:rPr>
        <w:t xml:space="preserve">See: Commentary on the Criminal Procedure Act, </w:t>
      </w:r>
      <w:r>
        <w:rPr>
          <w:rFonts w:ascii="Arial" w:hAnsi="Arial" w:cs="Arial"/>
          <w:i/>
        </w:rPr>
        <w:t xml:space="preserve">Du </w:t>
      </w:r>
      <w:proofErr w:type="spellStart"/>
      <w:r>
        <w:rPr>
          <w:rFonts w:ascii="Arial" w:hAnsi="Arial" w:cs="Arial"/>
          <w:i/>
        </w:rPr>
        <w:t>Toit</w:t>
      </w:r>
      <w:proofErr w:type="spellEnd"/>
      <w:r>
        <w:rPr>
          <w:rFonts w:ascii="Arial" w:hAnsi="Arial" w:cs="Arial"/>
          <w:i/>
        </w:rPr>
        <w:t xml:space="preserve"> et al, </w:t>
      </w:r>
      <w:r>
        <w:rPr>
          <w:rFonts w:ascii="Arial" w:hAnsi="Arial" w:cs="Arial"/>
        </w:rPr>
        <w:t>Original Service 1987 at 17-2; Conviction solely on a plea of guilty.</w:t>
      </w:r>
    </w:p>
  </w:footnote>
  <w:footnote w:id="2">
    <w:p w:rsidR="002D1433" w:rsidRDefault="002D1433" w:rsidP="002D1433">
      <w:pPr>
        <w:pStyle w:val="FootnoteText"/>
      </w:pPr>
      <w:r>
        <w:rPr>
          <w:rStyle w:val="FootnoteReference"/>
        </w:rPr>
        <w:footnoteRef/>
      </w:r>
      <w:r>
        <w:t xml:space="preserve"> </w:t>
      </w:r>
      <w:proofErr w:type="gramStart"/>
      <w:r>
        <w:rPr>
          <w:rFonts w:ascii="Arial" w:hAnsi="Arial" w:cs="Arial"/>
          <w:i/>
        </w:rPr>
        <w:t xml:space="preserve">S v </w:t>
      </w:r>
      <w:proofErr w:type="spellStart"/>
      <w:r>
        <w:rPr>
          <w:rFonts w:ascii="Arial" w:hAnsi="Arial" w:cs="Arial"/>
          <w:i/>
        </w:rPr>
        <w:t>Onesmus</w:t>
      </w:r>
      <w:proofErr w:type="spellEnd"/>
      <w:r>
        <w:rPr>
          <w:rFonts w:ascii="Arial" w:hAnsi="Arial" w:cs="Arial"/>
          <w:i/>
        </w:rPr>
        <w:t xml:space="preserve">, S v </w:t>
      </w:r>
      <w:proofErr w:type="spellStart"/>
      <w:r>
        <w:rPr>
          <w:rFonts w:ascii="Arial" w:hAnsi="Arial" w:cs="Arial"/>
          <w:i/>
        </w:rPr>
        <w:t>Amukoto</w:t>
      </w:r>
      <w:proofErr w:type="spellEnd"/>
      <w:r>
        <w:rPr>
          <w:rFonts w:ascii="Arial" w:hAnsi="Arial" w:cs="Arial"/>
          <w:i/>
        </w:rPr>
        <w:t xml:space="preserve">, S v </w:t>
      </w:r>
      <w:proofErr w:type="spellStart"/>
      <w:r>
        <w:rPr>
          <w:rFonts w:ascii="Arial" w:hAnsi="Arial" w:cs="Arial"/>
          <w:i/>
        </w:rPr>
        <w:t>Shipange</w:t>
      </w:r>
      <w:proofErr w:type="spellEnd"/>
      <w:r>
        <w:rPr>
          <w:rFonts w:ascii="Arial" w:hAnsi="Arial" w:cs="Arial"/>
        </w:rPr>
        <w:t xml:space="preserve"> 2011 (2) NR 461.</w:t>
      </w:r>
      <w:proofErr w:type="gramEnd"/>
    </w:p>
  </w:footnote>
  <w:footnote w:id="3">
    <w:p w:rsidR="002D1433" w:rsidRDefault="002D1433" w:rsidP="002D1433">
      <w:pPr>
        <w:pStyle w:val="FootnoteText"/>
      </w:pPr>
      <w:r>
        <w:rPr>
          <w:rStyle w:val="FootnoteReference"/>
        </w:rPr>
        <w:footnoteRef/>
      </w:r>
      <w:r>
        <w:t xml:space="preserve"> </w:t>
      </w:r>
      <w:proofErr w:type="gramStart"/>
      <w:r>
        <w:rPr>
          <w:rFonts w:ascii="Arial" w:hAnsi="Arial" w:cs="Arial"/>
          <w:i/>
        </w:rPr>
        <w:t xml:space="preserve">S v </w:t>
      </w:r>
      <w:proofErr w:type="spellStart"/>
      <w:r>
        <w:rPr>
          <w:rFonts w:ascii="Arial" w:hAnsi="Arial" w:cs="Arial"/>
          <w:i/>
        </w:rPr>
        <w:t>Onesmus</w:t>
      </w:r>
      <w:proofErr w:type="spellEnd"/>
      <w:r>
        <w:rPr>
          <w:rFonts w:ascii="Arial" w:hAnsi="Arial" w:cs="Arial"/>
          <w:i/>
        </w:rPr>
        <w:t xml:space="preserve">, S v </w:t>
      </w:r>
      <w:proofErr w:type="spellStart"/>
      <w:r>
        <w:rPr>
          <w:rFonts w:ascii="Arial" w:hAnsi="Arial" w:cs="Arial"/>
          <w:i/>
        </w:rPr>
        <w:t>Amukoto</w:t>
      </w:r>
      <w:proofErr w:type="spellEnd"/>
      <w:r>
        <w:rPr>
          <w:rFonts w:ascii="Arial" w:hAnsi="Arial" w:cs="Arial"/>
          <w:i/>
        </w:rPr>
        <w:t xml:space="preserve">, S v </w:t>
      </w:r>
      <w:proofErr w:type="spellStart"/>
      <w:r>
        <w:rPr>
          <w:rFonts w:ascii="Arial" w:hAnsi="Arial" w:cs="Arial"/>
          <w:i/>
        </w:rPr>
        <w:t>Shipange</w:t>
      </w:r>
      <w:proofErr w:type="spellEnd"/>
      <w:r>
        <w:rPr>
          <w:rFonts w:ascii="Arial" w:hAnsi="Arial" w:cs="Arial"/>
        </w:rPr>
        <w:t xml:space="preserve"> 2011 (2) NR 461.</w:t>
      </w:r>
      <w:proofErr w:type="gramEnd"/>
    </w:p>
  </w:footnote>
  <w:footnote w:id="4">
    <w:p w:rsidR="002D1433" w:rsidRDefault="002D1433" w:rsidP="002D1433">
      <w:pPr>
        <w:pStyle w:val="FootnoteText"/>
      </w:pPr>
      <w:r>
        <w:rPr>
          <w:rStyle w:val="FootnoteReference"/>
        </w:rPr>
        <w:footnoteRef/>
      </w:r>
      <w:r>
        <w:t xml:space="preserve"> </w:t>
      </w:r>
      <w:proofErr w:type="gramStart"/>
      <w:r>
        <w:rPr>
          <w:rFonts w:ascii="Arial" w:hAnsi="Arial" w:cs="Arial"/>
          <w:i/>
          <w:color w:val="0D0D0D"/>
        </w:rPr>
        <w:t xml:space="preserve">S v </w:t>
      </w:r>
      <w:proofErr w:type="spellStart"/>
      <w:r>
        <w:rPr>
          <w:rFonts w:ascii="Arial" w:hAnsi="Arial" w:cs="Arial"/>
          <w:i/>
          <w:color w:val="171717"/>
        </w:rPr>
        <w:t>Kalongo</w:t>
      </w:r>
      <w:proofErr w:type="spellEnd"/>
      <w:r>
        <w:rPr>
          <w:rFonts w:ascii="Arial" w:hAnsi="Arial" w:cs="Arial"/>
          <w:i/>
          <w:color w:val="0D0D0D"/>
        </w:rPr>
        <w:t xml:space="preserve"> </w:t>
      </w:r>
      <w:r>
        <w:rPr>
          <w:rFonts w:ascii="Arial" w:hAnsi="Arial" w:cs="Arial"/>
          <w:color w:val="0D0D0D"/>
        </w:rPr>
        <w:t>(CR 100/2021) [2021] NAHCMD 510 (01 November 2021).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58217"/>
      <w:docPartObj>
        <w:docPartGallery w:val="Page Numbers (Top of Page)"/>
        <w:docPartUnique/>
      </w:docPartObj>
    </w:sdtPr>
    <w:sdtEndPr>
      <w:rPr>
        <w:noProof/>
      </w:rPr>
    </w:sdtEndPr>
    <w:sdtContent>
      <w:p w:rsidR="00785D56" w:rsidRDefault="00785D56">
        <w:pPr>
          <w:pStyle w:val="Header"/>
          <w:jc w:val="right"/>
        </w:pPr>
        <w:r>
          <w:fldChar w:fldCharType="begin"/>
        </w:r>
        <w:r>
          <w:instrText xml:space="preserve"> PAGE   \* MERGEFORMAT </w:instrText>
        </w:r>
        <w:r>
          <w:fldChar w:fldCharType="separate"/>
        </w:r>
        <w:r w:rsidR="000F203C">
          <w:rPr>
            <w:noProof/>
          </w:rPr>
          <w:t>5</w:t>
        </w:r>
        <w:r>
          <w:rPr>
            <w:noProof/>
          </w:rPr>
          <w:fldChar w:fldCharType="end"/>
        </w:r>
      </w:p>
    </w:sdtContent>
  </w:sdt>
  <w:p w:rsidR="00785D56" w:rsidRDefault="00785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657"/>
    <w:multiLevelType w:val="hybridMultilevel"/>
    <w:tmpl w:val="0382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943E2"/>
    <w:multiLevelType w:val="hybridMultilevel"/>
    <w:tmpl w:val="04D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7189C"/>
    <w:multiLevelType w:val="hybridMultilevel"/>
    <w:tmpl w:val="C230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73401"/>
    <w:multiLevelType w:val="hybridMultilevel"/>
    <w:tmpl w:val="71F429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33"/>
    <w:rsid w:val="000F203C"/>
    <w:rsid w:val="00277802"/>
    <w:rsid w:val="002D1433"/>
    <w:rsid w:val="003766D8"/>
    <w:rsid w:val="006C7597"/>
    <w:rsid w:val="00722124"/>
    <w:rsid w:val="00785D56"/>
    <w:rsid w:val="007E0A7E"/>
    <w:rsid w:val="009956DF"/>
    <w:rsid w:val="00C7250E"/>
    <w:rsid w:val="00ED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43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14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D1433"/>
    <w:rPr>
      <w:rFonts w:ascii="Calibri" w:eastAsia="Calibri" w:hAnsi="Calibri" w:cs="Times New Roman"/>
      <w:sz w:val="20"/>
      <w:szCs w:val="20"/>
    </w:rPr>
  </w:style>
  <w:style w:type="character" w:styleId="FootnoteReference">
    <w:name w:val="footnote reference"/>
    <w:uiPriority w:val="99"/>
    <w:semiHidden/>
    <w:unhideWhenUsed/>
    <w:rsid w:val="002D1433"/>
    <w:rPr>
      <w:vertAlign w:val="superscript"/>
    </w:rPr>
  </w:style>
  <w:style w:type="paragraph" w:styleId="ListParagraph">
    <w:name w:val="List Paragraph"/>
    <w:basedOn w:val="Normal"/>
    <w:uiPriority w:val="34"/>
    <w:qFormat/>
    <w:rsid w:val="002D1433"/>
    <w:pPr>
      <w:ind w:left="720"/>
      <w:contextualSpacing/>
    </w:pPr>
  </w:style>
  <w:style w:type="paragraph" w:styleId="BalloonText">
    <w:name w:val="Balloon Text"/>
    <w:basedOn w:val="Normal"/>
    <w:link w:val="BalloonTextChar"/>
    <w:uiPriority w:val="99"/>
    <w:semiHidden/>
    <w:unhideWhenUsed/>
    <w:rsid w:val="0099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DF"/>
    <w:rPr>
      <w:rFonts w:ascii="Segoe UI" w:hAnsi="Segoe UI" w:cs="Segoe UI"/>
      <w:sz w:val="18"/>
      <w:szCs w:val="18"/>
    </w:rPr>
  </w:style>
  <w:style w:type="paragraph" w:styleId="Header">
    <w:name w:val="header"/>
    <w:basedOn w:val="Normal"/>
    <w:link w:val="HeaderChar"/>
    <w:uiPriority w:val="99"/>
    <w:unhideWhenUsed/>
    <w:rsid w:val="0078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D56"/>
  </w:style>
  <w:style w:type="paragraph" w:styleId="Footer">
    <w:name w:val="footer"/>
    <w:basedOn w:val="Normal"/>
    <w:link w:val="FooterChar"/>
    <w:uiPriority w:val="99"/>
    <w:unhideWhenUsed/>
    <w:rsid w:val="0078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43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14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D1433"/>
    <w:rPr>
      <w:rFonts w:ascii="Calibri" w:eastAsia="Calibri" w:hAnsi="Calibri" w:cs="Times New Roman"/>
      <w:sz w:val="20"/>
      <w:szCs w:val="20"/>
    </w:rPr>
  </w:style>
  <w:style w:type="character" w:styleId="FootnoteReference">
    <w:name w:val="footnote reference"/>
    <w:uiPriority w:val="99"/>
    <w:semiHidden/>
    <w:unhideWhenUsed/>
    <w:rsid w:val="002D1433"/>
    <w:rPr>
      <w:vertAlign w:val="superscript"/>
    </w:rPr>
  </w:style>
  <w:style w:type="paragraph" w:styleId="ListParagraph">
    <w:name w:val="List Paragraph"/>
    <w:basedOn w:val="Normal"/>
    <w:uiPriority w:val="34"/>
    <w:qFormat/>
    <w:rsid w:val="002D1433"/>
    <w:pPr>
      <w:ind w:left="720"/>
      <w:contextualSpacing/>
    </w:pPr>
  </w:style>
  <w:style w:type="paragraph" w:styleId="BalloonText">
    <w:name w:val="Balloon Text"/>
    <w:basedOn w:val="Normal"/>
    <w:link w:val="BalloonTextChar"/>
    <w:uiPriority w:val="99"/>
    <w:semiHidden/>
    <w:unhideWhenUsed/>
    <w:rsid w:val="0099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DF"/>
    <w:rPr>
      <w:rFonts w:ascii="Segoe UI" w:hAnsi="Segoe UI" w:cs="Segoe UI"/>
      <w:sz w:val="18"/>
      <w:szCs w:val="18"/>
    </w:rPr>
  </w:style>
  <w:style w:type="paragraph" w:styleId="Header">
    <w:name w:val="header"/>
    <w:basedOn w:val="Normal"/>
    <w:link w:val="HeaderChar"/>
    <w:uiPriority w:val="99"/>
    <w:unhideWhenUsed/>
    <w:rsid w:val="0078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D56"/>
  </w:style>
  <w:style w:type="paragraph" w:styleId="Footer">
    <w:name w:val="footer"/>
    <w:basedOn w:val="Normal"/>
    <w:link w:val="FooterChar"/>
    <w:uiPriority w:val="99"/>
    <w:unhideWhenUsed/>
    <w:rsid w:val="0078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2023-06-12T18:30:00+00:00</Judgment_x0020_Date>
  </documentManagement>
</p:properties>
</file>

<file path=customXml/itemProps1.xml><?xml version="1.0" encoding="utf-8"?>
<ds:datastoreItem xmlns:ds="http://schemas.openxmlformats.org/officeDocument/2006/customXml" ds:itemID="{2AB5C3C3-87EB-4571-BFB4-ABE69BF7A1DE}"/>
</file>

<file path=customXml/itemProps2.xml><?xml version="1.0" encoding="utf-8"?>
<ds:datastoreItem xmlns:ds="http://schemas.openxmlformats.org/officeDocument/2006/customXml" ds:itemID="{F373DDFD-ED49-417B-840C-6DEB115ABF45}"/>
</file>

<file path=customXml/itemProps3.xml><?xml version="1.0" encoding="utf-8"?>
<ds:datastoreItem xmlns:ds="http://schemas.openxmlformats.org/officeDocument/2006/customXml" ds:itemID="{50D94D27-2207-4969-8ABD-C62458A3BC75}"/>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Daniel (CR 125-2022) [2023] NAHCMD 315 (13 June 2023)</dc:title>
  <dc:creator>Herman C. January</dc:creator>
  <cp:lastModifiedBy>Michelle N. Ullrich</cp:lastModifiedBy>
  <cp:revision>2</cp:revision>
  <cp:lastPrinted>2023-06-13T13:47:00Z</cp:lastPrinted>
  <dcterms:created xsi:type="dcterms:W3CDTF">2023-06-13T13:50:00Z</dcterms:created>
  <dcterms:modified xsi:type="dcterms:W3CDTF">2023-06-13T13:50:00Z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