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82664C" w:rsidRDefault="002F31BE" w:rsidP="002F31BE">
            <w:pPr>
              <w:tabs>
                <w:tab w:val="left" w:pos="3564"/>
                <w:tab w:val="left" w:pos="3706"/>
                <w:tab w:val="left" w:pos="4273"/>
              </w:tabs>
              <w:spacing w:line="360" w:lineRule="auto"/>
              <w:jc w:val="both"/>
              <w:rPr>
                <w:rFonts w:ascii="Arial" w:hAnsi="Arial" w:cs="Arial"/>
                <w:sz w:val="24"/>
                <w:szCs w:val="24"/>
              </w:rPr>
            </w:pPr>
            <w:r w:rsidRPr="002F31BE">
              <w:rPr>
                <w:rFonts w:ascii="Arial" w:hAnsi="Arial" w:cs="Arial"/>
                <w:sz w:val="24"/>
                <w:szCs w:val="24"/>
              </w:rPr>
              <w:t>CHRISTIAN SHILONGO</w:t>
            </w:r>
            <w:r w:rsidR="00341C0F">
              <w:rPr>
                <w:rFonts w:ascii="Arial" w:hAnsi="Arial" w:cs="Arial"/>
                <w:sz w:val="24"/>
                <w:szCs w:val="24"/>
              </w:rPr>
              <w:t xml:space="preserve">                            </w:t>
            </w:r>
            <w:r>
              <w:rPr>
                <w:rFonts w:ascii="Arial" w:hAnsi="Arial" w:cs="Arial"/>
                <w:sz w:val="24"/>
                <w:szCs w:val="24"/>
              </w:rPr>
              <w:t xml:space="preserve">    APPLICANT</w:t>
            </w:r>
          </w:p>
          <w:p w:rsidR="0082664C" w:rsidRDefault="0082664C" w:rsidP="00002E9A">
            <w:pPr>
              <w:spacing w:line="360" w:lineRule="auto"/>
              <w:jc w:val="both"/>
              <w:rPr>
                <w:rFonts w:ascii="Arial" w:hAnsi="Arial" w:cs="Arial"/>
                <w:sz w:val="24"/>
                <w:szCs w:val="24"/>
              </w:rPr>
            </w:pPr>
            <w:r>
              <w:rPr>
                <w:rFonts w:ascii="Arial" w:hAnsi="Arial" w:cs="Arial"/>
                <w:sz w:val="24"/>
                <w:szCs w:val="24"/>
              </w:rPr>
              <w:t>v</w:t>
            </w:r>
          </w:p>
          <w:p w:rsidR="002F31BE" w:rsidRPr="002F31BE" w:rsidRDefault="002F31BE" w:rsidP="002F31BE">
            <w:pPr>
              <w:spacing w:line="360" w:lineRule="auto"/>
              <w:jc w:val="both"/>
              <w:rPr>
                <w:rFonts w:ascii="Arial" w:eastAsia="Times New Roman" w:hAnsi="Arial" w:cs="Arial"/>
                <w:sz w:val="24"/>
                <w:szCs w:val="24"/>
              </w:rPr>
            </w:pPr>
            <w:r w:rsidRPr="002F31BE">
              <w:rPr>
                <w:rFonts w:ascii="Arial" w:eastAsia="Times New Roman" w:hAnsi="Arial" w:cs="Arial"/>
                <w:sz w:val="24"/>
                <w:szCs w:val="24"/>
              </w:rPr>
              <w:t>CHAIRPERSON OF T</w:t>
            </w:r>
            <w:r>
              <w:rPr>
                <w:rFonts w:ascii="Arial" w:eastAsia="Times New Roman" w:hAnsi="Arial" w:cs="Arial"/>
                <w:sz w:val="24"/>
                <w:szCs w:val="24"/>
              </w:rPr>
              <w:t xml:space="preserve">HE APPEAL TRIBUNAL                </w:t>
            </w:r>
            <w:r w:rsidRPr="002F31BE">
              <w:rPr>
                <w:rFonts w:ascii="Arial" w:eastAsia="Times New Roman" w:hAnsi="Arial" w:cs="Arial"/>
                <w:sz w:val="24"/>
                <w:szCs w:val="24"/>
              </w:rPr>
              <w:t xml:space="preserve">  </w:t>
            </w:r>
            <w:r>
              <w:rPr>
                <w:rFonts w:ascii="Arial" w:eastAsia="Times New Roman" w:hAnsi="Arial" w:cs="Arial"/>
                <w:sz w:val="24"/>
                <w:szCs w:val="24"/>
              </w:rPr>
              <w:t xml:space="preserve">    </w:t>
            </w:r>
            <w:r w:rsidR="00124ABE">
              <w:rPr>
                <w:rFonts w:ascii="Arial" w:eastAsia="Times New Roman" w:hAnsi="Arial" w:cs="Arial"/>
                <w:sz w:val="24"/>
                <w:szCs w:val="24"/>
              </w:rPr>
              <w:t xml:space="preserve">                        </w:t>
            </w:r>
            <w:r w:rsidR="00124ABE" w:rsidRPr="00124ABE">
              <w:rPr>
                <w:rFonts w:ascii="Arial" w:eastAsia="Times New Roman" w:hAnsi="Arial" w:cs="Arial"/>
                <w:sz w:val="24"/>
                <w:szCs w:val="24"/>
              </w:rPr>
              <w:tab/>
            </w:r>
            <w:r w:rsidR="00124ABE">
              <w:rPr>
                <w:rFonts w:ascii="Arial" w:eastAsia="Times New Roman" w:hAnsi="Arial" w:cs="Arial"/>
                <w:sz w:val="24"/>
                <w:szCs w:val="24"/>
              </w:rPr>
              <w:t xml:space="preserve">                                                 </w:t>
            </w:r>
            <w:r>
              <w:rPr>
                <w:rFonts w:ascii="Arial" w:eastAsia="Times New Roman" w:hAnsi="Arial" w:cs="Arial"/>
                <w:sz w:val="24"/>
                <w:szCs w:val="24"/>
              </w:rPr>
              <w:t>1</w:t>
            </w:r>
            <w:r w:rsidR="00BE373B" w:rsidRPr="00BE373B">
              <w:rPr>
                <w:rFonts w:ascii="Arial" w:eastAsia="Times New Roman" w:hAnsi="Arial" w:cs="Arial"/>
                <w:sz w:val="24"/>
                <w:szCs w:val="24"/>
                <w:vertAlign w:val="superscript"/>
              </w:rPr>
              <w:t>st</w:t>
            </w:r>
            <w:r w:rsidR="00BE373B">
              <w:rPr>
                <w:rFonts w:ascii="Arial" w:eastAsia="Times New Roman" w:hAnsi="Arial" w:cs="Arial"/>
                <w:sz w:val="24"/>
                <w:szCs w:val="24"/>
              </w:rPr>
              <w:t xml:space="preserve"> </w:t>
            </w:r>
            <w:r>
              <w:rPr>
                <w:rFonts w:ascii="Arial" w:eastAsia="Times New Roman" w:hAnsi="Arial" w:cs="Arial"/>
                <w:sz w:val="24"/>
                <w:szCs w:val="24"/>
              </w:rPr>
              <w:t>RESPONDENT</w:t>
            </w:r>
          </w:p>
          <w:p w:rsidR="002F31BE" w:rsidRPr="002F31BE" w:rsidRDefault="002F31BE" w:rsidP="002F31BE">
            <w:pPr>
              <w:spacing w:line="360" w:lineRule="auto"/>
              <w:jc w:val="both"/>
              <w:rPr>
                <w:rFonts w:ascii="Arial" w:eastAsia="Times New Roman" w:hAnsi="Arial" w:cs="Arial"/>
                <w:sz w:val="24"/>
                <w:szCs w:val="24"/>
              </w:rPr>
            </w:pPr>
            <w:r w:rsidRPr="002F31BE">
              <w:rPr>
                <w:rFonts w:ascii="Arial" w:eastAsia="Times New Roman" w:hAnsi="Arial" w:cs="Arial"/>
                <w:sz w:val="24"/>
                <w:szCs w:val="24"/>
              </w:rPr>
              <w:t xml:space="preserve">CHAIRPERSON OF KAVANGO WEST COMMUNAL </w:t>
            </w:r>
          </w:p>
          <w:p w:rsidR="002F31BE" w:rsidRPr="002F31BE" w:rsidRDefault="002F31BE" w:rsidP="002F31BE">
            <w:pPr>
              <w:spacing w:line="360" w:lineRule="auto"/>
              <w:jc w:val="both"/>
              <w:rPr>
                <w:rFonts w:ascii="Arial" w:eastAsia="Times New Roman" w:hAnsi="Arial" w:cs="Arial"/>
                <w:sz w:val="24"/>
                <w:szCs w:val="24"/>
              </w:rPr>
            </w:pPr>
            <w:r>
              <w:rPr>
                <w:rFonts w:ascii="Arial" w:eastAsia="Times New Roman" w:hAnsi="Arial" w:cs="Arial"/>
                <w:sz w:val="24"/>
                <w:szCs w:val="24"/>
              </w:rPr>
              <w:t xml:space="preserve">LAND BOARD                                  </w:t>
            </w:r>
            <w:r w:rsidRPr="002F31BE">
              <w:rPr>
                <w:rFonts w:ascii="Arial" w:eastAsia="Times New Roman" w:hAnsi="Arial" w:cs="Arial"/>
                <w:sz w:val="24"/>
                <w:szCs w:val="24"/>
              </w:rPr>
              <w:t xml:space="preserve">   2</w:t>
            </w:r>
            <w:r w:rsidR="00BE373B" w:rsidRPr="00BE373B">
              <w:rPr>
                <w:rFonts w:ascii="Arial" w:eastAsia="Times New Roman" w:hAnsi="Arial" w:cs="Arial"/>
                <w:sz w:val="24"/>
                <w:szCs w:val="24"/>
                <w:vertAlign w:val="superscript"/>
              </w:rPr>
              <w:t>nd</w:t>
            </w:r>
            <w:r w:rsidR="00BE373B">
              <w:rPr>
                <w:rFonts w:ascii="Arial" w:eastAsia="Times New Roman" w:hAnsi="Arial" w:cs="Arial"/>
                <w:sz w:val="24"/>
                <w:szCs w:val="24"/>
              </w:rPr>
              <w:t xml:space="preserve"> </w:t>
            </w:r>
            <w:r w:rsidRPr="002F31BE">
              <w:rPr>
                <w:rFonts w:ascii="Arial" w:eastAsia="Times New Roman" w:hAnsi="Arial" w:cs="Arial"/>
                <w:sz w:val="24"/>
                <w:szCs w:val="24"/>
              </w:rPr>
              <w:t>RESPONDENT</w:t>
            </w:r>
          </w:p>
          <w:p w:rsidR="0082664C" w:rsidRDefault="002F31BE" w:rsidP="002F31BE">
            <w:pPr>
              <w:spacing w:line="360" w:lineRule="auto"/>
              <w:jc w:val="both"/>
              <w:rPr>
                <w:rFonts w:ascii="Arial" w:eastAsia="Times New Roman" w:hAnsi="Arial" w:cs="Arial"/>
                <w:sz w:val="24"/>
                <w:szCs w:val="24"/>
              </w:rPr>
            </w:pPr>
            <w:r w:rsidRPr="002F31BE">
              <w:rPr>
                <w:rFonts w:ascii="Arial" w:eastAsia="Times New Roman" w:hAnsi="Arial" w:cs="Arial"/>
                <w:sz w:val="24"/>
                <w:szCs w:val="24"/>
              </w:rPr>
              <w:t>UKWANGA</w:t>
            </w:r>
            <w:r>
              <w:rPr>
                <w:rFonts w:ascii="Arial" w:eastAsia="Times New Roman" w:hAnsi="Arial" w:cs="Arial"/>
                <w:sz w:val="24"/>
                <w:szCs w:val="24"/>
              </w:rPr>
              <w:t xml:space="preserve">LI TRADITIONAL AUTHORITY </w:t>
            </w:r>
          </w:p>
          <w:p w:rsidR="002F31BE" w:rsidRPr="002F31BE" w:rsidRDefault="00124ABE" w:rsidP="002F31BE">
            <w:pPr>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2F31BE" w:rsidRPr="002F31BE">
              <w:rPr>
                <w:rFonts w:ascii="Arial" w:eastAsia="Times New Roman" w:hAnsi="Arial" w:cs="Arial"/>
                <w:sz w:val="24"/>
                <w:szCs w:val="24"/>
              </w:rPr>
              <w:t>3</w:t>
            </w:r>
            <w:r w:rsidR="00BE373B" w:rsidRPr="00BE373B">
              <w:rPr>
                <w:rFonts w:ascii="Arial" w:eastAsia="Times New Roman" w:hAnsi="Arial" w:cs="Arial"/>
                <w:sz w:val="24"/>
                <w:szCs w:val="24"/>
                <w:vertAlign w:val="superscript"/>
              </w:rPr>
              <w:t>rd</w:t>
            </w:r>
            <w:r w:rsidR="00BE373B">
              <w:rPr>
                <w:rFonts w:ascii="Arial" w:eastAsia="Times New Roman" w:hAnsi="Arial" w:cs="Arial"/>
                <w:sz w:val="24"/>
                <w:szCs w:val="24"/>
              </w:rPr>
              <w:t xml:space="preserve"> </w:t>
            </w:r>
            <w:r w:rsidR="002F31BE" w:rsidRPr="002F31BE">
              <w:rPr>
                <w:rFonts w:ascii="Arial" w:eastAsia="Times New Roman" w:hAnsi="Arial" w:cs="Arial"/>
                <w:sz w:val="24"/>
                <w:szCs w:val="24"/>
              </w:rPr>
              <w:t>RESPONDENT</w:t>
            </w:r>
          </w:p>
          <w:p w:rsidR="00002E9A" w:rsidRPr="0082664C" w:rsidRDefault="002F31BE" w:rsidP="002F31BE">
            <w:pPr>
              <w:spacing w:line="360" w:lineRule="auto"/>
              <w:jc w:val="both"/>
              <w:rPr>
                <w:rFonts w:ascii="Arial" w:eastAsia="Times New Roman" w:hAnsi="Arial" w:cs="Arial"/>
                <w:sz w:val="24"/>
                <w:szCs w:val="24"/>
              </w:rPr>
            </w:pPr>
            <w:r>
              <w:rPr>
                <w:rFonts w:ascii="Arial" w:eastAsia="Times New Roman" w:hAnsi="Arial" w:cs="Arial"/>
                <w:sz w:val="24"/>
                <w:szCs w:val="24"/>
              </w:rPr>
              <w:t xml:space="preserve">IMMANUEL SIKONGO                      </w:t>
            </w:r>
            <w:r w:rsidRPr="002F31BE">
              <w:rPr>
                <w:rFonts w:ascii="Arial" w:eastAsia="Times New Roman" w:hAnsi="Arial" w:cs="Arial"/>
                <w:sz w:val="24"/>
                <w:szCs w:val="24"/>
              </w:rPr>
              <w:t>4</w:t>
            </w:r>
            <w:r w:rsidR="00BE373B" w:rsidRPr="00BE373B">
              <w:rPr>
                <w:rFonts w:ascii="Arial" w:eastAsia="Times New Roman" w:hAnsi="Arial" w:cs="Arial"/>
                <w:sz w:val="24"/>
                <w:szCs w:val="24"/>
                <w:vertAlign w:val="superscript"/>
              </w:rPr>
              <w:t>th</w:t>
            </w:r>
            <w:r w:rsidR="00BE373B">
              <w:rPr>
                <w:rFonts w:ascii="Arial" w:eastAsia="Times New Roman" w:hAnsi="Arial" w:cs="Arial"/>
                <w:sz w:val="24"/>
                <w:szCs w:val="24"/>
              </w:rPr>
              <w:t xml:space="preserve"> </w:t>
            </w:r>
            <w:r w:rsidRPr="002F31BE">
              <w:rPr>
                <w:rFonts w:ascii="Arial" w:eastAsia="Times New Roman" w:hAnsi="Arial" w:cs="Arial"/>
                <w:sz w:val="24"/>
                <w:szCs w:val="24"/>
              </w:rPr>
              <w:t>RESPONDENT</w:t>
            </w:r>
          </w:p>
          <w:p w:rsidR="00002E9A" w:rsidRPr="00002E9A" w:rsidRDefault="00002E9A" w:rsidP="000F1377">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2F31BE" w:rsidP="00937C89">
            <w:pPr>
              <w:spacing w:line="360" w:lineRule="auto"/>
              <w:jc w:val="both"/>
              <w:rPr>
                <w:rFonts w:ascii="Arial" w:hAnsi="Arial" w:cs="Arial"/>
                <w:sz w:val="24"/>
                <w:szCs w:val="24"/>
                <w:shd w:val="clear" w:color="auto" w:fill="FFFFFF"/>
              </w:rPr>
            </w:pPr>
            <w:r w:rsidRPr="002F31BE">
              <w:rPr>
                <w:rFonts w:ascii="Arial" w:hAnsi="Arial" w:cs="Arial"/>
                <w:sz w:val="24"/>
                <w:szCs w:val="24"/>
                <w:shd w:val="clear" w:color="auto" w:fill="FFFFFF"/>
              </w:rPr>
              <w:t>HC-MD-CIV-MOT-REV-2022/00245</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2F31BE" w:rsidP="00C2633E">
            <w:pPr>
              <w:spacing w:line="360" w:lineRule="auto"/>
              <w:jc w:val="both"/>
              <w:rPr>
                <w:rFonts w:ascii="Arial" w:hAnsi="Arial" w:cs="Arial"/>
                <w:sz w:val="24"/>
                <w:szCs w:val="24"/>
              </w:rPr>
            </w:pPr>
            <w:r>
              <w:rPr>
                <w:rFonts w:ascii="Arial" w:hAnsi="Arial" w:cs="Arial"/>
                <w:sz w:val="24"/>
                <w:szCs w:val="24"/>
                <w:lang w:val="en-US"/>
              </w:rPr>
              <w:t>27 March</w:t>
            </w:r>
            <w:r w:rsidR="00002E9A">
              <w:rPr>
                <w:rFonts w:ascii="Arial" w:hAnsi="Arial" w:cs="Arial"/>
                <w:sz w:val="24"/>
                <w:szCs w:val="24"/>
                <w:lang w:val="en-US"/>
              </w:rPr>
              <w:t xml:space="preserve">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2F31BE" w:rsidP="00BE373B">
            <w:pPr>
              <w:spacing w:line="360" w:lineRule="auto"/>
              <w:jc w:val="both"/>
              <w:rPr>
                <w:rFonts w:ascii="Arial" w:hAnsi="Arial" w:cs="Arial"/>
                <w:b/>
                <w:sz w:val="24"/>
                <w:szCs w:val="24"/>
              </w:rPr>
            </w:pPr>
            <w:r>
              <w:rPr>
                <w:rFonts w:ascii="Arial" w:hAnsi="Arial" w:cs="Arial"/>
                <w:sz w:val="24"/>
                <w:szCs w:val="24"/>
                <w:lang w:val="en-US"/>
              </w:rPr>
              <w:t>1</w:t>
            </w:r>
            <w:r w:rsidR="00BE373B">
              <w:rPr>
                <w:rFonts w:ascii="Arial" w:hAnsi="Arial" w:cs="Arial"/>
                <w:sz w:val="24"/>
                <w:szCs w:val="24"/>
                <w:lang w:val="en-US"/>
              </w:rPr>
              <w:t>5</w:t>
            </w:r>
            <w:r w:rsidR="000F1377">
              <w:rPr>
                <w:rFonts w:ascii="Arial" w:hAnsi="Arial" w:cs="Arial"/>
                <w:sz w:val="24"/>
                <w:szCs w:val="24"/>
                <w:lang w:val="en-US"/>
              </w:rPr>
              <w:t xml:space="preserve"> June</w:t>
            </w:r>
            <w:r w:rsidR="00002E9A">
              <w:rPr>
                <w:rFonts w:ascii="Arial" w:hAnsi="Arial" w:cs="Arial"/>
                <w:sz w:val="24"/>
                <w:szCs w:val="24"/>
                <w:lang w:val="en-US"/>
              </w:rPr>
              <w:t xml:space="preserve"> 2023</w:t>
            </w:r>
          </w:p>
        </w:tc>
      </w:tr>
      <w:tr w:rsidR="00CA7995" w:rsidRPr="00CA7995" w:rsidTr="00002E9A">
        <w:trPr>
          <w:trHeight w:val="876"/>
        </w:trPr>
        <w:tc>
          <w:tcPr>
            <w:tcW w:w="10476" w:type="dxa"/>
            <w:gridSpan w:val="3"/>
          </w:tcPr>
          <w:p w:rsidR="00B40844" w:rsidRPr="00CA7995" w:rsidRDefault="00B40844" w:rsidP="002F31BE">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2F31BE">
              <w:rPr>
                <w:rFonts w:ascii="Arial" w:eastAsia="Times New Roman" w:hAnsi="Arial" w:cs="Arial"/>
                <w:i/>
                <w:sz w:val="24"/>
                <w:szCs w:val="24"/>
              </w:rPr>
              <w:t>Shilongo</w:t>
            </w:r>
            <w:r w:rsidR="00002E9A" w:rsidRPr="00A927F8">
              <w:rPr>
                <w:rFonts w:ascii="Arial" w:eastAsia="Times New Roman" w:hAnsi="Arial" w:cs="Arial"/>
                <w:i/>
                <w:sz w:val="24"/>
                <w:szCs w:val="24"/>
              </w:rPr>
              <w:t xml:space="preserve"> v </w:t>
            </w:r>
            <w:r w:rsidR="002F31BE">
              <w:rPr>
                <w:rFonts w:ascii="Arial" w:eastAsia="Times New Roman" w:hAnsi="Arial" w:cs="Arial"/>
                <w:i/>
                <w:sz w:val="24"/>
                <w:szCs w:val="24"/>
              </w:rPr>
              <w:t>Chairperson of the Appeal Tribunal</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2F31BE" w:rsidRPr="002F31BE">
              <w:rPr>
                <w:rFonts w:ascii="Arial" w:eastAsia="Times New Roman" w:hAnsi="Arial" w:cs="Arial"/>
                <w:sz w:val="24"/>
                <w:szCs w:val="24"/>
              </w:rPr>
              <w:t>HC-MD-CIV-MOT-REV-2022/00245</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981C0C">
              <w:rPr>
                <w:rFonts w:ascii="Arial" w:hAnsi="Arial" w:cs="Arial"/>
                <w:sz w:val="24"/>
                <w:szCs w:val="24"/>
              </w:rPr>
              <w:t>321 (15</w:t>
            </w:r>
            <w:r w:rsidR="000F1377">
              <w:rPr>
                <w:rFonts w:ascii="Arial" w:hAnsi="Arial" w:cs="Arial"/>
                <w:sz w:val="24"/>
                <w:szCs w:val="24"/>
              </w:rPr>
              <w:t xml:space="preserve"> June</w:t>
            </w:r>
            <w:r w:rsidR="00002E9A">
              <w:rPr>
                <w:rFonts w:ascii="Arial" w:hAnsi="Arial" w:cs="Arial"/>
                <w:sz w:val="24"/>
                <w:szCs w:val="24"/>
              </w:rPr>
              <w:t xml:space="preserve">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B47800" w:rsidRDefault="00B40844" w:rsidP="00937C89">
            <w:pPr>
              <w:spacing w:line="360" w:lineRule="auto"/>
              <w:jc w:val="both"/>
              <w:rPr>
                <w:rFonts w:ascii="Arial" w:hAnsi="Arial" w:cs="Arial"/>
                <w:sz w:val="20"/>
                <w:szCs w:val="20"/>
              </w:rPr>
            </w:pPr>
            <w:r w:rsidRPr="00CA7995">
              <w:rPr>
                <w:rFonts w:ascii="Arial" w:hAnsi="Arial" w:cs="Arial"/>
                <w:b/>
                <w:sz w:val="24"/>
                <w:szCs w:val="24"/>
              </w:rPr>
              <w:t>The order:</w:t>
            </w:r>
          </w:p>
          <w:p w:rsidR="006C63EF" w:rsidRDefault="006916C9" w:rsidP="006916C9">
            <w:pPr>
              <w:pStyle w:val="NormalWeb"/>
              <w:shd w:val="clear" w:color="auto" w:fill="FFFFFF"/>
              <w:spacing w:after="0" w:line="360" w:lineRule="auto"/>
              <w:jc w:val="both"/>
              <w:rPr>
                <w:rFonts w:ascii="Arial" w:hAnsi="Arial" w:cs="Arial"/>
              </w:rPr>
            </w:pPr>
            <w:r>
              <w:rPr>
                <w:rFonts w:ascii="Arial" w:hAnsi="Arial" w:cs="Arial"/>
              </w:rPr>
              <w:lastRenderedPageBreak/>
              <w:t>1.</w:t>
            </w:r>
            <w:r w:rsidRPr="006916C9">
              <w:rPr>
                <w:rFonts w:ascii="Arial" w:hAnsi="Arial" w:cs="Arial"/>
              </w:rPr>
              <w:tab/>
            </w:r>
            <w:r w:rsidR="00A73029">
              <w:rPr>
                <w:rFonts w:ascii="Arial" w:hAnsi="Arial" w:cs="Arial"/>
              </w:rPr>
              <w:t xml:space="preserve">The decision taken </w:t>
            </w:r>
            <w:r w:rsidR="00A73029" w:rsidRPr="00A73029">
              <w:rPr>
                <w:rFonts w:ascii="Arial" w:hAnsi="Arial" w:cs="Arial"/>
              </w:rPr>
              <w:t>by the Chairperson</w:t>
            </w:r>
            <w:r w:rsidR="00A73029">
              <w:rPr>
                <w:rFonts w:ascii="Arial" w:hAnsi="Arial" w:cs="Arial"/>
              </w:rPr>
              <w:t xml:space="preserve"> of the Appeal Tribunal (</w:t>
            </w:r>
            <w:r w:rsidR="00BE373B">
              <w:rPr>
                <w:rFonts w:ascii="Arial" w:hAnsi="Arial" w:cs="Arial"/>
              </w:rPr>
              <w:t>f</w:t>
            </w:r>
            <w:r w:rsidR="00A73029">
              <w:rPr>
                <w:rFonts w:ascii="Arial" w:hAnsi="Arial" w:cs="Arial"/>
              </w:rPr>
              <w:t xml:space="preserve">irst </w:t>
            </w:r>
            <w:r w:rsidR="00BE373B">
              <w:rPr>
                <w:rFonts w:ascii="Arial" w:hAnsi="Arial" w:cs="Arial"/>
              </w:rPr>
              <w:t>r</w:t>
            </w:r>
            <w:r w:rsidR="00A73029">
              <w:rPr>
                <w:rFonts w:ascii="Arial" w:hAnsi="Arial" w:cs="Arial"/>
              </w:rPr>
              <w:t xml:space="preserve">espondent) handed down </w:t>
            </w:r>
            <w:r w:rsidR="00A73029" w:rsidRPr="00A73029">
              <w:rPr>
                <w:rFonts w:ascii="Arial" w:hAnsi="Arial" w:cs="Arial"/>
              </w:rPr>
              <w:t>on 23 November 2021 and communicated to t</w:t>
            </w:r>
            <w:r w:rsidR="00A73029">
              <w:rPr>
                <w:rFonts w:ascii="Arial" w:hAnsi="Arial" w:cs="Arial"/>
              </w:rPr>
              <w:t xml:space="preserve">he </w:t>
            </w:r>
            <w:r w:rsidR="00BA0DFA">
              <w:rPr>
                <w:rFonts w:ascii="Arial" w:hAnsi="Arial" w:cs="Arial"/>
              </w:rPr>
              <w:t>a</w:t>
            </w:r>
            <w:r w:rsidR="00A73029">
              <w:rPr>
                <w:rFonts w:ascii="Arial" w:hAnsi="Arial" w:cs="Arial"/>
              </w:rPr>
              <w:t>pplicant on 4 February 2022 is reviewed and set aside.</w:t>
            </w:r>
          </w:p>
          <w:p w:rsidR="0026588D" w:rsidRPr="0026588D" w:rsidRDefault="006C63EF" w:rsidP="006916C9">
            <w:pPr>
              <w:pStyle w:val="NormalWeb"/>
              <w:shd w:val="clear" w:color="auto" w:fill="FFFFFF"/>
              <w:spacing w:after="0" w:line="360" w:lineRule="auto"/>
              <w:jc w:val="both"/>
              <w:rPr>
                <w:rFonts w:ascii="Arial" w:hAnsi="Arial" w:cs="Arial"/>
              </w:rPr>
            </w:pPr>
            <w:r>
              <w:rPr>
                <w:rFonts w:ascii="Arial" w:hAnsi="Arial" w:cs="Arial"/>
              </w:rPr>
              <w:t>2.</w:t>
            </w:r>
            <w:r w:rsidR="007B5FB1" w:rsidRPr="007B5FB1">
              <w:rPr>
                <w:rFonts w:ascii="Arial" w:hAnsi="Arial" w:cs="Arial"/>
              </w:rPr>
              <w:tab/>
            </w:r>
            <w:r w:rsidR="00A73029">
              <w:rPr>
                <w:rFonts w:ascii="Arial" w:hAnsi="Arial" w:cs="Arial"/>
              </w:rPr>
              <w:t>The 1</w:t>
            </w:r>
            <w:r w:rsidR="00A73029" w:rsidRPr="00A73029">
              <w:rPr>
                <w:rFonts w:ascii="Arial" w:hAnsi="Arial" w:cs="Arial"/>
                <w:vertAlign w:val="superscript"/>
              </w:rPr>
              <w:t>st</w:t>
            </w:r>
            <w:r w:rsidR="00A73029">
              <w:rPr>
                <w:rFonts w:ascii="Arial" w:hAnsi="Arial" w:cs="Arial"/>
              </w:rPr>
              <w:t xml:space="preserve"> to the 3</w:t>
            </w:r>
            <w:r w:rsidR="00A73029" w:rsidRPr="00A73029">
              <w:rPr>
                <w:rFonts w:ascii="Arial" w:hAnsi="Arial" w:cs="Arial"/>
                <w:vertAlign w:val="superscript"/>
              </w:rPr>
              <w:t>rd</w:t>
            </w:r>
            <w:r w:rsidR="00A73029">
              <w:rPr>
                <w:rFonts w:ascii="Arial" w:hAnsi="Arial" w:cs="Arial"/>
              </w:rPr>
              <w:t xml:space="preserve"> respondents must pay the applicant’s costs of suit, s</w:t>
            </w:r>
            <w:r w:rsidR="0026588D" w:rsidRPr="0026588D">
              <w:rPr>
                <w:rFonts w:ascii="Arial" w:hAnsi="Arial" w:cs="Arial"/>
              </w:rPr>
              <w:t xml:space="preserve">uch costs to include the costs of one instructed and one instructing counsel. </w:t>
            </w:r>
          </w:p>
          <w:p w:rsidR="00793E9C" w:rsidRPr="00B47800" w:rsidRDefault="007B5FB1" w:rsidP="006916C9">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w:t>
            </w:r>
            <w:r w:rsidR="006916C9">
              <w:rPr>
                <w:rFonts w:ascii="Arial" w:hAnsi="Arial" w:cs="Arial"/>
              </w:rPr>
              <w:t>.</w:t>
            </w:r>
            <w:r w:rsidR="006916C9" w:rsidRPr="006916C9">
              <w:rPr>
                <w:rFonts w:ascii="Arial" w:hAnsi="Arial" w:cs="Arial"/>
              </w:rPr>
              <w:tab/>
            </w:r>
            <w:r w:rsidR="0026588D" w:rsidRPr="0026588D">
              <w:rPr>
                <w:rFonts w:ascii="Arial" w:hAnsi="Arial" w:cs="Arial"/>
              </w:rPr>
              <w:t>The matter i</w:t>
            </w:r>
            <w:r w:rsidR="00A73029">
              <w:rPr>
                <w:rFonts w:ascii="Arial" w:hAnsi="Arial" w:cs="Arial"/>
              </w:rPr>
              <w:t>s finalised and removed from the roll.</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40844" w:rsidRPr="0078733C" w:rsidRDefault="00B40844" w:rsidP="0078733C">
            <w:pPr>
              <w:pStyle w:val="BodyText"/>
              <w:rPr>
                <w:rFonts w:eastAsia="Times New Roman"/>
                <w:lang w:val="en-US"/>
              </w:rPr>
            </w:pPr>
            <w:r w:rsidRPr="00CA7995">
              <w:t>[1]</w:t>
            </w:r>
            <w:r w:rsidRPr="00CA7995">
              <w:tab/>
            </w:r>
            <w:r w:rsidR="00B601AD">
              <w:t>T</w:t>
            </w:r>
            <w:r w:rsidR="00E742E1">
              <w:t xml:space="preserve">he applicant is Christian Shilongo </w:t>
            </w:r>
            <w:r w:rsidR="00E742E1" w:rsidRPr="00E742E1">
              <w:t>an adult male farmer,</w:t>
            </w:r>
            <w:r w:rsidR="00E742E1">
              <w:t xml:space="preserve"> residing at Endola, Omakang</w:t>
            </w:r>
            <w:r w:rsidR="00BE373B">
              <w:t>a</w:t>
            </w:r>
            <w:r w:rsidR="00E742E1">
              <w:t>, O</w:t>
            </w:r>
            <w:r w:rsidR="00E742E1" w:rsidRPr="00E742E1">
              <w:t>hangwena Region, Republic of Namibia.</w:t>
            </w:r>
          </w:p>
          <w:p w:rsidR="00672C76" w:rsidRPr="0078733C" w:rsidRDefault="00672C76" w:rsidP="00ED76B2">
            <w:pPr>
              <w:spacing w:line="360" w:lineRule="auto"/>
              <w:ind w:left="20" w:hanging="20"/>
              <w:jc w:val="both"/>
              <w:rPr>
                <w:rFonts w:ascii="Arial" w:hAnsi="Arial" w:cs="Arial"/>
                <w:sz w:val="24"/>
                <w:szCs w:val="24"/>
              </w:rPr>
            </w:pPr>
          </w:p>
          <w:p w:rsidR="00FC2237" w:rsidRDefault="00672C76" w:rsidP="00ED76B2">
            <w:pPr>
              <w:spacing w:line="360" w:lineRule="auto"/>
              <w:ind w:left="20" w:hanging="20"/>
              <w:jc w:val="both"/>
              <w:rPr>
                <w:rFonts w:ascii="Arial" w:hAnsi="Arial" w:cs="Arial"/>
                <w:sz w:val="24"/>
                <w:szCs w:val="24"/>
              </w:rPr>
            </w:pPr>
            <w:r w:rsidRPr="0078733C">
              <w:rPr>
                <w:rFonts w:ascii="Arial" w:hAnsi="Arial" w:cs="Arial"/>
                <w:sz w:val="24"/>
                <w:szCs w:val="24"/>
              </w:rPr>
              <w:t>[2]</w:t>
            </w:r>
            <w:r w:rsidR="000A6E7F" w:rsidRPr="0078733C">
              <w:rPr>
                <w:rFonts w:ascii="Arial" w:hAnsi="Arial" w:cs="Arial"/>
                <w:sz w:val="24"/>
                <w:szCs w:val="24"/>
              </w:rPr>
              <w:tab/>
            </w:r>
            <w:r w:rsidR="00E742E1" w:rsidRPr="00E742E1">
              <w:rPr>
                <w:rFonts w:ascii="Arial" w:hAnsi="Arial" w:cs="Arial"/>
                <w:sz w:val="24"/>
                <w:szCs w:val="24"/>
              </w:rPr>
              <w:t>The respondents are as follows:</w:t>
            </w:r>
          </w:p>
          <w:p w:rsidR="00E742E1" w:rsidRDefault="00E742E1" w:rsidP="00ED76B2">
            <w:pPr>
              <w:spacing w:line="360" w:lineRule="auto"/>
              <w:ind w:left="20" w:hanging="20"/>
              <w:jc w:val="both"/>
              <w:rPr>
                <w:rFonts w:ascii="Arial" w:hAnsi="Arial" w:cs="Arial"/>
                <w:sz w:val="24"/>
                <w:szCs w:val="24"/>
              </w:rPr>
            </w:pPr>
          </w:p>
          <w:p w:rsidR="00E742E1" w:rsidRDefault="00E742E1" w:rsidP="00ED76B2">
            <w:pPr>
              <w:spacing w:line="360" w:lineRule="auto"/>
              <w:ind w:left="20" w:hanging="20"/>
              <w:jc w:val="both"/>
              <w:rPr>
                <w:rFonts w:ascii="Arial" w:hAnsi="Arial" w:cs="Arial"/>
                <w:sz w:val="24"/>
                <w:szCs w:val="24"/>
              </w:rPr>
            </w:pPr>
            <w:r w:rsidRPr="00E742E1">
              <w:rPr>
                <w:rFonts w:ascii="Arial" w:hAnsi="Arial" w:cs="Arial"/>
                <w:sz w:val="24"/>
                <w:szCs w:val="24"/>
              </w:rPr>
              <w:t>a)</w:t>
            </w:r>
            <w:r w:rsidRPr="00E742E1">
              <w:rPr>
                <w:rFonts w:ascii="Arial" w:hAnsi="Arial" w:cs="Arial"/>
                <w:sz w:val="24"/>
                <w:szCs w:val="24"/>
              </w:rPr>
              <w:tab/>
              <w:t>The first respondent is</w:t>
            </w:r>
            <w:r>
              <w:rPr>
                <w:rFonts w:ascii="Arial" w:hAnsi="Arial" w:cs="Arial"/>
                <w:sz w:val="24"/>
                <w:szCs w:val="24"/>
              </w:rPr>
              <w:t xml:space="preserve"> the Chairperson of the Appeal Tribunal </w:t>
            </w:r>
            <w:r w:rsidRPr="00E742E1">
              <w:rPr>
                <w:rFonts w:ascii="Arial" w:hAnsi="Arial" w:cs="Arial"/>
                <w:sz w:val="24"/>
                <w:szCs w:val="24"/>
              </w:rPr>
              <w:t>appointed by the Minis</w:t>
            </w:r>
            <w:r>
              <w:rPr>
                <w:rFonts w:ascii="Arial" w:hAnsi="Arial" w:cs="Arial"/>
                <w:sz w:val="24"/>
                <w:szCs w:val="24"/>
              </w:rPr>
              <w:t>ter of Land Reform in terms of s</w:t>
            </w:r>
            <w:r w:rsidR="00691870">
              <w:rPr>
                <w:rFonts w:ascii="Arial" w:hAnsi="Arial" w:cs="Arial"/>
                <w:sz w:val="24"/>
                <w:szCs w:val="24"/>
              </w:rPr>
              <w:t xml:space="preserve"> </w:t>
            </w:r>
            <w:r w:rsidRPr="00E742E1">
              <w:rPr>
                <w:rFonts w:ascii="Arial" w:hAnsi="Arial" w:cs="Arial"/>
                <w:sz w:val="24"/>
                <w:szCs w:val="24"/>
              </w:rPr>
              <w:t>39(6) and Regulation 25 of the Communal</w:t>
            </w:r>
            <w:r>
              <w:rPr>
                <w:rFonts w:ascii="Arial" w:hAnsi="Arial" w:cs="Arial"/>
                <w:sz w:val="24"/>
                <w:szCs w:val="24"/>
              </w:rPr>
              <w:t xml:space="preserve"> Land Reform Act </w:t>
            </w:r>
            <w:r w:rsidRPr="00E742E1">
              <w:rPr>
                <w:rFonts w:ascii="Arial" w:hAnsi="Arial" w:cs="Arial"/>
                <w:sz w:val="24"/>
                <w:szCs w:val="24"/>
              </w:rPr>
              <w:t>5 of 2002</w:t>
            </w:r>
            <w:r w:rsidR="00EF0F41">
              <w:rPr>
                <w:rFonts w:ascii="Arial" w:hAnsi="Arial" w:cs="Arial"/>
                <w:sz w:val="24"/>
                <w:szCs w:val="24"/>
              </w:rPr>
              <w:t xml:space="preserve"> (the ‘Act’)</w:t>
            </w:r>
            <w:r w:rsidRPr="00E742E1">
              <w:rPr>
                <w:rFonts w:ascii="Arial" w:hAnsi="Arial" w:cs="Arial"/>
                <w:sz w:val="24"/>
                <w:szCs w:val="24"/>
              </w:rPr>
              <w:t xml:space="preserve"> in the care of the Minister of Agriculture, Water and Land Reform, at Ministry of Agriculture, Water and Land Reform, </w:t>
            </w:r>
            <w:r w:rsidR="00691870">
              <w:rPr>
                <w:rFonts w:ascii="Arial" w:hAnsi="Arial" w:cs="Arial"/>
                <w:sz w:val="24"/>
                <w:szCs w:val="24"/>
              </w:rPr>
              <w:t xml:space="preserve">situated at </w:t>
            </w:r>
            <w:r w:rsidRPr="00E742E1">
              <w:rPr>
                <w:rFonts w:ascii="Arial" w:hAnsi="Arial" w:cs="Arial"/>
                <w:sz w:val="24"/>
                <w:szCs w:val="24"/>
              </w:rPr>
              <w:t xml:space="preserve">55 Robert Mugabe Avenue, Windhoek, Khomas Region, Republic of Namibia. </w:t>
            </w:r>
          </w:p>
          <w:p w:rsidR="00691870" w:rsidRDefault="00691870" w:rsidP="00ED76B2">
            <w:pPr>
              <w:spacing w:line="360" w:lineRule="auto"/>
              <w:ind w:left="20" w:hanging="20"/>
              <w:jc w:val="both"/>
              <w:rPr>
                <w:rFonts w:ascii="Arial" w:hAnsi="Arial" w:cs="Arial"/>
                <w:sz w:val="24"/>
                <w:szCs w:val="24"/>
              </w:rPr>
            </w:pPr>
          </w:p>
          <w:p w:rsidR="00691870" w:rsidRDefault="00E742E1" w:rsidP="00E742E1">
            <w:pPr>
              <w:spacing w:line="360" w:lineRule="auto"/>
              <w:ind w:left="20" w:hanging="20"/>
              <w:jc w:val="both"/>
              <w:rPr>
                <w:rFonts w:ascii="Arial" w:hAnsi="Arial" w:cs="Arial"/>
                <w:sz w:val="24"/>
                <w:szCs w:val="24"/>
              </w:rPr>
            </w:pPr>
            <w:r>
              <w:rPr>
                <w:rFonts w:ascii="Arial" w:hAnsi="Arial" w:cs="Arial"/>
                <w:sz w:val="24"/>
                <w:szCs w:val="24"/>
              </w:rPr>
              <w:t>b)</w:t>
            </w:r>
            <w:r w:rsidRPr="00E742E1">
              <w:rPr>
                <w:rFonts w:ascii="Arial" w:hAnsi="Arial" w:cs="Arial"/>
                <w:sz w:val="24"/>
                <w:szCs w:val="24"/>
              </w:rPr>
              <w:tab/>
            </w:r>
            <w:r>
              <w:rPr>
                <w:rFonts w:ascii="Arial" w:hAnsi="Arial" w:cs="Arial"/>
                <w:sz w:val="24"/>
                <w:szCs w:val="24"/>
              </w:rPr>
              <w:t>The second r</w:t>
            </w:r>
            <w:r w:rsidRPr="00E742E1">
              <w:rPr>
                <w:rFonts w:ascii="Arial" w:hAnsi="Arial" w:cs="Arial"/>
                <w:sz w:val="24"/>
                <w:szCs w:val="24"/>
              </w:rPr>
              <w:t>espondent is Kavango West Communal Land Board, a statutory administrative body duly</w:t>
            </w:r>
            <w:r>
              <w:rPr>
                <w:rFonts w:ascii="Arial" w:hAnsi="Arial" w:cs="Arial"/>
                <w:sz w:val="24"/>
                <w:szCs w:val="24"/>
              </w:rPr>
              <w:t xml:space="preserve"> established in terms of s</w:t>
            </w:r>
            <w:r w:rsidRPr="00E742E1">
              <w:rPr>
                <w:rFonts w:ascii="Arial" w:hAnsi="Arial" w:cs="Arial"/>
                <w:sz w:val="24"/>
                <w:szCs w:val="24"/>
              </w:rPr>
              <w:t xml:space="preserve"> 2 of the </w:t>
            </w:r>
            <w:r w:rsidR="00EF0F41">
              <w:rPr>
                <w:rFonts w:ascii="Arial" w:hAnsi="Arial" w:cs="Arial"/>
                <w:sz w:val="24"/>
                <w:szCs w:val="24"/>
              </w:rPr>
              <w:t>Act</w:t>
            </w:r>
            <w:r w:rsidR="00BE373B">
              <w:rPr>
                <w:rFonts w:ascii="Arial" w:hAnsi="Arial" w:cs="Arial"/>
                <w:sz w:val="24"/>
                <w:szCs w:val="24"/>
              </w:rPr>
              <w:t xml:space="preserve"> </w:t>
            </w:r>
            <w:r w:rsidRPr="00E742E1">
              <w:rPr>
                <w:rFonts w:ascii="Arial" w:hAnsi="Arial" w:cs="Arial"/>
                <w:sz w:val="24"/>
                <w:szCs w:val="24"/>
              </w:rPr>
              <w:t>for the Kavango West Region</w:t>
            </w:r>
            <w:r w:rsidR="00691870">
              <w:rPr>
                <w:rFonts w:ascii="Arial" w:hAnsi="Arial" w:cs="Arial"/>
                <w:sz w:val="24"/>
                <w:szCs w:val="24"/>
              </w:rPr>
              <w:t xml:space="preserve"> situated at</w:t>
            </w:r>
            <w:r w:rsidRPr="00E742E1">
              <w:rPr>
                <w:rFonts w:ascii="Arial" w:hAnsi="Arial" w:cs="Arial"/>
                <w:sz w:val="24"/>
                <w:szCs w:val="24"/>
              </w:rPr>
              <w:t xml:space="preserve"> Maria Mwengere Road, Rundu, Kavango West Region, Republic of Namibia. </w:t>
            </w:r>
          </w:p>
          <w:p w:rsidR="00691870" w:rsidRPr="00E742E1" w:rsidRDefault="00691870" w:rsidP="00E742E1">
            <w:pPr>
              <w:spacing w:line="360" w:lineRule="auto"/>
              <w:ind w:left="20" w:hanging="20"/>
              <w:jc w:val="both"/>
              <w:rPr>
                <w:rFonts w:ascii="Arial" w:hAnsi="Arial" w:cs="Arial"/>
                <w:sz w:val="24"/>
                <w:szCs w:val="24"/>
              </w:rPr>
            </w:pPr>
          </w:p>
          <w:p w:rsidR="00E742E1" w:rsidRDefault="00E742E1" w:rsidP="00E742E1">
            <w:pPr>
              <w:spacing w:line="360" w:lineRule="auto"/>
              <w:jc w:val="both"/>
              <w:rPr>
                <w:rFonts w:ascii="Arial" w:hAnsi="Arial" w:cs="Arial"/>
                <w:sz w:val="24"/>
                <w:szCs w:val="24"/>
              </w:rPr>
            </w:pPr>
            <w:r>
              <w:rPr>
                <w:rFonts w:ascii="Arial" w:hAnsi="Arial" w:cs="Arial"/>
                <w:sz w:val="24"/>
                <w:szCs w:val="24"/>
              </w:rPr>
              <w:t>c)</w:t>
            </w:r>
            <w:r w:rsidRPr="00E742E1">
              <w:rPr>
                <w:rFonts w:ascii="Arial" w:hAnsi="Arial" w:cs="Arial"/>
                <w:sz w:val="24"/>
                <w:szCs w:val="24"/>
              </w:rPr>
              <w:tab/>
              <w:t xml:space="preserve">The </w:t>
            </w:r>
            <w:r w:rsidR="00B31E89">
              <w:rPr>
                <w:rFonts w:ascii="Arial" w:hAnsi="Arial" w:cs="Arial"/>
                <w:sz w:val="24"/>
                <w:szCs w:val="24"/>
              </w:rPr>
              <w:t>t</w:t>
            </w:r>
            <w:r w:rsidRPr="00E742E1">
              <w:rPr>
                <w:rFonts w:ascii="Arial" w:hAnsi="Arial" w:cs="Arial"/>
                <w:sz w:val="24"/>
                <w:szCs w:val="24"/>
              </w:rPr>
              <w:t xml:space="preserve">hird </w:t>
            </w:r>
            <w:r w:rsidR="00B31E89">
              <w:rPr>
                <w:rFonts w:ascii="Arial" w:hAnsi="Arial" w:cs="Arial"/>
                <w:sz w:val="24"/>
                <w:szCs w:val="24"/>
              </w:rPr>
              <w:t>r</w:t>
            </w:r>
            <w:r w:rsidRPr="00E742E1">
              <w:rPr>
                <w:rFonts w:ascii="Arial" w:hAnsi="Arial" w:cs="Arial"/>
                <w:sz w:val="24"/>
                <w:szCs w:val="24"/>
              </w:rPr>
              <w:t>espondent is Ukwangali Traditional Authority, a traditional Authority duly</w:t>
            </w:r>
            <w:r w:rsidR="00691870">
              <w:rPr>
                <w:rFonts w:ascii="Arial" w:hAnsi="Arial" w:cs="Arial"/>
                <w:sz w:val="24"/>
                <w:szCs w:val="24"/>
              </w:rPr>
              <w:t xml:space="preserve"> established in terms of s</w:t>
            </w:r>
            <w:r w:rsidRPr="00E742E1">
              <w:rPr>
                <w:rFonts w:ascii="Arial" w:hAnsi="Arial" w:cs="Arial"/>
                <w:sz w:val="24"/>
                <w:szCs w:val="24"/>
              </w:rPr>
              <w:t xml:space="preserve"> 2 of the Traditional Authorities Act 25 of 2000 for the Ukwang</w:t>
            </w:r>
            <w:r w:rsidR="00691870">
              <w:rPr>
                <w:rFonts w:ascii="Arial" w:hAnsi="Arial" w:cs="Arial"/>
                <w:sz w:val="24"/>
                <w:szCs w:val="24"/>
              </w:rPr>
              <w:t xml:space="preserve">ali traditional community and situated at </w:t>
            </w:r>
            <w:r w:rsidRPr="00E742E1">
              <w:rPr>
                <w:rFonts w:ascii="Arial" w:hAnsi="Arial" w:cs="Arial"/>
                <w:sz w:val="24"/>
                <w:szCs w:val="24"/>
              </w:rPr>
              <w:t xml:space="preserve">Ukwangali Tribal Office, Kahenge, Nkurenkuru, Kavango-West Region, Republic of Namibia. </w:t>
            </w:r>
          </w:p>
          <w:p w:rsidR="00691870" w:rsidRPr="00E742E1" w:rsidRDefault="00691870" w:rsidP="00E742E1">
            <w:pPr>
              <w:spacing w:line="360" w:lineRule="auto"/>
              <w:jc w:val="both"/>
              <w:rPr>
                <w:rFonts w:ascii="Arial" w:hAnsi="Arial" w:cs="Arial"/>
                <w:sz w:val="24"/>
                <w:szCs w:val="24"/>
              </w:rPr>
            </w:pPr>
          </w:p>
          <w:p w:rsidR="00691870" w:rsidRDefault="00691870" w:rsidP="00E742E1">
            <w:pPr>
              <w:spacing w:line="360" w:lineRule="auto"/>
              <w:ind w:left="20" w:hanging="20"/>
              <w:jc w:val="both"/>
              <w:rPr>
                <w:rFonts w:ascii="Arial" w:hAnsi="Arial" w:cs="Arial"/>
                <w:sz w:val="24"/>
                <w:szCs w:val="24"/>
              </w:rPr>
            </w:pPr>
          </w:p>
          <w:p w:rsidR="00691870" w:rsidRDefault="00691870" w:rsidP="00E742E1">
            <w:pPr>
              <w:spacing w:line="360" w:lineRule="auto"/>
              <w:ind w:left="20" w:hanging="20"/>
              <w:jc w:val="both"/>
              <w:rPr>
                <w:rFonts w:ascii="Arial" w:hAnsi="Arial" w:cs="Arial"/>
                <w:sz w:val="24"/>
                <w:szCs w:val="24"/>
              </w:rPr>
            </w:pPr>
          </w:p>
          <w:p w:rsidR="00691870" w:rsidRDefault="00691870" w:rsidP="00E742E1">
            <w:pPr>
              <w:spacing w:line="360" w:lineRule="auto"/>
              <w:ind w:left="20" w:hanging="20"/>
              <w:jc w:val="both"/>
              <w:rPr>
                <w:rFonts w:ascii="Arial" w:hAnsi="Arial" w:cs="Arial"/>
                <w:sz w:val="24"/>
                <w:szCs w:val="24"/>
              </w:rPr>
            </w:pPr>
          </w:p>
          <w:p w:rsidR="002C04BF" w:rsidRDefault="002C04BF" w:rsidP="00E742E1">
            <w:pPr>
              <w:spacing w:line="360" w:lineRule="auto"/>
              <w:ind w:left="20" w:hanging="20"/>
              <w:jc w:val="both"/>
              <w:rPr>
                <w:rFonts w:ascii="Arial" w:hAnsi="Arial" w:cs="Arial"/>
                <w:sz w:val="24"/>
                <w:szCs w:val="24"/>
              </w:rPr>
            </w:pPr>
          </w:p>
          <w:p w:rsidR="00E742E1" w:rsidRPr="00E742E1" w:rsidRDefault="00E742E1" w:rsidP="00E742E1">
            <w:pPr>
              <w:spacing w:line="360" w:lineRule="auto"/>
              <w:ind w:left="20" w:hanging="20"/>
              <w:jc w:val="both"/>
              <w:rPr>
                <w:rFonts w:ascii="Arial" w:hAnsi="Arial" w:cs="Arial"/>
                <w:sz w:val="24"/>
                <w:szCs w:val="24"/>
              </w:rPr>
            </w:pPr>
            <w:r>
              <w:rPr>
                <w:rFonts w:ascii="Arial" w:hAnsi="Arial" w:cs="Arial"/>
                <w:sz w:val="24"/>
                <w:szCs w:val="24"/>
              </w:rPr>
              <w:t>d)</w:t>
            </w:r>
            <w:r w:rsidRPr="00E742E1">
              <w:rPr>
                <w:rFonts w:ascii="Arial" w:hAnsi="Arial" w:cs="Arial"/>
                <w:sz w:val="24"/>
                <w:szCs w:val="24"/>
              </w:rPr>
              <w:tab/>
              <w:t xml:space="preserve">The </w:t>
            </w:r>
            <w:r w:rsidR="00B31E89">
              <w:rPr>
                <w:rFonts w:ascii="Arial" w:hAnsi="Arial" w:cs="Arial"/>
                <w:sz w:val="24"/>
                <w:szCs w:val="24"/>
              </w:rPr>
              <w:t>f</w:t>
            </w:r>
            <w:r w:rsidRPr="00E742E1">
              <w:rPr>
                <w:rFonts w:ascii="Arial" w:hAnsi="Arial" w:cs="Arial"/>
                <w:sz w:val="24"/>
                <w:szCs w:val="24"/>
              </w:rPr>
              <w:t xml:space="preserve">ourth </w:t>
            </w:r>
            <w:r w:rsidR="00B31E89">
              <w:rPr>
                <w:rFonts w:ascii="Arial" w:hAnsi="Arial" w:cs="Arial"/>
                <w:sz w:val="24"/>
                <w:szCs w:val="24"/>
              </w:rPr>
              <w:t>r</w:t>
            </w:r>
            <w:r w:rsidRPr="00E742E1">
              <w:rPr>
                <w:rFonts w:ascii="Arial" w:hAnsi="Arial" w:cs="Arial"/>
                <w:sz w:val="24"/>
                <w:szCs w:val="24"/>
              </w:rPr>
              <w:t xml:space="preserve">espondent is Immanuel Sikongo, a major male person residing at Erf 1753 Safari, Rundu, Kavango-East Region </w:t>
            </w:r>
            <w:r w:rsidR="00B31E89">
              <w:rPr>
                <w:rFonts w:ascii="Arial" w:hAnsi="Arial" w:cs="Arial"/>
                <w:sz w:val="24"/>
                <w:szCs w:val="24"/>
              </w:rPr>
              <w:t xml:space="preserve">the </w:t>
            </w:r>
            <w:r w:rsidRPr="00E742E1">
              <w:rPr>
                <w:rFonts w:ascii="Arial" w:hAnsi="Arial" w:cs="Arial"/>
                <w:sz w:val="24"/>
                <w:szCs w:val="24"/>
              </w:rPr>
              <w:t>Republic of Namibia</w:t>
            </w:r>
            <w:r w:rsidR="00691870">
              <w:rPr>
                <w:rFonts w:ascii="Arial" w:hAnsi="Arial" w:cs="Arial"/>
                <w:sz w:val="24"/>
                <w:szCs w:val="24"/>
              </w:rPr>
              <w:t xml:space="preserve">. The </w:t>
            </w:r>
            <w:r w:rsidR="00B31E89">
              <w:rPr>
                <w:rFonts w:ascii="Arial" w:hAnsi="Arial" w:cs="Arial"/>
                <w:sz w:val="24"/>
                <w:szCs w:val="24"/>
              </w:rPr>
              <w:t>f</w:t>
            </w:r>
            <w:r w:rsidR="00691870">
              <w:rPr>
                <w:rFonts w:ascii="Arial" w:hAnsi="Arial" w:cs="Arial"/>
                <w:sz w:val="24"/>
                <w:szCs w:val="24"/>
              </w:rPr>
              <w:t xml:space="preserve">ourth </w:t>
            </w:r>
            <w:r w:rsidR="00B31E89">
              <w:rPr>
                <w:rFonts w:ascii="Arial" w:hAnsi="Arial" w:cs="Arial"/>
                <w:sz w:val="24"/>
                <w:szCs w:val="24"/>
              </w:rPr>
              <w:t>r</w:t>
            </w:r>
            <w:r w:rsidR="00691870">
              <w:rPr>
                <w:rFonts w:ascii="Arial" w:hAnsi="Arial" w:cs="Arial"/>
                <w:sz w:val="24"/>
                <w:szCs w:val="24"/>
              </w:rPr>
              <w:t>espondent is cited for the</w:t>
            </w:r>
            <w:r w:rsidRPr="00E742E1">
              <w:rPr>
                <w:rFonts w:ascii="Arial" w:hAnsi="Arial" w:cs="Arial"/>
                <w:sz w:val="24"/>
                <w:szCs w:val="24"/>
              </w:rPr>
              <w:t xml:space="preserve"> interest </w:t>
            </w:r>
            <w:r w:rsidR="009936A6">
              <w:rPr>
                <w:rFonts w:ascii="Arial" w:hAnsi="Arial" w:cs="Arial"/>
                <w:sz w:val="24"/>
                <w:szCs w:val="24"/>
              </w:rPr>
              <w:t xml:space="preserve">he </w:t>
            </w:r>
            <w:r w:rsidR="00691870">
              <w:rPr>
                <w:rFonts w:ascii="Arial" w:hAnsi="Arial" w:cs="Arial"/>
                <w:sz w:val="24"/>
                <w:szCs w:val="24"/>
              </w:rPr>
              <w:t xml:space="preserve">might have </w:t>
            </w:r>
            <w:r w:rsidRPr="00E742E1">
              <w:rPr>
                <w:rFonts w:ascii="Arial" w:hAnsi="Arial" w:cs="Arial"/>
                <w:sz w:val="24"/>
                <w:szCs w:val="24"/>
              </w:rPr>
              <w:t>in the outcome of the matter.</w:t>
            </w:r>
          </w:p>
          <w:p w:rsidR="00E742E1" w:rsidRDefault="00E742E1" w:rsidP="00435ED8">
            <w:pPr>
              <w:spacing w:line="360" w:lineRule="auto"/>
              <w:jc w:val="both"/>
              <w:rPr>
                <w:rFonts w:ascii="Arial" w:hAnsi="Arial" w:cs="Arial"/>
                <w:sz w:val="24"/>
                <w:szCs w:val="24"/>
              </w:rPr>
            </w:pPr>
          </w:p>
          <w:p w:rsidR="00691870" w:rsidRDefault="00691870" w:rsidP="00435ED8">
            <w:pPr>
              <w:spacing w:line="360" w:lineRule="auto"/>
              <w:jc w:val="both"/>
              <w:rPr>
                <w:rFonts w:ascii="Arial" w:hAnsi="Arial" w:cs="Arial"/>
                <w:sz w:val="24"/>
                <w:szCs w:val="24"/>
                <w:u w:val="single"/>
              </w:rPr>
            </w:pPr>
            <w:r w:rsidRPr="00691870">
              <w:rPr>
                <w:rFonts w:ascii="Arial" w:hAnsi="Arial" w:cs="Arial"/>
                <w:sz w:val="24"/>
                <w:szCs w:val="24"/>
                <w:u w:val="single"/>
              </w:rPr>
              <w:t xml:space="preserve">Current application before court </w:t>
            </w:r>
          </w:p>
          <w:p w:rsidR="00691870" w:rsidRPr="00691870" w:rsidRDefault="00691870" w:rsidP="00435ED8">
            <w:pPr>
              <w:spacing w:line="360" w:lineRule="auto"/>
              <w:jc w:val="both"/>
              <w:rPr>
                <w:rFonts w:ascii="Arial" w:hAnsi="Arial" w:cs="Arial"/>
                <w:sz w:val="24"/>
                <w:szCs w:val="24"/>
                <w:u w:val="single"/>
              </w:rPr>
            </w:pPr>
          </w:p>
          <w:p w:rsidR="00B601AD" w:rsidRDefault="002D20C5" w:rsidP="00B601AD">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6E3BDF" w:rsidRPr="006E3BDF">
              <w:rPr>
                <w:rFonts w:ascii="Arial" w:hAnsi="Arial" w:cs="Arial"/>
                <w:sz w:val="24"/>
                <w:szCs w:val="24"/>
              </w:rPr>
              <w:t>This is a review a</w:t>
            </w:r>
            <w:r w:rsidR="006E3BDF">
              <w:rPr>
                <w:rFonts w:ascii="Arial" w:hAnsi="Arial" w:cs="Arial"/>
                <w:sz w:val="24"/>
                <w:szCs w:val="24"/>
              </w:rPr>
              <w:t>pplication brought in terms of r</w:t>
            </w:r>
            <w:r w:rsidR="006E3BDF" w:rsidRPr="006E3BDF">
              <w:rPr>
                <w:rFonts w:ascii="Arial" w:hAnsi="Arial" w:cs="Arial"/>
                <w:sz w:val="24"/>
                <w:szCs w:val="24"/>
              </w:rPr>
              <w:t xml:space="preserve">ule 76(1) of the Rules of the Court, wherein the </w:t>
            </w:r>
            <w:r w:rsidR="009A14C6">
              <w:rPr>
                <w:rFonts w:ascii="Arial" w:hAnsi="Arial" w:cs="Arial"/>
                <w:sz w:val="24"/>
                <w:szCs w:val="24"/>
              </w:rPr>
              <w:t>a</w:t>
            </w:r>
            <w:r w:rsidR="006E3BDF" w:rsidRPr="006E3BDF">
              <w:rPr>
                <w:rFonts w:ascii="Arial" w:hAnsi="Arial" w:cs="Arial"/>
                <w:sz w:val="24"/>
                <w:szCs w:val="24"/>
              </w:rPr>
              <w:t>pplicant seeks to review and set aside the decision taken by the Chai</w:t>
            </w:r>
            <w:r w:rsidR="006E3BDF">
              <w:rPr>
                <w:rFonts w:ascii="Arial" w:hAnsi="Arial" w:cs="Arial"/>
                <w:sz w:val="24"/>
                <w:szCs w:val="24"/>
              </w:rPr>
              <w:t xml:space="preserve">rperson of the Appeal Tribunal </w:t>
            </w:r>
            <w:r w:rsidR="00691870">
              <w:rPr>
                <w:rFonts w:ascii="Arial" w:hAnsi="Arial" w:cs="Arial"/>
                <w:sz w:val="24"/>
                <w:szCs w:val="24"/>
              </w:rPr>
              <w:t>(</w:t>
            </w:r>
            <w:r w:rsidR="00B31E89">
              <w:rPr>
                <w:rFonts w:ascii="Arial" w:hAnsi="Arial" w:cs="Arial"/>
                <w:sz w:val="24"/>
                <w:szCs w:val="24"/>
              </w:rPr>
              <w:t>f</w:t>
            </w:r>
            <w:r w:rsidR="00691870">
              <w:rPr>
                <w:rFonts w:ascii="Arial" w:hAnsi="Arial" w:cs="Arial"/>
                <w:sz w:val="24"/>
                <w:szCs w:val="24"/>
              </w:rPr>
              <w:t xml:space="preserve">irst </w:t>
            </w:r>
            <w:r w:rsidR="00B31E89">
              <w:rPr>
                <w:rFonts w:ascii="Arial" w:hAnsi="Arial" w:cs="Arial"/>
                <w:sz w:val="24"/>
                <w:szCs w:val="24"/>
              </w:rPr>
              <w:t>r</w:t>
            </w:r>
            <w:r w:rsidR="00A73029">
              <w:rPr>
                <w:rFonts w:ascii="Arial" w:hAnsi="Arial" w:cs="Arial"/>
                <w:sz w:val="24"/>
                <w:szCs w:val="24"/>
              </w:rPr>
              <w:t xml:space="preserve">espondent) </w:t>
            </w:r>
            <w:r w:rsidR="006E3BDF">
              <w:rPr>
                <w:rFonts w:ascii="Arial" w:hAnsi="Arial" w:cs="Arial"/>
                <w:sz w:val="24"/>
                <w:szCs w:val="24"/>
              </w:rPr>
              <w:t xml:space="preserve">taken </w:t>
            </w:r>
            <w:r w:rsidR="006E3BDF" w:rsidRPr="006E3BDF">
              <w:rPr>
                <w:rFonts w:ascii="Arial" w:hAnsi="Arial" w:cs="Arial"/>
                <w:sz w:val="24"/>
                <w:szCs w:val="24"/>
              </w:rPr>
              <w:t xml:space="preserve">on 23 November 2021 and communicated to the </w:t>
            </w:r>
            <w:r w:rsidR="00B31E89">
              <w:rPr>
                <w:rFonts w:ascii="Arial" w:hAnsi="Arial" w:cs="Arial"/>
                <w:sz w:val="24"/>
                <w:szCs w:val="24"/>
              </w:rPr>
              <w:t>a</w:t>
            </w:r>
            <w:r w:rsidR="006E3BDF" w:rsidRPr="006E3BDF">
              <w:rPr>
                <w:rFonts w:ascii="Arial" w:hAnsi="Arial" w:cs="Arial"/>
                <w:sz w:val="24"/>
                <w:szCs w:val="24"/>
              </w:rPr>
              <w:t xml:space="preserve">pplicant on </w:t>
            </w:r>
            <w:r w:rsidR="004037D6">
              <w:rPr>
                <w:rFonts w:ascii="Arial" w:hAnsi="Arial" w:cs="Arial"/>
                <w:sz w:val="24"/>
                <w:szCs w:val="24"/>
              </w:rPr>
              <w:t>0</w:t>
            </w:r>
            <w:r w:rsidR="006E3BDF" w:rsidRPr="006E3BDF">
              <w:rPr>
                <w:rFonts w:ascii="Arial" w:hAnsi="Arial" w:cs="Arial"/>
                <w:sz w:val="24"/>
                <w:szCs w:val="24"/>
              </w:rPr>
              <w:t>4 February 2022</w:t>
            </w:r>
            <w:r w:rsidR="009936A6">
              <w:rPr>
                <w:rFonts w:ascii="Arial" w:hAnsi="Arial" w:cs="Arial"/>
                <w:sz w:val="24"/>
                <w:szCs w:val="24"/>
              </w:rPr>
              <w:t xml:space="preserve">. The gist of the communique was </w:t>
            </w:r>
            <w:r w:rsidR="00691870">
              <w:rPr>
                <w:rFonts w:ascii="Arial" w:hAnsi="Arial" w:cs="Arial"/>
                <w:sz w:val="24"/>
                <w:szCs w:val="24"/>
              </w:rPr>
              <w:t xml:space="preserve">that the </w:t>
            </w:r>
            <w:r w:rsidR="00B31E89">
              <w:rPr>
                <w:rFonts w:ascii="Arial" w:hAnsi="Arial" w:cs="Arial"/>
                <w:sz w:val="24"/>
                <w:szCs w:val="24"/>
              </w:rPr>
              <w:t>a</w:t>
            </w:r>
            <w:r w:rsidR="00691870">
              <w:rPr>
                <w:rFonts w:ascii="Arial" w:hAnsi="Arial" w:cs="Arial"/>
                <w:sz w:val="24"/>
                <w:szCs w:val="24"/>
              </w:rPr>
              <w:t xml:space="preserve">pplicant’s appeal </w:t>
            </w:r>
            <w:r w:rsidR="009936A6">
              <w:rPr>
                <w:rFonts w:ascii="Arial" w:hAnsi="Arial" w:cs="Arial"/>
                <w:sz w:val="24"/>
                <w:szCs w:val="24"/>
              </w:rPr>
              <w:t>was</w:t>
            </w:r>
            <w:r w:rsidR="006E3BDF" w:rsidRPr="006E3BDF">
              <w:rPr>
                <w:rFonts w:ascii="Arial" w:hAnsi="Arial" w:cs="Arial"/>
                <w:sz w:val="24"/>
                <w:szCs w:val="24"/>
              </w:rPr>
              <w:t xml:space="preserve"> dismissed and the notice of ev</w:t>
            </w:r>
            <w:r w:rsidR="00691870">
              <w:rPr>
                <w:rFonts w:ascii="Arial" w:hAnsi="Arial" w:cs="Arial"/>
                <w:sz w:val="24"/>
                <w:szCs w:val="24"/>
              </w:rPr>
              <w:t xml:space="preserve">iction dated 16 December 2020 </w:t>
            </w:r>
            <w:r w:rsidR="009936A6">
              <w:rPr>
                <w:rFonts w:ascii="Arial" w:hAnsi="Arial" w:cs="Arial"/>
                <w:sz w:val="24"/>
                <w:szCs w:val="24"/>
              </w:rPr>
              <w:t>was</w:t>
            </w:r>
            <w:r w:rsidR="006E3BDF" w:rsidRPr="006E3BDF">
              <w:rPr>
                <w:rFonts w:ascii="Arial" w:hAnsi="Arial" w:cs="Arial"/>
                <w:sz w:val="24"/>
                <w:szCs w:val="24"/>
              </w:rPr>
              <w:t xml:space="preserve"> upheld.</w:t>
            </w:r>
          </w:p>
          <w:p w:rsidR="006C63EF" w:rsidRPr="006C63EF" w:rsidRDefault="006C63EF" w:rsidP="00793E9C">
            <w:pPr>
              <w:spacing w:line="360" w:lineRule="auto"/>
              <w:jc w:val="both"/>
              <w:rPr>
                <w:rFonts w:ascii="Arial" w:hAnsi="Arial" w:cs="Arial"/>
                <w:sz w:val="24"/>
                <w:szCs w:val="24"/>
              </w:rPr>
            </w:pPr>
          </w:p>
          <w:p w:rsidR="00EF0072" w:rsidRDefault="002D20C5" w:rsidP="006E3BDF">
            <w:pPr>
              <w:spacing w:line="360" w:lineRule="auto"/>
              <w:ind w:left="20" w:hanging="20"/>
              <w:jc w:val="both"/>
              <w:rPr>
                <w:rFonts w:ascii="Arial" w:hAnsi="Arial" w:cs="Arial"/>
                <w:sz w:val="24"/>
                <w:szCs w:val="24"/>
              </w:rPr>
            </w:pPr>
            <w:r w:rsidRPr="006C63EF">
              <w:rPr>
                <w:rFonts w:ascii="Arial" w:eastAsia="Times New Roman" w:hAnsi="Arial" w:cs="Arial"/>
                <w:sz w:val="24"/>
                <w:szCs w:val="24"/>
                <w:lang w:val="en-US"/>
              </w:rPr>
              <w:t>[4]</w:t>
            </w:r>
            <w:r w:rsidRPr="006C63EF">
              <w:rPr>
                <w:rFonts w:ascii="Arial" w:hAnsi="Arial" w:cs="Arial"/>
                <w:sz w:val="24"/>
                <w:szCs w:val="24"/>
              </w:rPr>
              <w:tab/>
            </w:r>
            <w:r w:rsidR="00EF0072" w:rsidRPr="00EF0072">
              <w:rPr>
                <w:rFonts w:ascii="Arial" w:hAnsi="Arial" w:cs="Arial"/>
                <w:sz w:val="24"/>
                <w:szCs w:val="24"/>
              </w:rPr>
              <w:t xml:space="preserve">The </w:t>
            </w:r>
            <w:r w:rsidR="00B31E89">
              <w:rPr>
                <w:rFonts w:ascii="Arial" w:hAnsi="Arial" w:cs="Arial"/>
                <w:sz w:val="24"/>
                <w:szCs w:val="24"/>
              </w:rPr>
              <w:t>f</w:t>
            </w:r>
            <w:r w:rsidR="00EF0072" w:rsidRPr="00EF0072">
              <w:rPr>
                <w:rFonts w:ascii="Arial" w:hAnsi="Arial" w:cs="Arial"/>
                <w:sz w:val="24"/>
                <w:szCs w:val="24"/>
              </w:rPr>
              <w:t xml:space="preserve">irst to </w:t>
            </w:r>
            <w:r w:rsidR="00B31E89">
              <w:rPr>
                <w:rFonts w:ascii="Arial" w:hAnsi="Arial" w:cs="Arial"/>
                <w:sz w:val="24"/>
                <w:szCs w:val="24"/>
              </w:rPr>
              <w:t>t</w:t>
            </w:r>
            <w:r w:rsidR="00EF0072" w:rsidRPr="00EF0072">
              <w:rPr>
                <w:rFonts w:ascii="Arial" w:hAnsi="Arial" w:cs="Arial"/>
                <w:sz w:val="24"/>
                <w:szCs w:val="24"/>
              </w:rPr>
              <w:t xml:space="preserve">hird </w:t>
            </w:r>
            <w:r w:rsidR="009A14C6">
              <w:rPr>
                <w:rFonts w:ascii="Arial" w:hAnsi="Arial" w:cs="Arial"/>
                <w:sz w:val="24"/>
                <w:szCs w:val="24"/>
              </w:rPr>
              <w:t>r</w:t>
            </w:r>
            <w:r w:rsidR="00EF0072" w:rsidRPr="00EF0072">
              <w:rPr>
                <w:rFonts w:ascii="Arial" w:hAnsi="Arial" w:cs="Arial"/>
                <w:sz w:val="24"/>
                <w:szCs w:val="24"/>
              </w:rPr>
              <w:t xml:space="preserve">espondents (“the </w:t>
            </w:r>
            <w:r w:rsidR="00B31E89">
              <w:rPr>
                <w:rFonts w:ascii="Arial" w:hAnsi="Arial" w:cs="Arial"/>
                <w:sz w:val="24"/>
                <w:szCs w:val="24"/>
              </w:rPr>
              <w:t>r</w:t>
            </w:r>
            <w:r w:rsidR="00EF0072" w:rsidRPr="00EF0072">
              <w:rPr>
                <w:rFonts w:ascii="Arial" w:hAnsi="Arial" w:cs="Arial"/>
                <w:sz w:val="24"/>
                <w:szCs w:val="24"/>
              </w:rPr>
              <w:t>espondent</w:t>
            </w:r>
            <w:r w:rsidR="00EF0072">
              <w:rPr>
                <w:rFonts w:ascii="Arial" w:hAnsi="Arial" w:cs="Arial"/>
                <w:sz w:val="24"/>
                <w:szCs w:val="24"/>
              </w:rPr>
              <w:t>s</w:t>
            </w:r>
            <w:r w:rsidR="00EF0072" w:rsidRPr="00EF0072">
              <w:rPr>
                <w:rFonts w:ascii="Arial" w:hAnsi="Arial" w:cs="Arial"/>
                <w:sz w:val="24"/>
                <w:szCs w:val="24"/>
              </w:rPr>
              <w:t>”) oppose</w:t>
            </w:r>
            <w:r w:rsidR="009A14C6">
              <w:rPr>
                <w:rFonts w:ascii="Arial" w:hAnsi="Arial" w:cs="Arial"/>
                <w:sz w:val="24"/>
                <w:szCs w:val="24"/>
              </w:rPr>
              <w:t>d</w:t>
            </w:r>
            <w:r w:rsidR="00EF0072" w:rsidRPr="00EF0072">
              <w:rPr>
                <w:rFonts w:ascii="Arial" w:hAnsi="Arial" w:cs="Arial"/>
                <w:sz w:val="24"/>
                <w:szCs w:val="24"/>
              </w:rPr>
              <w:t xml:space="preserve"> </w:t>
            </w:r>
            <w:r w:rsidR="00EF0072">
              <w:rPr>
                <w:rFonts w:ascii="Arial" w:hAnsi="Arial" w:cs="Arial"/>
                <w:sz w:val="24"/>
                <w:szCs w:val="24"/>
              </w:rPr>
              <w:t xml:space="preserve">this application and raised a point in limine to the effect that </w:t>
            </w:r>
            <w:r w:rsidR="00EF0072" w:rsidRPr="00EF0072">
              <w:rPr>
                <w:rFonts w:ascii="Arial" w:hAnsi="Arial" w:cs="Arial"/>
                <w:sz w:val="24"/>
                <w:szCs w:val="24"/>
              </w:rPr>
              <w:t xml:space="preserve">the </w:t>
            </w:r>
            <w:r w:rsidR="00B31E89">
              <w:rPr>
                <w:rFonts w:ascii="Arial" w:hAnsi="Arial" w:cs="Arial"/>
                <w:sz w:val="24"/>
                <w:szCs w:val="24"/>
              </w:rPr>
              <w:t>a</w:t>
            </w:r>
            <w:r w:rsidR="00EF0072" w:rsidRPr="00EF0072">
              <w:rPr>
                <w:rFonts w:ascii="Arial" w:hAnsi="Arial" w:cs="Arial"/>
                <w:sz w:val="24"/>
                <w:szCs w:val="24"/>
              </w:rPr>
              <w:t>pplicant delayed in bring</w:t>
            </w:r>
            <w:r w:rsidR="00EF0072">
              <w:rPr>
                <w:rFonts w:ascii="Arial" w:hAnsi="Arial" w:cs="Arial"/>
                <w:sz w:val="24"/>
                <w:szCs w:val="24"/>
              </w:rPr>
              <w:t>ing</w:t>
            </w:r>
            <w:r w:rsidR="00EF0072" w:rsidRPr="00EF0072">
              <w:rPr>
                <w:rFonts w:ascii="Arial" w:hAnsi="Arial" w:cs="Arial"/>
                <w:sz w:val="24"/>
                <w:szCs w:val="24"/>
              </w:rPr>
              <w:t xml:space="preserve"> the review application and that the record of proceedings that </w:t>
            </w:r>
            <w:r w:rsidR="00BE373B">
              <w:rPr>
                <w:rFonts w:ascii="Arial" w:hAnsi="Arial" w:cs="Arial"/>
                <w:sz w:val="24"/>
                <w:szCs w:val="24"/>
              </w:rPr>
              <w:t xml:space="preserve">was </w:t>
            </w:r>
            <w:r w:rsidR="00EF0072" w:rsidRPr="00EF0072">
              <w:rPr>
                <w:rFonts w:ascii="Arial" w:hAnsi="Arial" w:cs="Arial"/>
                <w:sz w:val="24"/>
                <w:szCs w:val="24"/>
              </w:rPr>
              <w:t>served before the Appeal Tribunal was used in arriving at a fair and just decision.</w:t>
            </w:r>
          </w:p>
          <w:p w:rsidR="007500F6" w:rsidRDefault="007500F6" w:rsidP="006E3BDF">
            <w:pPr>
              <w:spacing w:line="360" w:lineRule="auto"/>
              <w:ind w:left="20" w:hanging="20"/>
              <w:jc w:val="both"/>
              <w:rPr>
                <w:rFonts w:ascii="Arial" w:hAnsi="Arial" w:cs="Arial"/>
                <w:sz w:val="24"/>
                <w:szCs w:val="24"/>
              </w:rPr>
            </w:pPr>
          </w:p>
          <w:p w:rsidR="007500F6" w:rsidRPr="007500F6" w:rsidRDefault="007500F6" w:rsidP="006E3BDF">
            <w:pPr>
              <w:spacing w:line="360" w:lineRule="auto"/>
              <w:ind w:left="20" w:hanging="20"/>
              <w:jc w:val="both"/>
              <w:rPr>
                <w:rFonts w:ascii="Arial" w:hAnsi="Arial" w:cs="Arial"/>
                <w:sz w:val="24"/>
                <w:szCs w:val="24"/>
                <w:u w:val="single"/>
              </w:rPr>
            </w:pPr>
            <w:r w:rsidRPr="007500F6">
              <w:rPr>
                <w:rFonts w:ascii="Arial" w:hAnsi="Arial" w:cs="Arial"/>
                <w:sz w:val="24"/>
                <w:szCs w:val="24"/>
                <w:u w:val="single"/>
              </w:rPr>
              <w:t xml:space="preserve">Background </w:t>
            </w:r>
          </w:p>
          <w:p w:rsidR="00EF0072" w:rsidRDefault="00EF0072" w:rsidP="00EF0072">
            <w:pPr>
              <w:spacing w:line="360" w:lineRule="auto"/>
              <w:jc w:val="both"/>
              <w:rPr>
                <w:rFonts w:ascii="Arial" w:hAnsi="Arial" w:cs="Arial"/>
                <w:sz w:val="24"/>
                <w:szCs w:val="24"/>
              </w:rPr>
            </w:pPr>
          </w:p>
          <w:p w:rsidR="005046E6" w:rsidRDefault="005046E6" w:rsidP="005046E6">
            <w:pPr>
              <w:spacing w:line="360" w:lineRule="auto"/>
              <w:jc w:val="both"/>
              <w:rPr>
                <w:rFonts w:ascii="Arial" w:hAnsi="Arial" w:cs="Arial"/>
                <w:sz w:val="24"/>
                <w:szCs w:val="24"/>
              </w:rPr>
            </w:pPr>
            <w:r>
              <w:rPr>
                <w:rFonts w:ascii="Arial" w:hAnsi="Arial" w:cs="Arial"/>
                <w:sz w:val="24"/>
                <w:szCs w:val="24"/>
              </w:rPr>
              <w:t>[5</w:t>
            </w:r>
            <w:r w:rsidRPr="005046E6">
              <w:rPr>
                <w:rFonts w:ascii="Arial" w:hAnsi="Arial" w:cs="Arial"/>
                <w:sz w:val="24"/>
                <w:szCs w:val="24"/>
              </w:rPr>
              <w:t>]</w:t>
            </w:r>
            <w:r w:rsidRPr="005046E6">
              <w:rPr>
                <w:rFonts w:ascii="Arial" w:hAnsi="Arial" w:cs="Arial"/>
                <w:sz w:val="24"/>
                <w:szCs w:val="24"/>
              </w:rPr>
              <w:tab/>
            </w:r>
            <w:r>
              <w:rPr>
                <w:rFonts w:ascii="Arial" w:hAnsi="Arial" w:cs="Arial"/>
                <w:sz w:val="24"/>
                <w:szCs w:val="24"/>
              </w:rPr>
              <w:t xml:space="preserve">The </w:t>
            </w:r>
            <w:r w:rsidR="00B31E89">
              <w:rPr>
                <w:rFonts w:ascii="Arial" w:hAnsi="Arial" w:cs="Arial"/>
                <w:sz w:val="24"/>
                <w:szCs w:val="24"/>
              </w:rPr>
              <w:t>fourth</w:t>
            </w:r>
            <w:r w:rsidRPr="005046E6">
              <w:rPr>
                <w:rFonts w:ascii="Arial" w:hAnsi="Arial" w:cs="Arial"/>
                <w:sz w:val="24"/>
                <w:szCs w:val="24"/>
              </w:rPr>
              <w:t xml:space="preserve"> respondent was allocated</w:t>
            </w:r>
            <w:r>
              <w:rPr>
                <w:rFonts w:ascii="Arial" w:hAnsi="Arial" w:cs="Arial"/>
                <w:sz w:val="24"/>
                <w:szCs w:val="24"/>
              </w:rPr>
              <w:t xml:space="preserve"> a leasehold</w:t>
            </w:r>
            <w:r w:rsidRPr="005046E6">
              <w:rPr>
                <w:rFonts w:ascii="Arial" w:hAnsi="Arial" w:cs="Arial"/>
                <w:sz w:val="24"/>
                <w:szCs w:val="24"/>
              </w:rPr>
              <w:t xml:space="preserve"> with a leasehold certificate dated 31 March 2017 by the K</w:t>
            </w:r>
            <w:r w:rsidR="004A7F0B">
              <w:rPr>
                <w:rFonts w:ascii="Arial" w:hAnsi="Arial" w:cs="Arial"/>
                <w:sz w:val="24"/>
                <w:szCs w:val="24"/>
              </w:rPr>
              <w:t>avango East Communal Land Board</w:t>
            </w:r>
            <w:r w:rsidRPr="005046E6">
              <w:rPr>
                <w:rFonts w:ascii="Arial" w:hAnsi="Arial" w:cs="Arial"/>
                <w:sz w:val="24"/>
                <w:szCs w:val="24"/>
              </w:rPr>
              <w:t>.</w:t>
            </w:r>
            <w:r>
              <w:rPr>
                <w:rFonts w:ascii="Arial" w:hAnsi="Arial" w:cs="Arial"/>
                <w:sz w:val="24"/>
                <w:szCs w:val="24"/>
              </w:rPr>
              <w:t xml:space="preserve"> </w:t>
            </w:r>
            <w:r w:rsidRPr="005046E6">
              <w:rPr>
                <w:rFonts w:ascii="Arial" w:hAnsi="Arial" w:cs="Arial"/>
                <w:sz w:val="24"/>
                <w:szCs w:val="24"/>
              </w:rPr>
              <w:t xml:space="preserve">Prior to May 2021, the Kavango East Communal Land Board was responsible for the affairs of the whole Kavango region pertaining to the ratification of land rights </w:t>
            </w:r>
            <w:r>
              <w:rPr>
                <w:rFonts w:ascii="Arial" w:hAnsi="Arial" w:cs="Arial"/>
                <w:sz w:val="24"/>
                <w:szCs w:val="24"/>
              </w:rPr>
              <w:t xml:space="preserve">as </w:t>
            </w:r>
            <w:r w:rsidRPr="005046E6">
              <w:rPr>
                <w:rFonts w:ascii="Arial" w:hAnsi="Arial" w:cs="Arial"/>
                <w:sz w:val="24"/>
                <w:szCs w:val="24"/>
              </w:rPr>
              <w:t>prescribed by the Act. The statutory functions of the Kavango East Communal Land Board were then transferred to the Board which was set up as a separate, autonomous entity to manage the Communal Land Board affairs of the Kavango West Region.</w:t>
            </w:r>
            <w:r w:rsidR="009A14C6" w:rsidRPr="009A14C6">
              <w:rPr>
                <w:rFonts w:ascii="Arial" w:hAnsi="Arial" w:cs="Arial"/>
                <w:sz w:val="24"/>
                <w:szCs w:val="24"/>
              </w:rPr>
              <w:t xml:space="preserve"> </w:t>
            </w:r>
          </w:p>
          <w:p w:rsidR="005046E6" w:rsidRDefault="005046E6" w:rsidP="005046E6">
            <w:pPr>
              <w:spacing w:line="360" w:lineRule="auto"/>
              <w:jc w:val="both"/>
              <w:rPr>
                <w:rFonts w:ascii="Arial" w:hAnsi="Arial" w:cs="Arial"/>
                <w:sz w:val="24"/>
                <w:szCs w:val="24"/>
              </w:rPr>
            </w:pPr>
          </w:p>
          <w:p w:rsidR="001C3638" w:rsidRDefault="005046E6" w:rsidP="005046E6">
            <w:pPr>
              <w:spacing w:line="360" w:lineRule="auto"/>
              <w:jc w:val="both"/>
              <w:rPr>
                <w:rFonts w:ascii="Arial" w:hAnsi="Arial" w:cs="Arial"/>
                <w:sz w:val="24"/>
                <w:szCs w:val="24"/>
              </w:rPr>
            </w:pPr>
            <w:r>
              <w:rPr>
                <w:rFonts w:ascii="Arial" w:hAnsi="Arial" w:cs="Arial"/>
                <w:sz w:val="24"/>
                <w:szCs w:val="24"/>
              </w:rPr>
              <w:t>[6</w:t>
            </w:r>
            <w:r w:rsidRPr="005046E6">
              <w:rPr>
                <w:rFonts w:ascii="Arial" w:hAnsi="Arial" w:cs="Arial"/>
                <w:sz w:val="24"/>
                <w:szCs w:val="24"/>
              </w:rPr>
              <w:t>]</w:t>
            </w:r>
            <w:r w:rsidRPr="005046E6">
              <w:rPr>
                <w:rFonts w:ascii="Arial" w:hAnsi="Arial" w:cs="Arial"/>
                <w:sz w:val="24"/>
                <w:szCs w:val="24"/>
              </w:rPr>
              <w:tab/>
            </w:r>
            <w:r w:rsidR="001C3638" w:rsidRPr="009A14C6">
              <w:rPr>
                <w:rFonts w:ascii="Arial" w:hAnsi="Arial" w:cs="Arial"/>
                <w:sz w:val="24"/>
                <w:szCs w:val="24"/>
              </w:rPr>
              <w:t xml:space="preserve">On </w:t>
            </w:r>
            <w:r w:rsidR="001C3638">
              <w:rPr>
                <w:rFonts w:ascii="Arial" w:hAnsi="Arial" w:cs="Arial"/>
                <w:sz w:val="24"/>
                <w:szCs w:val="24"/>
              </w:rPr>
              <w:t xml:space="preserve">30 </w:t>
            </w:r>
            <w:r w:rsidR="001C3638" w:rsidRPr="009A14C6">
              <w:rPr>
                <w:rFonts w:ascii="Arial" w:hAnsi="Arial" w:cs="Arial"/>
                <w:sz w:val="24"/>
                <w:szCs w:val="24"/>
              </w:rPr>
              <w:t>July 2019, Kadhila Amoomo Legal Practitioners, acting on behalf of the fourth respondent, sent a letter to the Board requesting it to evict the applicant who is in unlawful occupation of the leasehold.</w:t>
            </w:r>
            <w:r w:rsidR="001C3638">
              <w:rPr>
                <w:rFonts w:ascii="Arial" w:hAnsi="Arial" w:cs="Arial"/>
                <w:sz w:val="24"/>
                <w:szCs w:val="24"/>
              </w:rPr>
              <w:t xml:space="preserve"> </w:t>
            </w:r>
            <w:r w:rsidRPr="005046E6">
              <w:rPr>
                <w:rFonts w:ascii="Arial" w:hAnsi="Arial" w:cs="Arial"/>
                <w:sz w:val="24"/>
                <w:szCs w:val="24"/>
              </w:rPr>
              <w:t xml:space="preserve">On </w:t>
            </w:r>
            <w:r w:rsidR="004037D6">
              <w:rPr>
                <w:rFonts w:ascii="Arial" w:hAnsi="Arial" w:cs="Arial"/>
                <w:sz w:val="24"/>
                <w:szCs w:val="24"/>
              </w:rPr>
              <w:t>0</w:t>
            </w:r>
            <w:r w:rsidRPr="005046E6">
              <w:rPr>
                <w:rFonts w:ascii="Arial" w:hAnsi="Arial" w:cs="Arial"/>
                <w:sz w:val="24"/>
                <w:szCs w:val="24"/>
              </w:rPr>
              <w:t>9</w:t>
            </w:r>
            <w:r>
              <w:rPr>
                <w:rFonts w:ascii="Arial" w:hAnsi="Arial" w:cs="Arial"/>
                <w:sz w:val="24"/>
                <w:szCs w:val="24"/>
              </w:rPr>
              <w:t xml:space="preserve"> </w:t>
            </w:r>
            <w:r w:rsidRPr="005046E6">
              <w:rPr>
                <w:rFonts w:ascii="Arial" w:hAnsi="Arial" w:cs="Arial"/>
                <w:sz w:val="24"/>
                <w:szCs w:val="24"/>
              </w:rPr>
              <w:t xml:space="preserve">December 2019, the </w:t>
            </w:r>
            <w:r w:rsidR="00B31E89">
              <w:rPr>
                <w:rFonts w:ascii="Arial" w:hAnsi="Arial" w:cs="Arial"/>
                <w:sz w:val="24"/>
                <w:szCs w:val="24"/>
              </w:rPr>
              <w:t>fourth</w:t>
            </w:r>
            <w:r w:rsidRPr="005046E6">
              <w:rPr>
                <w:rFonts w:ascii="Arial" w:hAnsi="Arial" w:cs="Arial"/>
                <w:sz w:val="24"/>
                <w:szCs w:val="24"/>
              </w:rPr>
              <w:t xml:space="preserve"> respondent wrote to the Board explaini</w:t>
            </w:r>
            <w:r>
              <w:rPr>
                <w:rFonts w:ascii="Arial" w:hAnsi="Arial" w:cs="Arial"/>
                <w:sz w:val="24"/>
                <w:szCs w:val="24"/>
              </w:rPr>
              <w:t xml:space="preserve">ng </w:t>
            </w:r>
            <w:r w:rsidR="00E822A8">
              <w:rPr>
                <w:rFonts w:ascii="Arial" w:hAnsi="Arial" w:cs="Arial"/>
                <w:sz w:val="24"/>
                <w:szCs w:val="24"/>
              </w:rPr>
              <w:t xml:space="preserve">the terms of </w:t>
            </w:r>
            <w:r>
              <w:rPr>
                <w:rFonts w:ascii="Arial" w:hAnsi="Arial" w:cs="Arial"/>
                <w:sz w:val="24"/>
                <w:szCs w:val="24"/>
              </w:rPr>
              <w:t xml:space="preserve">his lease agreement with the applicant. </w:t>
            </w:r>
            <w:r w:rsidRPr="005046E6">
              <w:rPr>
                <w:rFonts w:ascii="Arial" w:hAnsi="Arial" w:cs="Arial"/>
                <w:sz w:val="24"/>
                <w:szCs w:val="24"/>
              </w:rPr>
              <w:t>The Board resolved to institute an investigation committee in terms of</w:t>
            </w:r>
            <w:r w:rsidR="00E822A8">
              <w:rPr>
                <w:rFonts w:ascii="Arial" w:hAnsi="Arial" w:cs="Arial"/>
                <w:sz w:val="24"/>
                <w:szCs w:val="24"/>
              </w:rPr>
              <w:t xml:space="preserve"> s </w:t>
            </w:r>
            <w:r>
              <w:rPr>
                <w:rFonts w:ascii="Arial" w:hAnsi="Arial" w:cs="Arial"/>
                <w:sz w:val="24"/>
                <w:szCs w:val="24"/>
              </w:rPr>
              <w:t>37 of the Act. On 13</w:t>
            </w:r>
            <w:r w:rsidR="00691870">
              <w:rPr>
                <w:rFonts w:ascii="Arial" w:hAnsi="Arial" w:cs="Arial"/>
                <w:sz w:val="24"/>
                <w:szCs w:val="24"/>
              </w:rPr>
              <w:t xml:space="preserve"> and 14</w:t>
            </w:r>
            <w:r>
              <w:rPr>
                <w:rFonts w:ascii="Arial" w:hAnsi="Arial" w:cs="Arial"/>
                <w:sz w:val="24"/>
                <w:szCs w:val="24"/>
              </w:rPr>
              <w:t xml:space="preserve"> </w:t>
            </w:r>
            <w:r w:rsidRPr="005046E6">
              <w:rPr>
                <w:rFonts w:ascii="Arial" w:hAnsi="Arial" w:cs="Arial"/>
                <w:sz w:val="24"/>
                <w:szCs w:val="24"/>
              </w:rPr>
              <w:t>July</w:t>
            </w:r>
            <w:r>
              <w:rPr>
                <w:rFonts w:ascii="Arial" w:hAnsi="Arial" w:cs="Arial"/>
                <w:sz w:val="24"/>
                <w:szCs w:val="24"/>
              </w:rPr>
              <w:t xml:space="preserve"> 2020</w:t>
            </w:r>
            <w:r w:rsidR="004A7F0B">
              <w:rPr>
                <w:rFonts w:ascii="Arial" w:hAnsi="Arial" w:cs="Arial"/>
                <w:sz w:val="24"/>
                <w:szCs w:val="24"/>
              </w:rPr>
              <w:t>,</w:t>
            </w:r>
            <w:r>
              <w:rPr>
                <w:rFonts w:ascii="Arial" w:hAnsi="Arial" w:cs="Arial"/>
                <w:sz w:val="24"/>
                <w:szCs w:val="24"/>
              </w:rPr>
              <w:t xml:space="preserve"> t</w:t>
            </w:r>
            <w:r w:rsidRPr="005046E6">
              <w:rPr>
                <w:rFonts w:ascii="Arial" w:hAnsi="Arial" w:cs="Arial"/>
                <w:sz w:val="24"/>
                <w:szCs w:val="24"/>
              </w:rPr>
              <w:t xml:space="preserve">he Board held a hearing </w:t>
            </w:r>
            <w:r>
              <w:rPr>
                <w:rFonts w:ascii="Arial" w:hAnsi="Arial" w:cs="Arial"/>
                <w:sz w:val="24"/>
                <w:szCs w:val="24"/>
              </w:rPr>
              <w:t xml:space="preserve">which was attended by </w:t>
            </w:r>
            <w:r w:rsidR="00691870">
              <w:rPr>
                <w:rFonts w:ascii="Arial" w:hAnsi="Arial" w:cs="Arial"/>
                <w:sz w:val="24"/>
                <w:szCs w:val="24"/>
              </w:rPr>
              <w:t xml:space="preserve">the </w:t>
            </w:r>
            <w:r w:rsidR="00B31E89">
              <w:rPr>
                <w:rFonts w:ascii="Arial" w:hAnsi="Arial" w:cs="Arial"/>
                <w:sz w:val="24"/>
                <w:szCs w:val="24"/>
              </w:rPr>
              <w:t>second</w:t>
            </w:r>
            <w:r w:rsidR="00691870">
              <w:rPr>
                <w:rFonts w:ascii="Arial" w:hAnsi="Arial" w:cs="Arial"/>
                <w:sz w:val="24"/>
                <w:szCs w:val="24"/>
              </w:rPr>
              <w:t xml:space="preserve"> to the </w:t>
            </w:r>
            <w:r w:rsidR="00B31E89">
              <w:rPr>
                <w:rFonts w:ascii="Arial" w:hAnsi="Arial" w:cs="Arial"/>
                <w:sz w:val="24"/>
                <w:szCs w:val="24"/>
              </w:rPr>
              <w:t>fourth</w:t>
            </w:r>
            <w:r w:rsidR="00691870">
              <w:rPr>
                <w:rFonts w:ascii="Arial" w:hAnsi="Arial" w:cs="Arial"/>
                <w:sz w:val="24"/>
                <w:szCs w:val="24"/>
              </w:rPr>
              <w:t xml:space="preserve"> </w:t>
            </w:r>
            <w:r w:rsidR="00E822A8">
              <w:rPr>
                <w:rFonts w:ascii="Arial" w:hAnsi="Arial" w:cs="Arial"/>
                <w:sz w:val="24"/>
                <w:szCs w:val="24"/>
              </w:rPr>
              <w:t>respondents. The hearing</w:t>
            </w:r>
            <w:r w:rsidRPr="005046E6">
              <w:rPr>
                <w:rFonts w:ascii="Arial" w:hAnsi="Arial" w:cs="Arial"/>
                <w:sz w:val="24"/>
                <w:szCs w:val="24"/>
              </w:rPr>
              <w:t xml:space="preserve"> was chaired by the erstwhile chairperson,</w:t>
            </w:r>
            <w:r w:rsidR="001C3638">
              <w:rPr>
                <w:rFonts w:ascii="Arial" w:hAnsi="Arial" w:cs="Arial"/>
                <w:sz w:val="24"/>
                <w:szCs w:val="24"/>
              </w:rPr>
              <w:t xml:space="preserve"> </w:t>
            </w:r>
            <w:r w:rsidRPr="005046E6">
              <w:rPr>
                <w:rFonts w:ascii="Arial" w:hAnsi="Arial" w:cs="Arial"/>
                <w:sz w:val="24"/>
                <w:szCs w:val="24"/>
              </w:rPr>
              <w:t>Adolf Morem</w:t>
            </w:r>
            <w:r w:rsidR="00E822A8">
              <w:rPr>
                <w:rFonts w:ascii="Arial" w:hAnsi="Arial" w:cs="Arial"/>
                <w:sz w:val="24"/>
                <w:szCs w:val="24"/>
              </w:rPr>
              <w:t xml:space="preserve">i. </w:t>
            </w:r>
          </w:p>
          <w:p w:rsidR="001C3638" w:rsidRDefault="001C3638" w:rsidP="005046E6">
            <w:pPr>
              <w:spacing w:line="360" w:lineRule="auto"/>
              <w:jc w:val="both"/>
              <w:rPr>
                <w:rFonts w:ascii="Arial" w:hAnsi="Arial" w:cs="Arial"/>
                <w:sz w:val="24"/>
                <w:szCs w:val="24"/>
              </w:rPr>
            </w:pPr>
          </w:p>
          <w:p w:rsidR="004A7F0B" w:rsidRDefault="004A7F0B" w:rsidP="005046E6">
            <w:pPr>
              <w:spacing w:line="360" w:lineRule="auto"/>
              <w:jc w:val="both"/>
              <w:rPr>
                <w:rFonts w:ascii="Arial" w:hAnsi="Arial" w:cs="Arial"/>
                <w:sz w:val="24"/>
                <w:szCs w:val="24"/>
              </w:rPr>
            </w:pPr>
          </w:p>
          <w:p w:rsidR="00E822A8" w:rsidRDefault="000219E2" w:rsidP="005046E6">
            <w:pPr>
              <w:spacing w:line="360" w:lineRule="auto"/>
              <w:jc w:val="both"/>
              <w:rPr>
                <w:rFonts w:ascii="Arial" w:hAnsi="Arial" w:cs="Arial"/>
                <w:sz w:val="24"/>
                <w:szCs w:val="24"/>
              </w:rPr>
            </w:pPr>
            <w:r>
              <w:rPr>
                <w:rFonts w:ascii="Arial" w:hAnsi="Arial" w:cs="Arial"/>
                <w:sz w:val="24"/>
                <w:szCs w:val="24"/>
              </w:rPr>
              <w:t>[7]</w:t>
            </w:r>
            <w:r w:rsidRPr="000219E2">
              <w:rPr>
                <w:rFonts w:ascii="Arial" w:hAnsi="Arial" w:cs="Arial"/>
                <w:sz w:val="24"/>
                <w:szCs w:val="24"/>
              </w:rPr>
              <w:tab/>
            </w:r>
            <w:r w:rsidR="00E822A8">
              <w:rPr>
                <w:rFonts w:ascii="Arial" w:hAnsi="Arial" w:cs="Arial"/>
                <w:sz w:val="24"/>
                <w:szCs w:val="24"/>
              </w:rPr>
              <w:t xml:space="preserve">At a further meeting held </w:t>
            </w:r>
            <w:r w:rsidR="00B31E89">
              <w:rPr>
                <w:rFonts w:ascii="Arial" w:hAnsi="Arial" w:cs="Arial"/>
                <w:sz w:val="24"/>
                <w:szCs w:val="24"/>
              </w:rPr>
              <w:t>from</w:t>
            </w:r>
            <w:r w:rsidR="004A7F0B">
              <w:rPr>
                <w:rFonts w:ascii="Arial" w:hAnsi="Arial" w:cs="Arial"/>
                <w:sz w:val="24"/>
                <w:szCs w:val="24"/>
              </w:rPr>
              <w:t xml:space="preserve"> 0</w:t>
            </w:r>
            <w:r w:rsidR="00E822A8" w:rsidRPr="00E822A8">
              <w:rPr>
                <w:rFonts w:ascii="Arial" w:hAnsi="Arial" w:cs="Arial"/>
                <w:sz w:val="24"/>
                <w:szCs w:val="24"/>
              </w:rPr>
              <w:t>3</w:t>
            </w:r>
            <w:r w:rsidR="00B31E89">
              <w:rPr>
                <w:rFonts w:ascii="Arial" w:hAnsi="Arial" w:cs="Arial"/>
                <w:sz w:val="24"/>
                <w:szCs w:val="24"/>
              </w:rPr>
              <w:t xml:space="preserve"> </w:t>
            </w:r>
            <w:r w:rsidR="00E822A8" w:rsidRPr="00E822A8">
              <w:rPr>
                <w:rFonts w:ascii="Arial" w:hAnsi="Arial" w:cs="Arial"/>
                <w:sz w:val="24"/>
                <w:szCs w:val="24"/>
              </w:rPr>
              <w:t xml:space="preserve">to </w:t>
            </w:r>
            <w:r w:rsidR="004A7F0B">
              <w:rPr>
                <w:rFonts w:ascii="Arial" w:hAnsi="Arial" w:cs="Arial"/>
                <w:sz w:val="24"/>
                <w:szCs w:val="24"/>
              </w:rPr>
              <w:t xml:space="preserve">06 </w:t>
            </w:r>
            <w:r w:rsidR="00E822A8" w:rsidRPr="00E822A8">
              <w:rPr>
                <w:rFonts w:ascii="Arial" w:hAnsi="Arial" w:cs="Arial"/>
                <w:sz w:val="24"/>
                <w:szCs w:val="24"/>
              </w:rPr>
              <w:t>November 2020, the Board reso</w:t>
            </w:r>
            <w:r w:rsidR="00E822A8">
              <w:rPr>
                <w:rFonts w:ascii="Arial" w:hAnsi="Arial" w:cs="Arial"/>
                <w:sz w:val="24"/>
                <w:szCs w:val="24"/>
              </w:rPr>
              <w:t>lved</w:t>
            </w:r>
            <w:r w:rsidR="00E822A8" w:rsidRPr="00E822A8">
              <w:rPr>
                <w:rFonts w:ascii="Arial" w:hAnsi="Arial" w:cs="Arial"/>
                <w:sz w:val="24"/>
                <w:szCs w:val="24"/>
              </w:rPr>
              <w:t xml:space="preserve"> that the applicant must vacate the premises. This was on the basis that the agreement of subleasing concluded between the applicant and the </w:t>
            </w:r>
            <w:r w:rsidR="001C3638">
              <w:rPr>
                <w:rFonts w:ascii="Arial" w:hAnsi="Arial" w:cs="Arial"/>
                <w:sz w:val="24"/>
                <w:szCs w:val="24"/>
              </w:rPr>
              <w:t>fourth</w:t>
            </w:r>
            <w:r w:rsidR="00E822A8" w:rsidRPr="00E822A8">
              <w:rPr>
                <w:rFonts w:ascii="Arial" w:hAnsi="Arial" w:cs="Arial"/>
                <w:sz w:val="24"/>
                <w:szCs w:val="24"/>
              </w:rPr>
              <w:t xml:space="preserve"> respondent was</w:t>
            </w:r>
            <w:r w:rsidR="00E822A8">
              <w:rPr>
                <w:rFonts w:ascii="Arial" w:hAnsi="Arial" w:cs="Arial"/>
                <w:sz w:val="24"/>
                <w:szCs w:val="24"/>
              </w:rPr>
              <w:t xml:space="preserve"> not approved by the Board and was thus ultra vires </w:t>
            </w:r>
            <w:r w:rsidR="00EF0F41">
              <w:rPr>
                <w:rFonts w:ascii="Arial" w:hAnsi="Arial" w:cs="Arial"/>
                <w:sz w:val="24"/>
                <w:szCs w:val="24"/>
              </w:rPr>
              <w:t xml:space="preserve">in terms of </w:t>
            </w:r>
            <w:r w:rsidR="00E822A8">
              <w:rPr>
                <w:rFonts w:ascii="Arial" w:hAnsi="Arial" w:cs="Arial"/>
                <w:sz w:val="24"/>
                <w:szCs w:val="24"/>
              </w:rPr>
              <w:t xml:space="preserve">s 31(6) of the Act. </w:t>
            </w:r>
          </w:p>
          <w:p w:rsidR="00E822A8" w:rsidRDefault="00E822A8" w:rsidP="005046E6">
            <w:pPr>
              <w:spacing w:line="360" w:lineRule="auto"/>
              <w:jc w:val="both"/>
              <w:rPr>
                <w:rFonts w:ascii="Arial" w:hAnsi="Arial" w:cs="Arial"/>
                <w:sz w:val="24"/>
                <w:szCs w:val="24"/>
              </w:rPr>
            </w:pPr>
          </w:p>
          <w:p w:rsidR="00E822A8" w:rsidRPr="005046E6" w:rsidRDefault="00E822A8" w:rsidP="005046E6">
            <w:pPr>
              <w:spacing w:line="360" w:lineRule="auto"/>
              <w:jc w:val="both"/>
              <w:rPr>
                <w:rFonts w:ascii="Arial" w:hAnsi="Arial" w:cs="Arial"/>
                <w:sz w:val="24"/>
                <w:szCs w:val="24"/>
              </w:rPr>
            </w:pPr>
            <w:r>
              <w:rPr>
                <w:rFonts w:ascii="Arial" w:hAnsi="Arial" w:cs="Arial"/>
                <w:sz w:val="24"/>
                <w:szCs w:val="24"/>
              </w:rPr>
              <w:t>[</w:t>
            </w:r>
            <w:r w:rsidR="001C3638">
              <w:rPr>
                <w:rFonts w:ascii="Arial" w:hAnsi="Arial" w:cs="Arial"/>
                <w:sz w:val="24"/>
                <w:szCs w:val="24"/>
              </w:rPr>
              <w:t>8</w:t>
            </w:r>
            <w:r w:rsidRPr="00E822A8">
              <w:rPr>
                <w:rFonts w:ascii="Arial" w:hAnsi="Arial" w:cs="Arial"/>
                <w:sz w:val="24"/>
                <w:szCs w:val="24"/>
              </w:rPr>
              <w:t>]</w:t>
            </w:r>
            <w:r w:rsidRPr="00E822A8">
              <w:rPr>
                <w:rFonts w:ascii="Arial" w:hAnsi="Arial" w:cs="Arial"/>
                <w:sz w:val="24"/>
                <w:szCs w:val="24"/>
              </w:rPr>
              <w:tab/>
            </w:r>
            <w:r>
              <w:rPr>
                <w:rFonts w:ascii="Arial" w:hAnsi="Arial" w:cs="Arial"/>
                <w:sz w:val="24"/>
                <w:szCs w:val="24"/>
              </w:rPr>
              <w:t>The applicant</w:t>
            </w:r>
            <w:r w:rsidR="001C3638">
              <w:rPr>
                <w:rFonts w:ascii="Arial" w:hAnsi="Arial" w:cs="Arial"/>
                <w:sz w:val="24"/>
                <w:szCs w:val="24"/>
              </w:rPr>
              <w:t>,</w:t>
            </w:r>
            <w:r>
              <w:rPr>
                <w:rFonts w:ascii="Arial" w:hAnsi="Arial" w:cs="Arial"/>
                <w:sz w:val="24"/>
                <w:szCs w:val="24"/>
              </w:rPr>
              <w:t xml:space="preserve"> aggrieved by the decision of the Board</w:t>
            </w:r>
            <w:r w:rsidR="001C3638">
              <w:rPr>
                <w:rFonts w:ascii="Arial" w:hAnsi="Arial" w:cs="Arial"/>
                <w:sz w:val="24"/>
                <w:szCs w:val="24"/>
              </w:rPr>
              <w:t>,</w:t>
            </w:r>
            <w:r>
              <w:rPr>
                <w:rFonts w:ascii="Arial" w:hAnsi="Arial" w:cs="Arial"/>
                <w:sz w:val="24"/>
                <w:szCs w:val="24"/>
              </w:rPr>
              <w:t xml:space="preserve"> appealed that decision in terms of s 39 of the Communal Land Reform Act</w:t>
            </w:r>
            <w:r w:rsidR="001C3638">
              <w:rPr>
                <w:rFonts w:ascii="Arial" w:hAnsi="Arial" w:cs="Arial"/>
                <w:sz w:val="24"/>
                <w:szCs w:val="24"/>
              </w:rPr>
              <w:t>,</w:t>
            </w:r>
            <w:r w:rsidR="00E15D0F">
              <w:rPr>
                <w:rFonts w:ascii="Arial" w:hAnsi="Arial" w:cs="Arial"/>
                <w:sz w:val="24"/>
                <w:szCs w:val="24"/>
              </w:rPr>
              <w:t xml:space="preserve"> read with reg 25 of the Regulations made in terms of the Communal Land Reform Act. Following the hearing of the appeal</w:t>
            </w:r>
            <w:r w:rsidR="00691870">
              <w:rPr>
                <w:rFonts w:ascii="Arial" w:hAnsi="Arial" w:cs="Arial"/>
                <w:sz w:val="24"/>
                <w:szCs w:val="24"/>
              </w:rPr>
              <w:t>,</w:t>
            </w:r>
            <w:r w:rsidR="00E15D0F">
              <w:rPr>
                <w:rFonts w:ascii="Arial" w:hAnsi="Arial" w:cs="Arial"/>
                <w:sz w:val="24"/>
                <w:szCs w:val="24"/>
              </w:rPr>
              <w:t xml:space="preserve"> the Appeal Tribunal dismissed the applicant’s appeal and upheld the decision made during </w:t>
            </w:r>
            <w:r w:rsidR="00691870">
              <w:rPr>
                <w:rFonts w:ascii="Arial" w:hAnsi="Arial" w:cs="Arial"/>
                <w:sz w:val="24"/>
                <w:szCs w:val="24"/>
              </w:rPr>
              <w:t>0</w:t>
            </w:r>
            <w:r w:rsidR="00E15D0F">
              <w:rPr>
                <w:rFonts w:ascii="Arial" w:hAnsi="Arial" w:cs="Arial"/>
                <w:sz w:val="24"/>
                <w:szCs w:val="24"/>
              </w:rPr>
              <w:t xml:space="preserve">3 to </w:t>
            </w:r>
            <w:r w:rsidR="00691870">
              <w:rPr>
                <w:rFonts w:ascii="Arial" w:hAnsi="Arial" w:cs="Arial"/>
                <w:sz w:val="24"/>
                <w:szCs w:val="24"/>
              </w:rPr>
              <w:t>0</w:t>
            </w:r>
            <w:r w:rsidR="00E15D0F">
              <w:rPr>
                <w:rFonts w:ascii="Arial" w:hAnsi="Arial" w:cs="Arial"/>
                <w:sz w:val="24"/>
                <w:szCs w:val="24"/>
              </w:rPr>
              <w:t>6 November 2020. It is this decision that the applicant seeks to have reviewed and set aside.</w:t>
            </w:r>
          </w:p>
          <w:p w:rsidR="007500F6" w:rsidRDefault="007500F6" w:rsidP="00EF0072">
            <w:pPr>
              <w:spacing w:line="360" w:lineRule="auto"/>
              <w:jc w:val="both"/>
              <w:rPr>
                <w:rFonts w:ascii="Arial" w:hAnsi="Arial" w:cs="Arial"/>
                <w:sz w:val="24"/>
                <w:szCs w:val="24"/>
              </w:rPr>
            </w:pPr>
          </w:p>
          <w:p w:rsidR="00EF0072" w:rsidRPr="00EF0072" w:rsidRDefault="00EF0072" w:rsidP="00EF0072">
            <w:pPr>
              <w:spacing w:line="360" w:lineRule="auto"/>
              <w:ind w:left="20" w:hanging="20"/>
              <w:jc w:val="both"/>
              <w:rPr>
                <w:rFonts w:ascii="Arial" w:hAnsi="Arial" w:cs="Arial"/>
                <w:i/>
                <w:sz w:val="24"/>
                <w:szCs w:val="24"/>
              </w:rPr>
            </w:pPr>
            <w:r w:rsidRPr="00EF0072">
              <w:rPr>
                <w:rFonts w:ascii="Arial" w:hAnsi="Arial" w:cs="Arial"/>
                <w:i/>
                <w:sz w:val="24"/>
                <w:szCs w:val="24"/>
              </w:rPr>
              <w:t>The applicant’s grounds of review may be summarised as follows:</w:t>
            </w:r>
          </w:p>
          <w:p w:rsidR="00EF0072" w:rsidRPr="00B601AD" w:rsidRDefault="00EF0072" w:rsidP="006E3BDF">
            <w:pPr>
              <w:spacing w:line="360" w:lineRule="auto"/>
              <w:jc w:val="both"/>
              <w:rPr>
                <w:rFonts w:ascii="Arial" w:hAnsi="Arial" w:cs="Arial"/>
                <w:sz w:val="24"/>
                <w:szCs w:val="24"/>
              </w:rPr>
            </w:pPr>
          </w:p>
          <w:p w:rsidR="00EF0072" w:rsidRPr="00EF0072" w:rsidRDefault="00B601AD" w:rsidP="00EF0072">
            <w:pPr>
              <w:spacing w:line="360" w:lineRule="auto"/>
              <w:ind w:left="20" w:hanging="20"/>
              <w:jc w:val="both"/>
              <w:rPr>
                <w:rFonts w:ascii="Arial" w:hAnsi="Arial" w:cs="Arial"/>
                <w:sz w:val="24"/>
                <w:szCs w:val="24"/>
              </w:rPr>
            </w:pPr>
            <w:r w:rsidRPr="00B601AD">
              <w:rPr>
                <w:rFonts w:ascii="Arial" w:hAnsi="Arial" w:cs="Arial"/>
                <w:sz w:val="24"/>
                <w:szCs w:val="24"/>
              </w:rPr>
              <w:t>[</w:t>
            </w:r>
            <w:r w:rsidR="00A82221">
              <w:rPr>
                <w:rFonts w:ascii="Arial" w:hAnsi="Arial" w:cs="Arial"/>
                <w:sz w:val="24"/>
                <w:szCs w:val="24"/>
              </w:rPr>
              <w:t>9</w:t>
            </w:r>
            <w:r w:rsidR="00E742E1">
              <w:rPr>
                <w:rFonts w:ascii="Arial" w:hAnsi="Arial" w:cs="Arial"/>
                <w:sz w:val="24"/>
                <w:szCs w:val="24"/>
              </w:rPr>
              <w:t>]</w:t>
            </w:r>
            <w:r w:rsidR="00E742E1">
              <w:rPr>
                <w:rFonts w:ascii="Arial" w:hAnsi="Arial" w:cs="Arial"/>
                <w:sz w:val="24"/>
                <w:szCs w:val="24"/>
              </w:rPr>
              <w:tab/>
            </w:r>
            <w:r w:rsidR="00EF0072" w:rsidRPr="00EF0072">
              <w:rPr>
                <w:rFonts w:ascii="Arial" w:hAnsi="Arial" w:cs="Arial"/>
                <w:sz w:val="24"/>
                <w:szCs w:val="24"/>
              </w:rPr>
              <w:t xml:space="preserve">It is the </w:t>
            </w:r>
            <w:r w:rsidR="001C3638">
              <w:rPr>
                <w:rFonts w:ascii="Arial" w:hAnsi="Arial" w:cs="Arial"/>
                <w:sz w:val="24"/>
                <w:szCs w:val="24"/>
              </w:rPr>
              <w:t>a</w:t>
            </w:r>
            <w:r w:rsidR="00EF0072" w:rsidRPr="00EF0072">
              <w:rPr>
                <w:rFonts w:ascii="Arial" w:hAnsi="Arial" w:cs="Arial"/>
                <w:sz w:val="24"/>
                <w:szCs w:val="24"/>
              </w:rPr>
              <w:t xml:space="preserve">pplicant’s case that there was no full and certified record of proceedings from the </w:t>
            </w:r>
            <w:r w:rsidR="001C3638">
              <w:rPr>
                <w:rFonts w:ascii="Arial" w:hAnsi="Arial" w:cs="Arial"/>
                <w:sz w:val="24"/>
                <w:szCs w:val="24"/>
              </w:rPr>
              <w:t>s</w:t>
            </w:r>
            <w:r w:rsidR="00EF0072" w:rsidRPr="00EF0072">
              <w:rPr>
                <w:rFonts w:ascii="Arial" w:hAnsi="Arial" w:cs="Arial"/>
                <w:sz w:val="24"/>
                <w:szCs w:val="24"/>
              </w:rPr>
              <w:t xml:space="preserve">econd </w:t>
            </w:r>
            <w:r w:rsidR="001C3638">
              <w:rPr>
                <w:rFonts w:ascii="Arial" w:hAnsi="Arial" w:cs="Arial"/>
                <w:sz w:val="24"/>
                <w:szCs w:val="24"/>
              </w:rPr>
              <w:t>r</w:t>
            </w:r>
            <w:r w:rsidR="00EF0072" w:rsidRPr="00EF0072">
              <w:rPr>
                <w:rFonts w:ascii="Arial" w:hAnsi="Arial" w:cs="Arial"/>
                <w:sz w:val="24"/>
                <w:szCs w:val="24"/>
              </w:rPr>
              <w:t xml:space="preserve">espondent that served before the </w:t>
            </w:r>
            <w:r w:rsidR="001C3638">
              <w:rPr>
                <w:rFonts w:ascii="Arial" w:hAnsi="Arial" w:cs="Arial"/>
                <w:sz w:val="24"/>
                <w:szCs w:val="24"/>
              </w:rPr>
              <w:t>f</w:t>
            </w:r>
            <w:r w:rsidR="00EF0072" w:rsidRPr="00EF0072">
              <w:rPr>
                <w:rFonts w:ascii="Arial" w:hAnsi="Arial" w:cs="Arial"/>
                <w:sz w:val="24"/>
                <w:szCs w:val="24"/>
              </w:rPr>
              <w:t xml:space="preserve">irst </w:t>
            </w:r>
            <w:r w:rsidR="001C3638">
              <w:rPr>
                <w:rFonts w:ascii="Arial" w:hAnsi="Arial" w:cs="Arial"/>
                <w:sz w:val="24"/>
                <w:szCs w:val="24"/>
              </w:rPr>
              <w:t>r</w:t>
            </w:r>
            <w:r w:rsidR="00EF0072" w:rsidRPr="00EF0072">
              <w:rPr>
                <w:rFonts w:ascii="Arial" w:hAnsi="Arial" w:cs="Arial"/>
                <w:sz w:val="24"/>
                <w:szCs w:val="24"/>
              </w:rPr>
              <w:t>espondent when t</w:t>
            </w:r>
            <w:r w:rsidR="00180150">
              <w:rPr>
                <w:rFonts w:ascii="Arial" w:hAnsi="Arial" w:cs="Arial"/>
                <w:sz w:val="24"/>
                <w:szCs w:val="24"/>
              </w:rPr>
              <w:t>he impugned decision was taken.</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.1</w:t>
            </w:r>
            <w:r w:rsidR="00EF0072" w:rsidRPr="00EF0072">
              <w:rPr>
                <w:rFonts w:ascii="Arial" w:hAnsi="Arial" w:cs="Arial"/>
                <w:sz w:val="24"/>
                <w:szCs w:val="24"/>
              </w:rPr>
              <w:tab/>
            </w:r>
            <w:r w:rsidR="00A021D4" w:rsidRPr="00A021D4">
              <w:rPr>
                <w:rFonts w:ascii="Arial" w:hAnsi="Arial" w:cs="Arial"/>
                <w:sz w:val="24"/>
                <w:szCs w:val="24"/>
              </w:rPr>
              <w:t xml:space="preserve">In its </w:t>
            </w:r>
            <w:r w:rsidR="00A021D4">
              <w:rPr>
                <w:rFonts w:ascii="Arial" w:hAnsi="Arial" w:cs="Arial"/>
                <w:sz w:val="24"/>
                <w:szCs w:val="24"/>
              </w:rPr>
              <w:t>answering</w:t>
            </w:r>
            <w:r w:rsidR="00A021D4" w:rsidRPr="00A021D4">
              <w:rPr>
                <w:rFonts w:ascii="Arial" w:hAnsi="Arial" w:cs="Arial"/>
                <w:sz w:val="24"/>
                <w:szCs w:val="24"/>
              </w:rPr>
              <w:t xml:space="preserve"> affidavit, the first </w:t>
            </w:r>
            <w:r w:rsidR="00A021D4">
              <w:rPr>
                <w:rFonts w:ascii="Arial" w:hAnsi="Arial" w:cs="Arial"/>
                <w:sz w:val="24"/>
                <w:szCs w:val="24"/>
              </w:rPr>
              <w:t xml:space="preserve">respondent relies on </w:t>
            </w:r>
            <w:r w:rsidR="00A021D4" w:rsidRPr="00A021D4">
              <w:rPr>
                <w:rFonts w:ascii="Arial" w:hAnsi="Arial" w:cs="Arial"/>
                <w:sz w:val="24"/>
                <w:szCs w:val="24"/>
              </w:rPr>
              <w:t>letters and an investigative report to support and justify their decision, even though these documents were not available to them at the time they made the decision</w:t>
            </w:r>
            <w:r w:rsidR="00A021D4">
              <w:rPr>
                <w:rFonts w:ascii="Arial" w:hAnsi="Arial" w:cs="Arial"/>
                <w:sz w:val="24"/>
                <w:szCs w:val="24"/>
              </w:rPr>
              <w:t>;</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.2</w:t>
            </w:r>
            <w:r w:rsidR="00EF0072" w:rsidRPr="00EF0072">
              <w:rPr>
                <w:rFonts w:ascii="Arial" w:hAnsi="Arial" w:cs="Arial"/>
                <w:sz w:val="24"/>
                <w:szCs w:val="24"/>
              </w:rPr>
              <w:tab/>
            </w:r>
            <w:r w:rsidR="001C3638" w:rsidRPr="001C3638">
              <w:rPr>
                <w:rFonts w:ascii="Arial" w:hAnsi="Arial" w:cs="Arial"/>
                <w:sz w:val="24"/>
                <w:szCs w:val="24"/>
              </w:rPr>
              <w:t xml:space="preserve">Due to a lack of </w:t>
            </w:r>
            <w:r w:rsidR="00A021D4">
              <w:rPr>
                <w:rFonts w:ascii="Arial" w:hAnsi="Arial" w:cs="Arial"/>
                <w:sz w:val="24"/>
                <w:szCs w:val="24"/>
              </w:rPr>
              <w:t xml:space="preserve">a </w:t>
            </w:r>
            <w:r w:rsidR="001C3638" w:rsidRPr="001C3638">
              <w:rPr>
                <w:rFonts w:ascii="Arial" w:hAnsi="Arial" w:cs="Arial"/>
                <w:sz w:val="24"/>
                <w:szCs w:val="24"/>
              </w:rPr>
              <w:t xml:space="preserve">complete and certified record from the second respondent, the first respondent had to gather information from the </w:t>
            </w:r>
            <w:r w:rsidR="00A021D4">
              <w:rPr>
                <w:rFonts w:ascii="Arial" w:hAnsi="Arial" w:cs="Arial"/>
                <w:sz w:val="24"/>
                <w:szCs w:val="24"/>
              </w:rPr>
              <w:t xml:space="preserve">second respondent’s </w:t>
            </w:r>
            <w:r w:rsidR="001C3638" w:rsidRPr="001C3638">
              <w:rPr>
                <w:rFonts w:ascii="Arial" w:hAnsi="Arial" w:cs="Arial"/>
                <w:sz w:val="24"/>
                <w:szCs w:val="24"/>
              </w:rPr>
              <w:t xml:space="preserve">representative </w:t>
            </w:r>
            <w:r w:rsidR="00A021D4">
              <w:rPr>
                <w:rFonts w:ascii="Arial" w:hAnsi="Arial" w:cs="Arial"/>
                <w:sz w:val="24"/>
                <w:szCs w:val="24"/>
              </w:rPr>
              <w:t xml:space="preserve">who was </w:t>
            </w:r>
            <w:r w:rsidR="001C3638" w:rsidRPr="001C3638">
              <w:rPr>
                <w:rFonts w:ascii="Arial" w:hAnsi="Arial" w:cs="Arial"/>
                <w:sz w:val="24"/>
                <w:szCs w:val="24"/>
              </w:rPr>
              <w:t>present at the Appeal Tribunal hearing. This included evidence that was not previously considered by the second respondent when making their decision during the meeting held from 03 to 06 November 2020</w:t>
            </w:r>
            <w:r w:rsidR="00A021D4">
              <w:rPr>
                <w:rFonts w:ascii="Arial" w:hAnsi="Arial" w:cs="Arial"/>
                <w:sz w:val="24"/>
                <w:szCs w:val="24"/>
              </w:rPr>
              <w:t>;</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.3</w:t>
            </w:r>
            <w:r w:rsidR="00EF0072" w:rsidRPr="00EF0072">
              <w:rPr>
                <w:rFonts w:ascii="Arial" w:hAnsi="Arial" w:cs="Arial"/>
                <w:sz w:val="24"/>
                <w:szCs w:val="24"/>
              </w:rPr>
              <w:tab/>
              <w:t>A record of proceedin</w:t>
            </w:r>
            <w:r w:rsidR="00691870">
              <w:rPr>
                <w:rFonts w:ascii="Arial" w:hAnsi="Arial" w:cs="Arial"/>
                <w:sz w:val="24"/>
                <w:szCs w:val="24"/>
              </w:rPr>
              <w:t>gs can never come in the form of</w:t>
            </w:r>
            <w:r w:rsidR="00EF0072" w:rsidRPr="00EF0072">
              <w:rPr>
                <w:rFonts w:ascii="Arial" w:hAnsi="Arial" w:cs="Arial"/>
                <w:sz w:val="24"/>
                <w:szCs w:val="24"/>
              </w:rPr>
              <w:t xml:space="preserve"> viva voce evidence as the </w:t>
            </w:r>
            <w:r w:rsidR="00B31E89">
              <w:rPr>
                <w:rFonts w:ascii="Arial" w:hAnsi="Arial" w:cs="Arial"/>
                <w:sz w:val="24"/>
                <w:szCs w:val="24"/>
              </w:rPr>
              <w:t>f</w:t>
            </w:r>
            <w:r w:rsidR="00EF0072" w:rsidRPr="00EF0072">
              <w:rPr>
                <w:rFonts w:ascii="Arial" w:hAnsi="Arial" w:cs="Arial"/>
                <w:sz w:val="24"/>
                <w:szCs w:val="24"/>
              </w:rPr>
              <w:t xml:space="preserve">irst </w:t>
            </w:r>
            <w:r w:rsidR="00B31E89">
              <w:rPr>
                <w:rFonts w:ascii="Arial" w:hAnsi="Arial" w:cs="Arial"/>
                <w:sz w:val="24"/>
                <w:szCs w:val="24"/>
              </w:rPr>
              <w:t>r</w:t>
            </w:r>
            <w:r w:rsidR="00EF0072" w:rsidRPr="00EF0072">
              <w:rPr>
                <w:rFonts w:ascii="Arial" w:hAnsi="Arial" w:cs="Arial"/>
                <w:sz w:val="24"/>
                <w:szCs w:val="24"/>
              </w:rPr>
              <w:t>espondent purpo</w:t>
            </w:r>
            <w:r w:rsidR="00180150">
              <w:rPr>
                <w:rFonts w:ascii="Arial" w:hAnsi="Arial" w:cs="Arial"/>
                <w:sz w:val="24"/>
                <w:szCs w:val="24"/>
              </w:rPr>
              <w:t>rts in its answering affidavit;</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.4</w:t>
            </w:r>
            <w:r w:rsidR="00EF0072" w:rsidRPr="00EF0072">
              <w:rPr>
                <w:rFonts w:ascii="Arial" w:hAnsi="Arial" w:cs="Arial"/>
                <w:sz w:val="24"/>
                <w:szCs w:val="24"/>
              </w:rPr>
              <w:tab/>
            </w:r>
            <w:r w:rsidR="00A021D4" w:rsidRPr="00A021D4">
              <w:rPr>
                <w:rFonts w:ascii="Arial" w:hAnsi="Arial" w:cs="Arial"/>
                <w:sz w:val="24"/>
                <w:szCs w:val="24"/>
              </w:rPr>
              <w:t xml:space="preserve">As there was no record of proceedings from the second respondent, the first respondent had to collect evidence during the appeal hearing by disguising it as submissions </w:t>
            </w:r>
            <w:r w:rsidR="00BF7C59" w:rsidRPr="00BF7C59">
              <w:rPr>
                <w:rFonts w:ascii="Arial" w:hAnsi="Arial" w:cs="Arial"/>
                <w:sz w:val="24"/>
                <w:szCs w:val="24"/>
              </w:rPr>
              <w:t>to comprehend the dispute between the parties better</w:t>
            </w:r>
            <w:r w:rsidR="00231AFA">
              <w:rPr>
                <w:rFonts w:ascii="Arial" w:hAnsi="Arial" w:cs="Arial"/>
                <w:sz w:val="24"/>
                <w:szCs w:val="24"/>
              </w:rPr>
              <w:t>;</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w:t>
            </w:r>
            <w:r w:rsidR="00A021D4">
              <w:rPr>
                <w:rFonts w:ascii="Arial" w:hAnsi="Arial" w:cs="Arial"/>
                <w:sz w:val="24"/>
                <w:szCs w:val="24"/>
              </w:rPr>
              <w:t>5</w:t>
            </w:r>
            <w:r w:rsidR="00EF0072" w:rsidRPr="00EF0072">
              <w:rPr>
                <w:rFonts w:ascii="Arial" w:hAnsi="Arial" w:cs="Arial"/>
                <w:sz w:val="24"/>
                <w:szCs w:val="24"/>
              </w:rPr>
              <w:tab/>
            </w:r>
            <w:r w:rsidR="00A021D4">
              <w:rPr>
                <w:rFonts w:ascii="Arial" w:hAnsi="Arial" w:cs="Arial"/>
                <w:sz w:val="24"/>
                <w:szCs w:val="24"/>
              </w:rPr>
              <w:t>T</w:t>
            </w:r>
            <w:r w:rsidR="00EF0072" w:rsidRPr="00EF0072">
              <w:rPr>
                <w:rFonts w:ascii="Arial" w:hAnsi="Arial" w:cs="Arial"/>
                <w:sz w:val="24"/>
                <w:szCs w:val="24"/>
              </w:rPr>
              <w:t>he Appeal Tribunal acted beyond its scope</w:t>
            </w:r>
            <w:r w:rsidR="00A021D4">
              <w:rPr>
                <w:rFonts w:ascii="Arial" w:hAnsi="Arial" w:cs="Arial"/>
                <w:sz w:val="24"/>
                <w:szCs w:val="24"/>
              </w:rPr>
              <w:t xml:space="preserve"> of powers</w:t>
            </w:r>
            <w:r w:rsidR="00EF0072" w:rsidRPr="00EF0072">
              <w:rPr>
                <w:rFonts w:ascii="Arial" w:hAnsi="Arial" w:cs="Arial"/>
                <w:sz w:val="24"/>
                <w:szCs w:val="24"/>
              </w:rPr>
              <w:t xml:space="preserve"> and unprocedurally descended into the arena when:</w:t>
            </w:r>
          </w:p>
          <w:p w:rsid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w:t>
            </w:r>
            <w:r>
              <w:rPr>
                <w:rFonts w:ascii="Arial" w:hAnsi="Arial" w:cs="Arial"/>
                <w:sz w:val="24"/>
                <w:szCs w:val="24"/>
              </w:rPr>
              <w:t>5</w:t>
            </w:r>
            <w:r w:rsidR="00EF0072">
              <w:rPr>
                <w:rFonts w:ascii="Arial" w:hAnsi="Arial" w:cs="Arial"/>
                <w:sz w:val="24"/>
                <w:szCs w:val="24"/>
              </w:rPr>
              <w:t>.1</w:t>
            </w:r>
            <w:r w:rsidR="00EF0072" w:rsidRPr="00EF0072">
              <w:rPr>
                <w:rFonts w:ascii="Arial" w:hAnsi="Arial" w:cs="Arial"/>
                <w:sz w:val="24"/>
                <w:szCs w:val="24"/>
              </w:rPr>
              <w:tab/>
              <w:t>It took evidence without powers to do so – which is the investigative report and the various letters produced in its answering affidavit;</w:t>
            </w:r>
          </w:p>
          <w:p w:rsidR="002C04BF" w:rsidRDefault="002C04BF" w:rsidP="009E524E">
            <w:pPr>
              <w:pStyle w:val="BodyTextIndent"/>
            </w:pPr>
          </w:p>
          <w:p w:rsidR="002C04BF" w:rsidRDefault="002C04BF" w:rsidP="009E524E">
            <w:pPr>
              <w:pStyle w:val="BodyTextIndent"/>
            </w:pPr>
          </w:p>
          <w:p w:rsidR="00EF0F41" w:rsidRDefault="00A82221" w:rsidP="002C04BF">
            <w:pPr>
              <w:pStyle w:val="BodyTextIndent"/>
            </w:pPr>
            <w:r>
              <w:t>9</w:t>
            </w:r>
            <w:r w:rsidR="00EF0072">
              <w:t>.</w:t>
            </w:r>
            <w:r w:rsidR="003E2919">
              <w:t>5</w:t>
            </w:r>
            <w:r w:rsidR="00EF0072" w:rsidRPr="00EF0072">
              <w:t>.2.</w:t>
            </w:r>
            <w:r w:rsidR="00EF0072" w:rsidRPr="00EF0072">
              <w:tab/>
              <w:t>It invited su</w:t>
            </w:r>
            <w:r w:rsidR="00691870">
              <w:t xml:space="preserve">bmissions </w:t>
            </w:r>
            <w:r w:rsidR="00EF0072" w:rsidRPr="00EF0072">
              <w:t xml:space="preserve">made by parties not called as witnesses at the </w:t>
            </w:r>
            <w:r>
              <w:t>s</w:t>
            </w:r>
            <w:r w:rsidR="00EF0072" w:rsidRPr="00EF0072">
              <w:t xml:space="preserve">econd </w:t>
            </w:r>
            <w:r>
              <w:t>r</w:t>
            </w:r>
            <w:r w:rsidR="00EF0072" w:rsidRPr="00EF0072">
              <w:t xml:space="preserve">espondent’s meeting and used the submissions to amplify the </w:t>
            </w:r>
            <w:r>
              <w:t>s</w:t>
            </w:r>
            <w:r w:rsidR="00EF0072" w:rsidRPr="00EF0072">
              <w:t xml:space="preserve">econd </w:t>
            </w:r>
            <w:r>
              <w:t>r</w:t>
            </w:r>
            <w:r w:rsidR="00EF0072" w:rsidRPr="00EF0072">
              <w:t>espondent’s ruling</w:t>
            </w:r>
            <w:r>
              <w:t>;</w:t>
            </w:r>
            <w:r w:rsidR="00EF0072" w:rsidRPr="00EF0072">
              <w:t xml:space="preserve"> </w:t>
            </w:r>
          </w:p>
          <w:p w:rsidR="00EF0072" w:rsidRPr="00EF0072"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w:t>
            </w:r>
            <w:r w:rsidR="003E2919">
              <w:rPr>
                <w:rFonts w:ascii="Arial" w:hAnsi="Arial" w:cs="Arial"/>
                <w:sz w:val="24"/>
                <w:szCs w:val="24"/>
              </w:rPr>
              <w:t>5</w:t>
            </w:r>
            <w:r w:rsidR="00EF0072" w:rsidRPr="00EF0072">
              <w:rPr>
                <w:rFonts w:ascii="Arial" w:hAnsi="Arial" w:cs="Arial"/>
                <w:sz w:val="24"/>
                <w:szCs w:val="24"/>
              </w:rPr>
              <w:t>.3.</w:t>
            </w:r>
            <w:r w:rsidR="00EF0072" w:rsidRPr="00EF0072">
              <w:rPr>
                <w:rFonts w:ascii="Arial" w:hAnsi="Arial" w:cs="Arial"/>
                <w:sz w:val="24"/>
                <w:szCs w:val="24"/>
              </w:rPr>
              <w:tab/>
              <w:t xml:space="preserve">It did not properly consider the record of the decision of the </w:t>
            </w:r>
            <w:r>
              <w:rPr>
                <w:rFonts w:ascii="Arial" w:hAnsi="Arial" w:cs="Arial"/>
                <w:sz w:val="24"/>
                <w:szCs w:val="24"/>
              </w:rPr>
              <w:t>s</w:t>
            </w:r>
            <w:r w:rsidR="00EF0072" w:rsidRPr="00EF0072">
              <w:rPr>
                <w:rFonts w:ascii="Arial" w:hAnsi="Arial" w:cs="Arial"/>
                <w:sz w:val="24"/>
                <w:szCs w:val="24"/>
              </w:rPr>
              <w:t xml:space="preserve">econd </w:t>
            </w:r>
            <w:r>
              <w:rPr>
                <w:rFonts w:ascii="Arial" w:hAnsi="Arial" w:cs="Arial"/>
                <w:sz w:val="24"/>
                <w:szCs w:val="24"/>
              </w:rPr>
              <w:t>r</w:t>
            </w:r>
            <w:r w:rsidR="00EF0072" w:rsidRPr="00EF0072">
              <w:rPr>
                <w:rFonts w:ascii="Arial" w:hAnsi="Arial" w:cs="Arial"/>
                <w:sz w:val="24"/>
                <w:szCs w:val="24"/>
              </w:rPr>
              <w:t>espondent, but held a trial de novo without informing the parties that it was taking evid</w:t>
            </w:r>
            <w:r w:rsidR="00EF0072">
              <w:rPr>
                <w:rFonts w:ascii="Arial" w:hAnsi="Arial" w:cs="Arial"/>
                <w:sz w:val="24"/>
                <w:szCs w:val="24"/>
              </w:rPr>
              <w:t>ence as opposed to submissions;</w:t>
            </w:r>
          </w:p>
          <w:p w:rsidR="00B601AD" w:rsidRPr="00B601AD" w:rsidRDefault="00A82221" w:rsidP="00EF0072">
            <w:pPr>
              <w:spacing w:line="360" w:lineRule="auto"/>
              <w:ind w:left="20" w:hanging="20"/>
              <w:jc w:val="both"/>
              <w:rPr>
                <w:rFonts w:ascii="Arial" w:hAnsi="Arial" w:cs="Arial"/>
                <w:sz w:val="24"/>
                <w:szCs w:val="24"/>
              </w:rPr>
            </w:pPr>
            <w:r>
              <w:rPr>
                <w:rFonts w:ascii="Arial" w:hAnsi="Arial" w:cs="Arial"/>
                <w:sz w:val="24"/>
                <w:szCs w:val="24"/>
              </w:rPr>
              <w:t>9</w:t>
            </w:r>
            <w:r w:rsidR="00EF0072">
              <w:rPr>
                <w:rFonts w:ascii="Arial" w:hAnsi="Arial" w:cs="Arial"/>
                <w:sz w:val="24"/>
                <w:szCs w:val="24"/>
              </w:rPr>
              <w:t>.</w:t>
            </w:r>
            <w:r w:rsidR="003E2919">
              <w:rPr>
                <w:rFonts w:ascii="Arial" w:hAnsi="Arial" w:cs="Arial"/>
                <w:sz w:val="24"/>
                <w:szCs w:val="24"/>
              </w:rPr>
              <w:t>5</w:t>
            </w:r>
            <w:r w:rsidR="00EF0072" w:rsidRPr="00EF0072">
              <w:rPr>
                <w:rFonts w:ascii="Arial" w:hAnsi="Arial" w:cs="Arial"/>
                <w:sz w:val="24"/>
                <w:szCs w:val="24"/>
              </w:rPr>
              <w:t>.4.</w:t>
            </w:r>
            <w:r w:rsidR="00EF0072" w:rsidRPr="00EF0072">
              <w:rPr>
                <w:rFonts w:ascii="Arial" w:hAnsi="Arial" w:cs="Arial"/>
                <w:sz w:val="24"/>
                <w:szCs w:val="24"/>
              </w:rPr>
              <w:tab/>
              <w:t xml:space="preserve">It accepted submissions of the </w:t>
            </w:r>
            <w:r>
              <w:rPr>
                <w:rFonts w:ascii="Arial" w:hAnsi="Arial" w:cs="Arial"/>
                <w:sz w:val="24"/>
                <w:szCs w:val="24"/>
              </w:rPr>
              <w:t>s</w:t>
            </w:r>
            <w:r w:rsidR="00EF0072" w:rsidRPr="00EF0072">
              <w:rPr>
                <w:rFonts w:ascii="Arial" w:hAnsi="Arial" w:cs="Arial"/>
                <w:sz w:val="24"/>
                <w:szCs w:val="24"/>
              </w:rPr>
              <w:t xml:space="preserve">econd </w:t>
            </w:r>
            <w:r>
              <w:rPr>
                <w:rFonts w:ascii="Arial" w:hAnsi="Arial" w:cs="Arial"/>
                <w:sz w:val="24"/>
                <w:szCs w:val="24"/>
              </w:rPr>
              <w:t>r</w:t>
            </w:r>
            <w:r w:rsidR="00EF0072" w:rsidRPr="00EF0072">
              <w:rPr>
                <w:rFonts w:ascii="Arial" w:hAnsi="Arial" w:cs="Arial"/>
                <w:sz w:val="24"/>
                <w:szCs w:val="24"/>
              </w:rPr>
              <w:t>espondent as evidence of fact which is contrary to its powers.</w:t>
            </w:r>
          </w:p>
          <w:p w:rsidR="00B601AD" w:rsidRDefault="00B601AD" w:rsidP="00B601AD">
            <w:pPr>
              <w:spacing w:line="360" w:lineRule="auto"/>
              <w:ind w:left="20" w:hanging="20"/>
              <w:jc w:val="both"/>
              <w:rPr>
                <w:rFonts w:ascii="Arial" w:hAnsi="Arial" w:cs="Arial"/>
                <w:sz w:val="24"/>
                <w:szCs w:val="24"/>
              </w:rPr>
            </w:pPr>
          </w:p>
          <w:p w:rsidR="00533FD6" w:rsidRDefault="00533FD6" w:rsidP="00B601AD">
            <w:pPr>
              <w:spacing w:line="360" w:lineRule="auto"/>
              <w:ind w:left="20" w:hanging="20"/>
              <w:jc w:val="both"/>
              <w:rPr>
                <w:rFonts w:ascii="Arial" w:hAnsi="Arial" w:cs="Arial"/>
                <w:i/>
                <w:sz w:val="24"/>
                <w:szCs w:val="24"/>
              </w:rPr>
            </w:pPr>
            <w:r w:rsidRPr="00533FD6">
              <w:rPr>
                <w:rFonts w:ascii="Arial" w:hAnsi="Arial" w:cs="Arial"/>
                <w:i/>
                <w:sz w:val="24"/>
                <w:szCs w:val="24"/>
              </w:rPr>
              <w:t>The respondents’ point in limine</w:t>
            </w:r>
          </w:p>
          <w:p w:rsidR="00533FD6" w:rsidRPr="00533FD6" w:rsidRDefault="00533FD6" w:rsidP="00B601AD">
            <w:pPr>
              <w:spacing w:line="360" w:lineRule="auto"/>
              <w:ind w:left="20" w:hanging="20"/>
              <w:jc w:val="both"/>
              <w:rPr>
                <w:rFonts w:ascii="Arial" w:hAnsi="Arial" w:cs="Arial"/>
                <w:i/>
                <w:sz w:val="24"/>
                <w:szCs w:val="24"/>
              </w:rPr>
            </w:pPr>
          </w:p>
          <w:p w:rsidR="000967D1" w:rsidRDefault="00B601AD" w:rsidP="000967D1">
            <w:pPr>
              <w:pStyle w:val="BodyTextIndent"/>
            </w:pPr>
            <w:r w:rsidRPr="00B601AD">
              <w:t>[</w:t>
            </w:r>
            <w:r w:rsidR="00A82221">
              <w:t>10</w:t>
            </w:r>
            <w:r w:rsidRPr="00B601AD">
              <w:t>]</w:t>
            </w:r>
            <w:r w:rsidRPr="00B601AD">
              <w:tab/>
            </w:r>
            <w:r w:rsidR="00533FD6">
              <w:t>As indicated earlier in this judgment</w:t>
            </w:r>
            <w:r w:rsidR="009E524E">
              <w:t>,</w:t>
            </w:r>
            <w:r w:rsidR="00533FD6">
              <w:t xml:space="preserve"> the respondents raised a point in limine to the effect that the applicant delayed in bringing these review proceedings. According to the respondents</w:t>
            </w:r>
            <w:r w:rsidR="009E524E">
              <w:t>,</w:t>
            </w:r>
            <w:r w:rsidR="00533FD6">
              <w:t xml:space="preserve"> the applicant </w:t>
            </w:r>
            <w:r w:rsidR="00533FD6" w:rsidRPr="00533FD6">
              <w:t xml:space="preserve">instituted proceedings on </w:t>
            </w:r>
            <w:r w:rsidR="00EF0F41">
              <w:t>0</w:t>
            </w:r>
            <w:r w:rsidR="00533FD6" w:rsidRPr="00533FD6">
              <w:t>3 June 2022</w:t>
            </w:r>
            <w:r w:rsidR="00EF0F41">
              <w:t>,</w:t>
            </w:r>
            <w:r w:rsidR="00533FD6" w:rsidRPr="00533FD6">
              <w:t xml:space="preserve"> after the decisio</w:t>
            </w:r>
            <w:r w:rsidR="00533FD6">
              <w:t>n he seeks to impugn was handed down</w:t>
            </w:r>
            <w:r w:rsidR="00533FD6" w:rsidRPr="00533FD6">
              <w:t xml:space="preserve"> on 23 November 2021.</w:t>
            </w:r>
            <w:r w:rsidR="009E524E">
              <w:t xml:space="preserve"> </w:t>
            </w:r>
            <w:r w:rsidR="00533FD6" w:rsidRPr="00533FD6">
              <w:t xml:space="preserve">This is </w:t>
            </w:r>
            <w:r w:rsidR="00533FD6">
              <w:t>seven (</w:t>
            </w:r>
            <w:r w:rsidR="00533FD6" w:rsidRPr="00533FD6">
              <w:t>7</w:t>
            </w:r>
            <w:r w:rsidR="00533FD6">
              <w:t xml:space="preserve">) months after the decision was taken. </w:t>
            </w:r>
            <w:r w:rsidR="000967D1">
              <w:t>The applicant’s founding affidavit is s</w:t>
            </w:r>
            <w:r w:rsidR="00B55315">
              <w:t>ilent on this</w:t>
            </w:r>
            <w:r w:rsidR="000967D1">
              <w:t xml:space="preserve"> issue. The application falls to be dismissed on this basis alone.</w:t>
            </w:r>
          </w:p>
          <w:p w:rsidR="00B601AD" w:rsidRPr="00B601AD" w:rsidRDefault="00B601AD" w:rsidP="00766DDA">
            <w:pPr>
              <w:spacing w:line="360" w:lineRule="auto"/>
              <w:jc w:val="both"/>
              <w:rPr>
                <w:rFonts w:ascii="Arial" w:hAnsi="Arial" w:cs="Arial"/>
                <w:sz w:val="24"/>
                <w:szCs w:val="24"/>
              </w:rPr>
            </w:pPr>
          </w:p>
          <w:p w:rsidR="00E742E1" w:rsidRPr="00B601AD" w:rsidRDefault="00B601AD" w:rsidP="00766DDA">
            <w:pPr>
              <w:spacing w:line="360" w:lineRule="auto"/>
              <w:ind w:left="20" w:hanging="20"/>
              <w:jc w:val="both"/>
              <w:rPr>
                <w:rFonts w:ascii="Arial" w:hAnsi="Arial" w:cs="Arial"/>
                <w:sz w:val="24"/>
                <w:szCs w:val="24"/>
              </w:rPr>
            </w:pPr>
            <w:r w:rsidRPr="00B601AD">
              <w:rPr>
                <w:rFonts w:ascii="Arial" w:hAnsi="Arial" w:cs="Arial"/>
                <w:sz w:val="24"/>
                <w:szCs w:val="24"/>
              </w:rPr>
              <w:t>[</w:t>
            </w:r>
            <w:r w:rsidR="00854E83">
              <w:rPr>
                <w:rFonts w:ascii="Arial" w:hAnsi="Arial" w:cs="Arial"/>
                <w:sz w:val="24"/>
                <w:szCs w:val="24"/>
              </w:rPr>
              <w:t>1</w:t>
            </w:r>
            <w:r w:rsidR="00A82221">
              <w:rPr>
                <w:rFonts w:ascii="Arial" w:hAnsi="Arial" w:cs="Arial"/>
                <w:sz w:val="24"/>
                <w:szCs w:val="24"/>
              </w:rPr>
              <w:t>1</w:t>
            </w:r>
            <w:r w:rsidRPr="00B601AD">
              <w:rPr>
                <w:rFonts w:ascii="Arial" w:hAnsi="Arial" w:cs="Arial"/>
                <w:sz w:val="24"/>
                <w:szCs w:val="24"/>
              </w:rPr>
              <w:t>]</w:t>
            </w:r>
            <w:r w:rsidRPr="00B601AD">
              <w:rPr>
                <w:rFonts w:ascii="Arial" w:hAnsi="Arial" w:cs="Arial"/>
                <w:sz w:val="24"/>
                <w:szCs w:val="24"/>
              </w:rPr>
              <w:tab/>
            </w:r>
            <w:r w:rsidR="00766DDA">
              <w:rPr>
                <w:rFonts w:ascii="Arial" w:hAnsi="Arial" w:cs="Arial"/>
                <w:sz w:val="24"/>
                <w:szCs w:val="24"/>
              </w:rPr>
              <w:t>I</w:t>
            </w:r>
            <w:r w:rsidR="00AD7630">
              <w:rPr>
                <w:rFonts w:ascii="Arial" w:hAnsi="Arial" w:cs="Arial"/>
                <w:sz w:val="24"/>
                <w:szCs w:val="24"/>
              </w:rPr>
              <w:t xml:space="preserve">n </w:t>
            </w:r>
            <w:r w:rsidR="009E524E">
              <w:rPr>
                <w:rFonts w:ascii="Arial" w:hAnsi="Arial" w:cs="Arial"/>
                <w:sz w:val="24"/>
                <w:szCs w:val="24"/>
              </w:rPr>
              <w:t>response</w:t>
            </w:r>
            <w:r w:rsidR="00766DDA">
              <w:rPr>
                <w:rFonts w:ascii="Arial" w:hAnsi="Arial" w:cs="Arial"/>
                <w:sz w:val="24"/>
                <w:szCs w:val="24"/>
              </w:rPr>
              <w:t xml:space="preserve"> to the respondents’ point in limine</w:t>
            </w:r>
            <w:r w:rsidR="009E524E">
              <w:rPr>
                <w:rFonts w:ascii="Arial" w:hAnsi="Arial" w:cs="Arial"/>
                <w:sz w:val="24"/>
                <w:szCs w:val="24"/>
              </w:rPr>
              <w:t>,</w:t>
            </w:r>
            <w:r w:rsidR="00766DDA">
              <w:rPr>
                <w:rFonts w:ascii="Arial" w:hAnsi="Arial" w:cs="Arial"/>
                <w:sz w:val="24"/>
                <w:szCs w:val="24"/>
              </w:rPr>
              <w:t xml:space="preserve"> the applicant argues that </w:t>
            </w:r>
            <w:r w:rsidR="00766DDA" w:rsidRPr="00766DDA">
              <w:rPr>
                <w:rFonts w:ascii="Arial" w:hAnsi="Arial" w:cs="Arial"/>
                <w:sz w:val="24"/>
                <w:szCs w:val="24"/>
              </w:rPr>
              <w:t>the parties have agreed in their case management report that from the time</w:t>
            </w:r>
            <w:r w:rsidR="002A06FC">
              <w:rPr>
                <w:rFonts w:ascii="Arial" w:hAnsi="Arial" w:cs="Arial"/>
                <w:sz w:val="24"/>
                <w:szCs w:val="24"/>
              </w:rPr>
              <w:t xml:space="preserve"> </w:t>
            </w:r>
            <w:r w:rsidR="004A186A">
              <w:rPr>
                <w:rFonts w:ascii="Arial" w:hAnsi="Arial" w:cs="Arial"/>
                <w:sz w:val="24"/>
                <w:szCs w:val="24"/>
              </w:rPr>
              <w:t xml:space="preserve">that </w:t>
            </w:r>
            <w:r w:rsidR="002A06FC">
              <w:rPr>
                <w:rFonts w:ascii="Arial" w:hAnsi="Arial" w:cs="Arial"/>
                <w:sz w:val="24"/>
                <w:szCs w:val="24"/>
              </w:rPr>
              <w:t xml:space="preserve">the </w:t>
            </w:r>
            <w:r w:rsidR="009E524E">
              <w:rPr>
                <w:rFonts w:ascii="Arial" w:hAnsi="Arial" w:cs="Arial"/>
                <w:sz w:val="24"/>
                <w:szCs w:val="24"/>
              </w:rPr>
              <w:t>a</w:t>
            </w:r>
            <w:r w:rsidR="002A06FC">
              <w:rPr>
                <w:rFonts w:ascii="Arial" w:hAnsi="Arial" w:cs="Arial"/>
                <w:sz w:val="24"/>
                <w:szCs w:val="24"/>
              </w:rPr>
              <w:t>pplicant received the complete</w:t>
            </w:r>
            <w:r w:rsidR="00766DDA" w:rsidRPr="00766DDA">
              <w:rPr>
                <w:rFonts w:ascii="Arial" w:hAnsi="Arial" w:cs="Arial"/>
                <w:sz w:val="24"/>
                <w:szCs w:val="24"/>
              </w:rPr>
              <w:t xml:space="preserve"> judgment on </w:t>
            </w:r>
            <w:r w:rsidR="00EF0F41">
              <w:rPr>
                <w:rFonts w:ascii="Arial" w:hAnsi="Arial" w:cs="Arial"/>
                <w:sz w:val="24"/>
                <w:szCs w:val="24"/>
              </w:rPr>
              <w:t>0</w:t>
            </w:r>
            <w:r w:rsidR="00766DDA" w:rsidRPr="00766DDA">
              <w:rPr>
                <w:rFonts w:ascii="Arial" w:hAnsi="Arial" w:cs="Arial"/>
                <w:sz w:val="24"/>
                <w:szCs w:val="24"/>
              </w:rPr>
              <w:t>4</w:t>
            </w:r>
            <w:r w:rsidR="00EF0F41">
              <w:rPr>
                <w:rFonts w:ascii="Arial" w:hAnsi="Arial" w:cs="Arial"/>
                <w:sz w:val="24"/>
                <w:szCs w:val="24"/>
              </w:rPr>
              <w:t xml:space="preserve"> </w:t>
            </w:r>
            <w:r w:rsidR="00766DDA" w:rsidRPr="00766DDA">
              <w:rPr>
                <w:rFonts w:ascii="Arial" w:hAnsi="Arial" w:cs="Arial"/>
                <w:sz w:val="24"/>
                <w:szCs w:val="24"/>
              </w:rPr>
              <w:t xml:space="preserve">February 2022 to the time the </w:t>
            </w:r>
            <w:r w:rsidR="009E524E">
              <w:rPr>
                <w:rFonts w:ascii="Arial" w:hAnsi="Arial" w:cs="Arial"/>
                <w:sz w:val="24"/>
                <w:szCs w:val="24"/>
              </w:rPr>
              <w:t>a</w:t>
            </w:r>
            <w:r w:rsidR="00766DDA" w:rsidRPr="00766DDA">
              <w:rPr>
                <w:rFonts w:ascii="Arial" w:hAnsi="Arial" w:cs="Arial"/>
                <w:sz w:val="24"/>
                <w:szCs w:val="24"/>
              </w:rPr>
              <w:t>pplicant launched the review application, only a total period of three (3) mon</w:t>
            </w:r>
            <w:r w:rsidR="00766DDA">
              <w:rPr>
                <w:rFonts w:ascii="Arial" w:hAnsi="Arial" w:cs="Arial"/>
                <w:sz w:val="24"/>
                <w:szCs w:val="24"/>
              </w:rPr>
              <w:t xml:space="preserve">ths had lapsed. </w:t>
            </w:r>
            <w:r w:rsidR="00AD7630">
              <w:rPr>
                <w:rFonts w:ascii="Arial" w:hAnsi="Arial" w:cs="Arial"/>
                <w:sz w:val="24"/>
                <w:szCs w:val="24"/>
              </w:rPr>
              <w:t>T</w:t>
            </w:r>
            <w:r w:rsidR="00766DDA" w:rsidRPr="00766DDA">
              <w:rPr>
                <w:rFonts w:ascii="Arial" w:hAnsi="Arial" w:cs="Arial"/>
                <w:sz w:val="24"/>
                <w:szCs w:val="24"/>
              </w:rPr>
              <w:t xml:space="preserve">he </w:t>
            </w:r>
            <w:r w:rsidR="009E524E">
              <w:rPr>
                <w:rFonts w:ascii="Arial" w:hAnsi="Arial" w:cs="Arial"/>
                <w:sz w:val="24"/>
                <w:szCs w:val="24"/>
              </w:rPr>
              <w:t>a</w:t>
            </w:r>
            <w:r w:rsidR="00766DDA" w:rsidRPr="00766DDA">
              <w:rPr>
                <w:rFonts w:ascii="Arial" w:hAnsi="Arial" w:cs="Arial"/>
                <w:sz w:val="24"/>
                <w:szCs w:val="24"/>
              </w:rPr>
              <w:t>pplicant, in his founding affidavit set out the steps he undertook after his legal representative received the comple</w:t>
            </w:r>
            <w:r w:rsidR="0086724F">
              <w:rPr>
                <w:rFonts w:ascii="Arial" w:hAnsi="Arial" w:cs="Arial"/>
                <w:sz w:val="24"/>
                <w:szCs w:val="24"/>
              </w:rPr>
              <w:t xml:space="preserve">te judgment on </w:t>
            </w:r>
            <w:r w:rsidR="00EF0F41">
              <w:rPr>
                <w:rFonts w:ascii="Arial" w:hAnsi="Arial" w:cs="Arial"/>
                <w:sz w:val="24"/>
                <w:szCs w:val="24"/>
              </w:rPr>
              <w:t>0</w:t>
            </w:r>
            <w:r w:rsidR="0086724F">
              <w:rPr>
                <w:rFonts w:ascii="Arial" w:hAnsi="Arial" w:cs="Arial"/>
                <w:sz w:val="24"/>
                <w:szCs w:val="24"/>
              </w:rPr>
              <w:t>4 February 2022</w:t>
            </w:r>
            <w:r w:rsidR="00A82221">
              <w:rPr>
                <w:rFonts w:ascii="Arial" w:hAnsi="Arial" w:cs="Arial"/>
                <w:sz w:val="24"/>
                <w:szCs w:val="24"/>
              </w:rPr>
              <w:t>.</w:t>
            </w:r>
            <w:r w:rsidR="0086724F">
              <w:rPr>
                <w:rFonts w:ascii="Arial" w:hAnsi="Arial" w:cs="Arial"/>
                <w:sz w:val="24"/>
                <w:szCs w:val="24"/>
              </w:rPr>
              <w:t xml:space="preserve"> </w:t>
            </w:r>
            <w:r w:rsidR="00A82221">
              <w:rPr>
                <w:rFonts w:ascii="Arial" w:hAnsi="Arial" w:cs="Arial"/>
                <w:sz w:val="24"/>
                <w:szCs w:val="24"/>
              </w:rPr>
              <w:t>T</w:t>
            </w:r>
            <w:r w:rsidR="004A186A">
              <w:rPr>
                <w:rFonts w:ascii="Arial" w:hAnsi="Arial" w:cs="Arial"/>
                <w:sz w:val="24"/>
                <w:szCs w:val="24"/>
              </w:rPr>
              <w:t xml:space="preserve">he </w:t>
            </w:r>
            <w:r w:rsidR="009E524E">
              <w:rPr>
                <w:rFonts w:ascii="Arial" w:hAnsi="Arial" w:cs="Arial"/>
                <w:sz w:val="24"/>
                <w:szCs w:val="24"/>
              </w:rPr>
              <w:t>a</w:t>
            </w:r>
            <w:r w:rsidR="004A186A">
              <w:rPr>
                <w:rFonts w:ascii="Arial" w:hAnsi="Arial" w:cs="Arial"/>
                <w:sz w:val="24"/>
                <w:szCs w:val="24"/>
              </w:rPr>
              <w:t xml:space="preserve">pplicant </w:t>
            </w:r>
            <w:r w:rsidR="00766DDA" w:rsidRPr="00766DDA">
              <w:rPr>
                <w:rFonts w:ascii="Arial" w:hAnsi="Arial" w:cs="Arial"/>
                <w:sz w:val="24"/>
                <w:szCs w:val="24"/>
              </w:rPr>
              <w:t>demon</w:t>
            </w:r>
            <w:r w:rsidR="0086724F">
              <w:rPr>
                <w:rFonts w:ascii="Arial" w:hAnsi="Arial" w:cs="Arial"/>
                <w:sz w:val="24"/>
                <w:szCs w:val="24"/>
              </w:rPr>
              <w:t>strated that he did not sit idle</w:t>
            </w:r>
            <w:r w:rsidR="00766DDA" w:rsidRPr="00766DDA">
              <w:rPr>
                <w:rFonts w:ascii="Arial" w:hAnsi="Arial" w:cs="Arial"/>
                <w:sz w:val="24"/>
                <w:szCs w:val="24"/>
              </w:rPr>
              <w:t xml:space="preserve"> a</w:t>
            </w:r>
            <w:r w:rsidR="0086724F">
              <w:rPr>
                <w:rFonts w:ascii="Arial" w:hAnsi="Arial" w:cs="Arial"/>
                <w:sz w:val="24"/>
                <w:szCs w:val="24"/>
              </w:rPr>
              <w:t>fter he received the</w:t>
            </w:r>
            <w:r w:rsidR="00766DDA" w:rsidRPr="00766DDA">
              <w:rPr>
                <w:rFonts w:ascii="Arial" w:hAnsi="Arial" w:cs="Arial"/>
                <w:sz w:val="24"/>
                <w:szCs w:val="24"/>
              </w:rPr>
              <w:t xml:space="preserve"> c</w:t>
            </w:r>
            <w:r w:rsidR="0086724F">
              <w:rPr>
                <w:rFonts w:ascii="Arial" w:hAnsi="Arial" w:cs="Arial"/>
                <w:sz w:val="24"/>
                <w:szCs w:val="24"/>
              </w:rPr>
              <w:t xml:space="preserve">omplete judgment, </w:t>
            </w:r>
            <w:r w:rsidR="00766DDA" w:rsidRPr="00766DDA">
              <w:rPr>
                <w:rFonts w:ascii="Arial" w:hAnsi="Arial" w:cs="Arial"/>
                <w:sz w:val="24"/>
                <w:szCs w:val="24"/>
              </w:rPr>
              <w:t>but engaged his legal representative t</w:t>
            </w:r>
            <w:r w:rsidR="0086724F">
              <w:rPr>
                <w:rFonts w:ascii="Arial" w:hAnsi="Arial" w:cs="Arial"/>
                <w:sz w:val="24"/>
                <w:szCs w:val="24"/>
              </w:rPr>
              <w:t>o consider the judgment and sought</w:t>
            </w:r>
            <w:r w:rsidR="00766DDA" w:rsidRPr="00766DDA">
              <w:rPr>
                <w:rFonts w:ascii="Arial" w:hAnsi="Arial" w:cs="Arial"/>
                <w:sz w:val="24"/>
                <w:szCs w:val="24"/>
              </w:rPr>
              <w:t xml:space="preserve"> a legal opinion from counsel on the prospects of success should </w:t>
            </w:r>
            <w:r w:rsidR="00A82221">
              <w:rPr>
                <w:rFonts w:ascii="Arial" w:hAnsi="Arial" w:cs="Arial"/>
                <w:sz w:val="24"/>
                <w:szCs w:val="24"/>
              </w:rPr>
              <w:t>he</w:t>
            </w:r>
            <w:r w:rsidR="00766DDA" w:rsidRPr="00766DDA">
              <w:rPr>
                <w:rFonts w:ascii="Arial" w:hAnsi="Arial" w:cs="Arial"/>
                <w:sz w:val="24"/>
                <w:szCs w:val="24"/>
              </w:rPr>
              <w:t xml:space="preserve"> seek to have the </w:t>
            </w:r>
            <w:r w:rsidR="00A82221">
              <w:rPr>
                <w:rFonts w:ascii="Arial" w:hAnsi="Arial" w:cs="Arial"/>
                <w:sz w:val="24"/>
                <w:szCs w:val="24"/>
              </w:rPr>
              <w:t>f</w:t>
            </w:r>
            <w:r w:rsidR="00766DDA" w:rsidRPr="00766DDA">
              <w:rPr>
                <w:rFonts w:ascii="Arial" w:hAnsi="Arial" w:cs="Arial"/>
                <w:sz w:val="24"/>
                <w:szCs w:val="24"/>
              </w:rPr>
              <w:t xml:space="preserve">irst </w:t>
            </w:r>
            <w:r w:rsidR="00A82221">
              <w:rPr>
                <w:rFonts w:ascii="Arial" w:hAnsi="Arial" w:cs="Arial"/>
                <w:sz w:val="24"/>
                <w:szCs w:val="24"/>
              </w:rPr>
              <w:t>r</w:t>
            </w:r>
            <w:r w:rsidR="00766DDA" w:rsidRPr="00766DDA">
              <w:rPr>
                <w:rFonts w:ascii="Arial" w:hAnsi="Arial" w:cs="Arial"/>
                <w:sz w:val="24"/>
                <w:szCs w:val="24"/>
              </w:rPr>
              <w:t xml:space="preserve">espondent’s decision </w:t>
            </w:r>
            <w:r w:rsidR="0086724F" w:rsidRPr="00766DDA">
              <w:rPr>
                <w:rFonts w:ascii="Arial" w:hAnsi="Arial" w:cs="Arial"/>
                <w:sz w:val="24"/>
                <w:szCs w:val="24"/>
              </w:rPr>
              <w:t>review</w:t>
            </w:r>
            <w:r w:rsidR="0086724F">
              <w:rPr>
                <w:rFonts w:ascii="Arial" w:hAnsi="Arial" w:cs="Arial"/>
                <w:sz w:val="24"/>
                <w:szCs w:val="24"/>
              </w:rPr>
              <w:t>ed</w:t>
            </w:r>
            <w:r w:rsidR="002A06FC">
              <w:rPr>
                <w:rFonts w:ascii="Arial" w:hAnsi="Arial" w:cs="Arial"/>
                <w:sz w:val="24"/>
                <w:szCs w:val="24"/>
              </w:rPr>
              <w:t xml:space="preserve"> and set aside.</w:t>
            </w:r>
          </w:p>
          <w:p w:rsidR="00B601AD" w:rsidRDefault="00B601AD" w:rsidP="004D4925">
            <w:pPr>
              <w:spacing w:line="360" w:lineRule="auto"/>
              <w:jc w:val="both"/>
              <w:rPr>
                <w:rFonts w:ascii="Arial" w:hAnsi="Arial" w:cs="Arial"/>
                <w:sz w:val="24"/>
                <w:szCs w:val="24"/>
              </w:rPr>
            </w:pPr>
          </w:p>
          <w:p w:rsidR="00DF4A5A" w:rsidRDefault="00854E83" w:rsidP="00932697">
            <w:pPr>
              <w:spacing w:line="360" w:lineRule="auto"/>
              <w:jc w:val="both"/>
              <w:rPr>
                <w:rFonts w:ascii="Arial" w:hAnsi="Arial" w:cs="Arial"/>
                <w:sz w:val="24"/>
                <w:szCs w:val="24"/>
              </w:rPr>
            </w:pPr>
            <w:r>
              <w:rPr>
                <w:rFonts w:ascii="Arial" w:hAnsi="Arial" w:cs="Arial"/>
                <w:sz w:val="24"/>
                <w:szCs w:val="24"/>
              </w:rPr>
              <w:t>[1</w:t>
            </w:r>
            <w:r w:rsidR="00A82221">
              <w:rPr>
                <w:rFonts w:ascii="Arial" w:hAnsi="Arial" w:cs="Arial"/>
                <w:sz w:val="24"/>
                <w:szCs w:val="24"/>
              </w:rPr>
              <w:t>2</w:t>
            </w:r>
            <w:r w:rsidR="004D4925">
              <w:rPr>
                <w:rFonts w:ascii="Arial" w:hAnsi="Arial" w:cs="Arial"/>
                <w:sz w:val="24"/>
                <w:szCs w:val="24"/>
              </w:rPr>
              <w:t>]</w:t>
            </w:r>
            <w:r w:rsidR="004D4925" w:rsidRPr="004D4925">
              <w:rPr>
                <w:rFonts w:ascii="Arial" w:hAnsi="Arial" w:cs="Arial"/>
                <w:sz w:val="24"/>
                <w:szCs w:val="24"/>
              </w:rPr>
              <w:tab/>
            </w:r>
            <w:r w:rsidR="00932697">
              <w:rPr>
                <w:rFonts w:ascii="Arial" w:hAnsi="Arial" w:cs="Arial"/>
                <w:sz w:val="24"/>
                <w:szCs w:val="24"/>
              </w:rPr>
              <w:t>The applicant in his founding affidavit explains the reason for the delay in launching the application</w:t>
            </w:r>
            <w:r w:rsidR="002A06FC">
              <w:rPr>
                <w:rFonts w:ascii="Arial" w:hAnsi="Arial" w:cs="Arial"/>
                <w:sz w:val="24"/>
                <w:szCs w:val="24"/>
              </w:rPr>
              <w:t xml:space="preserve"> as follows: On 31</w:t>
            </w:r>
            <w:r w:rsidR="00EF0F41">
              <w:rPr>
                <w:rFonts w:ascii="Arial" w:hAnsi="Arial" w:cs="Arial"/>
                <w:sz w:val="24"/>
                <w:szCs w:val="24"/>
              </w:rPr>
              <w:t xml:space="preserve"> </w:t>
            </w:r>
            <w:r w:rsidR="002A06FC">
              <w:rPr>
                <w:rFonts w:ascii="Arial" w:hAnsi="Arial" w:cs="Arial"/>
                <w:sz w:val="24"/>
                <w:szCs w:val="24"/>
              </w:rPr>
              <w:t xml:space="preserve">January 2022, </w:t>
            </w:r>
            <w:r w:rsidR="00932697">
              <w:rPr>
                <w:rFonts w:ascii="Arial" w:hAnsi="Arial" w:cs="Arial"/>
                <w:sz w:val="24"/>
                <w:szCs w:val="24"/>
              </w:rPr>
              <w:t xml:space="preserve">Ms Semitha Kuria forwarded to his </w:t>
            </w:r>
            <w:r w:rsidR="00932697" w:rsidRPr="00932697">
              <w:rPr>
                <w:rFonts w:ascii="Arial" w:hAnsi="Arial" w:cs="Arial"/>
                <w:sz w:val="24"/>
                <w:szCs w:val="24"/>
              </w:rPr>
              <w:t xml:space="preserve">legal representative </w:t>
            </w:r>
            <w:r w:rsidR="00932697">
              <w:rPr>
                <w:rFonts w:ascii="Arial" w:hAnsi="Arial" w:cs="Arial"/>
                <w:sz w:val="24"/>
                <w:szCs w:val="24"/>
              </w:rPr>
              <w:t xml:space="preserve">via email </w:t>
            </w:r>
            <w:r w:rsidR="00932697" w:rsidRPr="00932697">
              <w:rPr>
                <w:rFonts w:ascii="Arial" w:hAnsi="Arial" w:cs="Arial"/>
                <w:sz w:val="24"/>
                <w:szCs w:val="24"/>
              </w:rPr>
              <w:t xml:space="preserve">the appeal judgment in the </w:t>
            </w:r>
            <w:r w:rsidR="00932697" w:rsidRPr="00D67B2D">
              <w:rPr>
                <w:rFonts w:ascii="Arial" w:hAnsi="Arial" w:cs="Arial"/>
                <w:i/>
                <w:sz w:val="24"/>
                <w:szCs w:val="24"/>
              </w:rPr>
              <w:t>Christian Shilongo v Kavango West Co</w:t>
            </w:r>
            <w:r w:rsidR="00D67B2D" w:rsidRPr="00D67B2D">
              <w:rPr>
                <w:rFonts w:ascii="Arial" w:hAnsi="Arial" w:cs="Arial"/>
                <w:i/>
                <w:sz w:val="24"/>
                <w:szCs w:val="24"/>
              </w:rPr>
              <w:t>mmunal Land Board</w:t>
            </w:r>
            <w:r w:rsidR="00D67B2D">
              <w:rPr>
                <w:rFonts w:ascii="Arial" w:hAnsi="Arial" w:cs="Arial"/>
                <w:sz w:val="24"/>
                <w:szCs w:val="24"/>
              </w:rPr>
              <w:t>, which judgment was delivered on 23 November 2021. Subsequently, o</w:t>
            </w:r>
            <w:r w:rsidR="00932697" w:rsidRPr="00932697">
              <w:rPr>
                <w:rFonts w:ascii="Arial" w:hAnsi="Arial" w:cs="Arial"/>
                <w:sz w:val="24"/>
                <w:szCs w:val="24"/>
              </w:rPr>
              <w:t xml:space="preserve">n </w:t>
            </w:r>
            <w:r w:rsidR="00EF0F41">
              <w:rPr>
                <w:rFonts w:ascii="Arial" w:hAnsi="Arial" w:cs="Arial"/>
                <w:sz w:val="24"/>
                <w:szCs w:val="24"/>
              </w:rPr>
              <w:t>0</w:t>
            </w:r>
            <w:r w:rsidR="00932697" w:rsidRPr="00932697">
              <w:rPr>
                <w:rFonts w:ascii="Arial" w:hAnsi="Arial" w:cs="Arial"/>
                <w:sz w:val="24"/>
                <w:szCs w:val="24"/>
              </w:rPr>
              <w:t>2 Februa</w:t>
            </w:r>
            <w:r w:rsidR="00D67B2D">
              <w:rPr>
                <w:rFonts w:ascii="Arial" w:hAnsi="Arial" w:cs="Arial"/>
                <w:sz w:val="24"/>
                <w:szCs w:val="24"/>
              </w:rPr>
              <w:t xml:space="preserve">ry 2022, Ms Mcleod-Janser, responded to the email of 31 January 2022 to the effect that the judgment </w:t>
            </w:r>
            <w:r w:rsidR="00932697" w:rsidRPr="00932697">
              <w:rPr>
                <w:rFonts w:ascii="Arial" w:hAnsi="Arial" w:cs="Arial"/>
                <w:sz w:val="24"/>
                <w:szCs w:val="24"/>
              </w:rPr>
              <w:t xml:space="preserve">was incomplete and enquired </w:t>
            </w:r>
            <w:r w:rsidR="00D67B2D">
              <w:rPr>
                <w:rFonts w:ascii="Arial" w:hAnsi="Arial" w:cs="Arial"/>
                <w:sz w:val="24"/>
                <w:szCs w:val="24"/>
              </w:rPr>
              <w:t xml:space="preserve">from her </w:t>
            </w:r>
            <w:r w:rsidR="00932697" w:rsidRPr="00932697">
              <w:rPr>
                <w:rFonts w:ascii="Arial" w:hAnsi="Arial" w:cs="Arial"/>
                <w:sz w:val="24"/>
                <w:szCs w:val="24"/>
              </w:rPr>
              <w:t xml:space="preserve">whether that was the full copy. </w:t>
            </w:r>
            <w:r w:rsidR="00D67B2D">
              <w:rPr>
                <w:rFonts w:ascii="Arial" w:hAnsi="Arial" w:cs="Arial"/>
                <w:sz w:val="24"/>
                <w:szCs w:val="24"/>
              </w:rPr>
              <w:t>Two days</w:t>
            </w:r>
          </w:p>
          <w:p w:rsidR="002C04BF" w:rsidRDefault="002C04BF" w:rsidP="00932697">
            <w:pPr>
              <w:spacing w:line="360" w:lineRule="auto"/>
              <w:jc w:val="both"/>
              <w:rPr>
                <w:rFonts w:ascii="Arial" w:hAnsi="Arial" w:cs="Arial"/>
                <w:sz w:val="24"/>
                <w:szCs w:val="24"/>
              </w:rPr>
            </w:pPr>
          </w:p>
          <w:p w:rsidR="002C04BF" w:rsidRDefault="002C04BF" w:rsidP="00932697">
            <w:pPr>
              <w:spacing w:line="360" w:lineRule="auto"/>
              <w:jc w:val="both"/>
              <w:rPr>
                <w:rFonts w:ascii="Arial" w:hAnsi="Arial" w:cs="Arial"/>
                <w:sz w:val="24"/>
                <w:szCs w:val="24"/>
              </w:rPr>
            </w:pPr>
          </w:p>
          <w:p w:rsidR="002C04BF" w:rsidRDefault="002C04BF" w:rsidP="00932697">
            <w:pPr>
              <w:spacing w:line="360" w:lineRule="auto"/>
              <w:jc w:val="both"/>
              <w:rPr>
                <w:rFonts w:ascii="Arial" w:hAnsi="Arial" w:cs="Arial"/>
                <w:sz w:val="24"/>
                <w:szCs w:val="24"/>
              </w:rPr>
            </w:pPr>
          </w:p>
          <w:p w:rsidR="00932697" w:rsidRPr="00932697" w:rsidRDefault="00D67B2D" w:rsidP="00932697">
            <w:pPr>
              <w:spacing w:line="360" w:lineRule="auto"/>
              <w:jc w:val="both"/>
              <w:rPr>
                <w:rFonts w:ascii="Arial" w:hAnsi="Arial" w:cs="Arial"/>
                <w:sz w:val="24"/>
                <w:szCs w:val="24"/>
              </w:rPr>
            </w:pPr>
            <w:r>
              <w:rPr>
                <w:rFonts w:ascii="Arial" w:hAnsi="Arial" w:cs="Arial"/>
                <w:sz w:val="24"/>
                <w:szCs w:val="24"/>
              </w:rPr>
              <w:t>later on</w:t>
            </w:r>
            <w:r w:rsidR="00932697" w:rsidRPr="00932697">
              <w:rPr>
                <w:rFonts w:ascii="Arial" w:hAnsi="Arial" w:cs="Arial"/>
                <w:sz w:val="24"/>
                <w:szCs w:val="24"/>
              </w:rPr>
              <w:t xml:space="preserve"> </w:t>
            </w:r>
            <w:r w:rsidR="00EF0F41">
              <w:rPr>
                <w:rFonts w:ascii="Arial" w:hAnsi="Arial" w:cs="Arial"/>
                <w:sz w:val="24"/>
                <w:szCs w:val="24"/>
              </w:rPr>
              <w:t>0</w:t>
            </w:r>
            <w:r w:rsidR="00932697" w:rsidRPr="00932697">
              <w:rPr>
                <w:rFonts w:ascii="Arial" w:hAnsi="Arial" w:cs="Arial"/>
                <w:sz w:val="24"/>
                <w:szCs w:val="24"/>
              </w:rPr>
              <w:t>4 February 2022, Ms Kuria shared the</w:t>
            </w:r>
            <w:r>
              <w:rPr>
                <w:rFonts w:ascii="Arial" w:hAnsi="Arial" w:cs="Arial"/>
                <w:sz w:val="24"/>
                <w:szCs w:val="24"/>
              </w:rPr>
              <w:t xml:space="preserve"> complete judgment and tendered her apologies</w:t>
            </w:r>
            <w:r w:rsidR="00932697" w:rsidRPr="00932697">
              <w:rPr>
                <w:rFonts w:ascii="Arial" w:hAnsi="Arial" w:cs="Arial"/>
                <w:sz w:val="24"/>
                <w:szCs w:val="24"/>
              </w:rPr>
              <w:t xml:space="preserve"> for any </w:t>
            </w:r>
            <w:r w:rsidR="009E524E">
              <w:rPr>
                <w:rFonts w:ascii="Arial" w:hAnsi="Arial" w:cs="Arial"/>
                <w:sz w:val="24"/>
                <w:szCs w:val="24"/>
              </w:rPr>
              <w:t>inconvenience</w:t>
            </w:r>
            <w:r w:rsidR="00932697" w:rsidRPr="00932697">
              <w:rPr>
                <w:rFonts w:ascii="Arial" w:hAnsi="Arial" w:cs="Arial"/>
                <w:sz w:val="24"/>
                <w:szCs w:val="24"/>
              </w:rPr>
              <w:t xml:space="preserve"> caused. </w:t>
            </w:r>
          </w:p>
          <w:p w:rsidR="00EF0F41" w:rsidRDefault="00EF0F41" w:rsidP="00932697">
            <w:pPr>
              <w:spacing w:line="360" w:lineRule="auto"/>
              <w:jc w:val="both"/>
              <w:rPr>
                <w:rFonts w:ascii="Arial" w:hAnsi="Arial" w:cs="Arial"/>
                <w:sz w:val="24"/>
                <w:szCs w:val="24"/>
              </w:rPr>
            </w:pPr>
          </w:p>
          <w:p w:rsidR="00932697" w:rsidRPr="00932697" w:rsidRDefault="00854E83" w:rsidP="00932697">
            <w:pPr>
              <w:spacing w:line="360" w:lineRule="auto"/>
              <w:jc w:val="both"/>
              <w:rPr>
                <w:rFonts w:ascii="Arial" w:hAnsi="Arial" w:cs="Arial"/>
                <w:sz w:val="24"/>
                <w:szCs w:val="24"/>
              </w:rPr>
            </w:pPr>
            <w:r>
              <w:rPr>
                <w:rFonts w:ascii="Arial" w:hAnsi="Arial" w:cs="Arial"/>
                <w:sz w:val="24"/>
                <w:szCs w:val="24"/>
              </w:rPr>
              <w:t>[1</w:t>
            </w:r>
            <w:r w:rsidR="00A82221">
              <w:rPr>
                <w:rFonts w:ascii="Arial" w:hAnsi="Arial" w:cs="Arial"/>
                <w:sz w:val="24"/>
                <w:szCs w:val="24"/>
              </w:rPr>
              <w:t>3</w:t>
            </w:r>
            <w:r w:rsidR="00D67B2D">
              <w:rPr>
                <w:rFonts w:ascii="Arial" w:hAnsi="Arial" w:cs="Arial"/>
                <w:sz w:val="24"/>
                <w:szCs w:val="24"/>
              </w:rPr>
              <w:t>]</w:t>
            </w:r>
            <w:r w:rsidR="00D67B2D">
              <w:rPr>
                <w:rFonts w:ascii="Arial" w:hAnsi="Arial" w:cs="Arial"/>
                <w:sz w:val="24"/>
                <w:szCs w:val="24"/>
              </w:rPr>
              <w:tab/>
              <w:t xml:space="preserve">After the applicant received the complete judgment, he considered </w:t>
            </w:r>
            <w:r w:rsidR="00A82221">
              <w:rPr>
                <w:rFonts w:ascii="Arial" w:hAnsi="Arial" w:cs="Arial"/>
                <w:sz w:val="24"/>
                <w:szCs w:val="24"/>
              </w:rPr>
              <w:t>it</w:t>
            </w:r>
            <w:r w:rsidR="00D67B2D">
              <w:rPr>
                <w:rFonts w:ascii="Arial" w:hAnsi="Arial" w:cs="Arial"/>
                <w:sz w:val="24"/>
                <w:szCs w:val="24"/>
              </w:rPr>
              <w:t xml:space="preserve"> and instructed his</w:t>
            </w:r>
            <w:r w:rsidR="00932697" w:rsidRPr="00932697">
              <w:rPr>
                <w:rFonts w:ascii="Arial" w:hAnsi="Arial" w:cs="Arial"/>
                <w:sz w:val="24"/>
                <w:szCs w:val="24"/>
              </w:rPr>
              <w:t xml:space="preserve"> legal representative of record to seek a legal opinion from counsel on whether the procedure followed by the </w:t>
            </w:r>
            <w:r w:rsidR="00A82221">
              <w:rPr>
                <w:rFonts w:ascii="Arial" w:hAnsi="Arial" w:cs="Arial"/>
                <w:sz w:val="24"/>
                <w:szCs w:val="24"/>
              </w:rPr>
              <w:t>f</w:t>
            </w:r>
            <w:r w:rsidR="00932697" w:rsidRPr="00932697">
              <w:rPr>
                <w:rFonts w:ascii="Arial" w:hAnsi="Arial" w:cs="Arial"/>
                <w:sz w:val="24"/>
                <w:szCs w:val="24"/>
              </w:rPr>
              <w:t xml:space="preserve">irst </w:t>
            </w:r>
            <w:r w:rsidR="00A82221">
              <w:rPr>
                <w:rFonts w:ascii="Arial" w:hAnsi="Arial" w:cs="Arial"/>
                <w:sz w:val="24"/>
                <w:szCs w:val="24"/>
              </w:rPr>
              <w:t>r</w:t>
            </w:r>
            <w:r w:rsidR="00932697" w:rsidRPr="00932697">
              <w:rPr>
                <w:rFonts w:ascii="Arial" w:hAnsi="Arial" w:cs="Arial"/>
                <w:sz w:val="24"/>
                <w:szCs w:val="24"/>
              </w:rPr>
              <w:t>espondent was lawfu</w:t>
            </w:r>
            <w:r w:rsidR="00D67B2D">
              <w:rPr>
                <w:rFonts w:ascii="Arial" w:hAnsi="Arial" w:cs="Arial"/>
                <w:sz w:val="24"/>
                <w:szCs w:val="24"/>
              </w:rPr>
              <w:t>lly and procedurally permitted. He explains that</w:t>
            </w:r>
            <w:r w:rsidR="00932697" w:rsidRPr="00932697">
              <w:rPr>
                <w:rFonts w:ascii="Arial" w:hAnsi="Arial" w:cs="Arial"/>
                <w:sz w:val="24"/>
                <w:szCs w:val="24"/>
              </w:rPr>
              <w:t xml:space="preserve"> </w:t>
            </w:r>
            <w:r w:rsidR="00D67B2D">
              <w:rPr>
                <w:rFonts w:ascii="Arial" w:hAnsi="Arial" w:cs="Arial"/>
                <w:sz w:val="24"/>
                <w:szCs w:val="24"/>
              </w:rPr>
              <w:t xml:space="preserve">the </w:t>
            </w:r>
            <w:r w:rsidR="00932697" w:rsidRPr="00932697">
              <w:rPr>
                <w:rFonts w:ascii="Arial" w:hAnsi="Arial" w:cs="Arial"/>
                <w:sz w:val="24"/>
                <w:szCs w:val="24"/>
              </w:rPr>
              <w:t xml:space="preserve">legal opinion </w:t>
            </w:r>
            <w:r w:rsidR="00D67B2D">
              <w:rPr>
                <w:rFonts w:ascii="Arial" w:hAnsi="Arial" w:cs="Arial"/>
                <w:sz w:val="24"/>
                <w:szCs w:val="24"/>
              </w:rPr>
              <w:t xml:space="preserve">from counsel </w:t>
            </w:r>
            <w:r w:rsidR="00932697" w:rsidRPr="00932697">
              <w:rPr>
                <w:rFonts w:ascii="Arial" w:hAnsi="Arial" w:cs="Arial"/>
                <w:sz w:val="24"/>
                <w:szCs w:val="24"/>
              </w:rPr>
              <w:t>was receiv</w:t>
            </w:r>
            <w:r w:rsidR="00D67B2D">
              <w:rPr>
                <w:rFonts w:ascii="Arial" w:hAnsi="Arial" w:cs="Arial"/>
                <w:sz w:val="24"/>
                <w:szCs w:val="24"/>
              </w:rPr>
              <w:t xml:space="preserve">ed on </w:t>
            </w:r>
            <w:r w:rsidR="00EF0F41">
              <w:rPr>
                <w:rFonts w:ascii="Arial" w:hAnsi="Arial" w:cs="Arial"/>
                <w:sz w:val="24"/>
                <w:szCs w:val="24"/>
              </w:rPr>
              <w:t>0</w:t>
            </w:r>
            <w:r w:rsidR="00D67B2D">
              <w:rPr>
                <w:rFonts w:ascii="Arial" w:hAnsi="Arial" w:cs="Arial"/>
                <w:sz w:val="24"/>
                <w:szCs w:val="24"/>
              </w:rPr>
              <w:t>1</w:t>
            </w:r>
            <w:r w:rsidR="00EF0F41">
              <w:rPr>
                <w:rFonts w:ascii="Arial" w:hAnsi="Arial" w:cs="Arial"/>
                <w:sz w:val="24"/>
                <w:szCs w:val="24"/>
              </w:rPr>
              <w:t xml:space="preserve"> </w:t>
            </w:r>
            <w:r w:rsidR="00D67B2D">
              <w:rPr>
                <w:rFonts w:ascii="Arial" w:hAnsi="Arial" w:cs="Arial"/>
                <w:sz w:val="24"/>
                <w:szCs w:val="24"/>
              </w:rPr>
              <w:t>March 2022</w:t>
            </w:r>
            <w:r w:rsidR="00A82221">
              <w:rPr>
                <w:rFonts w:ascii="Arial" w:hAnsi="Arial" w:cs="Arial"/>
                <w:sz w:val="24"/>
                <w:szCs w:val="24"/>
              </w:rPr>
              <w:t>,</w:t>
            </w:r>
            <w:r w:rsidR="00D67B2D">
              <w:rPr>
                <w:rFonts w:ascii="Arial" w:hAnsi="Arial" w:cs="Arial"/>
                <w:sz w:val="24"/>
                <w:szCs w:val="24"/>
              </w:rPr>
              <w:t xml:space="preserve"> whereafter his </w:t>
            </w:r>
            <w:r w:rsidR="00932697" w:rsidRPr="00932697">
              <w:rPr>
                <w:rFonts w:ascii="Arial" w:hAnsi="Arial" w:cs="Arial"/>
                <w:sz w:val="24"/>
                <w:szCs w:val="24"/>
              </w:rPr>
              <w:t>legal represen</w:t>
            </w:r>
            <w:r w:rsidR="00D67B2D">
              <w:rPr>
                <w:rFonts w:ascii="Arial" w:hAnsi="Arial" w:cs="Arial"/>
                <w:sz w:val="24"/>
                <w:szCs w:val="24"/>
              </w:rPr>
              <w:t xml:space="preserve">tative considered the opinion. </w:t>
            </w:r>
            <w:r w:rsidR="00A82221">
              <w:rPr>
                <w:rFonts w:ascii="Arial" w:hAnsi="Arial" w:cs="Arial"/>
                <w:sz w:val="24"/>
                <w:szCs w:val="24"/>
              </w:rPr>
              <w:t>H</w:t>
            </w:r>
            <w:r w:rsidR="00D67B2D">
              <w:rPr>
                <w:rFonts w:ascii="Arial" w:hAnsi="Arial" w:cs="Arial"/>
                <w:sz w:val="24"/>
                <w:szCs w:val="24"/>
              </w:rPr>
              <w:t>e consulted his legal representative</w:t>
            </w:r>
            <w:r w:rsidR="00932697" w:rsidRPr="00932697">
              <w:rPr>
                <w:rFonts w:ascii="Arial" w:hAnsi="Arial" w:cs="Arial"/>
                <w:sz w:val="24"/>
                <w:szCs w:val="24"/>
              </w:rPr>
              <w:t xml:space="preserve"> </w:t>
            </w:r>
            <w:r w:rsidR="00896965">
              <w:rPr>
                <w:rFonts w:ascii="Arial" w:hAnsi="Arial" w:cs="Arial"/>
                <w:sz w:val="24"/>
                <w:szCs w:val="24"/>
              </w:rPr>
              <w:t>in</w:t>
            </w:r>
            <w:r w:rsidR="00932697" w:rsidRPr="00932697">
              <w:rPr>
                <w:rFonts w:ascii="Arial" w:hAnsi="Arial" w:cs="Arial"/>
                <w:sz w:val="24"/>
                <w:szCs w:val="24"/>
              </w:rPr>
              <w:t xml:space="preserve"> April 2022 and gave instructions </w:t>
            </w:r>
            <w:r w:rsidR="00D67B2D">
              <w:rPr>
                <w:rFonts w:ascii="Arial" w:hAnsi="Arial" w:cs="Arial"/>
                <w:sz w:val="24"/>
                <w:szCs w:val="24"/>
              </w:rPr>
              <w:t xml:space="preserve">to his legal counsel </w:t>
            </w:r>
            <w:r w:rsidR="00932697" w:rsidRPr="00932697">
              <w:rPr>
                <w:rFonts w:ascii="Arial" w:hAnsi="Arial" w:cs="Arial"/>
                <w:sz w:val="24"/>
                <w:szCs w:val="24"/>
              </w:rPr>
              <w:t xml:space="preserve">to institute review proceedings, </w:t>
            </w:r>
            <w:r w:rsidR="00D67B2D">
              <w:rPr>
                <w:rFonts w:ascii="Arial" w:hAnsi="Arial" w:cs="Arial"/>
                <w:sz w:val="24"/>
                <w:szCs w:val="24"/>
              </w:rPr>
              <w:t>against the decision of the</w:t>
            </w:r>
            <w:r w:rsidR="00932697" w:rsidRPr="00932697">
              <w:rPr>
                <w:rFonts w:ascii="Arial" w:hAnsi="Arial" w:cs="Arial"/>
                <w:sz w:val="24"/>
                <w:szCs w:val="24"/>
              </w:rPr>
              <w:t xml:space="preserve"> </w:t>
            </w:r>
            <w:r w:rsidR="00A82221">
              <w:rPr>
                <w:rFonts w:ascii="Arial" w:hAnsi="Arial" w:cs="Arial"/>
                <w:sz w:val="24"/>
                <w:szCs w:val="24"/>
              </w:rPr>
              <w:t>f</w:t>
            </w:r>
            <w:r w:rsidR="00932697" w:rsidRPr="00932697">
              <w:rPr>
                <w:rFonts w:ascii="Arial" w:hAnsi="Arial" w:cs="Arial"/>
                <w:sz w:val="24"/>
                <w:szCs w:val="24"/>
              </w:rPr>
              <w:t xml:space="preserve">irst </w:t>
            </w:r>
            <w:r w:rsidR="00A82221">
              <w:rPr>
                <w:rFonts w:ascii="Arial" w:hAnsi="Arial" w:cs="Arial"/>
                <w:sz w:val="24"/>
                <w:szCs w:val="24"/>
              </w:rPr>
              <w:t>r</w:t>
            </w:r>
            <w:r w:rsidR="00D67B2D">
              <w:rPr>
                <w:rFonts w:ascii="Arial" w:hAnsi="Arial" w:cs="Arial"/>
                <w:sz w:val="24"/>
                <w:szCs w:val="24"/>
              </w:rPr>
              <w:t>espondent.</w:t>
            </w:r>
            <w:r w:rsidR="004B5C5F">
              <w:rPr>
                <w:rFonts w:ascii="Arial" w:hAnsi="Arial" w:cs="Arial"/>
                <w:sz w:val="24"/>
                <w:szCs w:val="24"/>
              </w:rPr>
              <w:t xml:space="preserve"> Following the instructions to counsel the applicant’s legal representative caused a notice of motion to be issued on </w:t>
            </w:r>
            <w:r w:rsidR="00EF0F41">
              <w:rPr>
                <w:rFonts w:ascii="Arial" w:hAnsi="Arial" w:cs="Arial"/>
                <w:sz w:val="24"/>
                <w:szCs w:val="24"/>
              </w:rPr>
              <w:t>0</w:t>
            </w:r>
            <w:r w:rsidR="004B5C5F">
              <w:rPr>
                <w:rFonts w:ascii="Arial" w:hAnsi="Arial" w:cs="Arial"/>
                <w:sz w:val="24"/>
                <w:szCs w:val="24"/>
              </w:rPr>
              <w:t>3 J</w:t>
            </w:r>
            <w:r w:rsidR="00323566">
              <w:rPr>
                <w:rFonts w:ascii="Arial" w:hAnsi="Arial" w:cs="Arial"/>
                <w:sz w:val="24"/>
                <w:szCs w:val="24"/>
              </w:rPr>
              <w:t xml:space="preserve">une 2022, which is </w:t>
            </w:r>
            <w:r w:rsidR="002A06FC">
              <w:rPr>
                <w:rFonts w:ascii="Arial" w:hAnsi="Arial" w:cs="Arial"/>
                <w:sz w:val="24"/>
                <w:szCs w:val="24"/>
              </w:rPr>
              <w:t>three (</w:t>
            </w:r>
            <w:r w:rsidR="00323566">
              <w:rPr>
                <w:rFonts w:ascii="Arial" w:hAnsi="Arial" w:cs="Arial"/>
                <w:sz w:val="24"/>
                <w:szCs w:val="24"/>
              </w:rPr>
              <w:t>3</w:t>
            </w:r>
            <w:r w:rsidR="002A06FC">
              <w:rPr>
                <w:rFonts w:ascii="Arial" w:hAnsi="Arial" w:cs="Arial"/>
                <w:sz w:val="24"/>
                <w:szCs w:val="24"/>
              </w:rPr>
              <w:t>)</w:t>
            </w:r>
            <w:r w:rsidR="00323566">
              <w:rPr>
                <w:rFonts w:ascii="Arial" w:hAnsi="Arial" w:cs="Arial"/>
                <w:sz w:val="24"/>
                <w:szCs w:val="24"/>
              </w:rPr>
              <w:t xml:space="preserve"> months after the complete judgment was emailed to him by Ms Kuria.</w:t>
            </w:r>
          </w:p>
          <w:p w:rsidR="001B5A74" w:rsidRDefault="001B5A74" w:rsidP="001B5A74">
            <w:pPr>
              <w:spacing w:line="360" w:lineRule="auto"/>
              <w:jc w:val="both"/>
              <w:rPr>
                <w:rFonts w:ascii="Arial" w:hAnsi="Arial" w:cs="Arial"/>
                <w:sz w:val="24"/>
                <w:szCs w:val="24"/>
              </w:rPr>
            </w:pPr>
          </w:p>
          <w:p w:rsidR="001B5A74" w:rsidRPr="001B5A74" w:rsidRDefault="001B5A74" w:rsidP="001B5A74">
            <w:pPr>
              <w:spacing w:line="360" w:lineRule="auto"/>
              <w:jc w:val="both"/>
              <w:rPr>
                <w:rFonts w:ascii="Arial" w:hAnsi="Arial" w:cs="Arial"/>
                <w:i/>
                <w:sz w:val="24"/>
                <w:szCs w:val="24"/>
                <w:u w:val="single"/>
              </w:rPr>
            </w:pPr>
            <w:r w:rsidRPr="001B5A74">
              <w:rPr>
                <w:rFonts w:ascii="Arial" w:hAnsi="Arial" w:cs="Arial"/>
                <w:i/>
                <w:sz w:val="24"/>
                <w:szCs w:val="24"/>
              </w:rPr>
              <w:t>The applicable legal principles for unreasonable delay</w:t>
            </w:r>
          </w:p>
          <w:p w:rsidR="001B5A74" w:rsidRDefault="001B5A74" w:rsidP="00E742E1">
            <w:pPr>
              <w:pStyle w:val="BodyTextIndent"/>
            </w:pPr>
          </w:p>
          <w:p w:rsidR="008264CD" w:rsidRDefault="00B601AD" w:rsidP="008264CD">
            <w:pPr>
              <w:pStyle w:val="BodyTextIndent"/>
            </w:pPr>
            <w:r w:rsidRPr="00B601AD">
              <w:t>[</w:t>
            </w:r>
            <w:r w:rsidR="00854E83">
              <w:t>1</w:t>
            </w:r>
            <w:r w:rsidR="00773701">
              <w:t>4</w:t>
            </w:r>
            <w:r w:rsidR="00E742E1">
              <w:t>]</w:t>
            </w:r>
            <w:r w:rsidR="00E742E1">
              <w:tab/>
            </w:r>
            <w:r w:rsidR="008264CD">
              <w:t xml:space="preserve">The Supreme Court in the matter of </w:t>
            </w:r>
            <w:r w:rsidR="008264CD" w:rsidRPr="008264CD">
              <w:rPr>
                <w:i/>
              </w:rPr>
              <w:t>South African Poultry Association and 5 Others v Minister of Trade and Industry and 3 Others</w:t>
            </w:r>
            <w:r w:rsidR="008264CD">
              <w:rPr>
                <w:rStyle w:val="FootnoteReference"/>
              </w:rPr>
              <w:footnoteReference w:id="1"/>
            </w:r>
            <w:r w:rsidR="008264CD">
              <w:t xml:space="preserve"> stated the following regarding the l</w:t>
            </w:r>
            <w:r w:rsidR="002A06FC">
              <w:t>egal principles governing delay</w:t>
            </w:r>
            <w:r w:rsidR="00A82221">
              <w:t>:</w:t>
            </w:r>
          </w:p>
          <w:p w:rsidR="008264CD" w:rsidRDefault="008264CD" w:rsidP="008264CD">
            <w:pPr>
              <w:pStyle w:val="BodyTextIndent"/>
            </w:pPr>
          </w:p>
          <w:p w:rsidR="00341C0F" w:rsidRPr="008264CD" w:rsidRDefault="008264CD" w:rsidP="008264CD">
            <w:pPr>
              <w:pStyle w:val="BodyTextIndent"/>
              <w:rPr>
                <w:sz w:val="22"/>
                <w:szCs w:val="22"/>
              </w:rPr>
            </w:pPr>
            <w:r w:rsidRPr="008264CD">
              <w:tab/>
            </w:r>
            <w:r w:rsidRPr="008264CD">
              <w:tab/>
            </w:r>
            <w:r w:rsidRPr="008264CD">
              <w:rPr>
                <w:sz w:val="22"/>
                <w:szCs w:val="22"/>
              </w:rPr>
              <w:t xml:space="preserve">‘Two enquiries are to be determined: the first is an objective one and is whether the delay was on the facts unreasonable. The second is whether the delay should be condoned. As stated in </w:t>
            </w:r>
            <w:r w:rsidRPr="008264CD">
              <w:rPr>
                <w:i/>
                <w:sz w:val="22"/>
                <w:szCs w:val="22"/>
              </w:rPr>
              <w:t>Keya v Chief of the Defence Force and others</w:t>
            </w:r>
            <w:r w:rsidRPr="008264CD">
              <w:rPr>
                <w:sz w:val="22"/>
                <w:szCs w:val="22"/>
              </w:rPr>
              <w:t>, the first enquiry is a factual one and does not involve the exercise of a discretion. It entails a factual finding and a value judgment based upon those facts. The second enquiry involves the exercise of a discretion. There is a narrow ambit of an appeal, against the exercise of a discretion. This court would only interfere with the exercise of that discretion when it is found not to have been exercised judicially by the court a quo.’</w:t>
            </w:r>
          </w:p>
          <w:p w:rsidR="004D4925" w:rsidRDefault="004D4925" w:rsidP="00222B4E">
            <w:pPr>
              <w:spacing w:line="360" w:lineRule="auto"/>
              <w:jc w:val="both"/>
              <w:rPr>
                <w:rFonts w:ascii="Arial" w:hAnsi="Arial" w:cs="Arial"/>
                <w:sz w:val="24"/>
                <w:szCs w:val="24"/>
              </w:rPr>
            </w:pPr>
          </w:p>
          <w:p w:rsidR="00CB4382" w:rsidRPr="00CB4382" w:rsidRDefault="00CB4382" w:rsidP="00ED76B2">
            <w:pPr>
              <w:spacing w:line="360" w:lineRule="auto"/>
              <w:ind w:left="20" w:hanging="20"/>
              <w:jc w:val="both"/>
              <w:rPr>
                <w:rFonts w:ascii="Arial" w:hAnsi="Arial" w:cs="Arial"/>
                <w:i/>
                <w:sz w:val="24"/>
                <w:szCs w:val="24"/>
              </w:rPr>
            </w:pPr>
            <w:r w:rsidRPr="00CB4382">
              <w:rPr>
                <w:rFonts w:ascii="Arial" w:hAnsi="Arial" w:cs="Arial"/>
                <w:i/>
                <w:sz w:val="24"/>
                <w:szCs w:val="24"/>
              </w:rPr>
              <w:t>Was the delay unreasonable?</w:t>
            </w:r>
          </w:p>
          <w:p w:rsidR="00CB4382" w:rsidRDefault="00CB4382" w:rsidP="00ED76B2">
            <w:pPr>
              <w:spacing w:line="360" w:lineRule="auto"/>
              <w:ind w:left="20" w:hanging="20"/>
              <w:jc w:val="both"/>
              <w:rPr>
                <w:rFonts w:ascii="Arial" w:hAnsi="Arial" w:cs="Arial"/>
                <w:sz w:val="24"/>
                <w:szCs w:val="24"/>
              </w:rPr>
            </w:pPr>
          </w:p>
          <w:p w:rsidR="00DF4A5A" w:rsidRDefault="00E3189D" w:rsidP="00834E1C">
            <w:pPr>
              <w:spacing w:line="360" w:lineRule="auto"/>
              <w:ind w:left="20" w:hanging="20"/>
              <w:jc w:val="both"/>
              <w:rPr>
                <w:rFonts w:ascii="Arial" w:hAnsi="Arial" w:cs="Arial"/>
                <w:sz w:val="24"/>
                <w:szCs w:val="24"/>
              </w:rPr>
            </w:pPr>
            <w:r>
              <w:rPr>
                <w:rFonts w:ascii="Arial" w:hAnsi="Arial" w:cs="Arial"/>
                <w:sz w:val="24"/>
                <w:szCs w:val="24"/>
              </w:rPr>
              <w:t>[1</w:t>
            </w:r>
            <w:r w:rsidR="00773701">
              <w:rPr>
                <w:rFonts w:ascii="Arial" w:hAnsi="Arial" w:cs="Arial"/>
                <w:sz w:val="24"/>
                <w:szCs w:val="24"/>
              </w:rPr>
              <w:t>5</w:t>
            </w:r>
            <w:r w:rsidR="004D4925">
              <w:rPr>
                <w:rFonts w:ascii="Arial" w:hAnsi="Arial" w:cs="Arial"/>
                <w:sz w:val="24"/>
                <w:szCs w:val="24"/>
              </w:rPr>
              <w:t>]</w:t>
            </w:r>
            <w:r w:rsidR="004D4925" w:rsidRPr="004D4925">
              <w:rPr>
                <w:rFonts w:ascii="Arial" w:hAnsi="Arial" w:cs="Arial"/>
                <w:sz w:val="24"/>
                <w:szCs w:val="24"/>
              </w:rPr>
              <w:tab/>
            </w:r>
            <w:r w:rsidR="004117F7">
              <w:rPr>
                <w:rFonts w:ascii="Arial" w:hAnsi="Arial" w:cs="Arial"/>
                <w:sz w:val="24"/>
                <w:szCs w:val="24"/>
              </w:rPr>
              <w:t xml:space="preserve">The applicant explained in his founding affidavit that </w:t>
            </w:r>
            <w:r>
              <w:rPr>
                <w:rFonts w:ascii="Arial" w:hAnsi="Arial" w:cs="Arial"/>
                <w:sz w:val="24"/>
                <w:szCs w:val="24"/>
              </w:rPr>
              <w:t xml:space="preserve">the appeal was heard on </w:t>
            </w:r>
            <w:r w:rsidR="00834E1C">
              <w:rPr>
                <w:rFonts w:ascii="Arial" w:hAnsi="Arial" w:cs="Arial"/>
                <w:sz w:val="24"/>
                <w:szCs w:val="24"/>
              </w:rPr>
              <w:t>0</w:t>
            </w:r>
            <w:r>
              <w:rPr>
                <w:rFonts w:ascii="Arial" w:hAnsi="Arial" w:cs="Arial"/>
                <w:sz w:val="24"/>
                <w:szCs w:val="24"/>
              </w:rPr>
              <w:t>1</w:t>
            </w:r>
            <w:r w:rsidR="00896965">
              <w:rPr>
                <w:rFonts w:ascii="Arial" w:hAnsi="Arial" w:cs="Arial"/>
                <w:sz w:val="24"/>
                <w:szCs w:val="24"/>
              </w:rPr>
              <w:t xml:space="preserve"> </w:t>
            </w:r>
            <w:r>
              <w:rPr>
                <w:rFonts w:ascii="Arial" w:hAnsi="Arial" w:cs="Arial"/>
                <w:sz w:val="24"/>
                <w:szCs w:val="24"/>
              </w:rPr>
              <w:t>November 2021, the judgment was handed down on 23 November 2021, he became aware of the judgment on 31 January 2022</w:t>
            </w:r>
            <w:r w:rsidR="00896965">
              <w:rPr>
                <w:rFonts w:ascii="Arial" w:hAnsi="Arial" w:cs="Arial"/>
                <w:sz w:val="24"/>
                <w:szCs w:val="24"/>
              </w:rPr>
              <w:t>,</w:t>
            </w:r>
            <w:r>
              <w:rPr>
                <w:rFonts w:ascii="Arial" w:hAnsi="Arial" w:cs="Arial"/>
                <w:sz w:val="24"/>
                <w:szCs w:val="24"/>
              </w:rPr>
              <w:t xml:space="preserve"> and the outcome of the complete judgment was communicated to the applicant on </w:t>
            </w:r>
            <w:r w:rsidR="00834E1C">
              <w:rPr>
                <w:rFonts w:ascii="Arial" w:hAnsi="Arial" w:cs="Arial"/>
                <w:sz w:val="24"/>
                <w:szCs w:val="24"/>
              </w:rPr>
              <w:t>0</w:t>
            </w:r>
            <w:r>
              <w:rPr>
                <w:rFonts w:ascii="Arial" w:hAnsi="Arial" w:cs="Arial"/>
                <w:sz w:val="24"/>
                <w:szCs w:val="24"/>
              </w:rPr>
              <w:t xml:space="preserve">4 February 2022. </w:t>
            </w:r>
            <w:r w:rsidRPr="00E3189D">
              <w:rPr>
                <w:rFonts w:ascii="Arial" w:hAnsi="Arial" w:cs="Arial"/>
                <w:sz w:val="24"/>
                <w:szCs w:val="24"/>
              </w:rPr>
              <w:t>After the applicant received the complete judgment, he considered</w:t>
            </w:r>
          </w:p>
          <w:p w:rsidR="002C04BF" w:rsidRDefault="002C04BF" w:rsidP="002A06FC">
            <w:pPr>
              <w:spacing w:line="360" w:lineRule="auto"/>
              <w:jc w:val="both"/>
              <w:rPr>
                <w:rFonts w:ascii="Arial" w:hAnsi="Arial" w:cs="Arial"/>
                <w:sz w:val="24"/>
                <w:szCs w:val="24"/>
              </w:rPr>
            </w:pPr>
          </w:p>
          <w:p w:rsidR="00CB4382" w:rsidRDefault="00E3189D" w:rsidP="002A06FC">
            <w:pPr>
              <w:spacing w:line="360" w:lineRule="auto"/>
              <w:jc w:val="both"/>
              <w:rPr>
                <w:rFonts w:ascii="Arial" w:hAnsi="Arial" w:cs="Arial"/>
                <w:sz w:val="24"/>
                <w:szCs w:val="24"/>
              </w:rPr>
            </w:pPr>
            <w:r w:rsidRPr="00E3189D">
              <w:rPr>
                <w:rFonts w:ascii="Arial" w:hAnsi="Arial" w:cs="Arial"/>
                <w:sz w:val="24"/>
                <w:szCs w:val="24"/>
              </w:rPr>
              <w:t>same and instructed his legal representative of record to seek a legal opinion from counsel</w:t>
            </w:r>
            <w:r>
              <w:rPr>
                <w:rFonts w:ascii="Arial" w:hAnsi="Arial" w:cs="Arial"/>
                <w:sz w:val="24"/>
                <w:szCs w:val="24"/>
              </w:rPr>
              <w:t xml:space="preserve">. The </w:t>
            </w:r>
            <w:r w:rsidRPr="00E3189D">
              <w:rPr>
                <w:rFonts w:ascii="Arial" w:hAnsi="Arial" w:cs="Arial"/>
                <w:sz w:val="24"/>
                <w:szCs w:val="24"/>
              </w:rPr>
              <w:t xml:space="preserve">legal opinion from counsel was received on </w:t>
            </w:r>
            <w:r w:rsidR="00834E1C">
              <w:rPr>
                <w:rFonts w:ascii="Arial" w:hAnsi="Arial" w:cs="Arial"/>
                <w:sz w:val="24"/>
                <w:szCs w:val="24"/>
              </w:rPr>
              <w:t>0</w:t>
            </w:r>
            <w:r w:rsidRPr="00E3189D">
              <w:rPr>
                <w:rFonts w:ascii="Arial" w:hAnsi="Arial" w:cs="Arial"/>
                <w:sz w:val="24"/>
                <w:szCs w:val="24"/>
              </w:rPr>
              <w:t xml:space="preserve">1 March 2022 </w:t>
            </w:r>
            <w:r w:rsidR="00896965" w:rsidRPr="00E3189D">
              <w:rPr>
                <w:rFonts w:ascii="Arial" w:hAnsi="Arial" w:cs="Arial"/>
                <w:sz w:val="24"/>
                <w:szCs w:val="24"/>
              </w:rPr>
              <w:t>where after</w:t>
            </w:r>
            <w:r w:rsidRPr="00E3189D">
              <w:rPr>
                <w:rFonts w:ascii="Arial" w:hAnsi="Arial" w:cs="Arial"/>
                <w:sz w:val="24"/>
                <w:szCs w:val="24"/>
              </w:rPr>
              <w:t xml:space="preserve"> his legal representative considered the opinion. After consideration by his legal representative</w:t>
            </w:r>
            <w:r w:rsidR="00896965">
              <w:rPr>
                <w:rFonts w:ascii="Arial" w:hAnsi="Arial" w:cs="Arial"/>
                <w:sz w:val="24"/>
                <w:szCs w:val="24"/>
              </w:rPr>
              <w:t>,</w:t>
            </w:r>
            <w:r w:rsidRPr="00E3189D">
              <w:rPr>
                <w:rFonts w:ascii="Arial" w:hAnsi="Arial" w:cs="Arial"/>
                <w:sz w:val="24"/>
                <w:szCs w:val="24"/>
              </w:rPr>
              <w:t xml:space="preserve"> he consulted his legal representative </w:t>
            </w:r>
            <w:r w:rsidR="00896965">
              <w:rPr>
                <w:rFonts w:ascii="Arial" w:hAnsi="Arial" w:cs="Arial"/>
                <w:sz w:val="24"/>
                <w:szCs w:val="24"/>
              </w:rPr>
              <w:t>in</w:t>
            </w:r>
            <w:r w:rsidRPr="00E3189D">
              <w:rPr>
                <w:rFonts w:ascii="Arial" w:hAnsi="Arial" w:cs="Arial"/>
                <w:sz w:val="24"/>
                <w:szCs w:val="24"/>
              </w:rPr>
              <w:t xml:space="preserve"> April 2022 and gave instructions to his legal counsel to institute review proceedings, against the decision of the </w:t>
            </w:r>
            <w:r w:rsidR="00896965">
              <w:rPr>
                <w:rFonts w:ascii="Arial" w:hAnsi="Arial" w:cs="Arial"/>
                <w:sz w:val="24"/>
                <w:szCs w:val="24"/>
              </w:rPr>
              <w:t>f</w:t>
            </w:r>
            <w:r w:rsidRPr="00E3189D">
              <w:rPr>
                <w:rFonts w:ascii="Arial" w:hAnsi="Arial" w:cs="Arial"/>
                <w:sz w:val="24"/>
                <w:szCs w:val="24"/>
              </w:rPr>
              <w:t xml:space="preserve">irst </w:t>
            </w:r>
            <w:r w:rsidR="00896965">
              <w:rPr>
                <w:rFonts w:ascii="Arial" w:hAnsi="Arial" w:cs="Arial"/>
                <w:sz w:val="24"/>
                <w:szCs w:val="24"/>
              </w:rPr>
              <w:t>r</w:t>
            </w:r>
            <w:r w:rsidRPr="00E3189D">
              <w:rPr>
                <w:rFonts w:ascii="Arial" w:hAnsi="Arial" w:cs="Arial"/>
                <w:sz w:val="24"/>
                <w:szCs w:val="24"/>
              </w:rPr>
              <w:t xml:space="preserve">espondent. Following the instructions to counsel the applicant’s legal representative caused a notice of motion to be issued on </w:t>
            </w:r>
            <w:r w:rsidR="00834E1C">
              <w:rPr>
                <w:rFonts w:ascii="Arial" w:hAnsi="Arial" w:cs="Arial"/>
                <w:sz w:val="24"/>
                <w:szCs w:val="24"/>
              </w:rPr>
              <w:t>0</w:t>
            </w:r>
            <w:r w:rsidRPr="00E3189D">
              <w:rPr>
                <w:rFonts w:ascii="Arial" w:hAnsi="Arial" w:cs="Arial"/>
                <w:sz w:val="24"/>
                <w:szCs w:val="24"/>
              </w:rPr>
              <w:t xml:space="preserve">3 June 2022, which is </w:t>
            </w:r>
            <w:r>
              <w:rPr>
                <w:rFonts w:ascii="Arial" w:hAnsi="Arial" w:cs="Arial"/>
                <w:sz w:val="24"/>
                <w:szCs w:val="24"/>
              </w:rPr>
              <w:t>three (</w:t>
            </w:r>
            <w:r w:rsidRPr="00E3189D">
              <w:rPr>
                <w:rFonts w:ascii="Arial" w:hAnsi="Arial" w:cs="Arial"/>
                <w:sz w:val="24"/>
                <w:szCs w:val="24"/>
              </w:rPr>
              <w:t>3</w:t>
            </w:r>
            <w:r>
              <w:rPr>
                <w:rFonts w:ascii="Arial" w:hAnsi="Arial" w:cs="Arial"/>
                <w:sz w:val="24"/>
                <w:szCs w:val="24"/>
              </w:rPr>
              <w:t>)</w:t>
            </w:r>
            <w:r w:rsidRPr="00E3189D">
              <w:rPr>
                <w:rFonts w:ascii="Arial" w:hAnsi="Arial" w:cs="Arial"/>
                <w:sz w:val="24"/>
                <w:szCs w:val="24"/>
              </w:rPr>
              <w:t xml:space="preserve"> months after the complete judgment was emailed to him by Ms Kuria.</w:t>
            </w:r>
            <w:r w:rsidR="00651E37">
              <w:t xml:space="preserve"> </w:t>
            </w:r>
            <w:r w:rsidR="00651E37" w:rsidRPr="00651E37">
              <w:rPr>
                <w:rFonts w:ascii="Arial" w:hAnsi="Arial" w:cs="Arial"/>
                <w:sz w:val="24"/>
                <w:szCs w:val="24"/>
              </w:rPr>
              <w:t>In contrast</w:t>
            </w:r>
            <w:r w:rsidR="00651E37">
              <w:rPr>
                <w:rFonts w:ascii="Arial" w:hAnsi="Arial" w:cs="Arial"/>
                <w:sz w:val="24"/>
                <w:szCs w:val="24"/>
              </w:rPr>
              <w:t>,</w:t>
            </w:r>
            <w:r w:rsidR="00651E37" w:rsidRPr="00651E37">
              <w:rPr>
                <w:rFonts w:ascii="Arial" w:hAnsi="Arial" w:cs="Arial"/>
                <w:sz w:val="24"/>
                <w:szCs w:val="24"/>
              </w:rPr>
              <w:t xml:space="preserve"> the </w:t>
            </w:r>
            <w:r w:rsidR="00651E37">
              <w:rPr>
                <w:rFonts w:ascii="Arial" w:hAnsi="Arial" w:cs="Arial"/>
                <w:sz w:val="24"/>
                <w:szCs w:val="24"/>
              </w:rPr>
              <w:t xml:space="preserve">respondents submitted that </w:t>
            </w:r>
            <w:r w:rsidR="00651E37" w:rsidRPr="00651E37">
              <w:rPr>
                <w:rFonts w:ascii="Arial" w:hAnsi="Arial" w:cs="Arial"/>
                <w:sz w:val="24"/>
                <w:szCs w:val="24"/>
              </w:rPr>
              <w:t>the applicant had common law remedies inclusive of ins</w:t>
            </w:r>
            <w:r w:rsidR="00651E37">
              <w:rPr>
                <w:rFonts w:ascii="Arial" w:hAnsi="Arial" w:cs="Arial"/>
                <w:sz w:val="24"/>
                <w:szCs w:val="24"/>
              </w:rPr>
              <w:t xml:space="preserve">tituting a mandamus to compel the </w:t>
            </w:r>
            <w:r w:rsidR="00896965">
              <w:rPr>
                <w:rFonts w:ascii="Arial" w:hAnsi="Arial" w:cs="Arial"/>
                <w:sz w:val="24"/>
                <w:szCs w:val="24"/>
              </w:rPr>
              <w:t>f</w:t>
            </w:r>
            <w:r w:rsidR="00651E37">
              <w:rPr>
                <w:rFonts w:ascii="Arial" w:hAnsi="Arial" w:cs="Arial"/>
                <w:sz w:val="24"/>
                <w:szCs w:val="24"/>
              </w:rPr>
              <w:t xml:space="preserve">irst </w:t>
            </w:r>
            <w:r w:rsidR="00896965">
              <w:rPr>
                <w:rFonts w:ascii="Arial" w:hAnsi="Arial" w:cs="Arial"/>
                <w:sz w:val="24"/>
                <w:szCs w:val="24"/>
              </w:rPr>
              <w:t>r</w:t>
            </w:r>
            <w:r w:rsidR="00651E37">
              <w:rPr>
                <w:rFonts w:ascii="Arial" w:hAnsi="Arial" w:cs="Arial"/>
                <w:sz w:val="24"/>
                <w:szCs w:val="24"/>
              </w:rPr>
              <w:t xml:space="preserve">espondent or the Ministry to make the </w:t>
            </w:r>
            <w:r w:rsidR="00651E37" w:rsidRPr="00651E37">
              <w:rPr>
                <w:rFonts w:ascii="Arial" w:hAnsi="Arial" w:cs="Arial"/>
                <w:sz w:val="24"/>
                <w:szCs w:val="24"/>
              </w:rPr>
              <w:t>judgment</w:t>
            </w:r>
            <w:r w:rsidR="00651E37">
              <w:rPr>
                <w:rFonts w:ascii="Arial" w:hAnsi="Arial" w:cs="Arial"/>
                <w:sz w:val="24"/>
                <w:szCs w:val="24"/>
              </w:rPr>
              <w:t xml:space="preserve"> available to the applicant. </w:t>
            </w:r>
            <w:r w:rsidR="00C84405">
              <w:rPr>
                <w:rFonts w:ascii="Arial" w:hAnsi="Arial" w:cs="Arial"/>
                <w:sz w:val="24"/>
                <w:szCs w:val="24"/>
              </w:rPr>
              <w:t>According to the respondents</w:t>
            </w:r>
            <w:r w:rsidR="00896965">
              <w:rPr>
                <w:rFonts w:ascii="Arial" w:hAnsi="Arial" w:cs="Arial"/>
                <w:sz w:val="24"/>
                <w:szCs w:val="24"/>
              </w:rPr>
              <w:t>,</w:t>
            </w:r>
            <w:r w:rsidR="00C84405">
              <w:rPr>
                <w:rFonts w:ascii="Arial" w:hAnsi="Arial" w:cs="Arial"/>
                <w:sz w:val="24"/>
                <w:szCs w:val="24"/>
              </w:rPr>
              <w:t xml:space="preserve"> t</w:t>
            </w:r>
            <w:r w:rsidR="00651E37" w:rsidRPr="00651E37">
              <w:rPr>
                <w:rFonts w:ascii="Arial" w:hAnsi="Arial" w:cs="Arial"/>
                <w:sz w:val="24"/>
                <w:szCs w:val="24"/>
              </w:rPr>
              <w:t>he applicant did not utili</w:t>
            </w:r>
            <w:r w:rsidR="00834E1C">
              <w:rPr>
                <w:rFonts w:ascii="Arial" w:hAnsi="Arial" w:cs="Arial"/>
                <w:sz w:val="24"/>
                <w:szCs w:val="24"/>
              </w:rPr>
              <w:t>s</w:t>
            </w:r>
            <w:r w:rsidR="00651E37" w:rsidRPr="00651E37">
              <w:rPr>
                <w:rFonts w:ascii="Arial" w:hAnsi="Arial" w:cs="Arial"/>
                <w:sz w:val="24"/>
                <w:szCs w:val="24"/>
              </w:rPr>
              <w:t>e that legal route.</w:t>
            </w:r>
          </w:p>
          <w:p w:rsidR="00CB4382" w:rsidRDefault="00CB4382" w:rsidP="00E3189D">
            <w:pPr>
              <w:spacing w:line="360" w:lineRule="auto"/>
              <w:jc w:val="both"/>
              <w:rPr>
                <w:rFonts w:ascii="Arial" w:hAnsi="Arial" w:cs="Arial"/>
                <w:sz w:val="24"/>
                <w:szCs w:val="24"/>
              </w:rPr>
            </w:pPr>
          </w:p>
          <w:p w:rsidR="004D4925" w:rsidRDefault="00854E83" w:rsidP="00ED76B2">
            <w:pPr>
              <w:spacing w:line="360" w:lineRule="auto"/>
              <w:ind w:left="20" w:hanging="20"/>
              <w:jc w:val="both"/>
              <w:rPr>
                <w:rFonts w:ascii="Arial" w:hAnsi="Arial" w:cs="Arial"/>
                <w:sz w:val="24"/>
                <w:szCs w:val="24"/>
              </w:rPr>
            </w:pPr>
            <w:r>
              <w:rPr>
                <w:rFonts w:ascii="Arial" w:hAnsi="Arial" w:cs="Arial"/>
                <w:sz w:val="24"/>
                <w:szCs w:val="24"/>
              </w:rPr>
              <w:t>[1</w:t>
            </w:r>
            <w:r w:rsidR="00773701">
              <w:rPr>
                <w:rFonts w:ascii="Arial" w:hAnsi="Arial" w:cs="Arial"/>
                <w:sz w:val="24"/>
                <w:szCs w:val="24"/>
              </w:rPr>
              <w:t>6</w:t>
            </w:r>
            <w:r w:rsidR="00E3189D">
              <w:rPr>
                <w:rFonts w:ascii="Arial" w:hAnsi="Arial" w:cs="Arial"/>
                <w:sz w:val="24"/>
                <w:szCs w:val="24"/>
              </w:rPr>
              <w:t>]</w:t>
            </w:r>
            <w:r w:rsidR="00E3189D" w:rsidRPr="00E3189D">
              <w:rPr>
                <w:rFonts w:ascii="Arial" w:hAnsi="Arial" w:cs="Arial"/>
                <w:sz w:val="24"/>
                <w:szCs w:val="24"/>
              </w:rPr>
              <w:tab/>
            </w:r>
            <w:r w:rsidR="00773701">
              <w:rPr>
                <w:rFonts w:ascii="Arial" w:hAnsi="Arial" w:cs="Arial"/>
                <w:sz w:val="24"/>
                <w:szCs w:val="24"/>
              </w:rPr>
              <w:t>In my view, t</w:t>
            </w:r>
            <w:r w:rsidR="004A186A">
              <w:rPr>
                <w:rFonts w:ascii="Arial" w:hAnsi="Arial" w:cs="Arial"/>
                <w:sz w:val="24"/>
                <w:szCs w:val="24"/>
              </w:rPr>
              <w:t>he applicant has</w:t>
            </w:r>
            <w:r w:rsidR="00CB4382">
              <w:rPr>
                <w:rFonts w:ascii="Arial" w:hAnsi="Arial" w:cs="Arial"/>
                <w:sz w:val="24"/>
                <w:szCs w:val="24"/>
              </w:rPr>
              <w:t xml:space="preserve"> provided a reasonable and detailed </w:t>
            </w:r>
            <w:r w:rsidR="00CB4382" w:rsidRPr="00CB4382">
              <w:rPr>
                <w:rFonts w:ascii="Arial" w:hAnsi="Arial" w:cs="Arial"/>
                <w:sz w:val="24"/>
                <w:szCs w:val="24"/>
              </w:rPr>
              <w:t xml:space="preserve">explanation for the delay in instituting proceedings between </w:t>
            </w:r>
            <w:r w:rsidR="00CB4382">
              <w:rPr>
                <w:rFonts w:ascii="Arial" w:hAnsi="Arial" w:cs="Arial"/>
                <w:sz w:val="24"/>
                <w:szCs w:val="24"/>
              </w:rPr>
              <w:t xml:space="preserve">the date when the complete judgment was emailed to him </w:t>
            </w:r>
            <w:r w:rsidR="00896965">
              <w:rPr>
                <w:rFonts w:ascii="Arial" w:hAnsi="Arial" w:cs="Arial"/>
                <w:sz w:val="24"/>
                <w:szCs w:val="24"/>
              </w:rPr>
              <w:t xml:space="preserve">on </w:t>
            </w:r>
            <w:r w:rsidR="00834E1C">
              <w:rPr>
                <w:rFonts w:ascii="Arial" w:hAnsi="Arial" w:cs="Arial"/>
                <w:sz w:val="24"/>
                <w:szCs w:val="24"/>
              </w:rPr>
              <w:t>0</w:t>
            </w:r>
            <w:r w:rsidR="00CB4382" w:rsidRPr="00CB4382">
              <w:rPr>
                <w:rFonts w:ascii="Arial" w:hAnsi="Arial" w:cs="Arial"/>
                <w:sz w:val="24"/>
                <w:szCs w:val="24"/>
              </w:rPr>
              <w:t>4</w:t>
            </w:r>
            <w:r w:rsidR="00CB4382">
              <w:rPr>
                <w:rFonts w:ascii="Arial" w:hAnsi="Arial" w:cs="Arial"/>
                <w:sz w:val="24"/>
                <w:szCs w:val="24"/>
              </w:rPr>
              <w:t xml:space="preserve"> February 2022 and </w:t>
            </w:r>
            <w:r w:rsidR="00834E1C">
              <w:rPr>
                <w:rFonts w:ascii="Arial" w:hAnsi="Arial" w:cs="Arial"/>
                <w:sz w:val="24"/>
                <w:szCs w:val="24"/>
              </w:rPr>
              <w:t>0</w:t>
            </w:r>
            <w:r w:rsidR="00CB4382">
              <w:rPr>
                <w:rFonts w:ascii="Arial" w:hAnsi="Arial" w:cs="Arial"/>
                <w:sz w:val="24"/>
                <w:szCs w:val="24"/>
              </w:rPr>
              <w:t xml:space="preserve">3 June 2022 (the date when the notice of motion was launched). </w:t>
            </w:r>
            <w:r w:rsidR="00AB62B9">
              <w:rPr>
                <w:rFonts w:ascii="Arial" w:hAnsi="Arial" w:cs="Arial"/>
                <w:sz w:val="24"/>
                <w:szCs w:val="24"/>
              </w:rPr>
              <w:t>Th</w:t>
            </w:r>
            <w:r w:rsidR="00773701">
              <w:rPr>
                <w:rFonts w:ascii="Arial" w:hAnsi="Arial" w:cs="Arial"/>
                <w:sz w:val="24"/>
                <w:szCs w:val="24"/>
              </w:rPr>
              <w:t>is</w:t>
            </w:r>
            <w:r w:rsidR="00AB62B9">
              <w:rPr>
                <w:rFonts w:ascii="Arial" w:hAnsi="Arial" w:cs="Arial"/>
                <w:sz w:val="24"/>
                <w:szCs w:val="24"/>
              </w:rPr>
              <w:t xml:space="preserve"> court is </w:t>
            </w:r>
            <w:r w:rsidR="00773701">
              <w:rPr>
                <w:rFonts w:ascii="Arial" w:hAnsi="Arial" w:cs="Arial"/>
                <w:sz w:val="24"/>
                <w:szCs w:val="24"/>
              </w:rPr>
              <w:t xml:space="preserve">further </w:t>
            </w:r>
            <w:r w:rsidR="00AB62B9">
              <w:rPr>
                <w:rFonts w:ascii="Arial" w:hAnsi="Arial" w:cs="Arial"/>
                <w:sz w:val="24"/>
                <w:szCs w:val="24"/>
              </w:rPr>
              <w:t>of the view that cogent,</w:t>
            </w:r>
            <w:r w:rsidR="00AB62B9" w:rsidRPr="00AB62B9">
              <w:rPr>
                <w:rFonts w:ascii="Arial" w:hAnsi="Arial" w:cs="Arial"/>
                <w:sz w:val="24"/>
                <w:szCs w:val="24"/>
              </w:rPr>
              <w:t xml:space="preserve"> convincing and sufficient facts have been place</w:t>
            </w:r>
            <w:r w:rsidR="004A186A">
              <w:rPr>
                <w:rFonts w:ascii="Arial" w:hAnsi="Arial" w:cs="Arial"/>
                <w:sz w:val="24"/>
                <w:szCs w:val="24"/>
              </w:rPr>
              <w:t xml:space="preserve">d before it </w:t>
            </w:r>
            <w:r w:rsidR="00AB62B9">
              <w:rPr>
                <w:rFonts w:ascii="Arial" w:hAnsi="Arial" w:cs="Arial"/>
                <w:sz w:val="24"/>
                <w:szCs w:val="24"/>
              </w:rPr>
              <w:t xml:space="preserve">to </w:t>
            </w:r>
            <w:r w:rsidR="00773701">
              <w:rPr>
                <w:rFonts w:ascii="Arial" w:hAnsi="Arial" w:cs="Arial"/>
                <w:sz w:val="24"/>
                <w:szCs w:val="24"/>
              </w:rPr>
              <w:t xml:space="preserve">satisfactorily </w:t>
            </w:r>
            <w:r w:rsidR="00AB62B9">
              <w:rPr>
                <w:rFonts w:ascii="Arial" w:hAnsi="Arial" w:cs="Arial"/>
                <w:sz w:val="24"/>
                <w:szCs w:val="24"/>
              </w:rPr>
              <w:t>explain</w:t>
            </w:r>
            <w:r w:rsidR="00AB62B9" w:rsidRPr="00AB62B9">
              <w:rPr>
                <w:rFonts w:ascii="Arial" w:hAnsi="Arial" w:cs="Arial"/>
                <w:sz w:val="24"/>
                <w:szCs w:val="24"/>
              </w:rPr>
              <w:t xml:space="preserve"> </w:t>
            </w:r>
            <w:r w:rsidR="00AB62B9">
              <w:rPr>
                <w:rFonts w:ascii="Arial" w:hAnsi="Arial" w:cs="Arial"/>
                <w:sz w:val="24"/>
                <w:szCs w:val="24"/>
              </w:rPr>
              <w:t xml:space="preserve">the </w:t>
            </w:r>
            <w:r w:rsidR="00AB62B9" w:rsidRPr="00AB62B9">
              <w:rPr>
                <w:rFonts w:ascii="Arial" w:hAnsi="Arial" w:cs="Arial"/>
                <w:sz w:val="24"/>
                <w:szCs w:val="24"/>
              </w:rPr>
              <w:t>delay</w:t>
            </w:r>
            <w:r w:rsidR="00AB62B9">
              <w:rPr>
                <w:rFonts w:ascii="Arial" w:hAnsi="Arial" w:cs="Arial"/>
                <w:sz w:val="24"/>
                <w:szCs w:val="24"/>
              </w:rPr>
              <w:t xml:space="preserve">. </w:t>
            </w:r>
            <w:r w:rsidR="004A186A">
              <w:rPr>
                <w:rFonts w:ascii="Arial" w:hAnsi="Arial" w:cs="Arial"/>
                <w:sz w:val="24"/>
                <w:szCs w:val="24"/>
              </w:rPr>
              <w:t>This court finds that the Appeal Tribunal failed to exercise its</w:t>
            </w:r>
            <w:r w:rsidR="004A186A" w:rsidRPr="004A186A">
              <w:rPr>
                <w:rFonts w:ascii="Arial" w:hAnsi="Arial" w:cs="Arial"/>
                <w:sz w:val="24"/>
                <w:szCs w:val="24"/>
              </w:rPr>
              <w:t xml:space="preserve"> discretion </w:t>
            </w:r>
            <w:r w:rsidR="004A186A">
              <w:rPr>
                <w:rFonts w:ascii="Arial" w:hAnsi="Arial" w:cs="Arial"/>
                <w:sz w:val="24"/>
                <w:szCs w:val="24"/>
              </w:rPr>
              <w:t xml:space="preserve">properly in deciding the issues placed before it without being privy to the record of proceedings of the meeting held </w:t>
            </w:r>
            <w:r w:rsidR="00896965">
              <w:rPr>
                <w:rFonts w:ascii="Arial" w:hAnsi="Arial" w:cs="Arial"/>
                <w:sz w:val="24"/>
                <w:szCs w:val="24"/>
              </w:rPr>
              <w:t>from</w:t>
            </w:r>
            <w:r w:rsidR="004A186A">
              <w:rPr>
                <w:rFonts w:ascii="Arial" w:hAnsi="Arial" w:cs="Arial"/>
                <w:sz w:val="24"/>
                <w:szCs w:val="24"/>
              </w:rPr>
              <w:t xml:space="preserve"> 03 to 06 November 2020.</w:t>
            </w:r>
            <w:r w:rsidR="004A186A" w:rsidRPr="004A186A">
              <w:rPr>
                <w:rFonts w:ascii="Arial" w:hAnsi="Arial" w:cs="Arial"/>
                <w:sz w:val="24"/>
                <w:szCs w:val="24"/>
              </w:rPr>
              <w:t xml:space="preserve"> </w:t>
            </w:r>
            <w:r w:rsidR="002E2AA4">
              <w:rPr>
                <w:rFonts w:ascii="Arial" w:hAnsi="Arial" w:cs="Arial"/>
                <w:sz w:val="24"/>
                <w:szCs w:val="24"/>
              </w:rPr>
              <w:t>Consequently</w:t>
            </w:r>
            <w:r w:rsidR="009E524E">
              <w:rPr>
                <w:rFonts w:ascii="Arial" w:hAnsi="Arial" w:cs="Arial"/>
                <w:sz w:val="24"/>
                <w:szCs w:val="24"/>
              </w:rPr>
              <w:t>,</w:t>
            </w:r>
            <w:r w:rsidR="002E2AA4">
              <w:rPr>
                <w:rFonts w:ascii="Arial" w:hAnsi="Arial" w:cs="Arial"/>
                <w:sz w:val="24"/>
                <w:szCs w:val="24"/>
              </w:rPr>
              <w:t xml:space="preserve"> the </w:t>
            </w:r>
            <w:r w:rsidR="005606A6">
              <w:rPr>
                <w:rFonts w:ascii="Arial" w:hAnsi="Arial" w:cs="Arial"/>
                <w:sz w:val="24"/>
                <w:szCs w:val="24"/>
              </w:rPr>
              <w:t>court</w:t>
            </w:r>
            <w:r w:rsidR="002E2AA4">
              <w:rPr>
                <w:rFonts w:ascii="Arial" w:hAnsi="Arial" w:cs="Arial"/>
                <w:sz w:val="24"/>
                <w:szCs w:val="24"/>
              </w:rPr>
              <w:t xml:space="preserve"> condones</w:t>
            </w:r>
            <w:r w:rsidR="002A06FC">
              <w:rPr>
                <w:rFonts w:ascii="Arial" w:hAnsi="Arial" w:cs="Arial"/>
                <w:sz w:val="24"/>
                <w:szCs w:val="24"/>
              </w:rPr>
              <w:t xml:space="preserve"> the </w:t>
            </w:r>
            <w:r w:rsidR="00180150">
              <w:rPr>
                <w:rFonts w:ascii="Arial" w:hAnsi="Arial" w:cs="Arial"/>
                <w:sz w:val="24"/>
                <w:szCs w:val="24"/>
              </w:rPr>
              <w:t xml:space="preserve">applicant’s </w:t>
            </w:r>
            <w:r w:rsidR="002A06FC" w:rsidRPr="002A06FC">
              <w:rPr>
                <w:rFonts w:ascii="Arial" w:hAnsi="Arial" w:cs="Arial"/>
                <w:sz w:val="24"/>
                <w:szCs w:val="24"/>
              </w:rPr>
              <w:t xml:space="preserve">three (3) months </w:t>
            </w:r>
            <w:r w:rsidR="005606A6" w:rsidRPr="005606A6">
              <w:rPr>
                <w:rFonts w:ascii="Arial" w:hAnsi="Arial" w:cs="Arial"/>
                <w:sz w:val="24"/>
                <w:szCs w:val="24"/>
              </w:rPr>
              <w:t>delay</w:t>
            </w:r>
            <w:r w:rsidR="002A06FC">
              <w:rPr>
                <w:rFonts w:ascii="Arial" w:hAnsi="Arial" w:cs="Arial"/>
                <w:sz w:val="24"/>
                <w:szCs w:val="24"/>
              </w:rPr>
              <w:t xml:space="preserve"> in instituting </w:t>
            </w:r>
            <w:r w:rsidR="00180150">
              <w:rPr>
                <w:rFonts w:ascii="Arial" w:hAnsi="Arial" w:cs="Arial"/>
                <w:sz w:val="24"/>
                <w:szCs w:val="24"/>
              </w:rPr>
              <w:t xml:space="preserve">these </w:t>
            </w:r>
            <w:r w:rsidR="002A06FC">
              <w:rPr>
                <w:rFonts w:ascii="Arial" w:hAnsi="Arial" w:cs="Arial"/>
                <w:sz w:val="24"/>
                <w:szCs w:val="24"/>
              </w:rPr>
              <w:t xml:space="preserve">review proceedings. </w:t>
            </w:r>
          </w:p>
          <w:p w:rsidR="00A0350A" w:rsidRDefault="00A0350A" w:rsidP="00ED76B2">
            <w:pPr>
              <w:spacing w:line="360" w:lineRule="auto"/>
              <w:ind w:left="20" w:hanging="20"/>
              <w:jc w:val="both"/>
              <w:rPr>
                <w:rFonts w:ascii="Arial" w:hAnsi="Arial" w:cs="Arial"/>
                <w:sz w:val="24"/>
                <w:szCs w:val="24"/>
              </w:rPr>
            </w:pPr>
          </w:p>
          <w:p w:rsidR="00E95A76" w:rsidRPr="006E1E1D" w:rsidRDefault="00E95A76" w:rsidP="00ED76B2">
            <w:pPr>
              <w:spacing w:line="360" w:lineRule="auto"/>
              <w:ind w:left="20" w:hanging="20"/>
              <w:jc w:val="both"/>
              <w:rPr>
                <w:rFonts w:ascii="Arial" w:hAnsi="Arial" w:cs="Arial"/>
                <w:sz w:val="24"/>
                <w:szCs w:val="24"/>
                <w:u w:val="single"/>
              </w:rPr>
            </w:pPr>
            <w:r w:rsidRPr="006E1E1D">
              <w:rPr>
                <w:rFonts w:ascii="Arial" w:hAnsi="Arial" w:cs="Arial"/>
                <w:sz w:val="24"/>
                <w:szCs w:val="24"/>
                <w:u w:val="single"/>
              </w:rPr>
              <w:t xml:space="preserve">The </w:t>
            </w:r>
            <w:r w:rsidR="002A06FC">
              <w:rPr>
                <w:rFonts w:ascii="Arial" w:hAnsi="Arial" w:cs="Arial"/>
                <w:sz w:val="24"/>
                <w:szCs w:val="24"/>
                <w:u w:val="single"/>
              </w:rPr>
              <w:t>grounds for</w:t>
            </w:r>
            <w:r w:rsidR="006E1E1D" w:rsidRPr="006E1E1D">
              <w:rPr>
                <w:rFonts w:ascii="Arial" w:hAnsi="Arial" w:cs="Arial"/>
                <w:sz w:val="24"/>
                <w:szCs w:val="24"/>
                <w:u w:val="single"/>
              </w:rPr>
              <w:t xml:space="preserve"> review</w:t>
            </w:r>
          </w:p>
          <w:p w:rsidR="006E1E1D" w:rsidRDefault="006E1E1D" w:rsidP="00ED76B2">
            <w:pPr>
              <w:spacing w:line="360" w:lineRule="auto"/>
              <w:ind w:left="20" w:hanging="20"/>
              <w:jc w:val="both"/>
              <w:rPr>
                <w:rFonts w:ascii="Arial" w:hAnsi="Arial" w:cs="Arial"/>
                <w:sz w:val="24"/>
                <w:szCs w:val="24"/>
              </w:rPr>
            </w:pPr>
          </w:p>
          <w:p w:rsidR="00E95A76" w:rsidRDefault="00854E83" w:rsidP="00ED76B2">
            <w:pPr>
              <w:spacing w:line="360" w:lineRule="auto"/>
              <w:ind w:left="20" w:hanging="20"/>
              <w:jc w:val="both"/>
              <w:rPr>
                <w:rFonts w:ascii="Arial" w:hAnsi="Arial" w:cs="Arial"/>
                <w:sz w:val="24"/>
                <w:szCs w:val="24"/>
              </w:rPr>
            </w:pPr>
            <w:r>
              <w:rPr>
                <w:rFonts w:ascii="Arial" w:hAnsi="Arial" w:cs="Arial"/>
                <w:sz w:val="24"/>
                <w:szCs w:val="24"/>
              </w:rPr>
              <w:t>[1</w:t>
            </w:r>
            <w:r w:rsidR="00773701">
              <w:rPr>
                <w:rFonts w:ascii="Arial" w:hAnsi="Arial" w:cs="Arial"/>
                <w:sz w:val="24"/>
                <w:szCs w:val="24"/>
              </w:rPr>
              <w:t>7</w:t>
            </w:r>
            <w:r w:rsidR="00E95A76" w:rsidRPr="00E95A76">
              <w:rPr>
                <w:rFonts w:ascii="Arial" w:hAnsi="Arial" w:cs="Arial"/>
                <w:sz w:val="24"/>
                <w:szCs w:val="24"/>
              </w:rPr>
              <w:t>]</w:t>
            </w:r>
            <w:r w:rsidR="00E95A76" w:rsidRPr="00E95A76">
              <w:rPr>
                <w:rFonts w:ascii="Arial" w:hAnsi="Arial" w:cs="Arial"/>
                <w:sz w:val="24"/>
                <w:szCs w:val="24"/>
              </w:rPr>
              <w:tab/>
            </w:r>
            <w:r w:rsidR="002E2AA4">
              <w:rPr>
                <w:rFonts w:ascii="Arial" w:hAnsi="Arial" w:cs="Arial"/>
                <w:sz w:val="24"/>
                <w:szCs w:val="24"/>
              </w:rPr>
              <w:t>T</w:t>
            </w:r>
            <w:r w:rsidR="002E2AA4" w:rsidRPr="002E2AA4">
              <w:rPr>
                <w:rFonts w:ascii="Arial" w:hAnsi="Arial" w:cs="Arial"/>
                <w:sz w:val="24"/>
                <w:szCs w:val="24"/>
              </w:rPr>
              <w:t xml:space="preserve">he </w:t>
            </w:r>
            <w:r w:rsidR="002E2AA4">
              <w:rPr>
                <w:rFonts w:ascii="Arial" w:hAnsi="Arial" w:cs="Arial"/>
                <w:sz w:val="24"/>
                <w:szCs w:val="24"/>
              </w:rPr>
              <w:t xml:space="preserve">first ground of review raised by the </w:t>
            </w:r>
            <w:r w:rsidR="009E524E">
              <w:rPr>
                <w:rFonts w:ascii="Arial" w:hAnsi="Arial" w:cs="Arial"/>
                <w:sz w:val="24"/>
                <w:szCs w:val="24"/>
              </w:rPr>
              <w:t>a</w:t>
            </w:r>
            <w:r w:rsidR="002E2AA4">
              <w:rPr>
                <w:rFonts w:ascii="Arial" w:hAnsi="Arial" w:cs="Arial"/>
                <w:sz w:val="24"/>
                <w:szCs w:val="24"/>
              </w:rPr>
              <w:t>pplicant is</w:t>
            </w:r>
            <w:r w:rsidR="002E2AA4" w:rsidRPr="002E2AA4">
              <w:rPr>
                <w:rFonts w:ascii="Arial" w:hAnsi="Arial" w:cs="Arial"/>
                <w:sz w:val="24"/>
                <w:szCs w:val="24"/>
              </w:rPr>
              <w:t xml:space="preserve"> that there was no full and certified record of proceedings from the </w:t>
            </w:r>
            <w:r w:rsidR="00896965">
              <w:rPr>
                <w:rFonts w:ascii="Arial" w:hAnsi="Arial" w:cs="Arial"/>
                <w:sz w:val="24"/>
                <w:szCs w:val="24"/>
              </w:rPr>
              <w:t>s</w:t>
            </w:r>
            <w:r w:rsidR="002E2AA4" w:rsidRPr="002E2AA4">
              <w:rPr>
                <w:rFonts w:ascii="Arial" w:hAnsi="Arial" w:cs="Arial"/>
                <w:sz w:val="24"/>
                <w:szCs w:val="24"/>
              </w:rPr>
              <w:t xml:space="preserve">econd </w:t>
            </w:r>
            <w:r w:rsidR="00896965">
              <w:rPr>
                <w:rFonts w:ascii="Arial" w:hAnsi="Arial" w:cs="Arial"/>
                <w:sz w:val="24"/>
                <w:szCs w:val="24"/>
              </w:rPr>
              <w:t>r</w:t>
            </w:r>
            <w:r w:rsidR="002E2AA4" w:rsidRPr="002E2AA4">
              <w:rPr>
                <w:rFonts w:ascii="Arial" w:hAnsi="Arial" w:cs="Arial"/>
                <w:sz w:val="24"/>
                <w:szCs w:val="24"/>
              </w:rPr>
              <w:t xml:space="preserve">espondent that served before the </w:t>
            </w:r>
            <w:r w:rsidR="00896965">
              <w:rPr>
                <w:rFonts w:ascii="Arial" w:hAnsi="Arial" w:cs="Arial"/>
                <w:sz w:val="24"/>
                <w:szCs w:val="24"/>
              </w:rPr>
              <w:t>f</w:t>
            </w:r>
            <w:r w:rsidR="002E2AA4" w:rsidRPr="002E2AA4">
              <w:rPr>
                <w:rFonts w:ascii="Arial" w:hAnsi="Arial" w:cs="Arial"/>
                <w:sz w:val="24"/>
                <w:szCs w:val="24"/>
              </w:rPr>
              <w:t xml:space="preserve">irst </w:t>
            </w:r>
            <w:r w:rsidR="00896965">
              <w:rPr>
                <w:rFonts w:ascii="Arial" w:hAnsi="Arial" w:cs="Arial"/>
                <w:sz w:val="24"/>
                <w:szCs w:val="24"/>
              </w:rPr>
              <w:t>r</w:t>
            </w:r>
            <w:r w:rsidR="002E2AA4" w:rsidRPr="002E2AA4">
              <w:rPr>
                <w:rFonts w:ascii="Arial" w:hAnsi="Arial" w:cs="Arial"/>
                <w:sz w:val="24"/>
                <w:szCs w:val="24"/>
              </w:rPr>
              <w:t>espondent when the impugned decision was taken.</w:t>
            </w:r>
            <w:r w:rsidR="002E2AA4">
              <w:rPr>
                <w:rFonts w:ascii="Arial" w:hAnsi="Arial" w:cs="Arial"/>
                <w:sz w:val="24"/>
                <w:szCs w:val="24"/>
              </w:rPr>
              <w:t xml:space="preserve"> I find it necessary to </w:t>
            </w:r>
            <w:r w:rsidR="00773701">
              <w:rPr>
                <w:rFonts w:ascii="Arial" w:hAnsi="Arial" w:cs="Arial"/>
                <w:sz w:val="24"/>
                <w:szCs w:val="24"/>
              </w:rPr>
              <w:t xml:space="preserve">only </w:t>
            </w:r>
            <w:r w:rsidR="002E2AA4">
              <w:rPr>
                <w:rFonts w:ascii="Arial" w:hAnsi="Arial" w:cs="Arial"/>
                <w:sz w:val="24"/>
                <w:szCs w:val="24"/>
              </w:rPr>
              <w:t>deal with the first ground of</w:t>
            </w:r>
            <w:r w:rsidR="00970593">
              <w:rPr>
                <w:rFonts w:ascii="Arial" w:hAnsi="Arial" w:cs="Arial"/>
                <w:sz w:val="24"/>
                <w:szCs w:val="24"/>
              </w:rPr>
              <w:t xml:space="preserve"> review.</w:t>
            </w:r>
            <w:r w:rsidR="002E2AA4">
              <w:rPr>
                <w:rFonts w:ascii="Arial" w:hAnsi="Arial" w:cs="Arial"/>
                <w:sz w:val="24"/>
                <w:szCs w:val="24"/>
              </w:rPr>
              <w:t xml:space="preserve"> </w:t>
            </w:r>
          </w:p>
          <w:p w:rsidR="00E95A76" w:rsidRPr="00CA7995" w:rsidRDefault="00E95A76" w:rsidP="00970593">
            <w:pPr>
              <w:spacing w:line="360" w:lineRule="auto"/>
              <w:jc w:val="both"/>
              <w:rPr>
                <w:rFonts w:ascii="Arial" w:hAnsi="Arial" w:cs="Arial"/>
                <w:sz w:val="24"/>
                <w:szCs w:val="24"/>
              </w:rPr>
            </w:pPr>
          </w:p>
          <w:p w:rsidR="00B601AD" w:rsidRPr="0026588D" w:rsidRDefault="00B601AD" w:rsidP="00B601AD">
            <w:pPr>
              <w:spacing w:line="360" w:lineRule="auto"/>
              <w:jc w:val="both"/>
              <w:rPr>
                <w:rFonts w:ascii="Arial" w:hAnsi="Arial" w:cs="Arial"/>
                <w:sz w:val="24"/>
                <w:szCs w:val="24"/>
                <w:u w:val="single"/>
              </w:rPr>
            </w:pPr>
            <w:r w:rsidRPr="0026588D">
              <w:rPr>
                <w:rFonts w:ascii="Arial" w:hAnsi="Arial" w:cs="Arial"/>
                <w:sz w:val="24"/>
                <w:szCs w:val="24"/>
                <w:u w:val="single"/>
              </w:rPr>
              <w:t>Arguments advanced</w:t>
            </w:r>
          </w:p>
          <w:p w:rsidR="00B601AD" w:rsidRDefault="00B601AD" w:rsidP="00B601AD">
            <w:pPr>
              <w:spacing w:line="360" w:lineRule="auto"/>
              <w:jc w:val="both"/>
              <w:rPr>
                <w:rFonts w:ascii="Arial" w:hAnsi="Arial" w:cs="Arial"/>
                <w:sz w:val="24"/>
                <w:szCs w:val="24"/>
              </w:rPr>
            </w:pPr>
          </w:p>
          <w:p w:rsidR="00970593" w:rsidRPr="00970593" w:rsidRDefault="00970593" w:rsidP="00B601AD">
            <w:pPr>
              <w:spacing w:line="360" w:lineRule="auto"/>
              <w:jc w:val="both"/>
              <w:rPr>
                <w:rFonts w:ascii="Arial" w:hAnsi="Arial" w:cs="Arial"/>
                <w:i/>
                <w:sz w:val="24"/>
                <w:szCs w:val="24"/>
              </w:rPr>
            </w:pPr>
            <w:r w:rsidRPr="00970593">
              <w:rPr>
                <w:rFonts w:ascii="Arial" w:hAnsi="Arial" w:cs="Arial"/>
                <w:i/>
                <w:sz w:val="24"/>
                <w:szCs w:val="24"/>
              </w:rPr>
              <w:t xml:space="preserve">On behalf of the applicant </w:t>
            </w:r>
          </w:p>
          <w:p w:rsidR="00970593" w:rsidRDefault="00970593" w:rsidP="00970593">
            <w:pPr>
              <w:spacing w:line="360" w:lineRule="auto"/>
              <w:jc w:val="both"/>
              <w:rPr>
                <w:rFonts w:ascii="Arial" w:hAnsi="Arial" w:cs="Arial"/>
                <w:sz w:val="24"/>
                <w:szCs w:val="24"/>
              </w:rPr>
            </w:pPr>
          </w:p>
          <w:p w:rsidR="002C04BF" w:rsidRDefault="00854E83" w:rsidP="00970593">
            <w:pPr>
              <w:spacing w:line="360" w:lineRule="auto"/>
              <w:jc w:val="both"/>
              <w:rPr>
                <w:rFonts w:ascii="Arial" w:hAnsi="Arial" w:cs="Arial"/>
                <w:sz w:val="24"/>
                <w:szCs w:val="24"/>
              </w:rPr>
            </w:pPr>
            <w:r>
              <w:rPr>
                <w:rFonts w:ascii="Arial" w:hAnsi="Arial" w:cs="Arial"/>
                <w:sz w:val="24"/>
                <w:szCs w:val="24"/>
              </w:rPr>
              <w:t>[1</w:t>
            </w:r>
            <w:r w:rsidR="00773701">
              <w:rPr>
                <w:rFonts w:ascii="Arial" w:hAnsi="Arial" w:cs="Arial"/>
                <w:sz w:val="24"/>
                <w:szCs w:val="24"/>
              </w:rPr>
              <w:t>8</w:t>
            </w:r>
            <w:r w:rsidR="00970593" w:rsidRPr="00970593">
              <w:rPr>
                <w:rFonts w:ascii="Arial" w:hAnsi="Arial" w:cs="Arial"/>
                <w:sz w:val="24"/>
                <w:szCs w:val="24"/>
              </w:rPr>
              <w:t>]</w:t>
            </w:r>
            <w:r w:rsidR="00970593" w:rsidRPr="00970593">
              <w:rPr>
                <w:rFonts w:ascii="Arial" w:hAnsi="Arial" w:cs="Arial"/>
                <w:sz w:val="24"/>
                <w:szCs w:val="24"/>
              </w:rPr>
              <w:tab/>
            </w:r>
            <w:r w:rsidR="00C54391" w:rsidRPr="00C54391">
              <w:rPr>
                <w:rFonts w:ascii="Arial" w:hAnsi="Arial" w:cs="Arial"/>
                <w:sz w:val="24"/>
                <w:szCs w:val="24"/>
              </w:rPr>
              <w:t>The applicant argues that the appellate body must only consider the record of the hearing where the decision was made. The first respondent used an investigative report created after the hearing, which was n</w:t>
            </w:r>
            <w:r w:rsidR="006E363B">
              <w:rPr>
                <w:rFonts w:ascii="Arial" w:hAnsi="Arial" w:cs="Arial"/>
                <w:sz w:val="24"/>
                <w:szCs w:val="24"/>
              </w:rPr>
              <w:t>either</w:t>
            </w:r>
            <w:r w:rsidR="00C54391" w:rsidRPr="00C54391">
              <w:rPr>
                <w:rFonts w:ascii="Arial" w:hAnsi="Arial" w:cs="Arial"/>
                <w:sz w:val="24"/>
                <w:szCs w:val="24"/>
              </w:rPr>
              <w:t xml:space="preserve"> considered</w:t>
            </w:r>
            <w:r w:rsidR="006E363B">
              <w:rPr>
                <w:rFonts w:ascii="Arial" w:hAnsi="Arial" w:cs="Arial"/>
                <w:sz w:val="24"/>
                <w:szCs w:val="24"/>
              </w:rPr>
              <w:t xml:space="preserve"> by the second respondent nor presented to the applicant.</w:t>
            </w:r>
            <w:r w:rsidR="00C54391" w:rsidRPr="00C54391">
              <w:rPr>
                <w:rFonts w:ascii="Arial" w:hAnsi="Arial" w:cs="Arial"/>
                <w:sz w:val="24"/>
                <w:szCs w:val="24"/>
              </w:rPr>
              <w:t xml:space="preserve"> </w:t>
            </w:r>
            <w:r w:rsidR="006E363B" w:rsidRPr="00970593">
              <w:rPr>
                <w:rFonts w:ascii="Arial" w:hAnsi="Arial" w:cs="Arial"/>
                <w:sz w:val="24"/>
                <w:szCs w:val="24"/>
              </w:rPr>
              <w:t xml:space="preserve">It was clear from the proceedings that the </w:t>
            </w:r>
            <w:r w:rsidR="006E363B">
              <w:rPr>
                <w:rFonts w:ascii="Arial" w:hAnsi="Arial" w:cs="Arial"/>
                <w:sz w:val="24"/>
                <w:szCs w:val="24"/>
              </w:rPr>
              <w:t>f</w:t>
            </w:r>
            <w:r w:rsidR="006E363B" w:rsidRPr="00970593">
              <w:rPr>
                <w:rFonts w:ascii="Arial" w:hAnsi="Arial" w:cs="Arial"/>
                <w:sz w:val="24"/>
                <w:szCs w:val="24"/>
              </w:rPr>
              <w:t xml:space="preserve">irst </w:t>
            </w:r>
            <w:r w:rsidR="006E363B">
              <w:rPr>
                <w:rFonts w:ascii="Arial" w:hAnsi="Arial" w:cs="Arial"/>
                <w:sz w:val="24"/>
                <w:szCs w:val="24"/>
              </w:rPr>
              <w:t>r</w:t>
            </w:r>
            <w:r w:rsidR="006E363B" w:rsidRPr="00970593">
              <w:rPr>
                <w:rFonts w:ascii="Arial" w:hAnsi="Arial" w:cs="Arial"/>
                <w:sz w:val="24"/>
                <w:szCs w:val="24"/>
              </w:rPr>
              <w:t xml:space="preserve">espondent accepted the submission by the </w:t>
            </w:r>
            <w:r w:rsidR="006E363B">
              <w:rPr>
                <w:rFonts w:ascii="Arial" w:hAnsi="Arial" w:cs="Arial"/>
                <w:sz w:val="24"/>
                <w:szCs w:val="24"/>
              </w:rPr>
              <w:t>s</w:t>
            </w:r>
            <w:r w:rsidR="006E363B" w:rsidRPr="00970593">
              <w:rPr>
                <w:rFonts w:ascii="Arial" w:hAnsi="Arial" w:cs="Arial"/>
                <w:sz w:val="24"/>
                <w:szCs w:val="24"/>
              </w:rPr>
              <w:t xml:space="preserve">econd </w:t>
            </w:r>
          </w:p>
          <w:p w:rsidR="002C04BF" w:rsidRDefault="002C04BF" w:rsidP="00970593">
            <w:pPr>
              <w:spacing w:line="360" w:lineRule="auto"/>
              <w:jc w:val="both"/>
              <w:rPr>
                <w:rFonts w:ascii="Arial" w:hAnsi="Arial" w:cs="Arial"/>
                <w:sz w:val="24"/>
                <w:szCs w:val="24"/>
              </w:rPr>
            </w:pPr>
          </w:p>
          <w:p w:rsidR="00C54391" w:rsidRPr="00970593" w:rsidRDefault="006E363B" w:rsidP="00970593">
            <w:pPr>
              <w:spacing w:line="360" w:lineRule="auto"/>
              <w:jc w:val="both"/>
              <w:rPr>
                <w:rFonts w:ascii="Arial" w:hAnsi="Arial" w:cs="Arial"/>
                <w:sz w:val="24"/>
                <w:szCs w:val="24"/>
              </w:rPr>
            </w:pPr>
            <w:r>
              <w:rPr>
                <w:rFonts w:ascii="Arial" w:hAnsi="Arial" w:cs="Arial"/>
                <w:sz w:val="24"/>
                <w:szCs w:val="24"/>
              </w:rPr>
              <w:t>r</w:t>
            </w:r>
            <w:r w:rsidRPr="00970593">
              <w:rPr>
                <w:rFonts w:ascii="Arial" w:hAnsi="Arial" w:cs="Arial"/>
                <w:sz w:val="24"/>
                <w:szCs w:val="24"/>
              </w:rPr>
              <w:t xml:space="preserve">espondent as evidence of fact and used the </w:t>
            </w:r>
            <w:r>
              <w:rPr>
                <w:rFonts w:ascii="Arial" w:hAnsi="Arial" w:cs="Arial"/>
                <w:sz w:val="24"/>
                <w:szCs w:val="24"/>
              </w:rPr>
              <w:t>s</w:t>
            </w:r>
            <w:r w:rsidRPr="00970593">
              <w:rPr>
                <w:rFonts w:ascii="Arial" w:hAnsi="Arial" w:cs="Arial"/>
                <w:sz w:val="24"/>
                <w:szCs w:val="24"/>
              </w:rPr>
              <w:t xml:space="preserve">econd </w:t>
            </w:r>
            <w:r>
              <w:rPr>
                <w:rFonts w:ascii="Arial" w:hAnsi="Arial" w:cs="Arial"/>
                <w:sz w:val="24"/>
                <w:szCs w:val="24"/>
              </w:rPr>
              <w:t>r</w:t>
            </w:r>
            <w:r w:rsidRPr="00970593">
              <w:rPr>
                <w:rFonts w:ascii="Arial" w:hAnsi="Arial" w:cs="Arial"/>
                <w:sz w:val="24"/>
                <w:szCs w:val="24"/>
              </w:rPr>
              <w:t xml:space="preserve">espondent’s submissions as grounds to amplify, clarify or supplement the </w:t>
            </w:r>
            <w:r>
              <w:rPr>
                <w:rFonts w:ascii="Arial" w:hAnsi="Arial" w:cs="Arial"/>
                <w:sz w:val="24"/>
                <w:szCs w:val="24"/>
              </w:rPr>
              <w:t>s</w:t>
            </w:r>
            <w:r w:rsidRPr="00970593">
              <w:rPr>
                <w:rFonts w:ascii="Arial" w:hAnsi="Arial" w:cs="Arial"/>
                <w:sz w:val="24"/>
                <w:szCs w:val="24"/>
              </w:rPr>
              <w:t xml:space="preserve">econd </w:t>
            </w:r>
            <w:r>
              <w:rPr>
                <w:rFonts w:ascii="Arial" w:hAnsi="Arial" w:cs="Arial"/>
                <w:sz w:val="24"/>
                <w:szCs w:val="24"/>
              </w:rPr>
              <w:t>r</w:t>
            </w:r>
            <w:r w:rsidRPr="00970593">
              <w:rPr>
                <w:rFonts w:ascii="Arial" w:hAnsi="Arial" w:cs="Arial"/>
                <w:sz w:val="24"/>
                <w:szCs w:val="24"/>
              </w:rPr>
              <w:t>espondent’s decision of 16 December 2020.</w:t>
            </w:r>
          </w:p>
          <w:p w:rsidR="000F23C1" w:rsidRDefault="000F23C1" w:rsidP="00970593">
            <w:pPr>
              <w:spacing w:line="360" w:lineRule="auto"/>
              <w:jc w:val="both"/>
              <w:rPr>
                <w:rFonts w:ascii="Arial" w:hAnsi="Arial" w:cs="Arial"/>
                <w:sz w:val="24"/>
                <w:szCs w:val="24"/>
              </w:rPr>
            </w:pPr>
          </w:p>
          <w:p w:rsidR="006E363B" w:rsidRPr="00970593" w:rsidRDefault="00854E83" w:rsidP="00970593">
            <w:pPr>
              <w:spacing w:line="360" w:lineRule="auto"/>
              <w:jc w:val="both"/>
              <w:rPr>
                <w:rFonts w:ascii="Arial" w:hAnsi="Arial" w:cs="Arial"/>
                <w:sz w:val="24"/>
                <w:szCs w:val="24"/>
              </w:rPr>
            </w:pPr>
            <w:r>
              <w:rPr>
                <w:rFonts w:ascii="Arial" w:hAnsi="Arial" w:cs="Arial"/>
                <w:sz w:val="24"/>
                <w:szCs w:val="24"/>
              </w:rPr>
              <w:t>[1</w:t>
            </w:r>
            <w:r w:rsidR="006E363B">
              <w:rPr>
                <w:rFonts w:ascii="Arial" w:hAnsi="Arial" w:cs="Arial"/>
                <w:sz w:val="24"/>
                <w:szCs w:val="24"/>
              </w:rPr>
              <w:t>9</w:t>
            </w:r>
            <w:r w:rsidR="00970593">
              <w:rPr>
                <w:rFonts w:ascii="Arial" w:hAnsi="Arial" w:cs="Arial"/>
                <w:sz w:val="24"/>
                <w:szCs w:val="24"/>
              </w:rPr>
              <w:t>]</w:t>
            </w:r>
            <w:r w:rsidR="00970593" w:rsidRPr="00970593">
              <w:rPr>
                <w:rFonts w:ascii="Arial" w:hAnsi="Arial" w:cs="Arial"/>
                <w:sz w:val="24"/>
                <w:szCs w:val="24"/>
              </w:rPr>
              <w:tab/>
            </w:r>
            <w:r w:rsidR="006E363B" w:rsidRPr="006E363B">
              <w:rPr>
                <w:rFonts w:ascii="Arial" w:hAnsi="Arial" w:cs="Arial"/>
                <w:sz w:val="24"/>
                <w:szCs w:val="24"/>
              </w:rPr>
              <w:t xml:space="preserve">According to Ms Kauta, the first respondent acted beyond their authority by conducting a hearing </w:t>
            </w:r>
            <w:r w:rsidR="006E363B">
              <w:rPr>
                <w:rFonts w:ascii="Arial" w:hAnsi="Arial" w:cs="Arial"/>
                <w:sz w:val="24"/>
                <w:szCs w:val="24"/>
              </w:rPr>
              <w:t xml:space="preserve">de novo </w:t>
            </w:r>
            <w:r w:rsidR="006E363B" w:rsidRPr="006E363B">
              <w:rPr>
                <w:rFonts w:ascii="Arial" w:hAnsi="Arial" w:cs="Arial"/>
                <w:sz w:val="24"/>
                <w:szCs w:val="24"/>
              </w:rPr>
              <w:t xml:space="preserve">and considering evidence from the second respondent's investigation report and testimony. This means that their decision should be reviewed and </w:t>
            </w:r>
            <w:r w:rsidR="006E363B">
              <w:rPr>
                <w:rFonts w:ascii="Arial" w:hAnsi="Arial" w:cs="Arial"/>
                <w:sz w:val="24"/>
                <w:szCs w:val="24"/>
              </w:rPr>
              <w:t>set aside</w:t>
            </w:r>
            <w:r w:rsidR="006E363B" w:rsidRPr="006E363B">
              <w:rPr>
                <w:rFonts w:ascii="Arial" w:hAnsi="Arial" w:cs="Arial"/>
                <w:sz w:val="24"/>
                <w:szCs w:val="24"/>
              </w:rPr>
              <w:t>.</w:t>
            </w:r>
          </w:p>
          <w:p w:rsidR="00B601AD" w:rsidRPr="00B601AD" w:rsidRDefault="00B601AD" w:rsidP="00B601AD">
            <w:pPr>
              <w:spacing w:line="360" w:lineRule="auto"/>
              <w:jc w:val="both"/>
              <w:rPr>
                <w:rFonts w:ascii="Arial" w:hAnsi="Arial" w:cs="Arial"/>
                <w:sz w:val="24"/>
                <w:szCs w:val="24"/>
              </w:rPr>
            </w:pPr>
          </w:p>
          <w:p w:rsidR="00B601AD" w:rsidRPr="00970593" w:rsidRDefault="00970593" w:rsidP="00B601AD">
            <w:pPr>
              <w:spacing w:line="360" w:lineRule="auto"/>
              <w:jc w:val="both"/>
              <w:rPr>
                <w:rFonts w:ascii="Arial" w:hAnsi="Arial" w:cs="Arial"/>
                <w:i/>
                <w:sz w:val="24"/>
                <w:szCs w:val="24"/>
              </w:rPr>
            </w:pPr>
            <w:r w:rsidRPr="00970593">
              <w:rPr>
                <w:rFonts w:ascii="Arial" w:hAnsi="Arial" w:cs="Arial"/>
                <w:i/>
                <w:sz w:val="24"/>
                <w:szCs w:val="24"/>
              </w:rPr>
              <w:t>On behalf of the respondent</w:t>
            </w:r>
            <w:r>
              <w:rPr>
                <w:rFonts w:ascii="Arial" w:hAnsi="Arial" w:cs="Arial"/>
                <w:i/>
                <w:sz w:val="24"/>
                <w:szCs w:val="24"/>
              </w:rPr>
              <w:t>s</w:t>
            </w:r>
          </w:p>
          <w:p w:rsidR="00B601AD" w:rsidRPr="00B601AD" w:rsidRDefault="00B601AD" w:rsidP="00B601AD">
            <w:pPr>
              <w:spacing w:line="360" w:lineRule="auto"/>
              <w:jc w:val="both"/>
              <w:rPr>
                <w:rFonts w:ascii="Arial" w:hAnsi="Arial" w:cs="Arial"/>
                <w:sz w:val="24"/>
                <w:szCs w:val="24"/>
              </w:rPr>
            </w:pPr>
          </w:p>
          <w:p w:rsidR="00B601AD" w:rsidRDefault="00B601AD" w:rsidP="009917E4">
            <w:pPr>
              <w:spacing w:line="360" w:lineRule="auto"/>
              <w:jc w:val="both"/>
              <w:rPr>
                <w:rFonts w:ascii="Arial" w:hAnsi="Arial" w:cs="Arial"/>
                <w:sz w:val="24"/>
                <w:szCs w:val="24"/>
              </w:rPr>
            </w:pPr>
            <w:r w:rsidRPr="00B601AD">
              <w:rPr>
                <w:rFonts w:ascii="Arial" w:hAnsi="Arial" w:cs="Arial"/>
                <w:sz w:val="24"/>
                <w:szCs w:val="24"/>
              </w:rPr>
              <w:t>[</w:t>
            </w:r>
            <w:r w:rsidR="006E363B">
              <w:rPr>
                <w:rFonts w:ascii="Arial" w:hAnsi="Arial" w:cs="Arial"/>
                <w:sz w:val="24"/>
                <w:szCs w:val="24"/>
              </w:rPr>
              <w:t>20</w:t>
            </w:r>
            <w:r w:rsidRPr="00B601AD">
              <w:rPr>
                <w:rFonts w:ascii="Arial" w:hAnsi="Arial" w:cs="Arial"/>
                <w:sz w:val="24"/>
                <w:szCs w:val="24"/>
              </w:rPr>
              <w:t>]</w:t>
            </w:r>
            <w:r w:rsidRPr="00B601AD">
              <w:rPr>
                <w:rFonts w:ascii="Arial" w:hAnsi="Arial" w:cs="Arial"/>
                <w:sz w:val="24"/>
                <w:szCs w:val="24"/>
              </w:rPr>
              <w:tab/>
            </w:r>
            <w:r w:rsidR="002A06FC">
              <w:rPr>
                <w:rFonts w:ascii="Arial" w:hAnsi="Arial" w:cs="Arial"/>
                <w:sz w:val="24"/>
                <w:szCs w:val="24"/>
              </w:rPr>
              <w:t>Mr Ncube</w:t>
            </w:r>
            <w:r w:rsidR="009917E4">
              <w:rPr>
                <w:rFonts w:ascii="Arial" w:hAnsi="Arial" w:cs="Arial"/>
                <w:sz w:val="24"/>
                <w:szCs w:val="24"/>
              </w:rPr>
              <w:t xml:space="preserve"> </w:t>
            </w:r>
            <w:r w:rsidR="002A06FC">
              <w:rPr>
                <w:rFonts w:ascii="Arial" w:hAnsi="Arial" w:cs="Arial"/>
                <w:sz w:val="24"/>
                <w:szCs w:val="24"/>
              </w:rPr>
              <w:t xml:space="preserve">in his </w:t>
            </w:r>
            <w:r w:rsidR="009917E4">
              <w:rPr>
                <w:rFonts w:ascii="Arial" w:hAnsi="Arial" w:cs="Arial"/>
                <w:sz w:val="24"/>
                <w:szCs w:val="24"/>
              </w:rPr>
              <w:t>heads of arguments makes the submissions</w:t>
            </w:r>
            <w:r w:rsidR="006E363B">
              <w:rPr>
                <w:rFonts w:ascii="Arial" w:hAnsi="Arial" w:cs="Arial"/>
                <w:sz w:val="24"/>
                <w:szCs w:val="24"/>
              </w:rPr>
              <w:t xml:space="preserve"> </w:t>
            </w:r>
            <w:r w:rsidR="009917E4">
              <w:rPr>
                <w:rFonts w:ascii="Arial" w:hAnsi="Arial" w:cs="Arial"/>
                <w:sz w:val="24"/>
                <w:szCs w:val="24"/>
              </w:rPr>
              <w:t xml:space="preserve">that the Appeal Tribunal </w:t>
            </w:r>
            <w:r w:rsidR="009917E4" w:rsidRPr="009917E4">
              <w:rPr>
                <w:rFonts w:ascii="Arial" w:hAnsi="Arial" w:cs="Arial"/>
                <w:sz w:val="24"/>
                <w:szCs w:val="24"/>
              </w:rPr>
              <w:t>has no power to determine evidence that does not f</w:t>
            </w:r>
            <w:r w:rsidR="009917E4">
              <w:rPr>
                <w:rFonts w:ascii="Arial" w:hAnsi="Arial" w:cs="Arial"/>
                <w:sz w:val="24"/>
                <w:szCs w:val="24"/>
              </w:rPr>
              <w:t>orm part of the appeal record.</w:t>
            </w:r>
            <w:r w:rsidR="00847FA3">
              <w:rPr>
                <w:rFonts w:ascii="Arial" w:hAnsi="Arial" w:cs="Arial"/>
                <w:sz w:val="24"/>
                <w:szCs w:val="24"/>
              </w:rPr>
              <w:t xml:space="preserve"> </w:t>
            </w:r>
            <w:r w:rsidR="009917E4" w:rsidRPr="009917E4">
              <w:rPr>
                <w:rFonts w:ascii="Arial" w:hAnsi="Arial" w:cs="Arial"/>
                <w:sz w:val="24"/>
                <w:szCs w:val="24"/>
              </w:rPr>
              <w:t>The Board did not use evidence from parties that were not permitted to lead oral evidence. Their evidence was irrelevan</w:t>
            </w:r>
            <w:r w:rsidR="009917E4">
              <w:rPr>
                <w:rFonts w:ascii="Arial" w:hAnsi="Arial" w:cs="Arial"/>
                <w:sz w:val="24"/>
                <w:szCs w:val="24"/>
              </w:rPr>
              <w:t xml:space="preserve">t for all intents and purposes. </w:t>
            </w:r>
            <w:r w:rsidR="006E363B">
              <w:rPr>
                <w:rFonts w:ascii="Arial" w:hAnsi="Arial" w:cs="Arial"/>
                <w:sz w:val="24"/>
                <w:szCs w:val="24"/>
              </w:rPr>
              <w:t>Counsel submitted that a</w:t>
            </w:r>
            <w:r w:rsidR="009917E4" w:rsidRPr="009917E4">
              <w:rPr>
                <w:rFonts w:ascii="Arial" w:hAnsi="Arial" w:cs="Arial"/>
                <w:sz w:val="24"/>
                <w:szCs w:val="24"/>
              </w:rPr>
              <w:t>s the title aptly states, this is an Appeal Tribunal, not a court of law that calls for evidence to be led.</w:t>
            </w:r>
            <w:r w:rsidR="009917E4">
              <w:rPr>
                <w:rFonts w:ascii="Arial" w:hAnsi="Arial" w:cs="Arial"/>
                <w:sz w:val="24"/>
                <w:szCs w:val="24"/>
              </w:rPr>
              <w:t xml:space="preserve"> </w:t>
            </w:r>
          </w:p>
          <w:p w:rsidR="00970593" w:rsidRDefault="00970593" w:rsidP="00B601AD">
            <w:pPr>
              <w:spacing w:line="360" w:lineRule="auto"/>
              <w:jc w:val="both"/>
              <w:rPr>
                <w:rFonts w:ascii="Arial" w:hAnsi="Arial" w:cs="Arial"/>
                <w:sz w:val="24"/>
                <w:szCs w:val="24"/>
              </w:rPr>
            </w:pPr>
          </w:p>
          <w:p w:rsidR="00CF7EBB" w:rsidRPr="002A06FC" w:rsidRDefault="00CF7EBB" w:rsidP="00B601AD">
            <w:pPr>
              <w:spacing w:line="360" w:lineRule="auto"/>
              <w:jc w:val="both"/>
              <w:rPr>
                <w:rFonts w:ascii="Arial" w:hAnsi="Arial" w:cs="Arial"/>
                <w:sz w:val="24"/>
                <w:szCs w:val="24"/>
                <w:u w:val="single"/>
              </w:rPr>
            </w:pPr>
            <w:r w:rsidRPr="002A06FC">
              <w:rPr>
                <w:rFonts w:ascii="Arial" w:hAnsi="Arial" w:cs="Arial"/>
                <w:sz w:val="24"/>
                <w:szCs w:val="24"/>
                <w:u w:val="single"/>
              </w:rPr>
              <w:t xml:space="preserve">Failure by the respondents to produce the record of proceedings </w:t>
            </w:r>
          </w:p>
          <w:p w:rsidR="00C400FE" w:rsidRPr="00B601AD" w:rsidRDefault="00C400FE" w:rsidP="00B601AD">
            <w:pPr>
              <w:spacing w:line="360" w:lineRule="auto"/>
              <w:jc w:val="both"/>
              <w:rPr>
                <w:rFonts w:ascii="Arial" w:hAnsi="Arial" w:cs="Arial"/>
                <w:sz w:val="24"/>
                <w:szCs w:val="24"/>
              </w:rPr>
            </w:pPr>
          </w:p>
          <w:p w:rsidR="00CF7EBB" w:rsidRPr="00CF7EBB" w:rsidRDefault="00854E83" w:rsidP="00CF7EBB">
            <w:pPr>
              <w:spacing w:line="360" w:lineRule="auto"/>
              <w:jc w:val="both"/>
              <w:rPr>
                <w:rFonts w:ascii="Arial" w:hAnsi="Arial" w:cs="Arial"/>
                <w:sz w:val="24"/>
                <w:szCs w:val="24"/>
              </w:rPr>
            </w:pPr>
            <w:r>
              <w:rPr>
                <w:rFonts w:ascii="Arial" w:hAnsi="Arial" w:cs="Arial"/>
                <w:sz w:val="24"/>
                <w:szCs w:val="24"/>
              </w:rPr>
              <w:t>[2</w:t>
            </w:r>
            <w:r w:rsidR="00C7607B">
              <w:rPr>
                <w:rFonts w:ascii="Arial" w:hAnsi="Arial" w:cs="Arial"/>
                <w:sz w:val="24"/>
                <w:szCs w:val="24"/>
              </w:rPr>
              <w:t>1</w:t>
            </w:r>
            <w:r w:rsidR="00B601AD" w:rsidRPr="00B601AD">
              <w:rPr>
                <w:rFonts w:ascii="Arial" w:hAnsi="Arial" w:cs="Arial"/>
                <w:sz w:val="24"/>
                <w:szCs w:val="24"/>
              </w:rPr>
              <w:t>]</w:t>
            </w:r>
            <w:r w:rsidR="00C400FE">
              <w:rPr>
                <w:rFonts w:ascii="Arial" w:hAnsi="Arial" w:cs="Arial"/>
                <w:sz w:val="24"/>
                <w:szCs w:val="24"/>
              </w:rPr>
              <w:tab/>
            </w:r>
            <w:r w:rsidR="00CF7EBB">
              <w:rPr>
                <w:rFonts w:ascii="Arial" w:hAnsi="Arial" w:cs="Arial"/>
                <w:sz w:val="24"/>
                <w:szCs w:val="24"/>
              </w:rPr>
              <w:t xml:space="preserve">In the matter of </w:t>
            </w:r>
            <w:r w:rsidR="00CF7EBB" w:rsidRPr="00CF7EBB">
              <w:rPr>
                <w:rFonts w:ascii="Arial" w:hAnsi="Arial" w:cs="Arial"/>
                <w:i/>
                <w:sz w:val="24"/>
                <w:szCs w:val="24"/>
              </w:rPr>
              <w:t>New Era Investment (Pty) Ltd v Roads Authority</w:t>
            </w:r>
            <w:r w:rsidR="00CF7EBB">
              <w:rPr>
                <w:rStyle w:val="FootnoteReference"/>
                <w:rFonts w:ascii="Arial" w:hAnsi="Arial" w:cs="Arial"/>
                <w:i/>
                <w:sz w:val="24"/>
                <w:szCs w:val="24"/>
              </w:rPr>
              <w:footnoteReference w:id="2"/>
            </w:r>
            <w:r w:rsidR="00CF7EBB" w:rsidRPr="00CF7EBB">
              <w:rPr>
                <w:rFonts w:ascii="Arial" w:hAnsi="Arial" w:cs="Arial"/>
                <w:sz w:val="24"/>
                <w:szCs w:val="24"/>
              </w:rPr>
              <w:t xml:space="preserve"> Damaseb DCJ stated the following:</w:t>
            </w:r>
          </w:p>
          <w:p w:rsidR="00CF7EBB" w:rsidRPr="00CF7EBB" w:rsidRDefault="00CF7EBB" w:rsidP="00CF7EBB">
            <w:pPr>
              <w:spacing w:line="360" w:lineRule="auto"/>
              <w:jc w:val="both"/>
              <w:rPr>
                <w:rFonts w:ascii="Arial" w:hAnsi="Arial" w:cs="Arial"/>
                <w:sz w:val="24"/>
                <w:szCs w:val="24"/>
              </w:rPr>
            </w:pPr>
          </w:p>
          <w:p w:rsidR="00B601AD" w:rsidRPr="00B601AD" w:rsidRDefault="00CF7EBB" w:rsidP="00CF7EBB">
            <w:pPr>
              <w:spacing w:line="360" w:lineRule="auto"/>
              <w:jc w:val="both"/>
              <w:rPr>
                <w:rFonts w:ascii="Arial" w:hAnsi="Arial" w:cs="Arial"/>
                <w:sz w:val="24"/>
                <w:szCs w:val="24"/>
              </w:rPr>
            </w:pPr>
            <w:r w:rsidRPr="00CF7EBB">
              <w:rPr>
                <w:rFonts w:ascii="Arial" w:hAnsi="Arial" w:cs="Arial"/>
                <w:sz w:val="24"/>
                <w:szCs w:val="24"/>
              </w:rPr>
              <w:tab/>
            </w:r>
            <w:r w:rsidRPr="00CF7EBB">
              <w:rPr>
                <w:rFonts w:ascii="Arial" w:hAnsi="Arial" w:cs="Arial"/>
              </w:rPr>
              <w:t>‘It is trite that in review proceedings the production of the record of proceedings and the accompanying reasons sought to be reviewed is for the benefit of an applicant.</w:t>
            </w:r>
            <w:r>
              <w:rPr>
                <w:rFonts w:ascii="Arial" w:hAnsi="Arial" w:cs="Arial"/>
                <w:sz w:val="24"/>
                <w:szCs w:val="24"/>
              </w:rPr>
              <w:t>’</w:t>
            </w:r>
          </w:p>
          <w:p w:rsidR="00222B4E" w:rsidRDefault="00222B4E" w:rsidP="00B601AD">
            <w:pPr>
              <w:spacing w:line="360" w:lineRule="auto"/>
              <w:jc w:val="both"/>
              <w:rPr>
                <w:rFonts w:ascii="Arial" w:hAnsi="Arial" w:cs="Arial"/>
                <w:sz w:val="24"/>
                <w:szCs w:val="24"/>
              </w:rPr>
            </w:pPr>
          </w:p>
          <w:p w:rsidR="002C04BF" w:rsidRPr="00B601AD" w:rsidRDefault="00B601AD" w:rsidP="00B601AD">
            <w:pPr>
              <w:spacing w:line="360" w:lineRule="auto"/>
              <w:jc w:val="both"/>
              <w:rPr>
                <w:rFonts w:ascii="Arial" w:hAnsi="Arial" w:cs="Arial"/>
                <w:sz w:val="24"/>
                <w:szCs w:val="24"/>
              </w:rPr>
            </w:pPr>
            <w:r w:rsidRPr="00B601AD">
              <w:rPr>
                <w:rFonts w:ascii="Arial" w:hAnsi="Arial" w:cs="Arial"/>
                <w:sz w:val="24"/>
                <w:szCs w:val="24"/>
              </w:rPr>
              <w:t>[</w:t>
            </w:r>
            <w:r w:rsidR="00854E83">
              <w:rPr>
                <w:rFonts w:ascii="Arial" w:hAnsi="Arial" w:cs="Arial"/>
                <w:sz w:val="24"/>
                <w:szCs w:val="24"/>
              </w:rPr>
              <w:t>2</w:t>
            </w:r>
            <w:r w:rsidR="00C7607B">
              <w:rPr>
                <w:rFonts w:ascii="Arial" w:hAnsi="Arial" w:cs="Arial"/>
                <w:sz w:val="24"/>
                <w:szCs w:val="24"/>
              </w:rPr>
              <w:t>2</w:t>
            </w:r>
            <w:r w:rsidR="00E742E1">
              <w:rPr>
                <w:rFonts w:ascii="Arial" w:hAnsi="Arial" w:cs="Arial"/>
                <w:sz w:val="24"/>
                <w:szCs w:val="24"/>
              </w:rPr>
              <w:t>]</w:t>
            </w:r>
            <w:r w:rsidR="00CF7EBB" w:rsidRPr="00CF7EBB">
              <w:rPr>
                <w:rFonts w:ascii="Arial" w:hAnsi="Arial" w:cs="Arial"/>
                <w:sz w:val="24"/>
                <w:szCs w:val="24"/>
              </w:rPr>
              <w:tab/>
            </w:r>
            <w:r w:rsidR="00CF7EBB">
              <w:rPr>
                <w:rFonts w:ascii="Arial" w:hAnsi="Arial" w:cs="Arial"/>
                <w:sz w:val="24"/>
                <w:szCs w:val="24"/>
              </w:rPr>
              <w:t xml:space="preserve">In this review </w:t>
            </w:r>
            <w:r w:rsidR="00FF4DF0">
              <w:rPr>
                <w:rFonts w:ascii="Arial" w:hAnsi="Arial" w:cs="Arial"/>
                <w:sz w:val="24"/>
                <w:szCs w:val="24"/>
              </w:rPr>
              <w:t>application before court</w:t>
            </w:r>
            <w:r w:rsidR="004A186A">
              <w:rPr>
                <w:rFonts w:ascii="Arial" w:hAnsi="Arial" w:cs="Arial"/>
                <w:sz w:val="24"/>
                <w:szCs w:val="24"/>
              </w:rPr>
              <w:t>,</w:t>
            </w:r>
            <w:r w:rsidR="00FF4DF0">
              <w:rPr>
                <w:rFonts w:ascii="Arial" w:hAnsi="Arial" w:cs="Arial"/>
                <w:sz w:val="24"/>
                <w:szCs w:val="24"/>
              </w:rPr>
              <w:t xml:space="preserve"> the parties</w:t>
            </w:r>
            <w:r w:rsidR="00CF7EBB">
              <w:rPr>
                <w:rFonts w:ascii="Arial" w:hAnsi="Arial" w:cs="Arial"/>
                <w:sz w:val="24"/>
                <w:szCs w:val="24"/>
              </w:rPr>
              <w:t xml:space="preserve"> failed to produce the record of proceedings of the hearing which took place </w:t>
            </w:r>
            <w:r w:rsidR="00896965">
              <w:rPr>
                <w:rFonts w:ascii="Arial" w:hAnsi="Arial" w:cs="Arial"/>
                <w:sz w:val="24"/>
                <w:szCs w:val="24"/>
              </w:rPr>
              <w:t>from</w:t>
            </w:r>
            <w:r w:rsidR="00CF7EBB">
              <w:rPr>
                <w:rFonts w:ascii="Arial" w:hAnsi="Arial" w:cs="Arial"/>
                <w:sz w:val="24"/>
                <w:szCs w:val="24"/>
              </w:rPr>
              <w:t xml:space="preserve"> </w:t>
            </w:r>
            <w:r w:rsidR="00CF7EBB" w:rsidRPr="00CF7EBB">
              <w:rPr>
                <w:rFonts w:ascii="Arial" w:hAnsi="Arial" w:cs="Arial"/>
                <w:sz w:val="24"/>
                <w:szCs w:val="24"/>
              </w:rPr>
              <w:t xml:space="preserve">03 </w:t>
            </w:r>
            <w:r w:rsidR="00896965">
              <w:rPr>
                <w:rFonts w:ascii="Arial" w:hAnsi="Arial" w:cs="Arial"/>
                <w:sz w:val="24"/>
                <w:szCs w:val="24"/>
              </w:rPr>
              <w:t>to</w:t>
            </w:r>
            <w:r w:rsidR="00CF7EBB" w:rsidRPr="00CF7EBB">
              <w:rPr>
                <w:rFonts w:ascii="Arial" w:hAnsi="Arial" w:cs="Arial"/>
                <w:sz w:val="24"/>
                <w:szCs w:val="24"/>
              </w:rPr>
              <w:t xml:space="preserve"> 06 November 2020</w:t>
            </w:r>
            <w:r w:rsidR="00CF7EBB">
              <w:rPr>
                <w:rFonts w:ascii="Arial" w:hAnsi="Arial" w:cs="Arial"/>
                <w:sz w:val="24"/>
                <w:szCs w:val="24"/>
              </w:rPr>
              <w:t xml:space="preserve">. </w:t>
            </w:r>
            <w:r w:rsidR="00C7607B">
              <w:rPr>
                <w:rFonts w:ascii="Arial" w:hAnsi="Arial" w:cs="Arial"/>
                <w:sz w:val="24"/>
                <w:szCs w:val="24"/>
              </w:rPr>
              <w:t>Undoubtedly,</w:t>
            </w:r>
            <w:r w:rsidR="00661F61">
              <w:rPr>
                <w:rFonts w:ascii="Arial" w:hAnsi="Arial" w:cs="Arial"/>
                <w:sz w:val="24"/>
                <w:szCs w:val="24"/>
              </w:rPr>
              <w:t xml:space="preserve"> </w:t>
            </w:r>
            <w:r w:rsidR="00C7607B">
              <w:rPr>
                <w:rFonts w:ascii="Arial" w:hAnsi="Arial" w:cs="Arial"/>
                <w:sz w:val="24"/>
                <w:szCs w:val="24"/>
              </w:rPr>
              <w:t>the</w:t>
            </w:r>
            <w:r w:rsidR="00CF7EBB">
              <w:rPr>
                <w:rFonts w:ascii="Arial" w:hAnsi="Arial" w:cs="Arial"/>
                <w:sz w:val="24"/>
                <w:szCs w:val="24"/>
              </w:rPr>
              <w:t xml:space="preserve"> records of proceedings</w:t>
            </w:r>
            <w:r w:rsidR="00896965">
              <w:rPr>
                <w:rFonts w:ascii="Arial" w:hAnsi="Arial" w:cs="Arial"/>
                <w:sz w:val="24"/>
                <w:szCs w:val="24"/>
              </w:rPr>
              <w:t>/</w:t>
            </w:r>
            <w:r w:rsidR="00CF7EBB">
              <w:rPr>
                <w:rFonts w:ascii="Arial" w:hAnsi="Arial" w:cs="Arial"/>
                <w:sz w:val="24"/>
                <w:szCs w:val="24"/>
              </w:rPr>
              <w:t xml:space="preserve"> hearings</w:t>
            </w:r>
            <w:r w:rsidR="00896965">
              <w:rPr>
                <w:rFonts w:ascii="Arial" w:hAnsi="Arial" w:cs="Arial"/>
                <w:sz w:val="24"/>
                <w:szCs w:val="24"/>
              </w:rPr>
              <w:t>/</w:t>
            </w:r>
            <w:r w:rsidR="00CF7EBB">
              <w:rPr>
                <w:rFonts w:ascii="Arial" w:hAnsi="Arial" w:cs="Arial"/>
                <w:sz w:val="24"/>
                <w:szCs w:val="24"/>
              </w:rPr>
              <w:t xml:space="preserve"> meetings which took place in the past </w:t>
            </w:r>
            <w:r w:rsidR="00CF7EBB" w:rsidRPr="00CF7EBB">
              <w:rPr>
                <w:rFonts w:ascii="Arial" w:hAnsi="Arial" w:cs="Arial"/>
                <w:sz w:val="24"/>
                <w:szCs w:val="24"/>
              </w:rPr>
              <w:t>aid the courts in the adjudication of matters in order to attain justice. More often than not, it is only after having sight of the record that a picture of the proceedings under review will be laid bare for the court to scrutinize. Attempts to withhold court records from the reviewing court may have the capacity of placing insufficient information before</w:t>
            </w:r>
            <w:bookmarkStart w:id="0" w:name="_GoBack"/>
            <w:bookmarkEnd w:id="0"/>
            <w:r w:rsidR="00CF7EBB" w:rsidRPr="00CF7EBB">
              <w:rPr>
                <w:rFonts w:ascii="Arial" w:hAnsi="Arial" w:cs="Arial"/>
                <w:sz w:val="24"/>
                <w:szCs w:val="24"/>
              </w:rPr>
              <w:t xml:space="preserve"> court, which may at times mislead the court. Resultantly,</w:t>
            </w:r>
            <w:r w:rsidR="00CF7EBB">
              <w:rPr>
                <w:rFonts w:ascii="Arial" w:hAnsi="Arial" w:cs="Arial"/>
                <w:sz w:val="24"/>
                <w:szCs w:val="24"/>
              </w:rPr>
              <w:t xml:space="preserve"> injustices may be carried out.</w:t>
            </w:r>
            <w:r w:rsidR="00CF7EBB">
              <w:rPr>
                <w:rStyle w:val="FootnoteReference"/>
                <w:rFonts w:ascii="Arial" w:hAnsi="Arial" w:cs="Arial"/>
                <w:sz w:val="24"/>
                <w:szCs w:val="24"/>
              </w:rPr>
              <w:footnoteReference w:id="3"/>
            </w:r>
            <w:r w:rsidR="00CF7EBB" w:rsidRPr="00CF7EBB">
              <w:rPr>
                <w:rFonts w:ascii="Arial" w:hAnsi="Arial" w:cs="Arial"/>
                <w:sz w:val="24"/>
                <w:szCs w:val="24"/>
              </w:rPr>
              <w:t xml:space="preserve"> </w:t>
            </w:r>
          </w:p>
          <w:p w:rsidR="006A5290" w:rsidRDefault="006A5290" w:rsidP="00B601AD">
            <w:pPr>
              <w:spacing w:line="360" w:lineRule="auto"/>
              <w:jc w:val="both"/>
              <w:rPr>
                <w:rFonts w:ascii="Arial" w:hAnsi="Arial" w:cs="Arial"/>
                <w:sz w:val="24"/>
                <w:szCs w:val="24"/>
              </w:rPr>
            </w:pPr>
          </w:p>
          <w:p w:rsidR="00B601AD" w:rsidRPr="00B601AD" w:rsidRDefault="00B601AD" w:rsidP="00B601AD">
            <w:pPr>
              <w:spacing w:line="360" w:lineRule="auto"/>
              <w:jc w:val="both"/>
              <w:rPr>
                <w:rFonts w:ascii="Arial" w:hAnsi="Arial" w:cs="Arial"/>
                <w:sz w:val="24"/>
                <w:szCs w:val="24"/>
              </w:rPr>
            </w:pPr>
            <w:r w:rsidRPr="00B601AD">
              <w:rPr>
                <w:rFonts w:ascii="Arial" w:hAnsi="Arial" w:cs="Arial"/>
                <w:sz w:val="24"/>
                <w:szCs w:val="24"/>
              </w:rPr>
              <w:t>[</w:t>
            </w:r>
            <w:r w:rsidR="00854E83">
              <w:rPr>
                <w:rFonts w:ascii="Arial" w:hAnsi="Arial" w:cs="Arial"/>
                <w:sz w:val="24"/>
                <w:szCs w:val="24"/>
              </w:rPr>
              <w:t>2</w:t>
            </w:r>
            <w:r w:rsidR="00C7607B">
              <w:rPr>
                <w:rFonts w:ascii="Arial" w:hAnsi="Arial" w:cs="Arial"/>
                <w:sz w:val="24"/>
                <w:szCs w:val="24"/>
              </w:rPr>
              <w:t>3</w:t>
            </w:r>
            <w:r w:rsidRPr="00B601AD">
              <w:rPr>
                <w:rFonts w:ascii="Arial" w:hAnsi="Arial" w:cs="Arial"/>
                <w:sz w:val="24"/>
                <w:szCs w:val="24"/>
              </w:rPr>
              <w:t>]</w:t>
            </w:r>
            <w:r w:rsidRPr="00B601AD">
              <w:rPr>
                <w:rFonts w:ascii="Arial" w:hAnsi="Arial" w:cs="Arial"/>
                <w:sz w:val="24"/>
                <w:szCs w:val="24"/>
              </w:rPr>
              <w:tab/>
            </w:r>
            <w:r w:rsidR="00CF7EBB" w:rsidRPr="00CF7EBB">
              <w:rPr>
                <w:rFonts w:ascii="Arial" w:hAnsi="Arial" w:cs="Arial"/>
                <w:sz w:val="24"/>
                <w:szCs w:val="24"/>
              </w:rPr>
              <w:t xml:space="preserve">This court therefore finds that </w:t>
            </w:r>
            <w:r w:rsidR="00CF7EBB">
              <w:rPr>
                <w:rFonts w:ascii="Arial" w:hAnsi="Arial" w:cs="Arial"/>
                <w:sz w:val="24"/>
                <w:szCs w:val="24"/>
              </w:rPr>
              <w:t xml:space="preserve">the </w:t>
            </w:r>
            <w:r w:rsidR="003079CF">
              <w:rPr>
                <w:rFonts w:ascii="Arial" w:hAnsi="Arial" w:cs="Arial"/>
                <w:sz w:val="24"/>
                <w:szCs w:val="24"/>
              </w:rPr>
              <w:t xml:space="preserve">absence of the record </w:t>
            </w:r>
            <w:r w:rsidR="00CF7EBB">
              <w:rPr>
                <w:rFonts w:ascii="Arial" w:hAnsi="Arial" w:cs="Arial"/>
                <w:sz w:val="24"/>
                <w:szCs w:val="24"/>
              </w:rPr>
              <w:t xml:space="preserve">of proceedings </w:t>
            </w:r>
            <w:r w:rsidR="003079CF">
              <w:rPr>
                <w:rFonts w:ascii="Arial" w:hAnsi="Arial" w:cs="Arial"/>
                <w:sz w:val="24"/>
                <w:szCs w:val="24"/>
              </w:rPr>
              <w:t xml:space="preserve">is </w:t>
            </w:r>
            <w:r w:rsidR="003079CF" w:rsidRPr="003079CF">
              <w:rPr>
                <w:rFonts w:ascii="Arial" w:hAnsi="Arial" w:cs="Arial"/>
                <w:sz w:val="24"/>
                <w:szCs w:val="24"/>
              </w:rPr>
              <w:t>di</w:t>
            </w:r>
            <w:r w:rsidR="003079CF">
              <w:rPr>
                <w:rFonts w:ascii="Arial" w:hAnsi="Arial" w:cs="Arial"/>
                <w:sz w:val="24"/>
                <w:szCs w:val="24"/>
              </w:rPr>
              <w:t xml:space="preserve">spositive of the matter and </w:t>
            </w:r>
            <w:r w:rsidR="00222B4E">
              <w:rPr>
                <w:rFonts w:ascii="Arial" w:hAnsi="Arial" w:cs="Arial"/>
                <w:sz w:val="24"/>
                <w:szCs w:val="24"/>
              </w:rPr>
              <w:t>I do</w:t>
            </w:r>
            <w:r w:rsidR="003079CF">
              <w:rPr>
                <w:rFonts w:ascii="Arial" w:hAnsi="Arial" w:cs="Arial"/>
                <w:sz w:val="24"/>
                <w:szCs w:val="24"/>
              </w:rPr>
              <w:t xml:space="preserve"> </w:t>
            </w:r>
            <w:r w:rsidR="003079CF" w:rsidRPr="003079CF">
              <w:rPr>
                <w:rFonts w:ascii="Arial" w:hAnsi="Arial" w:cs="Arial"/>
                <w:sz w:val="24"/>
                <w:szCs w:val="24"/>
              </w:rPr>
              <w:t xml:space="preserve">not find it necessary to </w:t>
            </w:r>
            <w:r w:rsidR="003079CF">
              <w:rPr>
                <w:rFonts w:ascii="Arial" w:hAnsi="Arial" w:cs="Arial"/>
                <w:sz w:val="24"/>
                <w:szCs w:val="24"/>
              </w:rPr>
              <w:t xml:space="preserve">deal with the remaining grounds of review raised by the applicant. </w:t>
            </w:r>
          </w:p>
          <w:p w:rsidR="00B601AD" w:rsidRPr="0078733C" w:rsidRDefault="00B601AD" w:rsidP="00B601AD">
            <w:pPr>
              <w:spacing w:line="360" w:lineRule="auto"/>
              <w:jc w:val="both"/>
              <w:rPr>
                <w:rFonts w:ascii="Arial" w:hAnsi="Arial" w:cs="Arial"/>
                <w:sz w:val="24"/>
                <w:szCs w:val="24"/>
              </w:rPr>
            </w:pPr>
          </w:p>
          <w:p w:rsidR="00B601AD" w:rsidRPr="0078733C" w:rsidRDefault="00B601AD" w:rsidP="00B601AD">
            <w:pPr>
              <w:spacing w:line="360" w:lineRule="auto"/>
              <w:jc w:val="both"/>
              <w:rPr>
                <w:rFonts w:ascii="Arial" w:hAnsi="Arial" w:cs="Arial"/>
                <w:sz w:val="24"/>
                <w:szCs w:val="24"/>
                <w:u w:val="single"/>
              </w:rPr>
            </w:pPr>
            <w:r w:rsidRPr="0078733C">
              <w:rPr>
                <w:rFonts w:ascii="Arial" w:hAnsi="Arial" w:cs="Arial"/>
                <w:sz w:val="24"/>
                <w:szCs w:val="24"/>
                <w:u w:val="single"/>
              </w:rPr>
              <w:t>Costs</w:t>
            </w:r>
          </w:p>
          <w:p w:rsidR="00B601AD" w:rsidRPr="0078733C" w:rsidRDefault="00B601AD" w:rsidP="00B601AD">
            <w:pPr>
              <w:spacing w:line="360" w:lineRule="auto"/>
              <w:jc w:val="both"/>
              <w:rPr>
                <w:rFonts w:ascii="Arial" w:hAnsi="Arial" w:cs="Arial"/>
                <w:sz w:val="24"/>
                <w:szCs w:val="24"/>
              </w:rPr>
            </w:pPr>
          </w:p>
          <w:p w:rsidR="00B601AD" w:rsidRDefault="002C04BF" w:rsidP="00B601AD">
            <w:pPr>
              <w:spacing w:line="360" w:lineRule="auto"/>
              <w:jc w:val="both"/>
              <w:rPr>
                <w:rFonts w:ascii="Arial" w:hAnsi="Arial" w:cs="Arial"/>
                <w:sz w:val="24"/>
                <w:szCs w:val="24"/>
              </w:rPr>
            </w:pPr>
            <w:r>
              <w:rPr>
                <w:rFonts w:ascii="Arial" w:hAnsi="Arial" w:cs="Arial"/>
                <w:sz w:val="24"/>
                <w:szCs w:val="24"/>
              </w:rPr>
              <w:t>[24</w:t>
            </w:r>
            <w:r w:rsidR="00B601AD" w:rsidRPr="0078733C">
              <w:rPr>
                <w:rFonts w:ascii="Arial" w:hAnsi="Arial" w:cs="Arial"/>
                <w:sz w:val="24"/>
                <w:szCs w:val="24"/>
              </w:rPr>
              <w:t>]</w:t>
            </w:r>
            <w:r w:rsidR="00B601AD" w:rsidRPr="0078733C">
              <w:rPr>
                <w:rFonts w:ascii="Arial" w:hAnsi="Arial" w:cs="Arial"/>
                <w:sz w:val="24"/>
                <w:szCs w:val="24"/>
              </w:rPr>
              <w:tab/>
              <w:t xml:space="preserve">The only remaining issue to decide is the issue of costs. </w:t>
            </w:r>
            <w:r w:rsidR="00CF7EBB">
              <w:rPr>
                <w:rFonts w:ascii="Arial" w:hAnsi="Arial" w:cs="Arial"/>
                <w:sz w:val="24"/>
                <w:szCs w:val="24"/>
              </w:rPr>
              <w:t>The applicant is successful in his claim</w:t>
            </w:r>
            <w:r w:rsidR="009E524E">
              <w:rPr>
                <w:rFonts w:ascii="Arial" w:hAnsi="Arial" w:cs="Arial"/>
                <w:sz w:val="24"/>
                <w:szCs w:val="24"/>
              </w:rPr>
              <w:t>,</w:t>
            </w:r>
            <w:r w:rsidR="00CF7EBB">
              <w:rPr>
                <w:rFonts w:ascii="Arial" w:hAnsi="Arial" w:cs="Arial"/>
                <w:sz w:val="24"/>
                <w:szCs w:val="24"/>
              </w:rPr>
              <w:t xml:space="preserve"> and I do not see why c</w:t>
            </w:r>
            <w:r w:rsidR="00222B4E">
              <w:rPr>
                <w:rFonts w:ascii="Arial" w:hAnsi="Arial" w:cs="Arial"/>
                <w:sz w:val="24"/>
                <w:szCs w:val="24"/>
              </w:rPr>
              <w:t>osts should not follow the event</w:t>
            </w:r>
            <w:r w:rsidR="00CF7EBB">
              <w:rPr>
                <w:rFonts w:ascii="Arial" w:hAnsi="Arial" w:cs="Arial"/>
                <w:sz w:val="24"/>
                <w:szCs w:val="24"/>
              </w:rPr>
              <w:t>.</w:t>
            </w:r>
          </w:p>
          <w:p w:rsidR="00222B4E" w:rsidRPr="0078733C" w:rsidRDefault="00222B4E" w:rsidP="00B601AD">
            <w:pPr>
              <w:spacing w:line="360" w:lineRule="auto"/>
              <w:jc w:val="both"/>
              <w:rPr>
                <w:rFonts w:ascii="Arial" w:hAnsi="Arial" w:cs="Arial"/>
                <w:sz w:val="24"/>
                <w:szCs w:val="24"/>
              </w:rPr>
            </w:pPr>
          </w:p>
          <w:p w:rsidR="00B601AD" w:rsidRPr="00834E1C" w:rsidRDefault="00B601AD" w:rsidP="00B601AD">
            <w:pPr>
              <w:spacing w:line="360" w:lineRule="auto"/>
              <w:jc w:val="both"/>
              <w:rPr>
                <w:rFonts w:ascii="Arial" w:hAnsi="Arial" w:cs="Arial"/>
                <w:sz w:val="24"/>
                <w:szCs w:val="24"/>
                <w:u w:val="single"/>
              </w:rPr>
            </w:pPr>
            <w:r w:rsidRPr="00834E1C">
              <w:rPr>
                <w:rFonts w:ascii="Arial" w:hAnsi="Arial" w:cs="Arial"/>
                <w:sz w:val="24"/>
                <w:szCs w:val="24"/>
                <w:u w:val="single"/>
              </w:rPr>
              <w:t xml:space="preserve">Order </w:t>
            </w:r>
          </w:p>
          <w:p w:rsidR="00737C3D" w:rsidRPr="0078733C" w:rsidRDefault="00737C3D" w:rsidP="00474C2A">
            <w:pPr>
              <w:tabs>
                <w:tab w:val="left" w:pos="837"/>
              </w:tabs>
              <w:spacing w:line="360" w:lineRule="auto"/>
              <w:jc w:val="both"/>
              <w:rPr>
                <w:rFonts w:ascii="Arial" w:hAnsi="Arial" w:cs="Arial"/>
                <w:sz w:val="24"/>
                <w:szCs w:val="24"/>
              </w:rPr>
            </w:pPr>
          </w:p>
          <w:p w:rsidR="00737C3D" w:rsidRDefault="002C04BF" w:rsidP="00474C2A">
            <w:pPr>
              <w:tabs>
                <w:tab w:val="left" w:pos="837"/>
              </w:tabs>
              <w:spacing w:line="360" w:lineRule="auto"/>
              <w:jc w:val="both"/>
              <w:rPr>
                <w:rFonts w:ascii="Arial" w:hAnsi="Arial" w:cs="Arial"/>
                <w:sz w:val="24"/>
                <w:szCs w:val="24"/>
              </w:rPr>
            </w:pPr>
            <w:r>
              <w:rPr>
                <w:rFonts w:ascii="Arial" w:hAnsi="Arial" w:cs="Arial"/>
                <w:sz w:val="24"/>
                <w:szCs w:val="24"/>
              </w:rPr>
              <w:t>[25</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Default="0000513F" w:rsidP="00937C89">
            <w:pPr>
              <w:spacing w:line="360" w:lineRule="auto"/>
              <w:jc w:val="both"/>
              <w:rPr>
                <w:rFonts w:ascii="Arial" w:hAnsi="Arial" w:cs="Arial"/>
                <w:sz w:val="24"/>
                <w:szCs w:val="24"/>
              </w:rPr>
            </w:pPr>
          </w:p>
          <w:p w:rsidR="002A06FC" w:rsidRPr="00CA7995" w:rsidRDefault="002A06FC"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3F6C42"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B40844" w:rsidRPr="00CA7995" w:rsidRDefault="003F6C42" w:rsidP="00937C89">
            <w:pPr>
              <w:spacing w:line="360" w:lineRule="auto"/>
              <w:jc w:val="center"/>
              <w:rPr>
                <w:rFonts w:ascii="Arial" w:hAnsi="Arial" w:cs="Arial"/>
                <w:b/>
                <w:sz w:val="24"/>
                <w:szCs w:val="24"/>
              </w:rPr>
            </w:pPr>
            <w:r>
              <w:rPr>
                <w:rFonts w:ascii="Arial" w:hAnsi="Arial" w:cs="Arial"/>
                <w:b/>
                <w:sz w:val="24"/>
                <w:szCs w:val="24"/>
              </w:rPr>
              <w:t>1-3 Respondents</w:t>
            </w:r>
          </w:p>
        </w:tc>
      </w:tr>
      <w:tr w:rsidR="00CA7995" w:rsidRPr="00CA7995" w:rsidTr="0000513F">
        <w:tc>
          <w:tcPr>
            <w:tcW w:w="5232" w:type="dxa"/>
          </w:tcPr>
          <w:p w:rsidR="00B40844" w:rsidRPr="002F1E33" w:rsidRDefault="003F6C42" w:rsidP="00937C89">
            <w:pPr>
              <w:spacing w:line="360" w:lineRule="auto"/>
              <w:jc w:val="center"/>
              <w:rPr>
                <w:rFonts w:ascii="Arial" w:hAnsi="Arial" w:cs="Arial"/>
                <w:sz w:val="24"/>
                <w:szCs w:val="24"/>
              </w:rPr>
            </w:pPr>
            <w:r>
              <w:rPr>
                <w:rFonts w:ascii="Arial" w:hAnsi="Arial" w:cs="Arial"/>
                <w:sz w:val="24"/>
                <w:szCs w:val="24"/>
              </w:rPr>
              <w:t>V Kauta</w:t>
            </w:r>
          </w:p>
          <w:p w:rsidR="002F1E33" w:rsidRDefault="0078733C" w:rsidP="00937C89">
            <w:pPr>
              <w:spacing w:line="360" w:lineRule="auto"/>
              <w:jc w:val="center"/>
              <w:rPr>
                <w:rFonts w:ascii="Arial" w:hAnsi="Arial" w:cs="Arial"/>
                <w:sz w:val="24"/>
                <w:szCs w:val="24"/>
              </w:rPr>
            </w:pPr>
            <w:r w:rsidRPr="002F1E33">
              <w:rPr>
                <w:rFonts w:ascii="Arial" w:hAnsi="Arial" w:cs="Arial"/>
                <w:sz w:val="24"/>
                <w:szCs w:val="24"/>
              </w:rPr>
              <w:t>Instructed by</w:t>
            </w:r>
          </w:p>
          <w:p w:rsidR="00B40844" w:rsidRPr="00D24453" w:rsidRDefault="003F6C42" w:rsidP="009B2B9B">
            <w:pPr>
              <w:spacing w:line="360" w:lineRule="auto"/>
              <w:jc w:val="center"/>
              <w:rPr>
                <w:rFonts w:ascii="Arial" w:hAnsi="Arial" w:cs="Arial"/>
                <w:sz w:val="24"/>
                <w:szCs w:val="24"/>
              </w:rPr>
            </w:pPr>
            <w:r>
              <w:rPr>
                <w:rFonts w:ascii="Arial" w:hAnsi="Arial" w:cs="Arial"/>
                <w:sz w:val="24"/>
                <w:szCs w:val="24"/>
              </w:rPr>
              <w:t>Shikongo Law Chambers</w:t>
            </w:r>
            <w:r w:rsidR="0078733C" w:rsidRPr="002F1E33">
              <w:rPr>
                <w:rFonts w:ascii="Arial" w:hAnsi="Arial" w:cs="Arial"/>
                <w:sz w:val="24"/>
                <w:szCs w:val="24"/>
              </w:rPr>
              <w:t xml:space="preserve">, Windhoek </w:t>
            </w:r>
          </w:p>
        </w:tc>
        <w:tc>
          <w:tcPr>
            <w:tcW w:w="5244" w:type="dxa"/>
            <w:gridSpan w:val="2"/>
          </w:tcPr>
          <w:p w:rsidR="002F1E33" w:rsidRDefault="003F6C42" w:rsidP="002F1E33">
            <w:pPr>
              <w:spacing w:line="360" w:lineRule="auto"/>
              <w:jc w:val="center"/>
              <w:rPr>
                <w:rFonts w:ascii="Arial" w:hAnsi="Arial" w:cs="Arial"/>
                <w:sz w:val="24"/>
                <w:szCs w:val="24"/>
              </w:rPr>
            </w:pPr>
            <w:r>
              <w:rPr>
                <w:rFonts w:ascii="Arial" w:hAnsi="Arial" w:cs="Arial"/>
                <w:sz w:val="24"/>
                <w:szCs w:val="24"/>
              </w:rPr>
              <w:t>J Ncube</w:t>
            </w:r>
          </w:p>
          <w:p w:rsidR="002F1E33" w:rsidRDefault="003F6C42" w:rsidP="002F1E33">
            <w:pPr>
              <w:pStyle w:val="BodyText3"/>
            </w:pPr>
            <w:r>
              <w:t>Of the</w:t>
            </w:r>
            <w:r w:rsidR="002F1E33">
              <w:t xml:space="preserve"> </w:t>
            </w:r>
          </w:p>
          <w:p w:rsidR="00B40844" w:rsidRPr="002F1E33" w:rsidRDefault="003F6C42" w:rsidP="002F1E33">
            <w:pPr>
              <w:pStyle w:val="BodyText3"/>
              <w:rPr>
                <w:i/>
              </w:rPr>
            </w:pPr>
            <w:r>
              <w:t>Office of the Government Attorneys, Windhoek</w:t>
            </w:r>
          </w:p>
          <w:p w:rsidR="0000513F" w:rsidRPr="00CA7995" w:rsidRDefault="0000513F" w:rsidP="00937C89">
            <w:pPr>
              <w:spacing w:line="360" w:lineRule="auto"/>
              <w:jc w:val="center"/>
              <w:rPr>
                <w:rFonts w:ascii="Arial" w:hAnsi="Arial" w:cs="Arial"/>
                <w:sz w:val="24"/>
                <w:szCs w:val="24"/>
              </w:rPr>
            </w:pP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8A" w:rsidRDefault="00A9228A" w:rsidP="00B40844">
      <w:pPr>
        <w:spacing w:after="0" w:line="240" w:lineRule="auto"/>
      </w:pPr>
      <w:r>
        <w:separator/>
      </w:r>
    </w:p>
  </w:endnote>
  <w:endnote w:type="continuationSeparator" w:id="0">
    <w:p w:rsidR="00A9228A" w:rsidRDefault="00A9228A"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8A" w:rsidRDefault="00A9228A" w:rsidP="00B40844">
      <w:pPr>
        <w:spacing w:after="0" w:line="240" w:lineRule="auto"/>
      </w:pPr>
      <w:r>
        <w:separator/>
      </w:r>
    </w:p>
  </w:footnote>
  <w:footnote w:type="continuationSeparator" w:id="0">
    <w:p w:rsidR="00A9228A" w:rsidRDefault="00A9228A" w:rsidP="00B40844">
      <w:pPr>
        <w:spacing w:after="0" w:line="240" w:lineRule="auto"/>
      </w:pPr>
      <w:r>
        <w:continuationSeparator/>
      </w:r>
    </w:p>
  </w:footnote>
  <w:footnote w:id="1">
    <w:p w:rsidR="008264CD" w:rsidRPr="008264CD" w:rsidRDefault="008264CD">
      <w:pPr>
        <w:pStyle w:val="FootnoteText"/>
        <w:rPr>
          <w:rFonts w:ascii="Arial" w:hAnsi="Arial" w:cs="Arial"/>
          <w:lang w:val="en-US"/>
        </w:rPr>
      </w:pPr>
      <w:r w:rsidRPr="008264CD">
        <w:rPr>
          <w:rStyle w:val="FootnoteReference"/>
          <w:rFonts w:ascii="Arial" w:hAnsi="Arial" w:cs="Arial"/>
        </w:rPr>
        <w:footnoteRef/>
      </w:r>
      <w:r w:rsidRPr="008264CD">
        <w:rPr>
          <w:rFonts w:ascii="Arial" w:hAnsi="Arial" w:cs="Arial"/>
        </w:rPr>
        <w:t xml:space="preserve"> </w:t>
      </w:r>
      <w:r w:rsidRPr="008264CD">
        <w:rPr>
          <w:rFonts w:ascii="Arial" w:hAnsi="Arial" w:cs="Arial"/>
          <w:i/>
        </w:rPr>
        <w:t>South African Pou</w:t>
      </w:r>
      <w:r w:rsidR="00222B4E">
        <w:rPr>
          <w:rFonts w:ascii="Arial" w:hAnsi="Arial" w:cs="Arial"/>
          <w:i/>
        </w:rPr>
        <w:t>ltry Association and 5 Others v</w:t>
      </w:r>
      <w:r w:rsidRPr="008264CD">
        <w:rPr>
          <w:rFonts w:ascii="Arial" w:hAnsi="Arial" w:cs="Arial"/>
          <w:i/>
        </w:rPr>
        <w:t xml:space="preserve"> Minister of Trade and Industry and 3 Others</w:t>
      </w:r>
      <w:r w:rsidRPr="008264CD">
        <w:rPr>
          <w:rFonts w:ascii="Arial" w:hAnsi="Arial" w:cs="Arial"/>
        </w:rPr>
        <w:t xml:space="preserve"> (SA 37 – 2016) [2018] NASC (17 January 2018).</w:t>
      </w:r>
    </w:p>
  </w:footnote>
  <w:footnote w:id="2">
    <w:p w:rsidR="00CF7EBB" w:rsidRPr="004037D6" w:rsidRDefault="00CF7EBB">
      <w:pPr>
        <w:pStyle w:val="FootnoteText"/>
        <w:rPr>
          <w:rFonts w:ascii="Arial" w:hAnsi="Arial" w:cs="Arial"/>
          <w:lang w:val="en-US"/>
        </w:rPr>
      </w:pPr>
      <w:r>
        <w:rPr>
          <w:rStyle w:val="FootnoteReference"/>
        </w:rPr>
        <w:footnoteRef/>
      </w:r>
      <w:r>
        <w:t xml:space="preserve"> </w:t>
      </w:r>
      <w:r w:rsidRPr="004037D6">
        <w:rPr>
          <w:rFonts w:ascii="Arial" w:hAnsi="Arial" w:cs="Arial"/>
          <w:i/>
        </w:rPr>
        <w:t>New Era Investment (Pty) Ltd v Roads Authority</w:t>
      </w:r>
      <w:r w:rsidRPr="004037D6">
        <w:rPr>
          <w:rFonts w:ascii="Arial" w:hAnsi="Arial" w:cs="Arial"/>
        </w:rPr>
        <w:t xml:space="preserve"> 2017 (4) NR 1160 (SC).</w:t>
      </w:r>
    </w:p>
  </w:footnote>
  <w:footnote w:id="3">
    <w:p w:rsidR="002A06FC" w:rsidRPr="004037D6" w:rsidRDefault="00CF7EBB" w:rsidP="002A06FC">
      <w:pPr>
        <w:rPr>
          <w:rFonts w:ascii="Arial" w:hAnsi="Arial" w:cs="Arial"/>
          <w:sz w:val="20"/>
          <w:szCs w:val="20"/>
        </w:rPr>
      </w:pPr>
      <w:r w:rsidRPr="004037D6">
        <w:rPr>
          <w:rStyle w:val="FootnoteReference"/>
          <w:rFonts w:ascii="Arial" w:hAnsi="Arial" w:cs="Arial"/>
        </w:rPr>
        <w:footnoteRef/>
      </w:r>
      <w:r w:rsidRPr="004037D6">
        <w:rPr>
          <w:rFonts w:ascii="Arial" w:hAnsi="Arial" w:cs="Arial"/>
        </w:rPr>
        <w:t xml:space="preserve"> </w:t>
      </w:r>
      <w:r w:rsidR="002A06FC" w:rsidRPr="004037D6">
        <w:rPr>
          <w:rFonts w:ascii="Arial" w:hAnsi="Arial" w:cs="Arial"/>
          <w:i/>
          <w:sz w:val="20"/>
          <w:szCs w:val="20"/>
        </w:rPr>
        <w:t>Simon v The Prosecutor-General of Namibia</w:t>
      </w:r>
      <w:r w:rsidR="002A06FC" w:rsidRPr="004037D6">
        <w:rPr>
          <w:rFonts w:ascii="Arial" w:hAnsi="Arial" w:cs="Arial"/>
          <w:sz w:val="20"/>
          <w:szCs w:val="20"/>
        </w:rPr>
        <w:t xml:space="preserve"> (HC-MD-CIV-MOT-GEN-2020/00080) [2020] NAHCMD 221 (12 June 2020).</w:t>
      </w:r>
    </w:p>
    <w:p w:rsidR="00CF7EBB" w:rsidRPr="00CF7EBB" w:rsidRDefault="00CF7EB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9610"/>
      <w:docPartObj>
        <w:docPartGallery w:val="Page Numbers (Top of Page)"/>
        <w:docPartUnique/>
      </w:docPartObj>
    </w:sdtPr>
    <w:sdtEndPr>
      <w:rPr>
        <w:noProof/>
      </w:rPr>
    </w:sdtEndPr>
    <w:sdtContent>
      <w:p w:rsidR="006C63EF" w:rsidRDefault="006C63EF">
        <w:pPr>
          <w:pStyle w:val="Header"/>
          <w:jc w:val="right"/>
        </w:pPr>
        <w:r>
          <w:fldChar w:fldCharType="begin"/>
        </w:r>
        <w:r>
          <w:instrText xml:space="preserve"> PAGE   \* MERGEFORMAT </w:instrText>
        </w:r>
        <w:r>
          <w:fldChar w:fldCharType="separate"/>
        </w:r>
        <w:r w:rsidR="003E2919">
          <w:rPr>
            <w:noProof/>
          </w:rPr>
          <w:t>9</w:t>
        </w:r>
        <w:r>
          <w:rPr>
            <w:noProof/>
          </w:rPr>
          <w:fldChar w:fldCharType="end"/>
        </w:r>
      </w:p>
    </w:sdtContent>
  </w:sdt>
  <w:p w:rsidR="006C63EF" w:rsidRDefault="006C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219E2"/>
    <w:rsid w:val="00030A66"/>
    <w:rsid w:val="00052806"/>
    <w:rsid w:val="00053646"/>
    <w:rsid w:val="00057F58"/>
    <w:rsid w:val="000929C5"/>
    <w:rsid w:val="000967D1"/>
    <w:rsid w:val="000A51B1"/>
    <w:rsid w:val="000A6E7F"/>
    <w:rsid w:val="000C03BB"/>
    <w:rsid w:val="000D1127"/>
    <w:rsid w:val="000D3C9C"/>
    <w:rsid w:val="000F1066"/>
    <w:rsid w:val="000F1377"/>
    <w:rsid w:val="000F23C1"/>
    <w:rsid w:val="000F39A3"/>
    <w:rsid w:val="000F681E"/>
    <w:rsid w:val="00116AFB"/>
    <w:rsid w:val="001223B7"/>
    <w:rsid w:val="00124ABE"/>
    <w:rsid w:val="00124C63"/>
    <w:rsid w:val="0012745E"/>
    <w:rsid w:val="00152FEA"/>
    <w:rsid w:val="001744E0"/>
    <w:rsid w:val="00180150"/>
    <w:rsid w:val="0018718C"/>
    <w:rsid w:val="001B3825"/>
    <w:rsid w:val="001B5A74"/>
    <w:rsid w:val="001C3638"/>
    <w:rsid w:val="001E097B"/>
    <w:rsid w:val="002013B6"/>
    <w:rsid w:val="00217744"/>
    <w:rsid w:val="00222B4E"/>
    <w:rsid w:val="00224808"/>
    <w:rsid w:val="002317B0"/>
    <w:rsid w:val="00231AFA"/>
    <w:rsid w:val="0023549A"/>
    <w:rsid w:val="002536EA"/>
    <w:rsid w:val="0026588D"/>
    <w:rsid w:val="00267443"/>
    <w:rsid w:val="00276736"/>
    <w:rsid w:val="002A06FC"/>
    <w:rsid w:val="002A4AA3"/>
    <w:rsid w:val="002B38E0"/>
    <w:rsid w:val="002C04BF"/>
    <w:rsid w:val="002C1EF6"/>
    <w:rsid w:val="002D20C5"/>
    <w:rsid w:val="002E2AA4"/>
    <w:rsid w:val="002E738E"/>
    <w:rsid w:val="002F1E33"/>
    <w:rsid w:val="002F31BE"/>
    <w:rsid w:val="003079CF"/>
    <w:rsid w:val="0031523D"/>
    <w:rsid w:val="00322F39"/>
    <w:rsid w:val="00323566"/>
    <w:rsid w:val="00323AAF"/>
    <w:rsid w:val="00323E22"/>
    <w:rsid w:val="00340EA6"/>
    <w:rsid w:val="003413C7"/>
    <w:rsid w:val="00341C0F"/>
    <w:rsid w:val="0035617B"/>
    <w:rsid w:val="00371B8F"/>
    <w:rsid w:val="0038382D"/>
    <w:rsid w:val="00384B95"/>
    <w:rsid w:val="00392547"/>
    <w:rsid w:val="003A18AD"/>
    <w:rsid w:val="003A49EA"/>
    <w:rsid w:val="003C2574"/>
    <w:rsid w:val="003D165C"/>
    <w:rsid w:val="003D3059"/>
    <w:rsid w:val="003D5B62"/>
    <w:rsid w:val="003E2919"/>
    <w:rsid w:val="003E6780"/>
    <w:rsid w:val="003F6C42"/>
    <w:rsid w:val="004037D6"/>
    <w:rsid w:val="00404B70"/>
    <w:rsid w:val="004117F7"/>
    <w:rsid w:val="00412278"/>
    <w:rsid w:val="00423657"/>
    <w:rsid w:val="00426C60"/>
    <w:rsid w:val="00431A65"/>
    <w:rsid w:val="004352E5"/>
    <w:rsid w:val="004358E2"/>
    <w:rsid w:val="00435ED8"/>
    <w:rsid w:val="00436C2B"/>
    <w:rsid w:val="00463486"/>
    <w:rsid w:val="004665B1"/>
    <w:rsid w:val="00466B36"/>
    <w:rsid w:val="00474C2A"/>
    <w:rsid w:val="00475B7A"/>
    <w:rsid w:val="004907E4"/>
    <w:rsid w:val="004936A7"/>
    <w:rsid w:val="004A186A"/>
    <w:rsid w:val="004A1B08"/>
    <w:rsid w:val="004A2D48"/>
    <w:rsid w:val="004A7F0B"/>
    <w:rsid w:val="004B5C5F"/>
    <w:rsid w:val="004C646F"/>
    <w:rsid w:val="004D4925"/>
    <w:rsid w:val="004F00BA"/>
    <w:rsid w:val="005028DC"/>
    <w:rsid w:val="00503F36"/>
    <w:rsid w:val="005046E6"/>
    <w:rsid w:val="005060A3"/>
    <w:rsid w:val="00533FD6"/>
    <w:rsid w:val="00535F29"/>
    <w:rsid w:val="00536EFF"/>
    <w:rsid w:val="00552964"/>
    <w:rsid w:val="005606A6"/>
    <w:rsid w:val="00562322"/>
    <w:rsid w:val="005629DA"/>
    <w:rsid w:val="005676AD"/>
    <w:rsid w:val="00594F6C"/>
    <w:rsid w:val="005A4D90"/>
    <w:rsid w:val="005B62A0"/>
    <w:rsid w:val="005C0E24"/>
    <w:rsid w:val="005C21D7"/>
    <w:rsid w:val="005C3354"/>
    <w:rsid w:val="005C43C0"/>
    <w:rsid w:val="005D7BD0"/>
    <w:rsid w:val="005F325C"/>
    <w:rsid w:val="005F32EB"/>
    <w:rsid w:val="00610BF1"/>
    <w:rsid w:val="006115E2"/>
    <w:rsid w:val="0065148F"/>
    <w:rsid w:val="00651E37"/>
    <w:rsid w:val="00661F61"/>
    <w:rsid w:val="00672C76"/>
    <w:rsid w:val="006916C9"/>
    <w:rsid w:val="00691870"/>
    <w:rsid w:val="00695745"/>
    <w:rsid w:val="006976D9"/>
    <w:rsid w:val="006A0BA4"/>
    <w:rsid w:val="006A5290"/>
    <w:rsid w:val="006B7521"/>
    <w:rsid w:val="006C63EF"/>
    <w:rsid w:val="006D0991"/>
    <w:rsid w:val="006D7450"/>
    <w:rsid w:val="006E0FD4"/>
    <w:rsid w:val="006E1E1D"/>
    <w:rsid w:val="006E363B"/>
    <w:rsid w:val="006E3BDF"/>
    <w:rsid w:val="00701049"/>
    <w:rsid w:val="00702C62"/>
    <w:rsid w:val="00703171"/>
    <w:rsid w:val="00720164"/>
    <w:rsid w:val="007221F2"/>
    <w:rsid w:val="00736DA4"/>
    <w:rsid w:val="00737C3D"/>
    <w:rsid w:val="00745E47"/>
    <w:rsid w:val="00746C0C"/>
    <w:rsid w:val="007500F6"/>
    <w:rsid w:val="00766C68"/>
    <w:rsid w:val="00766DDA"/>
    <w:rsid w:val="00773701"/>
    <w:rsid w:val="0078130E"/>
    <w:rsid w:val="0078274D"/>
    <w:rsid w:val="007853D8"/>
    <w:rsid w:val="0078733C"/>
    <w:rsid w:val="00793E9C"/>
    <w:rsid w:val="007950C8"/>
    <w:rsid w:val="00796B9C"/>
    <w:rsid w:val="007B5FB1"/>
    <w:rsid w:val="007D0792"/>
    <w:rsid w:val="007D5304"/>
    <w:rsid w:val="007D6C74"/>
    <w:rsid w:val="007E48F9"/>
    <w:rsid w:val="007F68C4"/>
    <w:rsid w:val="008006A3"/>
    <w:rsid w:val="00805692"/>
    <w:rsid w:val="00812409"/>
    <w:rsid w:val="00816D5D"/>
    <w:rsid w:val="00821A0C"/>
    <w:rsid w:val="008264CD"/>
    <w:rsid w:val="0082664C"/>
    <w:rsid w:val="008275AC"/>
    <w:rsid w:val="00834E1C"/>
    <w:rsid w:val="00835300"/>
    <w:rsid w:val="0084650C"/>
    <w:rsid w:val="00847FA3"/>
    <w:rsid w:val="00854E83"/>
    <w:rsid w:val="0086724F"/>
    <w:rsid w:val="00876E39"/>
    <w:rsid w:val="008822E3"/>
    <w:rsid w:val="00882F73"/>
    <w:rsid w:val="00890A20"/>
    <w:rsid w:val="00892D9A"/>
    <w:rsid w:val="00896965"/>
    <w:rsid w:val="008A1447"/>
    <w:rsid w:val="008B171D"/>
    <w:rsid w:val="008C2200"/>
    <w:rsid w:val="008E0730"/>
    <w:rsid w:val="008F5871"/>
    <w:rsid w:val="008F59A0"/>
    <w:rsid w:val="0091061F"/>
    <w:rsid w:val="009279BE"/>
    <w:rsid w:val="00932697"/>
    <w:rsid w:val="00937072"/>
    <w:rsid w:val="00937C89"/>
    <w:rsid w:val="0095137C"/>
    <w:rsid w:val="00952458"/>
    <w:rsid w:val="009617AA"/>
    <w:rsid w:val="00970593"/>
    <w:rsid w:val="009733A9"/>
    <w:rsid w:val="00981C0C"/>
    <w:rsid w:val="009917E4"/>
    <w:rsid w:val="009919F6"/>
    <w:rsid w:val="009936A6"/>
    <w:rsid w:val="00997C11"/>
    <w:rsid w:val="009A14C6"/>
    <w:rsid w:val="009A7A59"/>
    <w:rsid w:val="009B2B9B"/>
    <w:rsid w:val="009C35C9"/>
    <w:rsid w:val="009C6F3F"/>
    <w:rsid w:val="009D0C21"/>
    <w:rsid w:val="009D27E8"/>
    <w:rsid w:val="009E524E"/>
    <w:rsid w:val="009E7B34"/>
    <w:rsid w:val="00A021D4"/>
    <w:rsid w:val="00A0350A"/>
    <w:rsid w:val="00A10E40"/>
    <w:rsid w:val="00A15CD1"/>
    <w:rsid w:val="00A22E0F"/>
    <w:rsid w:val="00A26B7B"/>
    <w:rsid w:val="00A3327E"/>
    <w:rsid w:val="00A460A9"/>
    <w:rsid w:val="00A50F13"/>
    <w:rsid w:val="00A5475B"/>
    <w:rsid w:val="00A65D6A"/>
    <w:rsid w:val="00A66511"/>
    <w:rsid w:val="00A73029"/>
    <w:rsid w:val="00A75ED6"/>
    <w:rsid w:val="00A82221"/>
    <w:rsid w:val="00A86B1F"/>
    <w:rsid w:val="00A9228A"/>
    <w:rsid w:val="00A9432E"/>
    <w:rsid w:val="00AA3ECB"/>
    <w:rsid w:val="00AB62B9"/>
    <w:rsid w:val="00AD72DD"/>
    <w:rsid w:val="00AD7630"/>
    <w:rsid w:val="00B01B6C"/>
    <w:rsid w:val="00B0336D"/>
    <w:rsid w:val="00B121EA"/>
    <w:rsid w:val="00B31E89"/>
    <w:rsid w:val="00B34AD7"/>
    <w:rsid w:val="00B40844"/>
    <w:rsid w:val="00B463CA"/>
    <w:rsid w:val="00B47800"/>
    <w:rsid w:val="00B50C99"/>
    <w:rsid w:val="00B55315"/>
    <w:rsid w:val="00B56E34"/>
    <w:rsid w:val="00B5737E"/>
    <w:rsid w:val="00B601AD"/>
    <w:rsid w:val="00B61AC7"/>
    <w:rsid w:val="00B808CB"/>
    <w:rsid w:val="00B845CF"/>
    <w:rsid w:val="00B92DE7"/>
    <w:rsid w:val="00B9407E"/>
    <w:rsid w:val="00BA0DFA"/>
    <w:rsid w:val="00BB13F4"/>
    <w:rsid w:val="00BB3273"/>
    <w:rsid w:val="00BC5931"/>
    <w:rsid w:val="00BE31AD"/>
    <w:rsid w:val="00BE373B"/>
    <w:rsid w:val="00BF6A3C"/>
    <w:rsid w:val="00BF7C59"/>
    <w:rsid w:val="00C04F28"/>
    <w:rsid w:val="00C06EB4"/>
    <w:rsid w:val="00C2503B"/>
    <w:rsid w:val="00C2633E"/>
    <w:rsid w:val="00C400FE"/>
    <w:rsid w:val="00C54391"/>
    <w:rsid w:val="00C62B2B"/>
    <w:rsid w:val="00C73D5D"/>
    <w:rsid w:val="00C7607B"/>
    <w:rsid w:val="00C83114"/>
    <w:rsid w:val="00C84405"/>
    <w:rsid w:val="00CA0053"/>
    <w:rsid w:val="00CA7995"/>
    <w:rsid w:val="00CB4382"/>
    <w:rsid w:val="00CC7431"/>
    <w:rsid w:val="00CD62C0"/>
    <w:rsid w:val="00CE33A0"/>
    <w:rsid w:val="00CE5E5B"/>
    <w:rsid w:val="00CF413C"/>
    <w:rsid w:val="00CF7EBB"/>
    <w:rsid w:val="00D113DD"/>
    <w:rsid w:val="00D14EF6"/>
    <w:rsid w:val="00D24453"/>
    <w:rsid w:val="00D25285"/>
    <w:rsid w:val="00D30D4D"/>
    <w:rsid w:val="00D37DAA"/>
    <w:rsid w:val="00D5070E"/>
    <w:rsid w:val="00D511F4"/>
    <w:rsid w:val="00D547B6"/>
    <w:rsid w:val="00D6224D"/>
    <w:rsid w:val="00D67B2D"/>
    <w:rsid w:val="00D80947"/>
    <w:rsid w:val="00D837ED"/>
    <w:rsid w:val="00D91FF4"/>
    <w:rsid w:val="00D960EA"/>
    <w:rsid w:val="00DB5AA2"/>
    <w:rsid w:val="00DD76E7"/>
    <w:rsid w:val="00DF4A5A"/>
    <w:rsid w:val="00DF4AE5"/>
    <w:rsid w:val="00E0573A"/>
    <w:rsid w:val="00E11E88"/>
    <w:rsid w:val="00E15D0F"/>
    <w:rsid w:val="00E221FD"/>
    <w:rsid w:val="00E22651"/>
    <w:rsid w:val="00E3189D"/>
    <w:rsid w:val="00E33022"/>
    <w:rsid w:val="00E41BE5"/>
    <w:rsid w:val="00E533BE"/>
    <w:rsid w:val="00E540B7"/>
    <w:rsid w:val="00E6069D"/>
    <w:rsid w:val="00E62DB3"/>
    <w:rsid w:val="00E742E1"/>
    <w:rsid w:val="00E77038"/>
    <w:rsid w:val="00E822A8"/>
    <w:rsid w:val="00E82A5D"/>
    <w:rsid w:val="00E83C8A"/>
    <w:rsid w:val="00E95A76"/>
    <w:rsid w:val="00E96F9E"/>
    <w:rsid w:val="00EA2DE2"/>
    <w:rsid w:val="00EB1AE0"/>
    <w:rsid w:val="00EB60DB"/>
    <w:rsid w:val="00EC29B1"/>
    <w:rsid w:val="00ED5B76"/>
    <w:rsid w:val="00ED7008"/>
    <w:rsid w:val="00ED76B2"/>
    <w:rsid w:val="00EF0072"/>
    <w:rsid w:val="00EF0F41"/>
    <w:rsid w:val="00EF184A"/>
    <w:rsid w:val="00EF2FFD"/>
    <w:rsid w:val="00F0235A"/>
    <w:rsid w:val="00F05CAB"/>
    <w:rsid w:val="00F0783D"/>
    <w:rsid w:val="00F23A25"/>
    <w:rsid w:val="00F258A0"/>
    <w:rsid w:val="00F502F0"/>
    <w:rsid w:val="00F62BCA"/>
    <w:rsid w:val="00F65529"/>
    <w:rsid w:val="00F65903"/>
    <w:rsid w:val="00F72231"/>
    <w:rsid w:val="00F7691A"/>
    <w:rsid w:val="00F82EDF"/>
    <w:rsid w:val="00F8480F"/>
    <w:rsid w:val="00F92D04"/>
    <w:rsid w:val="00FA07D9"/>
    <w:rsid w:val="00FB2E9E"/>
    <w:rsid w:val="00FB4E82"/>
    <w:rsid w:val="00FB5F14"/>
    <w:rsid w:val="00FC2237"/>
    <w:rsid w:val="00FC5FC0"/>
    <w:rsid w:val="00FC6F2E"/>
    <w:rsid w:val="00FD68B7"/>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2023-06-14T18:30:00+00:00</Judgment_x0020_Date>
    <Year xmlns="c1afb1bd-f2fb-40fd-9abb-aea55b4d7662">2023</Year>
  </documentManagement>
</p:properties>
</file>

<file path=customXml/itemProps1.xml><?xml version="1.0" encoding="utf-8"?>
<ds:datastoreItem xmlns:ds="http://schemas.openxmlformats.org/officeDocument/2006/customXml" ds:itemID="{DE2015F1-C37A-4930-AC6E-13C8154F292F}"/>
</file>

<file path=customXml/itemProps2.xml><?xml version="1.0" encoding="utf-8"?>
<ds:datastoreItem xmlns:ds="http://schemas.openxmlformats.org/officeDocument/2006/customXml" ds:itemID="{E74FE236-3386-46FF-ABB9-DF0E484B8FF6}"/>
</file>

<file path=customXml/itemProps3.xml><?xml version="1.0" encoding="utf-8"?>
<ds:datastoreItem xmlns:ds="http://schemas.openxmlformats.org/officeDocument/2006/customXml" ds:itemID="{C3A67811-68C5-4C1F-8D9C-C05C2C0E9F0B}"/>
</file>

<file path=customXml/itemProps4.xml><?xml version="1.0" encoding="utf-8"?>
<ds:datastoreItem xmlns:ds="http://schemas.openxmlformats.org/officeDocument/2006/customXml" ds:itemID="{DAC7CB98-47E7-420E-A205-823327CE5DB0}"/>
</file>

<file path=docProps/app.xml><?xml version="1.0" encoding="utf-8"?>
<Properties xmlns="http://schemas.openxmlformats.org/officeDocument/2006/extended-properties" xmlns:vt="http://schemas.openxmlformats.org/officeDocument/2006/docPropsVTypes">
  <Template>Normal</Template>
  <TotalTime>3</TotalTime>
  <Pages>9</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Shilongo v Chairperson of the Appeal Tribunal (HC-MD-CIV-MOT-REV-2022-00245) [2023] NAHCMD 321 (15 June 2023)</dc:title>
  <dc:subject/>
  <dc:creator>shomany keister</dc:creator>
  <cp:keywords/>
  <dc:description/>
  <cp:lastModifiedBy>Charlet Mokomele</cp:lastModifiedBy>
  <cp:revision>3</cp:revision>
  <cp:lastPrinted>2023-06-12T14:28:00Z</cp:lastPrinted>
  <dcterms:created xsi:type="dcterms:W3CDTF">2023-06-21T10:51:00Z</dcterms:created>
  <dcterms:modified xsi:type="dcterms:W3CDTF">2023-06-21T10:53:00Z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