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A0" w:rsidRDefault="00001BB0" w:rsidP="00EF7BD9">
      <w:pPr>
        <w:spacing w:after="0" w:line="360" w:lineRule="auto"/>
        <w:jc w:val="both"/>
        <w:rPr>
          <w:rFonts w:ascii="Arial" w:hAnsi="Arial" w:cs="Arial"/>
          <w:b/>
          <w:sz w:val="24"/>
          <w:szCs w:val="24"/>
        </w:rPr>
      </w:pPr>
      <w:r>
        <w:rPr>
          <w:rFonts w:ascii="Arial" w:hAnsi="Arial" w:cs="Arial"/>
          <w:sz w:val="24"/>
          <w:szCs w:val="24"/>
        </w:rPr>
        <w:t xml:space="preserve">                     </w:t>
      </w:r>
      <w:r w:rsidR="000D14A0">
        <w:rPr>
          <w:rFonts w:ascii="Arial" w:hAnsi="Arial" w:cs="Arial"/>
          <w:sz w:val="24"/>
          <w:szCs w:val="24"/>
        </w:rPr>
        <w:t xml:space="preserve">                     </w:t>
      </w:r>
    </w:p>
    <w:p w:rsidR="00EF7BD9" w:rsidRPr="006E026B" w:rsidRDefault="00EF7BD9" w:rsidP="00EF7BD9">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EF7BD9" w:rsidRPr="00EA2DE2" w:rsidRDefault="00EF7BD9" w:rsidP="00EF7BD9">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9A343F9" wp14:editId="77738304">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EF7BD9" w:rsidRPr="006E026B" w:rsidRDefault="00EF7BD9" w:rsidP="00EF7BD9">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EF7BD9" w:rsidRPr="00EA2DE2" w:rsidRDefault="00EF7BD9" w:rsidP="00EF7BD9">
      <w:pPr>
        <w:spacing w:after="0" w:line="360" w:lineRule="auto"/>
        <w:jc w:val="center"/>
        <w:rPr>
          <w:rFonts w:ascii="Arial" w:hAnsi="Arial" w:cs="Arial"/>
          <w:b/>
          <w:sz w:val="14"/>
          <w:szCs w:val="14"/>
        </w:rPr>
      </w:pPr>
    </w:p>
    <w:p w:rsidR="00EF7BD9" w:rsidRDefault="00EF7BD9" w:rsidP="00EF7BD9">
      <w:pPr>
        <w:spacing w:after="0" w:line="360" w:lineRule="auto"/>
        <w:jc w:val="center"/>
        <w:rPr>
          <w:rFonts w:ascii="Arial" w:hAnsi="Arial" w:cs="Arial"/>
          <w:b/>
          <w:sz w:val="24"/>
          <w:szCs w:val="24"/>
        </w:rPr>
      </w:pPr>
      <w:r>
        <w:rPr>
          <w:rFonts w:ascii="Arial" w:hAnsi="Arial" w:cs="Arial"/>
          <w:b/>
          <w:sz w:val="24"/>
          <w:szCs w:val="24"/>
        </w:rPr>
        <w:t>RULING</w:t>
      </w:r>
    </w:p>
    <w:p w:rsidR="00EF7BD9" w:rsidRPr="000D14A0" w:rsidRDefault="00EF7BD9" w:rsidP="00EF7BD9">
      <w:pPr>
        <w:spacing w:after="0" w:line="360" w:lineRule="auto"/>
        <w:jc w:val="center"/>
        <w:rPr>
          <w:rFonts w:ascii="Arial" w:hAnsi="Arial" w:cs="Arial"/>
          <w:b/>
          <w:sz w:val="24"/>
          <w:szCs w:val="24"/>
        </w:rPr>
      </w:pPr>
      <w:r>
        <w:rPr>
          <w:rFonts w:ascii="Arial" w:hAnsi="Arial" w:cs="Arial"/>
          <w:b/>
          <w:sz w:val="24"/>
          <w:szCs w:val="24"/>
        </w:rPr>
        <w:t>PRACTICE DIRECTIVE 61</w:t>
      </w:r>
    </w:p>
    <w:tbl>
      <w:tblPr>
        <w:tblStyle w:val="TableGrid"/>
        <w:tblW w:w="9720" w:type="dxa"/>
        <w:tblInd w:w="-275" w:type="dxa"/>
        <w:tblLook w:val="04A0" w:firstRow="1" w:lastRow="0" w:firstColumn="1" w:lastColumn="0" w:noHBand="0" w:noVBand="1"/>
      </w:tblPr>
      <w:tblGrid>
        <w:gridCol w:w="4770"/>
        <w:gridCol w:w="627"/>
        <w:gridCol w:w="4323"/>
      </w:tblGrid>
      <w:tr w:rsidR="008630BE" w:rsidRPr="00001BB0" w:rsidTr="0004438E">
        <w:trPr>
          <w:trHeight w:val="744"/>
        </w:trPr>
        <w:tc>
          <w:tcPr>
            <w:tcW w:w="5397" w:type="dxa"/>
            <w:gridSpan w:val="2"/>
            <w:vMerge w:val="restart"/>
          </w:tcPr>
          <w:p w:rsidR="008630BE" w:rsidRPr="00001BB0" w:rsidRDefault="008630BE" w:rsidP="00001BB0">
            <w:pPr>
              <w:spacing w:line="360" w:lineRule="auto"/>
              <w:jc w:val="both"/>
              <w:rPr>
                <w:rFonts w:ascii="Arial" w:hAnsi="Arial" w:cs="Arial"/>
                <w:sz w:val="24"/>
                <w:szCs w:val="24"/>
              </w:rPr>
            </w:pPr>
            <w:r w:rsidRPr="00001BB0">
              <w:rPr>
                <w:rFonts w:ascii="Arial" w:hAnsi="Arial" w:cs="Arial"/>
                <w:b/>
                <w:sz w:val="24"/>
                <w:szCs w:val="24"/>
              </w:rPr>
              <w:t>Case Title:</w:t>
            </w:r>
            <w:r w:rsidR="003E365C" w:rsidRPr="00001BB0">
              <w:rPr>
                <w:rFonts w:ascii="Arial" w:hAnsi="Arial" w:cs="Arial"/>
                <w:color w:val="333333"/>
                <w:sz w:val="24"/>
                <w:szCs w:val="24"/>
                <w:shd w:val="clear" w:color="auto" w:fill="FFFFFF"/>
              </w:rPr>
              <w:t xml:space="preserve"> </w:t>
            </w:r>
            <w:r w:rsidR="00823F04" w:rsidRPr="00001BB0">
              <w:rPr>
                <w:rFonts w:ascii="Arial" w:hAnsi="Arial" w:cs="Arial"/>
                <w:color w:val="333333"/>
                <w:sz w:val="24"/>
                <w:szCs w:val="24"/>
                <w:shd w:val="clear" w:color="auto" w:fill="FFFFFF"/>
              </w:rPr>
              <w:t xml:space="preserve">Standard Bank Namibia Ltd v Embassy </w:t>
            </w:r>
            <w:r w:rsidR="00AC2152" w:rsidRPr="00001BB0">
              <w:rPr>
                <w:rFonts w:ascii="Arial" w:hAnsi="Arial" w:cs="Arial"/>
                <w:color w:val="333333"/>
                <w:sz w:val="24"/>
                <w:szCs w:val="24"/>
                <w:shd w:val="clear" w:color="auto" w:fill="FFFFFF"/>
              </w:rPr>
              <w:t>of the Republic of Angola: Windhoek-Namibia &amp; Rodriques Manuel Alexandre</w:t>
            </w:r>
          </w:p>
        </w:tc>
        <w:tc>
          <w:tcPr>
            <w:tcW w:w="4323" w:type="dxa"/>
          </w:tcPr>
          <w:p w:rsidR="008630BE" w:rsidRPr="00001BB0" w:rsidRDefault="008630BE" w:rsidP="00001BB0">
            <w:pPr>
              <w:spacing w:line="360" w:lineRule="auto"/>
              <w:jc w:val="both"/>
              <w:rPr>
                <w:rFonts w:ascii="Arial" w:hAnsi="Arial" w:cs="Arial"/>
                <w:sz w:val="24"/>
                <w:szCs w:val="24"/>
              </w:rPr>
            </w:pPr>
            <w:r w:rsidRPr="00001BB0">
              <w:rPr>
                <w:rFonts w:ascii="Arial" w:hAnsi="Arial" w:cs="Arial"/>
                <w:b/>
                <w:sz w:val="24"/>
                <w:szCs w:val="24"/>
              </w:rPr>
              <w:t>Case No:</w:t>
            </w:r>
          </w:p>
          <w:p w:rsidR="008630BE" w:rsidRPr="00001BB0" w:rsidRDefault="008630BE" w:rsidP="00001BB0">
            <w:pPr>
              <w:spacing w:line="360" w:lineRule="auto"/>
              <w:jc w:val="both"/>
              <w:rPr>
                <w:rFonts w:ascii="Arial" w:hAnsi="Arial" w:cs="Arial"/>
                <w:b/>
                <w:sz w:val="24"/>
                <w:szCs w:val="24"/>
              </w:rPr>
            </w:pPr>
            <w:r w:rsidRPr="00001BB0">
              <w:rPr>
                <w:rFonts w:ascii="Arial" w:hAnsi="Arial" w:cs="Arial"/>
                <w:sz w:val="24"/>
                <w:szCs w:val="24"/>
              </w:rPr>
              <w:t>HC-MD-CIV-ACT-</w:t>
            </w:r>
            <w:r w:rsidR="00823F04" w:rsidRPr="00001BB0">
              <w:rPr>
                <w:rFonts w:ascii="Arial" w:hAnsi="Arial" w:cs="Arial"/>
                <w:sz w:val="24"/>
                <w:szCs w:val="24"/>
              </w:rPr>
              <w:t>CON-2021/02570</w:t>
            </w:r>
          </w:p>
        </w:tc>
      </w:tr>
      <w:tr w:rsidR="008630BE" w:rsidRPr="00001BB0" w:rsidTr="0004438E">
        <w:trPr>
          <w:trHeight w:val="844"/>
        </w:trPr>
        <w:tc>
          <w:tcPr>
            <w:tcW w:w="5397" w:type="dxa"/>
            <w:gridSpan w:val="2"/>
            <w:vMerge/>
          </w:tcPr>
          <w:p w:rsidR="008630BE" w:rsidRPr="00001BB0" w:rsidRDefault="008630BE" w:rsidP="00001BB0">
            <w:pPr>
              <w:spacing w:line="360" w:lineRule="auto"/>
              <w:jc w:val="both"/>
              <w:rPr>
                <w:rFonts w:ascii="Arial" w:hAnsi="Arial" w:cs="Arial"/>
                <w:sz w:val="24"/>
                <w:szCs w:val="24"/>
              </w:rPr>
            </w:pPr>
          </w:p>
        </w:tc>
        <w:tc>
          <w:tcPr>
            <w:tcW w:w="4323" w:type="dxa"/>
          </w:tcPr>
          <w:p w:rsidR="008630BE" w:rsidRPr="00001BB0" w:rsidRDefault="008630BE" w:rsidP="00001BB0">
            <w:pPr>
              <w:spacing w:line="360" w:lineRule="auto"/>
              <w:jc w:val="both"/>
              <w:rPr>
                <w:rFonts w:ascii="Arial" w:hAnsi="Arial" w:cs="Arial"/>
                <w:sz w:val="24"/>
                <w:szCs w:val="24"/>
              </w:rPr>
            </w:pPr>
            <w:r w:rsidRPr="00001BB0">
              <w:rPr>
                <w:rFonts w:ascii="Arial" w:hAnsi="Arial" w:cs="Arial"/>
                <w:b/>
                <w:sz w:val="24"/>
                <w:szCs w:val="24"/>
              </w:rPr>
              <w:t>Division of Court:</w:t>
            </w:r>
          </w:p>
          <w:p w:rsidR="008630BE" w:rsidRPr="00001BB0" w:rsidRDefault="008630BE" w:rsidP="00001BB0">
            <w:pPr>
              <w:spacing w:line="360" w:lineRule="auto"/>
              <w:jc w:val="both"/>
              <w:rPr>
                <w:rFonts w:ascii="Arial" w:hAnsi="Arial" w:cs="Arial"/>
                <w:sz w:val="24"/>
                <w:szCs w:val="24"/>
              </w:rPr>
            </w:pPr>
            <w:r w:rsidRPr="00001BB0">
              <w:rPr>
                <w:rFonts w:ascii="Arial" w:hAnsi="Arial" w:cs="Arial"/>
                <w:sz w:val="24"/>
                <w:szCs w:val="24"/>
              </w:rPr>
              <w:t>HIGH COURT(MAIN DIVISION)</w:t>
            </w:r>
          </w:p>
        </w:tc>
      </w:tr>
      <w:tr w:rsidR="008630BE" w:rsidRPr="00001BB0" w:rsidTr="0004438E">
        <w:trPr>
          <w:trHeight w:val="645"/>
        </w:trPr>
        <w:tc>
          <w:tcPr>
            <w:tcW w:w="5397" w:type="dxa"/>
            <w:gridSpan w:val="2"/>
            <w:vMerge w:val="restart"/>
          </w:tcPr>
          <w:p w:rsidR="008630BE" w:rsidRPr="00001BB0" w:rsidRDefault="008630BE" w:rsidP="00001BB0">
            <w:pPr>
              <w:spacing w:line="360" w:lineRule="auto"/>
              <w:jc w:val="both"/>
              <w:rPr>
                <w:rFonts w:ascii="Arial" w:hAnsi="Arial" w:cs="Arial"/>
                <w:b/>
                <w:sz w:val="24"/>
                <w:szCs w:val="24"/>
              </w:rPr>
            </w:pPr>
            <w:r w:rsidRPr="00001BB0">
              <w:rPr>
                <w:rFonts w:ascii="Arial" w:hAnsi="Arial" w:cs="Arial"/>
                <w:b/>
                <w:sz w:val="24"/>
                <w:szCs w:val="24"/>
              </w:rPr>
              <w:t>Heard before:</w:t>
            </w:r>
          </w:p>
          <w:p w:rsidR="008630BE" w:rsidRPr="00001BB0" w:rsidRDefault="00370D8A" w:rsidP="00001BB0">
            <w:pPr>
              <w:spacing w:line="360" w:lineRule="auto"/>
              <w:jc w:val="both"/>
              <w:rPr>
                <w:rFonts w:ascii="Arial" w:hAnsi="Arial" w:cs="Arial"/>
                <w:sz w:val="24"/>
                <w:szCs w:val="24"/>
              </w:rPr>
            </w:pPr>
            <w:r w:rsidRPr="00001BB0">
              <w:rPr>
                <w:rFonts w:ascii="Arial" w:hAnsi="Arial" w:cs="Arial"/>
                <w:sz w:val="24"/>
                <w:szCs w:val="24"/>
              </w:rPr>
              <w:t>TOMMASI</w:t>
            </w:r>
            <w:r w:rsidR="008630BE" w:rsidRPr="00001BB0">
              <w:rPr>
                <w:rFonts w:ascii="Arial" w:hAnsi="Arial" w:cs="Arial"/>
                <w:sz w:val="24"/>
                <w:szCs w:val="24"/>
              </w:rPr>
              <w:t>, J</w:t>
            </w:r>
          </w:p>
        </w:tc>
        <w:tc>
          <w:tcPr>
            <w:tcW w:w="4323" w:type="dxa"/>
          </w:tcPr>
          <w:p w:rsidR="008630BE" w:rsidRPr="00001BB0" w:rsidRDefault="008630BE" w:rsidP="00001BB0">
            <w:pPr>
              <w:spacing w:line="360" w:lineRule="auto"/>
              <w:jc w:val="both"/>
              <w:rPr>
                <w:rFonts w:ascii="Arial" w:hAnsi="Arial" w:cs="Arial"/>
                <w:b/>
                <w:sz w:val="24"/>
                <w:szCs w:val="24"/>
              </w:rPr>
            </w:pPr>
            <w:r w:rsidRPr="00001BB0">
              <w:rPr>
                <w:rFonts w:ascii="Arial" w:hAnsi="Arial" w:cs="Arial"/>
                <w:b/>
                <w:sz w:val="24"/>
                <w:szCs w:val="24"/>
              </w:rPr>
              <w:t>Date of hearing:</w:t>
            </w:r>
            <w:r w:rsidR="00823F04" w:rsidRPr="00001BB0">
              <w:rPr>
                <w:rFonts w:ascii="Arial" w:hAnsi="Arial" w:cs="Arial"/>
                <w:b/>
                <w:sz w:val="24"/>
                <w:szCs w:val="24"/>
              </w:rPr>
              <w:t xml:space="preserve"> 21 APRIL 2023</w:t>
            </w:r>
          </w:p>
          <w:p w:rsidR="008630BE" w:rsidRPr="00001BB0" w:rsidRDefault="008630BE" w:rsidP="00001BB0">
            <w:pPr>
              <w:spacing w:line="360" w:lineRule="auto"/>
              <w:jc w:val="both"/>
              <w:rPr>
                <w:rFonts w:ascii="Arial" w:hAnsi="Arial" w:cs="Arial"/>
                <w:sz w:val="24"/>
                <w:szCs w:val="24"/>
              </w:rPr>
            </w:pPr>
          </w:p>
        </w:tc>
      </w:tr>
      <w:tr w:rsidR="008630BE" w:rsidRPr="00001BB0" w:rsidTr="0004438E">
        <w:trPr>
          <w:trHeight w:val="588"/>
        </w:trPr>
        <w:tc>
          <w:tcPr>
            <w:tcW w:w="5397" w:type="dxa"/>
            <w:gridSpan w:val="2"/>
            <w:vMerge/>
          </w:tcPr>
          <w:p w:rsidR="008630BE" w:rsidRPr="00001BB0" w:rsidRDefault="008630BE" w:rsidP="00001BB0">
            <w:pPr>
              <w:spacing w:line="360" w:lineRule="auto"/>
              <w:jc w:val="both"/>
              <w:rPr>
                <w:rFonts w:ascii="Arial" w:hAnsi="Arial" w:cs="Arial"/>
                <w:b/>
                <w:sz w:val="24"/>
                <w:szCs w:val="24"/>
              </w:rPr>
            </w:pPr>
          </w:p>
        </w:tc>
        <w:tc>
          <w:tcPr>
            <w:tcW w:w="4323" w:type="dxa"/>
          </w:tcPr>
          <w:p w:rsidR="008630BE" w:rsidRPr="00001BB0" w:rsidRDefault="008630BE" w:rsidP="00001BB0">
            <w:pPr>
              <w:spacing w:line="360" w:lineRule="auto"/>
              <w:jc w:val="both"/>
              <w:rPr>
                <w:rFonts w:ascii="Arial" w:hAnsi="Arial" w:cs="Arial"/>
                <w:b/>
                <w:sz w:val="24"/>
                <w:szCs w:val="24"/>
              </w:rPr>
            </w:pPr>
            <w:r w:rsidRPr="00001BB0">
              <w:rPr>
                <w:rFonts w:ascii="Arial" w:hAnsi="Arial" w:cs="Arial"/>
                <w:b/>
                <w:sz w:val="24"/>
                <w:szCs w:val="24"/>
              </w:rPr>
              <w:t>Date of order:</w:t>
            </w:r>
            <w:r w:rsidR="00823F04" w:rsidRPr="00001BB0">
              <w:rPr>
                <w:rFonts w:ascii="Arial" w:hAnsi="Arial" w:cs="Arial"/>
                <w:b/>
                <w:sz w:val="24"/>
                <w:szCs w:val="24"/>
              </w:rPr>
              <w:t xml:space="preserve"> 14 JUNE 2023</w:t>
            </w:r>
          </w:p>
          <w:p w:rsidR="008630BE" w:rsidRPr="00001BB0" w:rsidRDefault="008630BE" w:rsidP="00001BB0">
            <w:pPr>
              <w:spacing w:line="360" w:lineRule="auto"/>
              <w:jc w:val="both"/>
              <w:rPr>
                <w:rFonts w:ascii="Arial" w:hAnsi="Arial" w:cs="Arial"/>
                <w:b/>
                <w:sz w:val="24"/>
                <w:szCs w:val="24"/>
              </w:rPr>
            </w:pPr>
            <w:r w:rsidRPr="00001BB0">
              <w:rPr>
                <w:rFonts w:ascii="Arial" w:hAnsi="Arial" w:cs="Arial"/>
                <w:b/>
                <w:sz w:val="24"/>
                <w:szCs w:val="24"/>
              </w:rPr>
              <w:t>Reasons delivered on:</w:t>
            </w:r>
            <w:r w:rsidR="00823F04" w:rsidRPr="00001BB0">
              <w:rPr>
                <w:rFonts w:ascii="Arial" w:hAnsi="Arial" w:cs="Arial"/>
                <w:b/>
                <w:sz w:val="24"/>
                <w:szCs w:val="24"/>
              </w:rPr>
              <w:t xml:space="preserve"> 14 JUNE 2023</w:t>
            </w:r>
          </w:p>
          <w:p w:rsidR="008630BE" w:rsidRPr="00001BB0" w:rsidRDefault="008630BE" w:rsidP="00001BB0">
            <w:pPr>
              <w:spacing w:line="360" w:lineRule="auto"/>
              <w:jc w:val="both"/>
              <w:rPr>
                <w:rFonts w:ascii="Arial" w:hAnsi="Arial" w:cs="Arial"/>
                <w:sz w:val="24"/>
                <w:szCs w:val="24"/>
              </w:rPr>
            </w:pPr>
          </w:p>
        </w:tc>
      </w:tr>
      <w:tr w:rsidR="008630BE" w:rsidRPr="00001BB0" w:rsidTr="0004438E">
        <w:tc>
          <w:tcPr>
            <w:tcW w:w="9720" w:type="dxa"/>
            <w:gridSpan w:val="3"/>
          </w:tcPr>
          <w:p w:rsidR="00001BB0" w:rsidRDefault="00AC2152" w:rsidP="00001BB0">
            <w:pPr>
              <w:pStyle w:val="form-control-static"/>
              <w:shd w:val="clear" w:color="auto" w:fill="FFFFFF"/>
              <w:spacing w:before="0" w:beforeAutospacing="0" w:after="0" w:afterAutospacing="0" w:line="360" w:lineRule="auto"/>
              <w:jc w:val="both"/>
              <w:rPr>
                <w:rFonts w:ascii="Arial" w:hAnsi="Arial" w:cs="Arial"/>
                <w:i/>
                <w:color w:val="000000" w:themeColor="text1"/>
              </w:rPr>
            </w:pPr>
            <w:r w:rsidRPr="00001BB0">
              <w:rPr>
                <w:rFonts w:ascii="Arial" w:hAnsi="Arial" w:cs="Arial"/>
                <w:b/>
              </w:rPr>
              <w:t xml:space="preserve">Neutral citation: </w:t>
            </w:r>
            <w:r w:rsidRPr="00001BB0">
              <w:rPr>
                <w:rFonts w:ascii="Arial" w:hAnsi="Arial" w:cs="Arial"/>
                <w:i/>
                <w:color w:val="000000" w:themeColor="text1"/>
              </w:rPr>
              <w:t xml:space="preserve">Standard Bank Namibia Ltd v Embassy of the Republic of Angola &amp; </w:t>
            </w:r>
            <w:r w:rsidR="00001BB0">
              <w:rPr>
                <w:rFonts w:ascii="Arial" w:hAnsi="Arial" w:cs="Arial"/>
                <w:i/>
                <w:color w:val="000000" w:themeColor="text1"/>
              </w:rPr>
              <w:t xml:space="preserve"> </w:t>
            </w:r>
          </w:p>
          <w:p w:rsidR="00001BB0" w:rsidRDefault="00001BB0" w:rsidP="00001BB0">
            <w:pPr>
              <w:pStyle w:val="form-control-static"/>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i/>
                <w:color w:val="000000" w:themeColor="text1"/>
              </w:rPr>
              <w:t xml:space="preserve">                              </w:t>
            </w:r>
            <w:r w:rsidR="00AC2152" w:rsidRPr="00001BB0">
              <w:rPr>
                <w:rFonts w:ascii="Arial" w:hAnsi="Arial" w:cs="Arial"/>
                <w:i/>
                <w:color w:val="000000" w:themeColor="text1"/>
              </w:rPr>
              <w:t xml:space="preserve">Another </w:t>
            </w:r>
            <w:r w:rsidR="004936DF" w:rsidRPr="00001BB0">
              <w:rPr>
                <w:rFonts w:ascii="Arial" w:hAnsi="Arial" w:cs="Arial"/>
                <w:i/>
                <w:color w:val="000000" w:themeColor="text1"/>
              </w:rPr>
              <w:t xml:space="preserve"> </w:t>
            </w:r>
            <w:r w:rsidR="006A1A5D">
              <w:rPr>
                <w:rFonts w:ascii="Arial" w:hAnsi="Arial" w:cs="Arial"/>
                <w:color w:val="000000" w:themeColor="text1"/>
              </w:rPr>
              <w:t>(HC-</w:t>
            </w:r>
            <w:r w:rsidR="00C15467" w:rsidRPr="00001BB0">
              <w:rPr>
                <w:rFonts w:ascii="Arial" w:hAnsi="Arial" w:cs="Arial"/>
                <w:color w:val="000000" w:themeColor="text1"/>
              </w:rPr>
              <w:t>MD-CIV-</w:t>
            </w:r>
            <w:r>
              <w:rPr>
                <w:rFonts w:ascii="Arial" w:hAnsi="Arial" w:cs="Arial"/>
                <w:color w:val="000000" w:themeColor="text1"/>
              </w:rPr>
              <w:t xml:space="preserve"> </w:t>
            </w:r>
            <w:r w:rsidR="00C15467" w:rsidRPr="00001BB0">
              <w:rPr>
                <w:rFonts w:ascii="Arial" w:hAnsi="Arial" w:cs="Arial"/>
                <w:color w:val="000000" w:themeColor="text1"/>
              </w:rPr>
              <w:t>AC</w:t>
            </w:r>
            <w:r w:rsidR="003408C9" w:rsidRPr="00001BB0">
              <w:rPr>
                <w:rFonts w:ascii="Arial" w:hAnsi="Arial" w:cs="Arial"/>
                <w:color w:val="000000" w:themeColor="text1"/>
              </w:rPr>
              <w:t>T-</w:t>
            </w:r>
            <w:r w:rsidR="00823F04" w:rsidRPr="00001BB0">
              <w:rPr>
                <w:rFonts w:ascii="Arial" w:hAnsi="Arial" w:cs="Arial"/>
                <w:color w:val="000000" w:themeColor="text1"/>
              </w:rPr>
              <w:t>CON2021/02570</w:t>
            </w:r>
            <w:r w:rsidR="007C3A5B" w:rsidRPr="00001BB0">
              <w:rPr>
                <w:rFonts w:ascii="Arial" w:hAnsi="Arial" w:cs="Arial"/>
                <w:color w:val="000000" w:themeColor="text1"/>
              </w:rPr>
              <w:t>) [20</w:t>
            </w:r>
            <w:r w:rsidR="00AC5312" w:rsidRPr="00001BB0">
              <w:rPr>
                <w:rFonts w:ascii="Arial" w:hAnsi="Arial" w:cs="Arial"/>
                <w:color w:val="000000" w:themeColor="text1"/>
              </w:rPr>
              <w:t>2</w:t>
            </w:r>
            <w:r w:rsidR="00AC2152" w:rsidRPr="00001BB0">
              <w:rPr>
                <w:rFonts w:ascii="Arial" w:hAnsi="Arial" w:cs="Arial"/>
                <w:color w:val="000000" w:themeColor="text1"/>
              </w:rPr>
              <w:t>3</w:t>
            </w:r>
            <w:r w:rsidR="007C3A5B" w:rsidRPr="00001BB0">
              <w:rPr>
                <w:rFonts w:ascii="Arial" w:hAnsi="Arial" w:cs="Arial"/>
                <w:color w:val="000000" w:themeColor="text1"/>
              </w:rPr>
              <w:t xml:space="preserve">] NAHCMD </w:t>
            </w:r>
            <w:r w:rsidR="004C5E68">
              <w:rPr>
                <w:rFonts w:ascii="Arial" w:hAnsi="Arial" w:cs="Arial"/>
                <w:color w:val="000000" w:themeColor="text1"/>
              </w:rPr>
              <w:t>326</w:t>
            </w:r>
            <w:r w:rsidR="00AC5312" w:rsidRPr="00001BB0">
              <w:rPr>
                <w:rFonts w:ascii="Arial" w:hAnsi="Arial" w:cs="Arial"/>
                <w:color w:val="000000" w:themeColor="text1"/>
              </w:rPr>
              <w:t xml:space="preserve"> </w:t>
            </w:r>
            <w:r>
              <w:rPr>
                <w:rFonts w:ascii="Arial" w:hAnsi="Arial" w:cs="Arial"/>
                <w:color w:val="000000" w:themeColor="text1"/>
              </w:rPr>
              <w:t xml:space="preserve"> </w:t>
            </w:r>
          </w:p>
          <w:p w:rsidR="008630BE" w:rsidRPr="00001BB0" w:rsidRDefault="00001BB0" w:rsidP="00001BB0">
            <w:pPr>
              <w:pStyle w:val="form-control-static"/>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                             </w:t>
            </w:r>
            <w:r w:rsidR="00AC5312" w:rsidRPr="00001BB0">
              <w:rPr>
                <w:rFonts w:ascii="Arial" w:hAnsi="Arial" w:cs="Arial"/>
                <w:color w:val="000000" w:themeColor="text1"/>
              </w:rPr>
              <w:t>(</w:t>
            </w:r>
            <w:r w:rsidR="00AC2152" w:rsidRPr="00001BB0">
              <w:rPr>
                <w:rFonts w:ascii="Arial" w:hAnsi="Arial" w:cs="Arial"/>
                <w:color w:val="000000" w:themeColor="text1"/>
              </w:rPr>
              <w:t>14 June 2023</w:t>
            </w:r>
            <w:r w:rsidR="000E4639" w:rsidRPr="00001BB0">
              <w:rPr>
                <w:rFonts w:ascii="Arial" w:hAnsi="Arial" w:cs="Arial"/>
                <w:color w:val="000000" w:themeColor="text1"/>
              </w:rPr>
              <w:t>)</w:t>
            </w:r>
          </w:p>
        </w:tc>
      </w:tr>
      <w:tr w:rsidR="008630BE" w:rsidRPr="00001BB0" w:rsidTr="0004438E">
        <w:tc>
          <w:tcPr>
            <w:tcW w:w="9720" w:type="dxa"/>
            <w:gridSpan w:val="3"/>
          </w:tcPr>
          <w:p w:rsidR="008630BE" w:rsidRPr="00001BB0" w:rsidRDefault="008630BE" w:rsidP="00001BB0">
            <w:pPr>
              <w:pStyle w:val="form-control-static"/>
              <w:shd w:val="clear" w:color="auto" w:fill="FFFFFF"/>
              <w:spacing w:before="0" w:beforeAutospacing="0" w:after="0" w:afterAutospacing="0" w:line="360" w:lineRule="auto"/>
              <w:jc w:val="both"/>
              <w:rPr>
                <w:rFonts w:ascii="Arial" w:hAnsi="Arial" w:cs="Arial"/>
                <w:b/>
              </w:rPr>
            </w:pPr>
            <w:r w:rsidRPr="00001BB0">
              <w:rPr>
                <w:rFonts w:ascii="Arial" w:hAnsi="Arial" w:cs="Arial"/>
                <w:b/>
              </w:rPr>
              <w:t>Results on merits:</w:t>
            </w:r>
            <w:r w:rsidR="003E365C" w:rsidRPr="00001BB0">
              <w:rPr>
                <w:rFonts w:ascii="Arial" w:hAnsi="Arial" w:cs="Arial"/>
                <w:b/>
              </w:rPr>
              <w:t xml:space="preserve"> </w:t>
            </w:r>
          </w:p>
          <w:p w:rsidR="008630BE" w:rsidRPr="00001BB0" w:rsidRDefault="008630BE" w:rsidP="00001BB0">
            <w:pPr>
              <w:pStyle w:val="form-control-static"/>
              <w:shd w:val="clear" w:color="auto" w:fill="FFFFFF"/>
              <w:spacing w:before="0" w:beforeAutospacing="0" w:after="0" w:afterAutospacing="0" w:line="360" w:lineRule="auto"/>
              <w:jc w:val="both"/>
              <w:rPr>
                <w:rFonts w:ascii="Arial" w:hAnsi="Arial" w:cs="Arial"/>
              </w:rPr>
            </w:pPr>
            <w:r w:rsidRPr="00001BB0">
              <w:rPr>
                <w:rFonts w:ascii="Arial" w:hAnsi="Arial" w:cs="Arial"/>
              </w:rPr>
              <w:t xml:space="preserve"> </w:t>
            </w:r>
            <w:r w:rsidR="004936DF" w:rsidRPr="00001BB0">
              <w:rPr>
                <w:rFonts w:ascii="Arial" w:hAnsi="Arial" w:cs="Arial"/>
              </w:rPr>
              <w:t xml:space="preserve">No decision on the merits </w:t>
            </w:r>
          </w:p>
        </w:tc>
      </w:tr>
      <w:tr w:rsidR="008630BE" w:rsidRPr="00001BB0" w:rsidTr="0004438E">
        <w:tc>
          <w:tcPr>
            <w:tcW w:w="9720" w:type="dxa"/>
            <w:gridSpan w:val="3"/>
          </w:tcPr>
          <w:p w:rsidR="004A57B1" w:rsidRDefault="004A57B1" w:rsidP="00001BB0">
            <w:pPr>
              <w:spacing w:before="100" w:beforeAutospacing="1" w:after="100" w:afterAutospacing="1" w:line="360" w:lineRule="auto"/>
              <w:ind w:left="20"/>
              <w:jc w:val="both"/>
              <w:rPr>
                <w:rFonts w:ascii="Arial" w:eastAsia="Times New Roman" w:hAnsi="Arial" w:cs="Arial"/>
                <w:b/>
                <w:bCs/>
                <w:color w:val="000000"/>
                <w:sz w:val="24"/>
                <w:szCs w:val="24"/>
                <w:lang w:val="en-US"/>
              </w:rPr>
            </w:pPr>
          </w:p>
          <w:p w:rsidR="00491EE8" w:rsidRPr="00001BB0" w:rsidRDefault="005C7D10" w:rsidP="00001BB0">
            <w:pPr>
              <w:spacing w:line="360" w:lineRule="auto"/>
              <w:jc w:val="both"/>
              <w:rPr>
                <w:rFonts w:ascii="Arial" w:hAnsi="Arial" w:cs="Arial"/>
                <w:b/>
                <w:sz w:val="24"/>
                <w:szCs w:val="24"/>
              </w:rPr>
            </w:pPr>
            <w:r w:rsidRPr="001E27C0">
              <w:rPr>
                <w:rFonts w:ascii="Arial" w:eastAsia="Times New Roman" w:hAnsi="Arial" w:cs="Arial"/>
                <w:bCs/>
                <w:color w:val="000000"/>
                <w:sz w:val="24"/>
                <w:szCs w:val="24"/>
                <w:lang w:val="en-US"/>
              </w:rPr>
              <w:t>The following order is made:</w:t>
            </w:r>
            <w:r w:rsidR="00491EE8" w:rsidRPr="00001BB0">
              <w:rPr>
                <w:rFonts w:ascii="Arial" w:hAnsi="Arial" w:cs="Arial"/>
                <w:b/>
                <w:sz w:val="24"/>
                <w:szCs w:val="24"/>
              </w:rPr>
              <w:t> </w:t>
            </w:r>
          </w:p>
          <w:p w:rsidR="00AF64AE" w:rsidRPr="00001BB0" w:rsidRDefault="00AC2152" w:rsidP="00001BB0">
            <w:pPr>
              <w:pStyle w:val="ListParagraph"/>
              <w:numPr>
                <w:ilvl w:val="0"/>
                <w:numId w:val="14"/>
              </w:numPr>
              <w:spacing w:line="360" w:lineRule="auto"/>
              <w:jc w:val="both"/>
              <w:rPr>
                <w:rFonts w:ascii="Arial" w:hAnsi="Arial" w:cs="Arial"/>
                <w:sz w:val="24"/>
                <w:szCs w:val="24"/>
              </w:rPr>
            </w:pPr>
            <w:r w:rsidRPr="00001BB0">
              <w:rPr>
                <w:rFonts w:ascii="Arial" w:hAnsi="Arial" w:cs="Arial"/>
                <w:sz w:val="24"/>
                <w:szCs w:val="24"/>
              </w:rPr>
              <w:t>The applicant is granted leave to intervene in the rule 108 application brought under Case No. HC-MD-CIV-ACT-CON-2021/02570.</w:t>
            </w:r>
          </w:p>
          <w:p w:rsidR="00AC2152" w:rsidRPr="00001BB0" w:rsidRDefault="00AC2152" w:rsidP="00001BB0">
            <w:pPr>
              <w:pStyle w:val="ListParagraph"/>
              <w:numPr>
                <w:ilvl w:val="0"/>
                <w:numId w:val="14"/>
              </w:numPr>
              <w:spacing w:line="360" w:lineRule="auto"/>
              <w:jc w:val="both"/>
              <w:rPr>
                <w:rFonts w:ascii="Arial" w:hAnsi="Arial" w:cs="Arial"/>
                <w:sz w:val="24"/>
                <w:szCs w:val="24"/>
              </w:rPr>
            </w:pPr>
            <w:r w:rsidRPr="00001BB0">
              <w:rPr>
                <w:rFonts w:ascii="Arial" w:hAnsi="Arial" w:cs="Arial"/>
                <w:sz w:val="24"/>
                <w:szCs w:val="24"/>
              </w:rPr>
              <w:t>The cost is to stand over until the end of the Rule 108 proceedings;</w:t>
            </w:r>
          </w:p>
          <w:p w:rsidR="00AC2152" w:rsidRPr="00001BB0" w:rsidRDefault="00AC2152" w:rsidP="00001BB0">
            <w:pPr>
              <w:pStyle w:val="ListParagraph"/>
              <w:spacing w:line="360" w:lineRule="auto"/>
              <w:ind w:left="380"/>
              <w:jc w:val="both"/>
              <w:rPr>
                <w:rFonts w:ascii="Arial" w:hAnsi="Arial" w:cs="Arial"/>
                <w:sz w:val="24"/>
                <w:szCs w:val="24"/>
              </w:rPr>
            </w:pPr>
            <w:bookmarkStart w:id="0" w:name="_GoBack"/>
            <w:bookmarkEnd w:id="0"/>
          </w:p>
          <w:p w:rsidR="005028F7" w:rsidRPr="00326BEA" w:rsidRDefault="005028F7" w:rsidP="00001BB0">
            <w:pPr>
              <w:spacing w:line="360" w:lineRule="auto"/>
              <w:ind w:left="20"/>
              <w:jc w:val="both"/>
              <w:rPr>
                <w:rFonts w:ascii="Arial" w:hAnsi="Arial" w:cs="Arial"/>
                <w:b/>
                <w:sz w:val="24"/>
                <w:szCs w:val="24"/>
                <w:u w:val="single"/>
              </w:rPr>
            </w:pPr>
            <w:r w:rsidRPr="00326BEA">
              <w:rPr>
                <w:rFonts w:ascii="Arial" w:hAnsi="Arial" w:cs="Arial"/>
                <w:b/>
                <w:sz w:val="24"/>
                <w:szCs w:val="24"/>
                <w:u w:val="single"/>
              </w:rPr>
              <w:t>Further conduct of the matter:</w:t>
            </w:r>
          </w:p>
          <w:p w:rsidR="00AC2152" w:rsidRPr="00001BB0" w:rsidRDefault="00AC2152" w:rsidP="00001BB0">
            <w:pPr>
              <w:spacing w:line="360" w:lineRule="auto"/>
              <w:ind w:left="20"/>
              <w:jc w:val="both"/>
              <w:rPr>
                <w:rFonts w:ascii="Arial" w:hAnsi="Arial" w:cs="Arial"/>
                <w:sz w:val="24"/>
                <w:szCs w:val="24"/>
              </w:rPr>
            </w:pPr>
            <w:r w:rsidRPr="00001BB0">
              <w:rPr>
                <w:rFonts w:ascii="Arial" w:hAnsi="Arial" w:cs="Arial"/>
                <w:sz w:val="24"/>
                <w:szCs w:val="24"/>
              </w:rPr>
              <w:t xml:space="preserve">The matter is postponed to </w:t>
            </w:r>
            <w:r w:rsidR="00EF7BD9">
              <w:rPr>
                <w:rFonts w:ascii="Arial" w:hAnsi="Arial" w:cs="Arial"/>
                <w:sz w:val="24"/>
                <w:szCs w:val="24"/>
              </w:rPr>
              <w:t>28</w:t>
            </w:r>
            <w:r w:rsidRPr="00001BB0">
              <w:rPr>
                <w:rFonts w:ascii="Arial" w:hAnsi="Arial" w:cs="Arial"/>
                <w:sz w:val="24"/>
                <w:szCs w:val="24"/>
              </w:rPr>
              <w:t xml:space="preserve"> June 2023 </w:t>
            </w:r>
            <w:r w:rsidR="000D14A0">
              <w:rPr>
                <w:rFonts w:ascii="Arial" w:hAnsi="Arial" w:cs="Arial"/>
                <w:sz w:val="24"/>
                <w:szCs w:val="24"/>
              </w:rPr>
              <w:t xml:space="preserve">at 08:30 </w:t>
            </w:r>
            <w:r w:rsidRPr="00001BB0">
              <w:rPr>
                <w:rFonts w:ascii="Arial" w:hAnsi="Arial" w:cs="Arial"/>
                <w:sz w:val="24"/>
                <w:szCs w:val="24"/>
              </w:rPr>
              <w:t xml:space="preserve">for </w:t>
            </w:r>
            <w:r w:rsidR="00EF7BD9">
              <w:rPr>
                <w:rFonts w:ascii="Arial" w:hAnsi="Arial" w:cs="Arial"/>
                <w:sz w:val="24"/>
                <w:szCs w:val="24"/>
              </w:rPr>
              <w:t xml:space="preserve">submissions in respect of the </w:t>
            </w:r>
            <w:r w:rsidR="00EF7BD9">
              <w:rPr>
                <w:rFonts w:ascii="Arial" w:hAnsi="Arial" w:cs="Arial"/>
                <w:sz w:val="24"/>
                <w:szCs w:val="24"/>
              </w:rPr>
              <w:lastRenderedPageBreak/>
              <w:t xml:space="preserve">application in </w:t>
            </w:r>
            <w:r w:rsidR="001653FD">
              <w:rPr>
                <w:rFonts w:ascii="Arial" w:hAnsi="Arial" w:cs="Arial"/>
                <w:sz w:val="24"/>
                <w:szCs w:val="24"/>
              </w:rPr>
              <w:t xml:space="preserve">terms of </w:t>
            </w:r>
            <w:r w:rsidR="00EF7BD9">
              <w:rPr>
                <w:rFonts w:ascii="Arial" w:hAnsi="Arial" w:cs="Arial"/>
                <w:sz w:val="24"/>
                <w:szCs w:val="24"/>
              </w:rPr>
              <w:t>rule 108</w:t>
            </w:r>
            <w:r w:rsidRPr="00001BB0">
              <w:rPr>
                <w:rFonts w:ascii="Arial" w:hAnsi="Arial" w:cs="Arial"/>
                <w:sz w:val="24"/>
                <w:szCs w:val="24"/>
              </w:rPr>
              <w:t>.</w:t>
            </w:r>
          </w:p>
          <w:p w:rsidR="00B14C76" w:rsidRPr="00001BB0" w:rsidRDefault="00B14C76" w:rsidP="00001BB0">
            <w:pPr>
              <w:pStyle w:val="ListParagraph"/>
              <w:spacing w:line="360" w:lineRule="auto"/>
              <w:ind w:left="380"/>
              <w:jc w:val="both"/>
              <w:rPr>
                <w:rFonts w:ascii="Arial" w:hAnsi="Arial" w:cs="Arial"/>
                <w:sz w:val="24"/>
                <w:szCs w:val="24"/>
              </w:rPr>
            </w:pPr>
          </w:p>
        </w:tc>
      </w:tr>
      <w:tr w:rsidR="008630BE" w:rsidRPr="00001BB0" w:rsidTr="0004438E">
        <w:tc>
          <w:tcPr>
            <w:tcW w:w="9720" w:type="dxa"/>
            <w:gridSpan w:val="3"/>
          </w:tcPr>
          <w:p w:rsidR="008630BE" w:rsidRPr="00001BB0" w:rsidRDefault="008630BE" w:rsidP="00001BB0">
            <w:pPr>
              <w:spacing w:line="360" w:lineRule="auto"/>
              <w:jc w:val="both"/>
              <w:rPr>
                <w:rFonts w:ascii="Arial" w:hAnsi="Arial" w:cs="Arial"/>
                <w:b/>
                <w:sz w:val="24"/>
                <w:szCs w:val="24"/>
              </w:rPr>
            </w:pPr>
            <w:r w:rsidRPr="00001BB0">
              <w:rPr>
                <w:rFonts w:ascii="Arial" w:hAnsi="Arial" w:cs="Arial"/>
                <w:b/>
                <w:sz w:val="24"/>
                <w:szCs w:val="24"/>
              </w:rPr>
              <w:lastRenderedPageBreak/>
              <w:t>Reasons for orders:</w:t>
            </w:r>
          </w:p>
        </w:tc>
      </w:tr>
      <w:tr w:rsidR="008630BE" w:rsidRPr="00001BB0" w:rsidTr="0004438E">
        <w:tc>
          <w:tcPr>
            <w:tcW w:w="9720" w:type="dxa"/>
            <w:gridSpan w:val="3"/>
            <w:shd w:val="clear" w:color="auto" w:fill="auto"/>
          </w:tcPr>
          <w:p w:rsidR="008630BE" w:rsidRPr="00001BB0" w:rsidRDefault="008630BE" w:rsidP="00001BB0">
            <w:pPr>
              <w:tabs>
                <w:tab w:val="left" w:pos="1275"/>
              </w:tabs>
              <w:spacing w:line="360" w:lineRule="auto"/>
              <w:jc w:val="both"/>
              <w:rPr>
                <w:rFonts w:ascii="Arial" w:hAnsi="Arial" w:cs="Arial"/>
                <w:sz w:val="24"/>
                <w:szCs w:val="24"/>
              </w:rPr>
            </w:pPr>
          </w:p>
          <w:p w:rsidR="00AC2152" w:rsidRPr="00001BB0" w:rsidRDefault="00AC2152" w:rsidP="00001BB0">
            <w:pPr>
              <w:spacing w:line="360" w:lineRule="auto"/>
              <w:jc w:val="both"/>
              <w:rPr>
                <w:rFonts w:ascii="Arial" w:hAnsi="Arial" w:cs="Arial"/>
                <w:sz w:val="24"/>
                <w:szCs w:val="24"/>
              </w:rPr>
            </w:pPr>
            <w:r w:rsidRPr="00001BB0">
              <w:rPr>
                <w:rFonts w:ascii="Arial" w:hAnsi="Arial" w:cs="Arial"/>
                <w:sz w:val="24"/>
                <w:szCs w:val="24"/>
              </w:rPr>
              <w:t>[</w:t>
            </w:r>
            <w:r w:rsidR="00001BB0" w:rsidRPr="00001BB0">
              <w:rPr>
                <w:rFonts w:ascii="Arial" w:hAnsi="Arial" w:cs="Arial"/>
                <w:sz w:val="24"/>
                <w:szCs w:val="24"/>
              </w:rPr>
              <w:t>1</w:t>
            </w:r>
            <w:r w:rsidRPr="00001BB0">
              <w:rPr>
                <w:rFonts w:ascii="Arial" w:hAnsi="Arial" w:cs="Arial"/>
                <w:sz w:val="24"/>
                <w:szCs w:val="24"/>
              </w:rPr>
              <w:t>]</w:t>
            </w:r>
            <w:r w:rsidRPr="00001BB0">
              <w:rPr>
                <w:rFonts w:ascii="Arial" w:hAnsi="Arial" w:cs="Arial"/>
                <w:sz w:val="24"/>
                <w:szCs w:val="24"/>
              </w:rPr>
              <w:tab/>
              <w:t>The applicant herein applied for leave to intervene in the plaintiff’s application to have the property declared executable in terms of Rule 108 of the High Court. The defendant herein did not oppose the application in terms of Rule 108.</w:t>
            </w:r>
          </w:p>
          <w:p w:rsidR="00AC2152" w:rsidRPr="00001BB0" w:rsidRDefault="00AC2152" w:rsidP="00001BB0">
            <w:pPr>
              <w:spacing w:line="360" w:lineRule="auto"/>
              <w:jc w:val="both"/>
              <w:rPr>
                <w:rFonts w:ascii="Arial" w:hAnsi="Arial" w:cs="Arial"/>
                <w:sz w:val="24"/>
                <w:szCs w:val="24"/>
              </w:rPr>
            </w:pPr>
          </w:p>
          <w:p w:rsidR="00AC2152" w:rsidRPr="00001BB0" w:rsidRDefault="00AC2152" w:rsidP="00001BB0">
            <w:pPr>
              <w:spacing w:line="360" w:lineRule="auto"/>
              <w:jc w:val="both"/>
              <w:rPr>
                <w:rFonts w:ascii="Arial" w:hAnsi="Arial" w:cs="Arial"/>
                <w:sz w:val="24"/>
                <w:szCs w:val="24"/>
              </w:rPr>
            </w:pPr>
            <w:r w:rsidRPr="00001BB0">
              <w:rPr>
                <w:rFonts w:ascii="Arial" w:hAnsi="Arial" w:cs="Arial"/>
                <w:sz w:val="24"/>
                <w:szCs w:val="24"/>
              </w:rPr>
              <w:t>[</w:t>
            </w:r>
            <w:r w:rsidR="00001BB0" w:rsidRPr="00001BB0">
              <w:rPr>
                <w:rFonts w:ascii="Arial" w:hAnsi="Arial" w:cs="Arial"/>
                <w:sz w:val="24"/>
                <w:szCs w:val="24"/>
              </w:rPr>
              <w:t>2</w:t>
            </w:r>
            <w:r w:rsidRPr="00001BB0">
              <w:rPr>
                <w:rFonts w:ascii="Arial" w:hAnsi="Arial" w:cs="Arial"/>
                <w:sz w:val="24"/>
                <w:szCs w:val="24"/>
              </w:rPr>
              <w:t>]</w:t>
            </w:r>
            <w:r w:rsidRPr="00001BB0">
              <w:rPr>
                <w:rFonts w:ascii="Arial" w:hAnsi="Arial" w:cs="Arial"/>
                <w:sz w:val="24"/>
                <w:szCs w:val="24"/>
              </w:rPr>
              <w:tab/>
              <w:t xml:space="preserve">The plaintiff and defendant (the Embassy of the </w:t>
            </w:r>
            <w:r w:rsidRPr="00001BB0">
              <w:rPr>
                <w:rFonts w:ascii="Arial" w:hAnsi="Arial" w:cs="Arial"/>
                <w:sz w:val="24"/>
                <w:szCs w:val="24"/>
                <w:lang w:val="en-GB"/>
              </w:rPr>
              <w:t xml:space="preserve">Republic of Angola), </w:t>
            </w:r>
            <w:r w:rsidRPr="00001BB0">
              <w:rPr>
                <w:rFonts w:ascii="Arial" w:hAnsi="Arial" w:cs="Arial"/>
                <w:sz w:val="24"/>
                <w:szCs w:val="24"/>
              </w:rPr>
              <w:t>herein entered into an agreement of waiver of diplomatic immunity and the defendant consented to the jurisdiction of this court. On 20 November 2002</w:t>
            </w:r>
            <w:r w:rsidR="000D14A0">
              <w:rPr>
                <w:rFonts w:ascii="Arial" w:hAnsi="Arial" w:cs="Arial"/>
                <w:sz w:val="24"/>
                <w:szCs w:val="24"/>
              </w:rPr>
              <w:t>,</w:t>
            </w:r>
            <w:r w:rsidRPr="00001BB0">
              <w:rPr>
                <w:rFonts w:ascii="Arial" w:hAnsi="Arial" w:cs="Arial"/>
                <w:sz w:val="24"/>
                <w:szCs w:val="24"/>
              </w:rPr>
              <w:t xml:space="preserve"> the plaintiff granted a home loan to the defendant in the sum of N$3,800,000 and for an additional sum of N$950 000. The loan is secured by the passing and registration of a first continuing covering mortgage bond. </w:t>
            </w:r>
          </w:p>
          <w:p w:rsidR="00AC2152" w:rsidRPr="00001BB0" w:rsidRDefault="00AC2152" w:rsidP="00001BB0">
            <w:pPr>
              <w:spacing w:line="360" w:lineRule="auto"/>
              <w:jc w:val="both"/>
              <w:rPr>
                <w:rFonts w:ascii="Arial" w:hAnsi="Arial" w:cs="Arial"/>
                <w:sz w:val="24"/>
                <w:szCs w:val="24"/>
              </w:rPr>
            </w:pPr>
          </w:p>
          <w:p w:rsidR="00AC2152" w:rsidRPr="00001BB0" w:rsidRDefault="00AC2152" w:rsidP="00001BB0">
            <w:pPr>
              <w:spacing w:line="360" w:lineRule="auto"/>
              <w:jc w:val="both"/>
              <w:rPr>
                <w:rFonts w:ascii="Arial" w:hAnsi="Arial" w:cs="Arial"/>
                <w:sz w:val="24"/>
                <w:szCs w:val="24"/>
              </w:rPr>
            </w:pPr>
            <w:r w:rsidRPr="00001BB0">
              <w:rPr>
                <w:rFonts w:ascii="Arial" w:hAnsi="Arial" w:cs="Arial"/>
                <w:sz w:val="24"/>
                <w:szCs w:val="24"/>
              </w:rPr>
              <w:t>[</w:t>
            </w:r>
            <w:r w:rsidR="00001BB0" w:rsidRPr="00001BB0">
              <w:rPr>
                <w:rFonts w:ascii="Arial" w:hAnsi="Arial" w:cs="Arial"/>
                <w:sz w:val="24"/>
                <w:szCs w:val="24"/>
              </w:rPr>
              <w:t>3</w:t>
            </w:r>
            <w:r w:rsidRPr="00001BB0">
              <w:rPr>
                <w:rFonts w:ascii="Arial" w:hAnsi="Arial" w:cs="Arial"/>
                <w:sz w:val="24"/>
                <w:szCs w:val="24"/>
              </w:rPr>
              <w:t>]</w:t>
            </w:r>
            <w:r w:rsidRPr="00001BB0">
              <w:rPr>
                <w:rFonts w:ascii="Arial" w:hAnsi="Arial" w:cs="Arial"/>
                <w:sz w:val="24"/>
                <w:szCs w:val="24"/>
              </w:rPr>
              <w:tab/>
              <w:t xml:space="preserve">The defendant fell in arrears with the monthly instalments of N$50 730. The total outstanding balance as per the particulars of claim is N$1 235 486.34. The defendant did not oppose the action and default judgment was granted against the defendant for the amount claimed as well as interest thereon at the rate of 16.75% per annum as from 1 October 2020 until date of final judgment. </w:t>
            </w:r>
          </w:p>
          <w:p w:rsidR="00AC2152" w:rsidRPr="00001BB0" w:rsidRDefault="00AC2152" w:rsidP="00001BB0">
            <w:pPr>
              <w:spacing w:line="360" w:lineRule="auto"/>
              <w:jc w:val="both"/>
              <w:rPr>
                <w:rFonts w:ascii="Arial" w:hAnsi="Arial" w:cs="Arial"/>
                <w:sz w:val="24"/>
                <w:szCs w:val="24"/>
              </w:rPr>
            </w:pPr>
          </w:p>
          <w:p w:rsidR="00AC2152" w:rsidRPr="00001BB0" w:rsidRDefault="00AC2152" w:rsidP="00001BB0">
            <w:pPr>
              <w:spacing w:line="360" w:lineRule="auto"/>
              <w:jc w:val="both"/>
              <w:rPr>
                <w:rFonts w:ascii="Arial" w:hAnsi="Arial" w:cs="Arial"/>
                <w:sz w:val="24"/>
                <w:szCs w:val="24"/>
              </w:rPr>
            </w:pPr>
            <w:r w:rsidRPr="00001BB0">
              <w:rPr>
                <w:rFonts w:ascii="Arial" w:hAnsi="Arial" w:cs="Arial"/>
                <w:sz w:val="24"/>
                <w:szCs w:val="24"/>
              </w:rPr>
              <w:t>[</w:t>
            </w:r>
            <w:r w:rsidR="00001BB0" w:rsidRPr="00001BB0">
              <w:rPr>
                <w:rFonts w:ascii="Arial" w:hAnsi="Arial" w:cs="Arial"/>
                <w:sz w:val="24"/>
                <w:szCs w:val="24"/>
              </w:rPr>
              <w:t>4</w:t>
            </w:r>
            <w:r w:rsidRPr="00001BB0">
              <w:rPr>
                <w:rFonts w:ascii="Arial" w:hAnsi="Arial" w:cs="Arial"/>
                <w:sz w:val="24"/>
                <w:szCs w:val="24"/>
              </w:rPr>
              <w:t>]</w:t>
            </w:r>
            <w:r w:rsidRPr="00001BB0">
              <w:rPr>
                <w:rFonts w:ascii="Arial" w:hAnsi="Arial" w:cs="Arial"/>
                <w:sz w:val="24"/>
                <w:szCs w:val="24"/>
              </w:rPr>
              <w:tab/>
              <w:t>The plaintiff applied for the property,</w:t>
            </w:r>
            <w:r w:rsidRPr="00001BB0">
              <w:rPr>
                <w:rFonts w:ascii="Arial" w:hAnsi="Arial" w:cs="Arial"/>
                <w:sz w:val="24"/>
                <w:szCs w:val="24"/>
                <w:lang w:val="en-GB"/>
              </w:rPr>
              <w:t xml:space="preserve"> certain: remaining extent of portion of Erf 22 Klein Windhoek (the property)</w:t>
            </w:r>
            <w:r w:rsidRPr="00001BB0">
              <w:rPr>
                <w:rFonts w:ascii="Arial" w:hAnsi="Arial" w:cs="Arial"/>
                <w:sz w:val="24"/>
                <w:szCs w:val="24"/>
              </w:rPr>
              <w:t xml:space="preserve"> to be declared executable. The applicant filed this application on 28 November 2022 for leave to intervene.  </w:t>
            </w:r>
          </w:p>
          <w:p w:rsidR="00AC2152" w:rsidRPr="00001BB0" w:rsidRDefault="00AC2152" w:rsidP="00001BB0">
            <w:pPr>
              <w:spacing w:line="360" w:lineRule="auto"/>
              <w:jc w:val="both"/>
              <w:rPr>
                <w:rFonts w:ascii="Arial" w:hAnsi="Arial" w:cs="Arial"/>
                <w:sz w:val="24"/>
                <w:szCs w:val="24"/>
              </w:rPr>
            </w:pPr>
          </w:p>
          <w:p w:rsidR="00AC2152" w:rsidRPr="00001BB0" w:rsidRDefault="00AC2152" w:rsidP="00001BB0">
            <w:pPr>
              <w:spacing w:line="360" w:lineRule="auto"/>
              <w:jc w:val="both"/>
              <w:rPr>
                <w:rFonts w:ascii="Arial" w:hAnsi="Arial" w:cs="Arial"/>
                <w:sz w:val="24"/>
                <w:szCs w:val="24"/>
                <w:lang w:val="en-GB"/>
              </w:rPr>
            </w:pPr>
            <w:r w:rsidRPr="00001BB0">
              <w:rPr>
                <w:rFonts w:ascii="Arial" w:hAnsi="Arial" w:cs="Arial"/>
                <w:sz w:val="24"/>
                <w:szCs w:val="24"/>
              </w:rPr>
              <w:t>[</w:t>
            </w:r>
            <w:r w:rsidR="00001BB0" w:rsidRPr="00001BB0">
              <w:rPr>
                <w:rFonts w:ascii="Arial" w:hAnsi="Arial" w:cs="Arial"/>
                <w:sz w:val="24"/>
                <w:szCs w:val="24"/>
              </w:rPr>
              <w:t>5</w:t>
            </w:r>
            <w:r w:rsidRPr="00001BB0">
              <w:rPr>
                <w:rFonts w:ascii="Arial" w:hAnsi="Arial" w:cs="Arial"/>
                <w:sz w:val="24"/>
                <w:szCs w:val="24"/>
              </w:rPr>
              <w:t>]</w:t>
            </w:r>
            <w:r w:rsidRPr="00001BB0">
              <w:rPr>
                <w:rFonts w:ascii="Arial" w:hAnsi="Arial" w:cs="Arial"/>
                <w:sz w:val="24"/>
                <w:szCs w:val="24"/>
              </w:rPr>
              <w:tab/>
              <w:t>It is common cause between the parties that the applicant resides in the property</w:t>
            </w:r>
            <w:r w:rsidRPr="00001BB0">
              <w:rPr>
                <w:rFonts w:ascii="Arial" w:hAnsi="Arial" w:cs="Arial"/>
                <w:sz w:val="24"/>
                <w:szCs w:val="24"/>
                <w:lang w:val="en-GB"/>
              </w:rPr>
              <w:t>. It is also common cause that the defendant is a former ambassador for the defendant herein who subsequently retired. He holds a letter from the defendant acknowledging that the property now belongs to the applicant and that he may take transfer of the property.</w:t>
            </w:r>
          </w:p>
          <w:p w:rsidR="00AC2152" w:rsidRPr="00001BB0" w:rsidRDefault="00AC2152" w:rsidP="00001BB0">
            <w:pPr>
              <w:spacing w:line="360" w:lineRule="auto"/>
              <w:jc w:val="both"/>
              <w:rPr>
                <w:rFonts w:ascii="Arial" w:hAnsi="Arial" w:cs="Arial"/>
                <w:sz w:val="24"/>
                <w:szCs w:val="24"/>
                <w:lang w:val="en-GB"/>
              </w:rPr>
            </w:pPr>
            <w:r w:rsidRPr="00001BB0">
              <w:rPr>
                <w:rFonts w:ascii="Arial" w:hAnsi="Arial" w:cs="Arial"/>
                <w:sz w:val="24"/>
                <w:szCs w:val="24"/>
                <w:lang w:val="en-GB"/>
              </w:rPr>
              <w:t xml:space="preserve"> </w:t>
            </w:r>
          </w:p>
          <w:p w:rsidR="00AC2152" w:rsidRPr="00001BB0" w:rsidRDefault="00AC2152" w:rsidP="00001BB0">
            <w:pPr>
              <w:spacing w:line="360" w:lineRule="auto"/>
              <w:jc w:val="both"/>
              <w:rPr>
                <w:rFonts w:ascii="Arial" w:hAnsi="Arial" w:cs="Arial"/>
                <w:sz w:val="24"/>
                <w:szCs w:val="24"/>
                <w:lang w:val="en-GB"/>
              </w:rPr>
            </w:pPr>
            <w:r w:rsidRPr="00001BB0">
              <w:rPr>
                <w:rFonts w:ascii="Arial" w:hAnsi="Arial" w:cs="Arial"/>
                <w:sz w:val="24"/>
                <w:szCs w:val="24"/>
                <w:lang w:val="en-GB"/>
              </w:rPr>
              <w:t>[</w:t>
            </w:r>
            <w:r w:rsidR="00001BB0" w:rsidRPr="00001BB0">
              <w:rPr>
                <w:rFonts w:ascii="Arial" w:hAnsi="Arial" w:cs="Arial"/>
                <w:sz w:val="24"/>
                <w:szCs w:val="24"/>
                <w:lang w:val="en-GB"/>
              </w:rPr>
              <w:t>6</w:t>
            </w:r>
            <w:r w:rsidRPr="00001BB0">
              <w:rPr>
                <w:rFonts w:ascii="Arial" w:hAnsi="Arial" w:cs="Arial"/>
                <w:sz w:val="24"/>
                <w:szCs w:val="24"/>
                <w:lang w:val="en-GB"/>
              </w:rPr>
              <w:t>]</w:t>
            </w:r>
            <w:r w:rsidRPr="00001BB0">
              <w:rPr>
                <w:rFonts w:ascii="Arial" w:hAnsi="Arial" w:cs="Arial"/>
                <w:sz w:val="24"/>
                <w:szCs w:val="24"/>
                <w:lang w:val="en-GB"/>
              </w:rPr>
              <w:tab/>
              <w:t>He submitted in his affidavit that he is prepared to pay the outstanding bond and has made settlement offers</w:t>
            </w:r>
            <w:r w:rsidR="00EF7BD9">
              <w:rPr>
                <w:rFonts w:ascii="Arial" w:hAnsi="Arial" w:cs="Arial"/>
                <w:sz w:val="24"/>
                <w:szCs w:val="24"/>
                <w:lang w:val="en-GB"/>
              </w:rPr>
              <w:t xml:space="preserve"> </w:t>
            </w:r>
            <w:r w:rsidRPr="00001BB0">
              <w:rPr>
                <w:rFonts w:ascii="Arial" w:hAnsi="Arial" w:cs="Arial"/>
                <w:sz w:val="24"/>
                <w:szCs w:val="24"/>
                <w:lang w:val="en-GB"/>
              </w:rPr>
              <w:t xml:space="preserve">to the plaintiff. He also submits that the </w:t>
            </w:r>
            <w:r w:rsidRPr="00001BB0">
              <w:rPr>
                <w:rFonts w:ascii="Arial" w:hAnsi="Arial" w:cs="Arial"/>
                <w:i/>
                <w:sz w:val="24"/>
                <w:szCs w:val="24"/>
                <w:lang w:val="en-GB"/>
              </w:rPr>
              <w:t>nul</w:t>
            </w:r>
            <w:r w:rsidR="000D14A0">
              <w:rPr>
                <w:rFonts w:ascii="Arial" w:hAnsi="Arial" w:cs="Arial"/>
                <w:i/>
                <w:sz w:val="24"/>
                <w:szCs w:val="24"/>
                <w:lang w:val="en-GB"/>
              </w:rPr>
              <w:t>l</w:t>
            </w:r>
            <w:r w:rsidRPr="00001BB0">
              <w:rPr>
                <w:rFonts w:ascii="Arial" w:hAnsi="Arial" w:cs="Arial"/>
                <w:i/>
                <w:sz w:val="24"/>
                <w:szCs w:val="24"/>
                <w:lang w:val="en-GB"/>
              </w:rPr>
              <w:t>a bona</w:t>
            </w:r>
            <w:r w:rsidRPr="00001BB0">
              <w:rPr>
                <w:rFonts w:ascii="Arial" w:hAnsi="Arial" w:cs="Arial"/>
                <w:sz w:val="24"/>
                <w:szCs w:val="24"/>
                <w:lang w:val="en-GB"/>
              </w:rPr>
              <w:t xml:space="preserve"> return is not a true reflection of the position. He maintains that the defendant has property which may be sold in execution.</w:t>
            </w:r>
          </w:p>
          <w:p w:rsidR="00AC2152" w:rsidRPr="00001BB0" w:rsidRDefault="00AC2152" w:rsidP="00001BB0">
            <w:pPr>
              <w:spacing w:line="360" w:lineRule="auto"/>
              <w:jc w:val="both"/>
              <w:rPr>
                <w:rFonts w:ascii="Arial" w:hAnsi="Arial" w:cs="Arial"/>
                <w:sz w:val="24"/>
                <w:szCs w:val="24"/>
                <w:lang w:val="en-GB"/>
              </w:rPr>
            </w:pPr>
          </w:p>
          <w:p w:rsidR="00AC2152" w:rsidRPr="00001BB0" w:rsidRDefault="00AC2152" w:rsidP="00001BB0">
            <w:pPr>
              <w:spacing w:line="360" w:lineRule="auto"/>
              <w:jc w:val="both"/>
              <w:rPr>
                <w:rFonts w:ascii="Arial" w:hAnsi="Arial" w:cs="Arial"/>
                <w:sz w:val="24"/>
                <w:szCs w:val="24"/>
                <w:lang w:val="en-GB"/>
              </w:rPr>
            </w:pPr>
            <w:r w:rsidRPr="00001BB0">
              <w:rPr>
                <w:rFonts w:ascii="Arial" w:hAnsi="Arial" w:cs="Arial"/>
                <w:sz w:val="24"/>
                <w:szCs w:val="24"/>
                <w:lang w:val="en-GB"/>
              </w:rPr>
              <w:t>[</w:t>
            </w:r>
            <w:r w:rsidR="00001BB0" w:rsidRPr="00001BB0">
              <w:rPr>
                <w:rFonts w:ascii="Arial" w:hAnsi="Arial" w:cs="Arial"/>
                <w:sz w:val="24"/>
                <w:szCs w:val="24"/>
                <w:lang w:val="en-GB"/>
              </w:rPr>
              <w:t>7</w:t>
            </w:r>
            <w:r w:rsidRPr="00001BB0">
              <w:rPr>
                <w:rFonts w:ascii="Arial" w:hAnsi="Arial" w:cs="Arial"/>
                <w:sz w:val="24"/>
                <w:szCs w:val="24"/>
                <w:lang w:val="en-GB"/>
              </w:rPr>
              <w:t>]</w:t>
            </w:r>
            <w:r w:rsidRPr="00001BB0">
              <w:rPr>
                <w:rFonts w:ascii="Arial" w:hAnsi="Arial" w:cs="Arial"/>
                <w:sz w:val="24"/>
                <w:szCs w:val="24"/>
                <w:lang w:val="en-GB"/>
              </w:rPr>
              <w:tab/>
              <w:t xml:space="preserve">The plaintiff’s stance is that the applicant is not part of the agreement between the plaintiff and defendant, that the plaintiff obtained a judgment in its favour and is entitled to have the property declared executable. </w:t>
            </w:r>
          </w:p>
          <w:p w:rsidR="00AC2152" w:rsidRPr="00001BB0" w:rsidRDefault="00AC2152" w:rsidP="00001BB0">
            <w:pPr>
              <w:spacing w:line="360" w:lineRule="auto"/>
              <w:jc w:val="both"/>
              <w:rPr>
                <w:rFonts w:ascii="Arial" w:hAnsi="Arial" w:cs="Arial"/>
                <w:sz w:val="24"/>
                <w:szCs w:val="24"/>
                <w:lang w:val="en-GB"/>
              </w:rPr>
            </w:pPr>
          </w:p>
          <w:p w:rsidR="00AC2152" w:rsidRPr="00001BB0" w:rsidRDefault="00AC2152" w:rsidP="00001BB0">
            <w:pPr>
              <w:spacing w:line="360" w:lineRule="auto"/>
              <w:jc w:val="both"/>
              <w:rPr>
                <w:rFonts w:ascii="Arial" w:hAnsi="Arial" w:cs="Arial"/>
                <w:sz w:val="24"/>
                <w:szCs w:val="24"/>
                <w:lang w:val="en-GB"/>
              </w:rPr>
            </w:pPr>
            <w:r w:rsidRPr="00001BB0">
              <w:rPr>
                <w:rFonts w:ascii="Arial" w:hAnsi="Arial" w:cs="Arial"/>
                <w:sz w:val="24"/>
                <w:szCs w:val="24"/>
                <w:lang w:val="en-GB"/>
              </w:rPr>
              <w:t>[</w:t>
            </w:r>
            <w:r w:rsidR="00001BB0" w:rsidRPr="00001BB0">
              <w:rPr>
                <w:rFonts w:ascii="Arial" w:hAnsi="Arial" w:cs="Arial"/>
                <w:sz w:val="24"/>
                <w:szCs w:val="24"/>
                <w:lang w:val="en-GB"/>
              </w:rPr>
              <w:t>8</w:t>
            </w:r>
            <w:r w:rsidR="000D14A0">
              <w:rPr>
                <w:rFonts w:ascii="Arial" w:hAnsi="Arial" w:cs="Arial"/>
                <w:sz w:val="24"/>
                <w:szCs w:val="24"/>
                <w:lang w:val="en-GB"/>
              </w:rPr>
              <w:t>]</w:t>
            </w:r>
            <w:r w:rsidR="000D14A0">
              <w:rPr>
                <w:rFonts w:ascii="Arial" w:hAnsi="Arial" w:cs="Arial"/>
                <w:sz w:val="24"/>
                <w:szCs w:val="24"/>
                <w:lang w:val="en-GB"/>
              </w:rPr>
              <w:tab/>
              <w:t>Rule 41(2)</w:t>
            </w:r>
            <w:r w:rsidRPr="00001BB0">
              <w:rPr>
                <w:rFonts w:ascii="Arial" w:hAnsi="Arial" w:cs="Arial"/>
                <w:sz w:val="24"/>
                <w:szCs w:val="24"/>
                <w:lang w:val="en-GB"/>
              </w:rPr>
              <w:t>(</w:t>
            </w:r>
            <w:r w:rsidRPr="00001BB0">
              <w:rPr>
                <w:rFonts w:ascii="Arial" w:hAnsi="Arial" w:cs="Arial"/>
                <w:i/>
                <w:sz w:val="24"/>
                <w:szCs w:val="24"/>
                <w:lang w:val="en-GB"/>
              </w:rPr>
              <w:t>c</w:t>
            </w:r>
            <w:r w:rsidRPr="00001BB0">
              <w:rPr>
                <w:rFonts w:ascii="Arial" w:hAnsi="Arial" w:cs="Arial"/>
                <w:sz w:val="24"/>
                <w:szCs w:val="24"/>
                <w:lang w:val="en-GB"/>
              </w:rPr>
              <w:t xml:space="preserve">) </w:t>
            </w:r>
            <w:r w:rsidR="000D14A0">
              <w:rPr>
                <w:rFonts w:ascii="Arial" w:hAnsi="Arial" w:cs="Arial"/>
                <w:sz w:val="24"/>
                <w:szCs w:val="24"/>
                <w:lang w:val="en-GB"/>
              </w:rPr>
              <w:t xml:space="preserve">of High Court Rules </w:t>
            </w:r>
            <w:r w:rsidRPr="00001BB0">
              <w:rPr>
                <w:rFonts w:ascii="Arial" w:hAnsi="Arial" w:cs="Arial"/>
                <w:sz w:val="24"/>
                <w:szCs w:val="24"/>
                <w:lang w:val="en-GB"/>
              </w:rPr>
              <w:t>provides as follow:</w:t>
            </w:r>
          </w:p>
          <w:p w:rsidR="00AC2152" w:rsidRPr="000D14A0" w:rsidRDefault="00AC2152" w:rsidP="00001BB0">
            <w:pPr>
              <w:spacing w:line="360" w:lineRule="auto"/>
              <w:ind w:firstLine="720"/>
              <w:jc w:val="both"/>
              <w:rPr>
                <w:rFonts w:ascii="Arial" w:hAnsi="Arial" w:cs="Arial"/>
              </w:rPr>
            </w:pPr>
            <w:r w:rsidRPr="000D14A0">
              <w:rPr>
                <w:rFonts w:ascii="Arial" w:hAnsi="Arial" w:cs="Arial"/>
              </w:rPr>
              <w:t xml:space="preserve">‘A person entitled to join as a plaintiff or liable to be joined as a defendant in any action may, on notice to all parties, </w:t>
            </w:r>
            <w:r w:rsidRPr="000D14A0">
              <w:rPr>
                <w:rFonts w:ascii="Arial" w:hAnsi="Arial" w:cs="Arial"/>
                <w:u w:val="single"/>
              </w:rPr>
              <w:t>at any stage of the proceedings</w:t>
            </w:r>
            <w:r w:rsidRPr="000D14A0">
              <w:rPr>
                <w:rFonts w:ascii="Arial" w:hAnsi="Arial" w:cs="Arial"/>
              </w:rPr>
              <w:t xml:space="preserve"> apply to the managing judge for leave to intervene as a plaintiff or defendant.’</w:t>
            </w:r>
          </w:p>
          <w:p w:rsidR="00AC2152" w:rsidRPr="00001BB0" w:rsidRDefault="00AC2152" w:rsidP="00001BB0">
            <w:pPr>
              <w:spacing w:line="360" w:lineRule="auto"/>
              <w:ind w:firstLine="720"/>
              <w:jc w:val="both"/>
              <w:rPr>
                <w:rFonts w:ascii="Arial" w:hAnsi="Arial" w:cs="Arial"/>
                <w:sz w:val="24"/>
                <w:szCs w:val="24"/>
                <w:lang w:val="en-GB"/>
              </w:rPr>
            </w:pPr>
          </w:p>
          <w:p w:rsidR="00AC2152" w:rsidRPr="00001BB0" w:rsidRDefault="00AC2152" w:rsidP="00001BB0">
            <w:pPr>
              <w:spacing w:line="360" w:lineRule="auto"/>
              <w:jc w:val="both"/>
              <w:rPr>
                <w:rFonts w:ascii="Arial" w:hAnsi="Arial" w:cs="Arial"/>
                <w:sz w:val="24"/>
                <w:szCs w:val="24"/>
              </w:rPr>
            </w:pPr>
            <w:r w:rsidRPr="00001BB0">
              <w:rPr>
                <w:rFonts w:ascii="Arial" w:hAnsi="Arial" w:cs="Arial"/>
                <w:sz w:val="24"/>
                <w:szCs w:val="24"/>
              </w:rPr>
              <w:t xml:space="preserve"> [</w:t>
            </w:r>
            <w:r w:rsidR="00001BB0" w:rsidRPr="00001BB0">
              <w:rPr>
                <w:rFonts w:ascii="Arial" w:hAnsi="Arial" w:cs="Arial"/>
                <w:sz w:val="24"/>
                <w:szCs w:val="24"/>
              </w:rPr>
              <w:t>9</w:t>
            </w:r>
            <w:r w:rsidRPr="00001BB0">
              <w:rPr>
                <w:rFonts w:ascii="Arial" w:hAnsi="Arial" w:cs="Arial"/>
                <w:sz w:val="24"/>
                <w:szCs w:val="24"/>
              </w:rPr>
              <w:t>]</w:t>
            </w:r>
            <w:r w:rsidRPr="00001BB0">
              <w:rPr>
                <w:rFonts w:ascii="Arial" w:hAnsi="Arial" w:cs="Arial"/>
                <w:sz w:val="24"/>
                <w:szCs w:val="24"/>
              </w:rPr>
              <w:tab/>
              <w:t xml:space="preserve">In </w:t>
            </w:r>
            <w:r w:rsidRPr="00001BB0">
              <w:rPr>
                <w:rFonts w:ascii="Arial" w:hAnsi="Arial" w:cs="Arial"/>
                <w:i/>
                <w:sz w:val="24"/>
                <w:szCs w:val="24"/>
              </w:rPr>
              <w:t>Ohorongo Cement (Pty) Ltd v Jack's Trading CC and Others and a Similar Matter</w:t>
            </w:r>
            <w:r w:rsidRPr="00001BB0">
              <w:rPr>
                <w:rFonts w:ascii="Arial" w:hAnsi="Arial" w:cs="Arial"/>
                <w:sz w:val="24"/>
                <w:szCs w:val="24"/>
              </w:rPr>
              <w:t xml:space="preserve"> 2020 (2) NR 571 (SC) in paragraph 15, at page the court states the following:</w:t>
            </w:r>
          </w:p>
          <w:p w:rsidR="00001BB0" w:rsidRPr="00001BB0" w:rsidRDefault="00001BB0" w:rsidP="00001BB0">
            <w:pPr>
              <w:spacing w:line="360" w:lineRule="auto"/>
              <w:jc w:val="both"/>
              <w:rPr>
                <w:rFonts w:ascii="Arial" w:hAnsi="Arial" w:cs="Arial"/>
                <w:sz w:val="24"/>
                <w:szCs w:val="24"/>
              </w:rPr>
            </w:pPr>
          </w:p>
          <w:p w:rsidR="00AC2152" w:rsidRPr="000D14A0" w:rsidRDefault="00AC2152" w:rsidP="00001BB0">
            <w:pPr>
              <w:spacing w:line="360" w:lineRule="auto"/>
              <w:ind w:firstLine="720"/>
              <w:jc w:val="both"/>
              <w:rPr>
                <w:rFonts w:ascii="Arial" w:hAnsi="Arial" w:cs="Arial"/>
              </w:rPr>
            </w:pPr>
            <w:r w:rsidRPr="000D14A0">
              <w:rPr>
                <w:rFonts w:ascii="Arial" w:hAnsi="Arial" w:cs="Arial"/>
              </w:rPr>
              <w:t xml:space="preserve">‘ In deciding the issue whether or not Ohorongo's intervention application should have been decided before the settlement agreement was made an order of court, this court is guided by its earlier decision in </w:t>
            </w:r>
            <w:r w:rsidRPr="000D14A0">
              <w:rPr>
                <w:rFonts w:ascii="Arial" w:hAnsi="Arial" w:cs="Arial"/>
                <w:i/>
              </w:rPr>
              <w:t>Trustco Ltd t/a Legal Shield Namibia and Another v Deeds Registries Regulation Board and Others</w:t>
            </w:r>
            <w:r w:rsidRPr="000D14A0">
              <w:rPr>
                <w:rFonts w:ascii="Arial" w:hAnsi="Arial" w:cs="Arial"/>
              </w:rPr>
              <w:t xml:space="preserve"> 2011 (2) NR 726 (SC)  where it was held that:</w:t>
            </w:r>
          </w:p>
          <w:p w:rsidR="00AC2152" w:rsidRPr="000D14A0" w:rsidRDefault="00AC2152" w:rsidP="00001BB0">
            <w:pPr>
              <w:spacing w:line="360" w:lineRule="auto"/>
              <w:jc w:val="both"/>
              <w:rPr>
                <w:rFonts w:ascii="Arial" w:hAnsi="Arial" w:cs="Arial"/>
              </w:rPr>
            </w:pPr>
            <w:r w:rsidRPr="000D14A0">
              <w:rPr>
                <w:rFonts w:ascii="Arial" w:hAnsi="Arial" w:cs="Arial"/>
              </w:rPr>
              <w:tab/>
              <w:t>'In a constitutional State, citizens are entitled to exercise their rights and they are entitled to approach courts, where there is uncertainty as to the law, to determine their rights.'</w:t>
            </w:r>
          </w:p>
          <w:p w:rsidR="00AC2152" w:rsidRPr="00001BB0" w:rsidRDefault="00AC2152" w:rsidP="00001BB0">
            <w:pPr>
              <w:spacing w:line="360" w:lineRule="auto"/>
              <w:jc w:val="both"/>
              <w:rPr>
                <w:rFonts w:ascii="Arial" w:hAnsi="Arial" w:cs="Arial"/>
                <w:sz w:val="24"/>
                <w:szCs w:val="24"/>
              </w:rPr>
            </w:pPr>
          </w:p>
          <w:p w:rsidR="00AC2152" w:rsidRPr="00001BB0" w:rsidRDefault="00AC2152" w:rsidP="00001BB0">
            <w:pPr>
              <w:spacing w:line="360" w:lineRule="auto"/>
              <w:jc w:val="both"/>
              <w:rPr>
                <w:rFonts w:ascii="Arial" w:hAnsi="Arial" w:cs="Arial"/>
                <w:sz w:val="24"/>
                <w:szCs w:val="24"/>
              </w:rPr>
            </w:pPr>
            <w:r w:rsidRPr="00001BB0">
              <w:rPr>
                <w:rFonts w:ascii="Arial" w:hAnsi="Arial" w:cs="Arial"/>
                <w:sz w:val="24"/>
                <w:szCs w:val="24"/>
              </w:rPr>
              <w:t>[</w:t>
            </w:r>
            <w:r w:rsidR="00001BB0" w:rsidRPr="00001BB0">
              <w:rPr>
                <w:rFonts w:ascii="Arial" w:hAnsi="Arial" w:cs="Arial"/>
                <w:sz w:val="24"/>
                <w:szCs w:val="24"/>
              </w:rPr>
              <w:t>10</w:t>
            </w:r>
            <w:r w:rsidRPr="00001BB0">
              <w:rPr>
                <w:rFonts w:ascii="Arial" w:hAnsi="Arial" w:cs="Arial"/>
                <w:sz w:val="24"/>
                <w:szCs w:val="24"/>
              </w:rPr>
              <w:t>]</w:t>
            </w:r>
            <w:r w:rsidRPr="00001BB0">
              <w:rPr>
                <w:rFonts w:ascii="Arial" w:hAnsi="Arial" w:cs="Arial"/>
                <w:sz w:val="24"/>
                <w:szCs w:val="24"/>
              </w:rPr>
              <w:tab/>
              <w:t xml:space="preserve">The court is guided by the above authority and the fact that Rule 108 intrinsically calls upon the court to exercise judicial oversight. For these reasons the court herein grants the applicant leave to intervene in the application brought by the plaintiff in terms of Rule 108. </w:t>
            </w:r>
          </w:p>
          <w:p w:rsidR="001E27C0" w:rsidRDefault="00AC2152" w:rsidP="001E27C0">
            <w:pPr>
              <w:spacing w:before="100" w:beforeAutospacing="1" w:after="100" w:afterAutospacing="1" w:line="360" w:lineRule="auto"/>
              <w:ind w:left="20"/>
              <w:jc w:val="both"/>
              <w:rPr>
                <w:rFonts w:ascii="Arial" w:eastAsia="Times New Roman" w:hAnsi="Arial" w:cs="Arial"/>
                <w:b/>
                <w:bCs/>
                <w:color w:val="000000"/>
                <w:sz w:val="24"/>
                <w:szCs w:val="24"/>
                <w:lang w:val="en-US"/>
              </w:rPr>
            </w:pPr>
            <w:r w:rsidRPr="00001BB0">
              <w:rPr>
                <w:rFonts w:ascii="Arial" w:hAnsi="Arial" w:cs="Arial"/>
                <w:sz w:val="24"/>
                <w:szCs w:val="24"/>
              </w:rPr>
              <w:t>[</w:t>
            </w:r>
            <w:r w:rsidR="00001BB0" w:rsidRPr="00001BB0">
              <w:rPr>
                <w:rFonts w:ascii="Arial" w:hAnsi="Arial" w:cs="Arial"/>
                <w:sz w:val="24"/>
                <w:szCs w:val="24"/>
              </w:rPr>
              <w:t>11</w:t>
            </w:r>
            <w:r w:rsidRPr="00001BB0">
              <w:rPr>
                <w:rFonts w:ascii="Arial" w:hAnsi="Arial" w:cs="Arial"/>
                <w:sz w:val="24"/>
                <w:szCs w:val="24"/>
              </w:rPr>
              <w:t>]</w:t>
            </w:r>
            <w:r w:rsidRPr="00001BB0">
              <w:rPr>
                <w:rFonts w:ascii="Arial" w:hAnsi="Arial" w:cs="Arial"/>
                <w:sz w:val="24"/>
                <w:szCs w:val="24"/>
              </w:rPr>
              <w:tab/>
            </w:r>
            <w:r w:rsidR="001E27C0" w:rsidRPr="001E27C0">
              <w:rPr>
                <w:rFonts w:ascii="Arial" w:eastAsia="Times New Roman" w:hAnsi="Arial" w:cs="Arial"/>
                <w:bCs/>
                <w:color w:val="000000"/>
                <w:sz w:val="24"/>
                <w:szCs w:val="24"/>
                <w:lang w:val="en-US"/>
              </w:rPr>
              <w:t>The following order is made:</w:t>
            </w:r>
          </w:p>
          <w:p w:rsidR="001E27C0" w:rsidRPr="00326BEA" w:rsidRDefault="004A57B1" w:rsidP="00326BEA">
            <w:pPr>
              <w:spacing w:before="100" w:beforeAutospacing="1" w:after="100" w:afterAutospacing="1" w:line="360" w:lineRule="auto"/>
              <w:ind w:left="701" w:hanging="710"/>
              <w:jc w:val="both"/>
              <w:rPr>
                <w:rFonts w:ascii="Arial" w:hAnsi="Arial" w:cs="Arial"/>
                <w:sz w:val="24"/>
                <w:szCs w:val="24"/>
              </w:rPr>
            </w:pPr>
            <w:r>
              <w:rPr>
                <w:rFonts w:ascii="Arial" w:hAnsi="Arial" w:cs="Arial"/>
                <w:sz w:val="24"/>
                <w:szCs w:val="24"/>
              </w:rPr>
              <w:t xml:space="preserve">      </w:t>
            </w:r>
            <w:r w:rsidR="001E27C0" w:rsidRPr="001E27C0">
              <w:rPr>
                <w:rFonts w:ascii="Arial" w:hAnsi="Arial" w:cs="Arial"/>
                <w:sz w:val="24"/>
                <w:szCs w:val="24"/>
              </w:rPr>
              <w:t>1.</w:t>
            </w:r>
            <w:r w:rsidR="001E27C0" w:rsidRPr="001E27C0">
              <w:rPr>
                <w:rFonts w:ascii="Arial" w:hAnsi="Arial" w:cs="Arial"/>
                <w:sz w:val="24"/>
                <w:szCs w:val="24"/>
              </w:rPr>
              <w:tab/>
              <w:t>The applicant is granted leave to intervene in t</w:t>
            </w:r>
            <w:r w:rsidR="00326BEA">
              <w:rPr>
                <w:rFonts w:ascii="Arial" w:hAnsi="Arial" w:cs="Arial"/>
                <w:sz w:val="24"/>
                <w:szCs w:val="24"/>
              </w:rPr>
              <w:t xml:space="preserve">he rule 108 application brought </w:t>
            </w:r>
            <w:r w:rsidR="001E27C0" w:rsidRPr="001E27C0">
              <w:rPr>
                <w:rFonts w:ascii="Arial" w:hAnsi="Arial" w:cs="Arial"/>
                <w:sz w:val="24"/>
                <w:szCs w:val="24"/>
              </w:rPr>
              <w:t>under Case No. HC-MD-CIV-ACT-CON-2021/02570.</w:t>
            </w:r>
          </w:p>
          <w:p w:rsidR="001E27C0" w:rsidRDefault="004A57B1" w:rsidP="001E27C0">
            <w:pPr>
              <w:spacing w:line="360" w:lineRule="auto"/>
              <w:jc w:val="both"/>
              <w:rPr>
                <w:rFonts w:ascii="Arial" w:hAnsi="Arial" w:cs="Arial"/>
                <w:sz w:val="24"/>
                <w:szCs w:val="24"/>
              </w:rPr>
            </w:pPr>
            <w:r>
              <w:rPr>
                <w:rFonts w:ascii="Arial" w:hAnsi="Arial" w:cs="Arial"/>
                <w:sz w:val="24"/>
                <w:szCs w:val="24"/>
              </w:rPr>
              <w:t xml:space="preserve">      </w:t>
            </w:r>
            <w:r w:rsidR="001E27C0" w:rsidRPr="001E27C0">
              <w:rPr>
                <w:rFonts w:ascii="Arial" w:hAnsi="Arial" w:cs="Arial"/>
                <w:sz w:val="24"/>
                <w:szCs w:val="24"/>
              </w:rPr>
              <w:t>2.</w:t>
            </w:r>
            <w:r w:rsidR="001E27C0" w:rsidRPr="001E27C0">
              <w:rPr>
                <w:rFonts w:ascii="Arial" w:hAnsi="Arial" w:cs="Arial"/>
                <w:sz w:val="24"/>
                <w:szCs w:val="24"/>
              </w:rPr>
              <w:tab/>
              <w:t>The cost is to stand over until the end of the Rule 108 proceedings;</w:t>
            </w:r>
          </w:p>
          <w:p w:rsidR="00326BEA" w:rsidRPr="001E27C0" w:rsidRDefault="00326BEA" w:rsidP="001E27C0">
            <w:pPr>
              <w:spacing w:line="360" w:lineRule="auto"/>
              <w:jc w:val="both"/>
              <w:rPr>
                <w:rFonts w:ascii="Arial" w:hAnsi="Arial" w:cs="Arial"/>
                <w:sz w:val="24"/>
                <w:szCs w:val="24"/>
              </w:rPr>
            </w:pPr>
          </w:p>
          <w:p w:rsidR="004A57B1" w:rsidRPr="00326BEA" w:rsidRDefault="00326BEA" w:rsidP="001E27C0">
            <w:pPr>
              <w:spacing w:line="360" w:lineRule="auto"/>
              <w:jc w:val="both"/>
              <w:rPr>
                <w:rFonts w:ascii="Arial" w:hAnsi="Arial" w:cs="Arial"/>
                <w:b/>
                <w:sz w:val="24"/>
                <w:szCs w:val="24"/>
              </w:rPr>
            </w:pPr>
            <w:r>
              <w:rPr>
                <w:rFonts w:ascii="Arial" w:hAnsi="Arial" w:cs="Arial"/>
                <w:sz w:val="24"/>
                <w:szCs w:val="24"/>
              </w:rPr>
              <w:t xml:space="preserve">       </w:t>
            </w:r>
            <w:r w:rsidR="004A57B1" w:rsidRPr="00326BEA">
              <w:rPr>
                <w:rFonts w:ascii="Arial" w:hAnsi="Arial" w:cs="Arial"/>
                <w:b/>
                <w:sz w:val="24"/>
                <w:szCs w:val="24"/>
              </w:rPr>
              <w:t>Further conduct of the matter:</w:t>
            </w:r>
          </w:p>
          <w:p w:rsidR="004A57B1" w:rsidRDefault="004A57B1" w:rsidP="001E27C0">
            <w:pPr>
              <w:spacing w:line="360" w:lineRule="auto"/>
              <w:jc w:val="both"/>
              <w:rPr>
                <w:rFonts w:ascii="Arial" w:hAnsi="Arial" w:cs="Arial"/>
                <w:sz w:val="24"/>
                <w:szCs w:val="24"/>
              </w:rPr>
            </w:pPr>
            <w:r>
              <w:rPr>
                <w:rFonts w:ascii="Arial" w:hAnsi="Arial" w:cs="Arial"/>
                <w:sz w:val="24"/>
                <w:szCs w:val="24"/>
              </w:rPr>
              <w:t xml:space="preserve"> </w:t>
            </w:r>
            <w:r w:rsidR="00326BEA">
              <w:rPr>
                <w:rFonts w:ascii="Arial" w:hAnsi="Arial" w:cs="Arial"/>
                <w:sz w:val="24"/>
                <w:szCs w:val="24"/>
              </w:rPr>
              <w:t xml:space="preserve">      </w:t>
            </w:r>
            <w:r w:rsidR="001E27C0" w:rsidRPr="001E27C0">
              <w:rPr>
                <w:rFonts w:ascii="Arial" w:hAnsi="Arial" w:cs="Arial"/>
                <w:sz w:val="24"/>
                <w:szCs w:val="24"/>
              </w:rPr>
              <w:t xml:space="preserve">The matter is postponed to 28 June 2023 at 08:30 for submissions in respect of </w:t>
            </w:r>
            <w:r>
              <w:rPr>
                <w:rFonts w:ascii="Arial" w:hAnsi="Arial" w:cs="Arial"/>
                <w:sz w:val="24"/>
                <w:szCs w:val="24"/>
              </w:rPr>
              <w:t xml:space="preserve"> </w:t>
            </w:r>
          </w:p>
          <w:p w:rsidR="00AB44EA" w:rsidRDefault="004A57B1" w:rsidP="001E27C0">
            <w:pPr>
              <w:spacing w:line="360" w:lineRule="auto"/>
              <w:jc w:val="both"/>
              <w:rPr>
                <w:rFonts w:ascii="Arial" w:hAnsi="Arial" w:cs="Arial"/>
                <w:sz w:val="24"/>
                <w:szCs w:val="24"/>
              </w:rPr>
            </w:pPr>
            <w:r>
              <w:rPr>
                <w:rFonts w:ascii="Arial" w:hAnsi="Arial" w:cs="Arial"/>
                <w:sz w:val="24"/>
                <w:szCs w:val="24"/>
              </w:rPr>
              <w:t xml:space="preserve"> </w:t>
            </w:r>
            <w:r w:rsidR="00326BEA">
              <w:rPr>
                <w:rFonts w:ascii="Arial" w:hAnsi="Arial" w:cs="Arial"/>
                <w:sz w:val="24"/>
                <w:szCs w:val="24"/>
              </w:rPr>
              <w:t xml:space="preserve">       </w:t>
            </w:r>
            <w:r w:rsidR="001E27C0" w:rsidRPr="001E27C0">
              <w:rPr>
                <w:rFonts w:ascii="Arial" w:hAnsi="Arial" w:cs="Arial"/>
                <w:sz w:val="24"/>
                <w:szCs w:val="24"/>
              </w:rPr>
              <w:t>the application in terms of rule 108.</w:t>
            </w:r>
          </w:p>
          <w:p w:rsidR="00326BEA" w:rsidRPr="00001BB0" w:rsidRDefault="00326BEA" w:rsidP="001E27C0">
            <w:pPr>
              <w:spacing w:line="360" w:lineRule="auto"/>
              <w:jc w:val="both"/>
              <w:rPr>
                <w:rFonts w:ascii="Arial" w:hAnsi="Arial" w:cs="Arial"/>
                <w:sz w:val="24"/>
                <w:szCs w:val="24"/>
              </w:rPr>
            </w:pPr>
          </w:p>
        </w:tc>
      </w:tr>
      <w:tr w:rsidR="008630BE" w:rsidRPr="00001BB0" w:rsidTr="0004438E">
        <w:tc>
          <w:tcPr>
            <w:tcW w:w="4770" w:type="dxa"/>
          </w:tcPr>
          <w:p w:rsidR="008630BE" w:rsidRPr="00001BB0" w:rsidRDefault="00D66983" w:rsidP="00001BB0">
            <w:pPr>
              <w:spacing w:line="360" w:lineRule="auto"/>
              <w:jc w:val="both"/>
              <w:rPr>
                <w:rFonts w:ascii="Arial" w:hAnsi="Arial" w:cs="Arial"/>
                <w:b/>
                <w:sz w:val="24"/>
                <w:szCs w:val="24"/>
              </w:rPr>
            </w:pPr>
            <w:r w:rsidRPr="00001BB0">
              <w:rPr>
                <w:rFonts w:ascii="Arial" w:hAnsi="Arial" w:cs="Arial"/>
                <w:b/>
                <w:sz w:val="24"/>
                <w:szCs w:val="24"/>
              </w:rPr>
              <w:lastRenderedPageBreak/>
              <w:t>Judge’s signature</w:t>
            </w:r>
            <w:r w:rsidR="00B308A9" w:rsidRPr="00001BB0">
              <w:rPr>
                <w:rFonts w:ascii="Arial" w:hAnsi="Arial" w:cs="Arial"/>
                <w:b/>
                <w:sz w:val="24"/>
                <w:szCs w:val="24"/>
              </w:rPr>
              <w:t xml:space="preserve">  </w:t>
            </w:r>
          </w:p>
        </w:tc>
        <w:tc>
          <w:tcPr>
            <w:tcW w:w="4950" w:type="dxa"/>
            <w:gridSpan w:val="2"/>
          </w:tcPr>
          <w:p w:rsidR="008630BE" w:rsidRPr="00001BB0" w:rsidRDefault="008630BE" w:rsidP="00001BB0">
            <w:pPr>
              <w:spacing w:line="360" w:lineRule="auto"/>
              <w:jc w:val="both"/>
              <w:rPr>
                <w:rFonts w:ascii="Arial" w:hAnsi="Arial" w:cs="Arial"/>
                <w:b/>
                <w:sz w:val="24"/>
                <w:szCs w:val="24"/>
              </w:rPr>
            </w:pPr>
            <w:r w:rsidRPr="00001BB0">
              <w:rPr>
                <w:rFonts w:ascii="Arial" w:hAnsi="Arial" w:cs="Arial"/>
                <w:b/>
                <w:sz w:val="24"/>
                <w:szCs w:val="24"/>
              </w:rPr>
              <w:t>Note to the parties:</w:t>
            </w:r>
          </w:p>
        </w:tc>
      </w:tr>
      <w:tr w:rsidR="008630BE" w:rsidRPr="00001BB0" w:rsidTr="0004438E">
        <w:trPr>
          <w:trHeight w:val="1114"/>
        </w:trPr>
        <w:tc>
          <w:tcPr>
            <w:tcW w:w="4770" w:type="dxa"/>
          </w:tcPr>
          <w:p w:rsidR="008630BE" w:rsidRPr="00001BB0" w:rsidRDefault="008630BE" w:rsidP="00001BB0">
            <w:pPr>
              <w:spacing w:line="360" w:lineRule="auto"/>
              <w:jc w:val="both"/>
              <w:rPr>
                <w:rFonts w:ascii="Arial" w:hAnsi="Arial" w:cs="Arial"/>
                <w:sz w:val="24"/>
                <w:szCs w:val="24"/>
              </w:rPr>
            </w:pPr>
          </w:p>
        </w:tc>
        <w:tc>
          <w:tcPr>
            <w:tcW w:w="4950" w:type="dxa"/>
            <w:gridSpan w:val="2"/>
          </w:tcPr>
          <w:p w:rsidR="000D14A0" w:rsidRPr="00001BB0" w:rsidRDefault="00D66983" w:rsidP="00001BB0">
            <w:pPr>
              <w:spacing w:line="360" w:lineRule="auto"/>
              <w:jc w:val="both"/>
              <w:rPr>
                <w:rFonts w:ascii="Arial" w:hAnsi="Arial" w:cs="Arial"/>
                <w:sz w:val="24"/>
                <w:szCs w:val="24"/>
              </w:rPr>
            </w:pPr>
            <w:r w:rsidRPr="00001BB0">
              <w:rPr>
                <w:rFonts w:ascii="Arial" w:hAnsi="Arial" w:cs="Arial"/>
                <w:sz w:val="24"/>
                <w:szCs w:val="24"/>
              </w:rPr>
              <w:t>Not applicable</w:t>
            </w:r>
          </w:p>
        </w:tc>
      </w:tr>
      <w:tr w:rsidR="008630BE" w:rsidRPr="00001BB0" w:rsidTr="0004438E">
        <w:tc>
          <w:tcPr>
            <w:tcW w:w="9720" w:type="dxa"/>
            <w:gridSpan w:val="3"/>
          </w:tcPr>
          <w:p w:rsidR="008630BE" w:rsidRPr="00001BB0" w:rsidRDefault="00001BB0" w:rsidP="00001BB0">
            <w:pPr>
              <w:spacing w:line="360" w:lineRule="auto"/>
              <w:jc w:val="both"/>
              <w:rPr>
                <w:rFonts w:ascii="Arial" w:hAnsi="Arial" w:cs="Arial"/>
                <w:b/>
                <w:sz w:val="24"/>
                <w:szCs w:val="24"/>
              </w:rPr>
            </w:pPr>
            <w:r>
              <w:rPr>
                <w:rFonts w:ascii="Arial" w:hAnsi="Arial" w:cs="Arial"/>
                <w:b/>
                <w:sz w:val="24"/>
                <w:szCs w:val="24"/>
              </w:rPr>
              <w:t xml:space="preserve">                                                              </w:t>
            </w:r>
            <w:r w:rsidR="008630BE" w:rsidRPr="00001BB0">
              <w:rPr>
                <w:rFonts w:ascii="Arial" w:hAnsi="Arial" w:cs="Arial"/>
                <w:b/>
                <w:sz w:val="24"/>
                <w:szCs w:val="24"/>
              </w:rPr>
              <w:t>Counsel:</w:t>
            </w:r>
          </w:p>
        </w:tc>
      </w:tr>
      <w:tr w:rsidR="008630BE" w:rsidRPr="00001BB0" w:rsidTr="0004438E">
        <w:tc>
          <w:tcPr>
            <w:tcW w:w="4770" w:type="dxa"/>
          </w:tcPr>
          <w:p w:rsidR="008630BE" w:rsidRPr="00001BB0" w:rsidRDefault="00001BB0" w:rsidP="00001BB0">
            <w:pPr>
              <w:spacing w:line="360" w:lineRule="auto"/>
              <w:jc w:val="both"/>
              <w:rPr>
                <w:rFonts w:ascii="Arial" w:hAnsi="Arial" w:cs="Arial"/>
                <w:b/>
                <w:sz w:val="24"/>
                <w:szCs w:val="24"/>
              </w:rPr>
            </w:pPr>
            <w:r>
              <w:rPr>
                <w:rFonts w:ascii="Arial" w:hAnsi="Arial" w:cs="Arial"/>
                <w:b/>
                <w:sz w:val="24"/>
                <w:szCs w:val="24"/>
              </w:rPr>
              <w:t xml:space="preserve">                      </w:t>
            </w:r>
            <w:r w:rsidR="008630BE" w:rsidRPr="00001BB0">
              <w:rPr>
                <w:rFonts w:ascii="Arial" w:hAnsi="Arial" w:cs="Arial"/>
                <w:b/>
                <w:sz w:val="24"/>
                <w:szCs w:val="24"/>
              </w:rPr>
              <w:t>Applicant</w:t>
            </w:r>
          </w:p>
        </w:tc>
        <w:tc>
          <w:tcPr>
            <w:tcW w:w="4950" w:type="dxa"/>
            <w:gridSpan w:val="2"/>
          </w:tcPr>
          <w:p w:rsidR="008630BE" w:rsidRPr="00001BB0" w:rsidRDefault="00001BB0" w:rsidP="00001BB0">
            <w:pPr>
              <w:spacing w:line="360" w:lineRule="auto"/>
              <w:jc w:val="both"/>
              <w:rPr>
                <w:rFonts w:ascii="Arial" w:hAnsi="Arial" w:cs="Arial"/>
                <w:b/>
                <w:sz w:val="24"/>
                <w:szCs w:val="24"/>
              </w:rPr>
            </w:pPr>
            <w:r>
              <w:rPr>
                <w:rFonts w:ascii="Arial" w:hAnsi="Arial" w:cs="Arial"/>
                <w:b/>
                <w:sz w:val="24"/>
                <w:szCs w:val="24"/>
              </w:rPr>
              <w:t xml:space="preserve">               </w:t>
            </w:r>
            <w:r w:rsidR="008630BE" w:rsidRPr="00001BB0">
              <w:rPr>
                <w:rFonts w:ascii="Arial" w:hAnsi="Arial" w:cs="Arial"/>
                <w:b/>
                <w:sz w:val="24"/>
                <w:szCs w:val="24"/>
              </w:rPr>
              <w:t>Respondent</w:t>
            </w:r>
          </w:p>
        </w:tc>
      </w:tr>
      <w:tr w:rsidR="008630BE" w:rsidRPr="00001BB0" w:rsidTr="00190A12">
        <w:trPr>
          <w:trHeight w:val="895"/>
        </w:trPr>
        <w:tc>
          <w:tcPr>
            <w:tcW w:w="4770" w:type="dxa"/>
          </w:tcPr>
          <w:p w:rsidR="000A671A" w:rsidRDefault="00001BB0" w:rsidP="00001BB0">
            <w:pPr>
              <w:spacing w:line="360" w:lineRule="auto"/>
              <w:jc w:val="both"/>
              <w:rPr>
                <w:rFonts w:ascii="Arial" w:hAnsi="Arial" w:cs="Arial"/>
                <w:sz w:val="24"/>
                <w:szCs w:val="24"/>
              </w:rPr>
            </w:pPr>
            <w:r>
              <w:rPr>
                <w:rFonts w:ascii="Arial" w:hAnsi="Arial" w:cs="Arial"/>
                <w:sz w:val="24"/>
                <w:szCs w:val="24"/>
              </w:rPr>
              <w:t xml:space="preserve"> </w:t>
            </w:r>
            <w:r w:rsidR="000A671A">
              <w:rPr>
                <w:rFonts w:ascii="Arial" w:hAnsi="Arial" w:cs="Arial"/>
                <w:sz w:val="24"/>
                <w:szCs w:val="24"/>
              </w:rPr>
              <w:t xml:space="preserve">                   Mr. Arnols</w:t>
            </w:r>
          </w:p>
          <w:p w:rsidR="00001BB0" w:rsidRDefault="000A671A" w:rsidP="00001BB0">
            <w:pPr>
              <w:spacing w:line="360" w:lineRule="auto"/>
              <w:jc w:val="both"/>
              <w:rPr>
                <w:rFonts w:ascii="Arial" w:hAnsi="Arial" w:cs="Arial"/>
                <w:sz w:val="24"/>
                <w:szCs w:val="24"/>
              </w:rPr>
            </w:pPr>
            <w:r>
              <w:rPr>
                <w:rFonts w:ascii="Arial" w:hAnsi="Arial" w:cs="Arial"/>
                <w:sz w:val="24"/>
                <w:szCs w:val="24"/>
              </w:rPr>
              <w:t xml:space="preserve">              Namandje &amp; Co Inc</w:t>
            </w:r>
          </w:p>
          <w:p w:rsidR="0021301A" w:rsidRPr="00001BB0" w:rsidRDefault="0021301A" w:rsidP="00001BB0">
            <w:pPr>
              <w:spacing w:line="360" w:lineRule="auto"/>
              <w:jc w:val="both"/>
              <w:rPr>
                <w:rFonts w:ascii="Arial" w:hAnsi="Arial" w:cs="Arial"/>
                <w:sz w:val="24"/>
                <w:szCs w:val="24"/>
              </w:rPr>
            </w:pPr>
          </w:p>
        </w:tc>
        <w:tc>
          <w:tcPr>
            <w:tcW w:w="4950" w:type="dxa"/>
            <w:gridSpan w:val="2"/>
          </w:tcPr>
          <w:p w:rsidR="008630BE" w:rsidRPr="00001BB0" w:rsidRDefault="008630BE" w:rsidP="00001BB0">
            <w:pPr>
              <w:spacing w:line="360" w:lineRule="auto"/>
              <w:jc w:val="both"/>
              <w:rPr>
                <w:rFonts w:ascii="Arial" w:hAnsi="Arial" w:cs="Arial"/>
                <w:sz w:val="24"/>
                <w:szCs w:val="24"/>
              </w:rPr>
            </w:pPr>
          </w:p>
        </w:tc>
      </w:tr>
    </w:tbl>
    <w:p w:rsidR="008630BE" w:rsidRPr="001D54A4" w:rsidRDefault="008630BE" w:rsidP="008630BE">
      <w:pPr>
        <w:spacing w:after="0" w:line="360" w:lineRule="auto"/>
        <w:jc w:val="both"/>
        <w:rPr>
          <w:rFonts w:ascii="Arial" w:hAnsi="Arial" w:cs="Arial"/>
          <w:sz w:val="24"/>
          <w:szCs w:val="24"/>
        </w:rPr>
      </w:pPr>
    </w:p>
    <w:p w:rsidR="00700AAF" w:rsidRPr="001D54A4" w:rsidRDefault="00700AAF" w:rsidP="008630BE">
      <w:pPr>
        <w:spacing w:after="0" w:line="360" w:lineRule="auto"/>
        <w:jc w:val="both"/>
        <w:rPr>
          <w:rFonts w:ascii="Arial" w:hAnsi="Arial" w:cs="Arial"/>
          <w:sz w:val="24"/>
          <w:szCs w:val="24"/>
        </w:rPr>
      </w:pPr>
    </w:p>
    <w:p w:rsidR="00700AAF" w:rsidRPr="001D54A4" w:rsidRDefault="00700AAF" w:rsidP="008630BE">
      <w:pPr>
        <w:spacing w:after="0" w:line="360" w:lineRule="auto"/>
        <w:jc w:val="both"/>
        <w:rPr>
          <w:rFonts w:ascii="Arial" w:hAnsi="Arial" w:cs="Arial"/>
          <w:sz w:val="24"/>
          <w:szCs w:val="24"/>
        </w:rPr>
      </w:pPr>
    </w:p>
    <w:p w:rsidR="00700AAF" w:rsidRPr="001D54A4" w:rsidRDefault="00700AAF" w:rsidP="008630BE">
      <w:pPr>
        <w:spacing w:after="0" w:line="360" w:lineRule="auto"/>
        <w:jc w:val="both"/>
        <w:rPr>
          <w:rFonts w:ascii="Arial" w:hAnsi="Arial" w:cs="Arial"/>
          <w:sz w:val="24"/>
          <w:szCs w:val="24"/>
        </w:rPr>
      </w:pPr>
    </w:p>
    <w:sectPr w:rsidR="00700AAF" w:rsidRPr="001D54A4" w:rsidSect="00290A38">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F3F" w:rsidRDefault="00D77F3F" w:rsidP="008630BE">
      <w:pPr>
        <w:spacing w:after="0" w:line="240" w:lineRule="auto"/>
      </w:pPr>
      <w:r>
        <w:separator/>
      </w:r>
    </w:p>
  </w:endnote>
  <w:endnote w:type="continuationSeparator" w:id="0">
    <w:p w:rsidR="00D77F3F" w:rsidRDefault="00D77F3F"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F3F" w:rsidRDefault="00D77F3F" w:rsidP="008630BE">
      <w:pPr>
        <w:spacing w:after="0" w:line="240" w:lineRule="auto"/>
      </w:pPr>
      <w:r>
        <w:separator/>
      </w:r>
    </w:p>
  </w:footnote>
  <w:footnote w:type="continuationSeparator" w:id="0">
    <w:p w:rsidR="00D77F3F" w:rsidRDefault="00D77F3F" w:rsidP="0086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326BEA">
          <w:rPr>
            <w:noProof/>
          </w:rPr>
          <w:t>3</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29931BE8"/>
    <w:multiLevelType w:val="multilevel"/>
    <w:tmpl w:val="FA02C052"/>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nsid w:val="389B5BDD"/>
    <w:multiLevelType w:val="hybridMultilevel"/>
    <w:tmpl w:val="5DB8AFC6"/>
    <w:lvl w:ilvl="0" w:tplc="6886646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32840"/>
    <w:multiLevelType w:val="hybridMultilevel"/>
    <w:tmpl w:val="EC0644CC"/>
    <w:lvl w:ilvl="0" w:tplc="BF9668F4">
      <w:start w:val="1"/>
      <w:numFmt w:val="decimal"/>
      <w:lvlText w:val="%1."/>
      <w:lvlJc w:val="left"/>
      <w:pPr>
        <w:ind w:left="380" w:hanging="360"/>
      </w:pPr>
      <w:rPr>
        <w:rFonts w:hint="default"/>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8">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2135E"/>
    <w:multiLevelType w:val="hybridMultilevel"/>
    <w:tmpl w:val="F9E8F606"/>
    <w:lvl w:ilvl="0" w:tplc="F8B8486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6AA1789C"/>
    <w:multiLevelType w:val="hybridMultilevel"/>
    <w:tmpl w:val="B92A1314"/>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47E460F"/>
    <w:multiLevelType w:val="hybridMultilevel"/>
    <w:tmpl w:val="E2AC6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9C71371"/>
    <w:multiLevelType w:val="hybridMultilevel"/>
    <w:tmpl w:val="EF44BC22"/>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2"/>
  </w:num>
  <w:num w:numId="2">
    <w:abstractNumId w:val="4"/>
  </w:num>
  <w:num w:numId="3">
    <w:abstractNumId w:val="11"/>
  </w:num>
  <w:num w:numId="4">
    <w:abstractNumId w:val="0"/>
  </w:num>
  <w:num w:numId="5">
    <w:abstractNumId w:val="6"/>
  </w:num>
  <w:num w:numId="6">
    <w:abstractNumId w:val="8"/>
  </w:num>
  <w:num w:numId="7">
    <w:abstractNumId w:val="1"/>
  </w:num>
  <w:num w:numId="8">
    <w:abstractNumId w:val="3"/>
  </w:num>
  <w:num w:numId="9">
    <w:abstractNumId w:val="13"/>
  </w:num>
  <w:num w:numId="10">
    <w:abstractNumId w:val="10"/>
  </w:num>
  <w:num w:numId="11">
    <w:abstractNumId w:val="5"/>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BE"/>
    <w:rsid w:val="000016B8"/>
    <w:rsid w:val="00001BB0"/>
    <w:rsid w:val="00002861"/>
    <w:rsid w:val="00002D5E"/>
    <w:rsid w:val="00003B7F"/>
    <w:rsid w:val="00012496"/>
    <w:rsid w:val="00012747"/>
    <w:rsid w:val="00015CFF"/>
    <w:rsid w:val="00017D80"/>
    <w:rsid w:val="000227BF"/>
    <w:rsid w:val="00025C66"/>
    <w:rsid w:val="00037221"/>
    <w:rsid w:val="00040976"/>
    <w:rsid w:val="00040EB6"/>
    <w:rsid w:val="0004438E"/>
    <w:rsid w:val="00050333"/>
    <w:rsid w:val="00052A20"/>
    <w:rsid w:val="000550FE"/>
    <w:rsid w:val="00055D3F"/>
    <w:rsid w:val="00080003"/>
    <w:rsid w:val="0008561A"/>
    <w:rsid w:val="00085B41"/>
    <w:rsid w:val="00086679"/>
    <w:rsid w:val="00086B70"/>
    <w:rsid w:val="00086BBE"/>
    <w:rsid w:val="00086FB3"/>
    <w:rsid w:val="00092FB8"/>
    <w:rsid w:val="000952FD"/>
    <w:rsid w:val="000A14F8"/>
    <w:rsid w:val="000A26C7"/>
    <w:rsid w:val="000A3C7F"/>
    <w:rsid w:val="000A5BC2"/>
    <w:rsid w:val="000A5FAE"/>
    <w:rsid w:val="000A671A"/>
    <w:rsid w:val="000C7AAE"/>
    <w:rsid w:val="000D138E"/>
    <w:rsid w:val="000D14A0"/>
    <w:rsid w:val="000D34AA"/>
    <w:rsid w:val="000D4FA4"/>
    <w:rsid w:val="000E4639"/>
    <w:rsid w:val="000E7E32"/>
    <w:rsid w:val="000F0C4C"/>
    <w:rsid w:val="00102785"/>
    <w:rsid w:val="00102FAB"/>
    <w:rsid w:val="001039AB"/>
    <w:rsid w:val="00106D77"/>
    <w:rsid w:val="00107B9A"/>
    <w:rsid w:val="00113262"/>
    <w:rsid w:val="0011616B"/>
    <w:rsid w:val="00116170"/>
    <w:rsid w:val="00117A61"/>
    <w:rsid w:val="00120FD9"/>
    <w:rsid w:val="00125981"/>
    <w:rsid w:val="001327DE"/>
    <w:rsid w:val="00134079"/>
    <w:rsid w:val="00135B3B"/>
    <w:rsid w:val="00141242"/>
    <w:rsid w:val="001414DC"/>
    <w:rsid w:val="00141DDD"/>
    <w:rsid w:val="001452D6"/>
    <w:rsid w:val="00145634"/>
    <w:rsid w:val="00146D0C"/>
    <w:rsid w:val="001621B5"/>
    <w:rsid w:val="00164F5B"/>
    <w:rsid w:val="001653FD"/>
    <w:rsid w:val="001655B0"/>
    <w:rsid w:val="00184E2F"/>
    <w:rsid w:val="00186B48"/>
    <w:rsid w:val="00190A12"/>
    <w:rsid w:val="00195B9B"/>
    <w:rsid w:val="001962DA"/>
    <w:rsid w:val="001A1829"/>
    <w:rsid w:val="001A2569"/>
    <w:rsid w:val="001B0C18"/>
    <w:rsid w:val="001B1BAC"/>
    <w:rsid w:val="001B2802"/>
    <w:rsid w:val="001B376F"/>
    <w:rsid w:val="001B4477"/>
    <w:rsid w:val="001B7035"/>
    <w:rsid w:val="001B7891"/>
    <w:rsid w:val="001C11BD"/>
    <w:rsid w:val="001D54A4"/>
    <w:rsid w:val="001D5637"/>
    <w:rsid w:val="001E14F9"/>
    <w:rsid w:val="001E16C1"/>
    <w:rsid w:val="001E27C0"/>
    <w:rsid w:val="001E3E29"/>
    <w:rsid w:val="001E40C7"/>
    <w:rsid w:val="001E4F1E"/>
    <w:rsid w:val="001F34DD"/>
    <w:rsid w:val="001F404D"/>
    <w:rsid w:val="001F507A"/>
    <w:rsid w:val="002064DB"/>
    <w:rsid w:val="00206E2D"/>
    <w:rsid w:val="002072DD"/>
    <w:rsid w:val="002113C1"/>
    <w:rsid w:val="0021301A"/>
    <w:rsid w:val="00217A5D"/>
    <w:rsid w:val="0022144E"/>
    <w:rsid w:val="00223485"/>
    <w:rsid w:val="00223636"/>
    <w:rsid w:val="00225001"/>
    <w:rsid w:val="00230285"/>
    <w:rsid w:val="002314F0"/>
    <w:rsid w:val="002332B2"/>
    <w:rsid w:val="0023465B"/>
    <w:rsid w:val="00234D7B"/>
    <w:rsid w:val="002415D9"/>
    <w:rsid w:val="00242A73"/>
    <w:rsid w:val="002477E7"/>
    <w:rsid w:val="00252331"/>
    <w:rsid w:val="002552E9"/>
    <w:rsid w:val="0026193A"/>
    <w:rsid w:val="00262BD9"/>
    <w:rsid w:val="00263082"/>
    <w:rsid w:val="002656E5"/>
    <w:rsid w:val="00267DFF"/>
    <w:rsid w:val="00270EBA"/>
    <w:rsid w:val="00271482"/>
    <w:rsid w:val="002722C9"/>
    <w:rsid w:val="002739F6"/>
    <w:rsid w:val="002762F2"/>
    <w:rsid w:val="00276487"/>
    <w:rsid w:val="00276974"/>
    <w:rsid w:val="00276A7F"/>
    <w:rsid w:val="002775F5"/>
    <w:rsid w:val="0028203C"/>
    <w:rsid w:val="00284FFA"/>
    <w:rsid w:val="002862FF"/>
    <w:rsid w:val="00290A38"/>
    <w:rsid w:val="002928C7"/>
    <w:rsid w:val="00295D80"/>
    <w:rsid w:val="002A0C9B"/>
    <w:rsid w:val="002A2AC2"/>
    <w:rsid w:val="002A5195"/>
    <w:rsid w:val="002A7BCE"/>
    <w:rsid w:val="002C0287"/>
    <w:rsid w:val="002C3BC6"/>
    <w:rsid w:val="002C4EFA"/>
    <w:rsid w:val="002C649A"/>
    <w:rsid w:val="002C65CD"/>
    <w:rsid w:val="002D033B"/>
    <w:rsid w:val="002D327F"/>
    <w:rsid w:val="002D416F"/>
    <w:rsid w:val="002D6255"/>
    <w:rsid w:val="002D790B"/>
    <w:rsid w:val="002E096F"/>
    <w:rsid w:val="002E0E05"/>
    <w:rsid w:val="002E1B10"/>
    <w:rsid w:val="002E3C98"/>
    <w:rsid w:val="002E4E97"/>
    <w:rsid w:val="002E6A69"/>
    <w:rsid w:val="002E6D77"/>
    <w:rsid w:val="002E76CA"/>
    <w:rsid w:val="002E7C6A"/>
    <w:rsid w:val="002F07A6"/>
    <w:rsid w:val="002F278C"/>
    <w:rsid w:val="002F350B"/>
    <w:rsid w:val="002F3D26"/>
    <w:rsid w:val="002F7AA3"/>
    <w:rsid w:val="0030294B"/>
    <w:rsid w:val="00307031"/>
    <w:rsid w:val="003074BC"/>
    <w:rsid w:val="00313757"/>
    <w:rsid w:val="003147A1"/>
    <w:rsid w:val="003149B4"/>
    <w:rsid w:val="003201BD"/>
    <w:rsid w:val="00326BEA"/>
    <w:rsid w:val="00326D42"/>
    <w:rsid w:val="00331B22"/>
    <w:rsid w:val="00333C8B"/>
    <w:rsid w:val="00335393"/>
    <w:rsid w:val="003408C9"/>
    <w:rsid w:val="0034195B"/>
    <w:rsid w:val="00344B74"/>
    <w:rsid w:val="0035233F"/>
    <w:rsid w:val="0035396A"/>
    <w:rsid w:val="003612CF"/>
    <w:rsid w:val="003621CB"/>
    <w:rsid w:val="003629E4"/>
    <w:rsid w:val="00367E70"/>
    <w:rsid w:val="00370D8A"/>
    <w:rsid w:val="00373B89"/>
    <w:rsid w:val="00376E2A"/>
    <w:rsid w:val="003845A0"/>
    <w:rsid w:val="00386550"/>
    <w:rsid w:val="0038691B"/>
    <w:rsid w:val="00396EF8"/>
    <w:rsid w:val="00396F09"/>
    <w:rsid w:val="003A6036"/>
    <w:rsid w:val="003A66C3"/>
    <w:rsid w:val="003B4C7E"/>
    <w:rsid w:val="003C55DA"/>
    <w:rsid w:val="003D1573"/>
    <w:rsid w:val="003D6120"/>
    <w:rsid w:val="003D6C19"/>
    <w:rsid w:val="003E055C"/>
    <w:rsid w:val="003E123D"/>
    <w:rsid w:val="003E24CE"/>
    <w:rsid w:val="003E365C"/>
    <w:rsid w:val="003E37CB"/>
    <w:rsid w:val="003E64FC"/>
    <w:rsid w:val="003F6809"/>
    <w:rsid w:val="0042135C"/>
    <w:rsid w:val="004222E6"/>
    <w:rsid w:val="00434660"/>
    <w:rsid w:val="00435528"/>
    <w:rsid w:val="00437F8B"/>
    <w:rsid w:val="004431F2"/>
    <w:rsid w:val="004448D0"/>
    <w:rsid w:val="00445008"/>
    <w:rsid w:val="00446516"/>
    <w:rsid w:val="004512F1"/>
    <w:rsid w:val="00462819"/>
    <w:rsid w:val="00463F74"/>
    <w:rsid w:val="00464264"/>
    <w:rsid w:val="00464A1C"/>
    <w:rsid w:val="00466FAF"/>
    <w:rsid w:val="00473B40"/>
    <w:rsid w:val="004772FA"/>
    <w:rsid w:val="00477A58"/>
    <w:rsid w:val="00483623"/>
    <w:rsid w:val="00491EE8"/>
    <w:rsid w:val="004936DF"/>
    <w:rsid w:val="0049396E"/>
    <w:rsid w:val="004A0513"/>
    <w:rsid w:val="004A1E8A"/>
    <w:rsid w:val="004A5710"/>
    <w:rsid w:val="004A57B1"/>
    <w:rsid w:val="004B520E"/>
    <w:rsid w:val="004C44F7"/>
    <w:rsid w:val="004C4BE1"/>
    <w:rsid w:val="004C506E"/>
    <w:rsid w:val="004C586D"/>
    <w:rsid w:val="004C5E68"/>
    <w:rsid w:val="004D4C55"/>
    <w:rsid w:val="004F28FC"/>
    <w:rsid w:val="004F29B0"/>
    <w:rsid w:val="004F5167"/>
    <w:rsid w:val="004F5799"/>
    <w:rsid w:val="005028F7"/>
    <w:rsid w:val="005028FC"/>
    <w:rsid w:val="0051720B"/>
    <w:rsid w:val="00521560"/>
    <w:rsid w:val="0052245E"/>
    <w:rsid w:val="00523D6A"/>
    <w:rsid w:val="0052765A"/>
    <w:rsid w:val="00532415"/>
    <w:rsid w:val="00541A83"/>
    <w:rsid w:val="00541E95"/>
    <w:rsid w:val="00541FB4"/>
    <w:rsid w:val="00547EA2"/>
    <w:rsid w:val="00554507"/>
    <w:rsid w:val="005572AF"/>
    <w:rsid w:val="005643D7"/>
    <w:rsid w:val="005662B6"/>
    <w:rsid w:val="00570BC5"/>
    <w:rsid w:val="005778B2"/>
    <w:rsid w:val="005779A5"/>
    <w:rsid w:val="00587250"/>
    <w:rsid w:val="005874A7"/>
    <w:rsid w:val="005876D0"/>
    <w:rsid w:val="005952F7"/>
    <w:rsid w:val="005956AE"/>
    <w:rsid w:val="005A1216"/>
    <w:rsid w:val="005A169A"/>
    <w:rsid w:val="005A6102"/>
    <w:rsid w:val="005B183B"/>
    <w:rsid w:val="005B2055"/>
    <w:rsid w:val="005B52DB"/>
    <w:rsid w:val="005B63C6"/>
    <w:rsid w:val="005B754B"/>
    <w:rsid w:val="005C09D9"/>
    <w:rsid w:val="005C6299"/>
    <w:rsid w:val="005C7665"/>
    <w:rsid w:val="005C7D10"/>
    <w:rsid w:val="005D0A17"/>
    <w:rsid w:val="005D2B41"/>
    <w:rsid w:val="005E6357"/>
    <w:rsid w:val="005E6CB8"/>
    <w:rsid w:val="005F11E2"/>
    <w:rsid w:val="005F1F3A"/>
    <w:rsid w:val="005F2CFD"/>
    <w:rsid w:val="005F368E"/>
    <w:rsid w:val="005F494A"/>
    <w:rsid w:val="005F5537"/>
    <w:rsid w:val="00610E06"/>
    <w:rsid w:val="00613B81"/>
    <w:rsid w:val="006149CC"/>
    <w:rsid w:val="00625018"/>
    <w:rsid w:val="00630E04"/>
    <w:rsid w:val="006325BA"/>
    <w:rsid w:val="00634359"/>
    <w:rsid w:val="006363FB"/>
    <w:rsid w:val="00637857"/>
    <w:rsid w:val="00642D0F"/>
    <w:rsid w:val="00651817"/>
    <w:rsid w:val="00665EEE"/>
    <w:rsid w:val="006674DB"/>
    <w:rsid w:val="00670492"/>
    <w:rsid w:val="00695032"/>
    <w:rsid w:val="006A1A5D"/>
    <w:rsid w:val="006A562E"/>
    <w:rsid w:val="006A6356"/>
    <w:rsid w:val="006B0D55"/>
    <w:rsid w:val="006B511B"/>
    <w:rsid w:val="006C6604"/>
    <w:rsid w:val="006D1AAC"/>
    <w:rsid w:val="006D4C43"/>
    <w:rsid w:val="006E2851"/>
    <w:rsid w:val="006E74E6"/>
    <w:rsid w:val="006E7C68"/>
    <w:rsid w:val="006F1BA5"/>
    <w:rsid w:val="006F4D08"/>
    <w:rsid w:val="006F6AF8"/>
    <w:rsid w:val="00700AAF"/>
    <w:rsid w:val="00701EEA"/>
    <w:rsid w:val="007051B9"/>
    <w:rsid w:val="00712CEF"/>
    <w:rsid w:val="00730960"/>
    <w:rsid w:val="007322A2"/>
    <w:rsid w:val="0073371F"/>
    <w:rsid w:val="00734F5D"/>
    <w:rsid w:val="00735470"/>
    <w:rsid w:val="00737AB4"/>
    <w:rsid w:val="007445ED"/>
    <w:rsid w:val="007449D3"/>
    <w:rsid w:val="007454B8"/>
    <w:rsid w:val="00746C50"/>
    <w:rsid w:val="007470F2"/>
    <w:rsid w:val="007533F7"/>
    <w:rsid w:val="00754122"/>
    <w:rsid w:val="00756858"/>
    <w:rsid w:val="00757756"/>
    <w:rsid w:val="00761D96"/>
    <w:rsid w:val="00762C0C"/>
    <w:rsid w:val="007634CF"/>
    <w:rsid w:val="00765B80"/>
    <w:rsid w:val="00771219"/>
    <w:rsid w:val="007769F3"/>
    <w:rsid w:val="007838DA"/>
    <w:rsid w:val="00791A9A"/>
    <w:rsid w:val="0079259C"/>
    <w:rsid w:val="00794DFE"/>
    <w:rsid w:val="007A3DFA"/>
    <w:rsid w:val="007A3E62"/>
    <w:rsid w:val="007A676B"/>
    <w:rsid w:val="007B442B"/>
    <w:rsid w:val="007B53DC"/>
    <w:rsid w:val="007B5B8D"/>
    <w:rsid w:val="007C2795"/>
    <w:rsid w:val="007C3A5B"/>
    <w:rsid w:val="007C4FB2"/>
    <w:rsid w:val="007D0247"/>
    <w:rsid w:val="007D0812"/>
    <w:rsid w:val="007D3A83"/>
    <w:rsid w:val="007E1C32"/>
    <w:rsid w:val="007E425F"/>
    <w:rsid w:val="007F51D9"/>
    <w:rsid w:val="008001FC"/>
    <w:rsid w:val="00803280"/>
    <w:rsid w:val="00806C11"/>
    <w:rsid w:val="00811280"/>
    <w:rsid w:val="008138EF"/>
    <w:rsid w:val="008169A7"/>
    <w:rsid w:val="00816A78"/>
    <w:rsid w:val="00821843"/>
    <w:rsid w:val="00822D38"/>
    <w:rsid w:val="00823F04"/>
    <w:rsid w:val="00831565"/>
    <w:rsid w:val="0083205D"/>
    <w:rsid w:val="00833288"/>
    <w:rsid w:val="00837F76"/>
    <w:rsid w:val="00844C87"/>
    <w:rsid w:val="008450AB"/>
    <w:rsid w:val="00852C83"/>
    <w:rsid w:val="0085663A"/>
    <w:rsid w:val="008630BE"/>
    <w:rsid w:val="0086511D"/>
    <w:rsid w:val="008668D6"/>
    <w:rsid w:val="00866959"/>
    <w:rsid w:val="00867DEC"/>
    <w:rsid w:val="00870304"/>
    <w:rsid w:val="00873110"/>
    <w:rsid w:val="00884D40"/>
    <w:rsid w:val="008870F8"/>
    <w:rsid w:val="00887C19"/>
    <w:rsid w:val="00892C07"/>
    <w:rsid w:val="008957FC"/>
    <w:rsid w:val="0089796D"/>
    <w:rsid w:val="008979E6"/>
    <w:rsid w:val="008A2B5D"/>
    <w:rsid w:val="008A5CF7"/>
    <w:rsid w:val="008C2A31"/>
    <w:rsid w:val="008D0047"/>
    <w:rsid w:val="008D3C14"/>
    <w:rsid w:val="008E55AA"/>
    <w:rsid w:val="008F015F"/>
    <w:rsid w:val="008F47DB"/>
    <w:rsid w:val="008F5BAD"/>
    <w:rsid w:val="00901D37"/>
    <w:rsid w:val="009039B0"/>
    <w:rsid w:val="00907995"/>
    <w:rsid w:val="00916402"/>
    <w:rsid w:val="00924CB4"/>
    <w:rsid w:val="009253C9"/>
    <w:rsid w:val="00953BB8"/>
    <w:rsid w:val="00961038"/>
    <w:rsid w:val="00976593"/>
    <w:rsid w:val="009862F7"/>
    <w:rsid w:val="009911E3"/>
    <w:rsid w:val="00996383"/>
    <w:rsid w:val="009A40EA"/>
    <w:rsid w:val="009A64A9"/>
    <w:rsid w:val="009C3672"/>
    <w:rsid w:val="009D2939"/>
    <w:rsid w:val="009D37BC"/>
    <w:rsid w:val="009E4DBF"/>
    <w:rsid w:val="009E6564"/>
    <w:rsid w:val="009E6680"/>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604"/>
    <w:rsid w:val="00A4384B"/>
    <w:rsid w:val="00A44FF6"/>
    <w:rsid w:val="00A4535A"/>
    <w:rsid w:val="00A4648D"/>
    <w:rsid w:val="00A63B84"/>
    <w:rsid w:val="00A64724"/>
    <w:rsid w:val="00A655C9"/>
    <w:rsid w:val="00A70171"/>
    <w:rsid w:val="00A7045C"/>
    <w:rsid w:val="00A72120"/>
    <w:rsid w:val="00A759B0"/>
    <w:rsid w:val="00A774B7"/>
    <w:rsid w:val="00A828C6"/>
    <w:rsid w:val="00A83BFF"/>
    <w:rsid w:val="00A908F9"/>
    <w:rsid w:val="00A9167F"/>
    <w:rsid w:val="00A9347F"/>
    <w:rsid w:val="00A95B6C"/>
    <w:rsid w:val="00AA5FAB"/>
    <w:rsid w:val="00AB44EA"/>
    <w:rsid w:val="00AB5464"/>
    <w:rsid w:val="00AC07D5"/>
    <w:rsid w:val="00AC2152"/>
    <w:rsid w:val="00AC5312"/>
    <w:rsid w:val="00AC7681"/>
    <w:rsid w:val="00AD4154"/>
    <w:rsid w:val="00AD6238"/>
    <w:rsid w:val="00AE0155"/>
    <w:rsid w:val="00AE0BDF"/>
    <w:rsid w:val="00AE1775"/>
    <w:rsid w:val="00AF2501"/>
    <w:rsid w:val="00AF6370"/>
    <w:rsid w:val="00AF64AE"/>
    <w:rsid w:val="00AF7D1A"/>
    <w:rsid w:val="00B00A97"/>
    <w:rsid w:val="00B02A30"/>
    <w:rsid w:val="00B0508D"/>
    <w:rsid w:val="00B069AA"/>
    <w:rsid w:val="00B144D1"/>
    <w:rsid w:val="00B14C76"/>
    <w:rsid w:val="00B151C4"/>
    <w:rsid w:val="00B27973"/>
    <w:rsid w:val="00B308A9"/>
    <w:rsid w:val="00B42A15"/>
    <w:rsid w:val="00B474E4"/>
    <w:rsid w:val="00B47C4B"/>
    <w:rsid w:val="00B53BE1"/>
    <w:rsid w:val="00B5451C"/>
    <w:rsid w:val="00B600B5"/>
    <w:rsid w:val="00B60932"/>
    <w:rsid w:val="00B6240A"/>
    <w:rsid w:val="00B631C3"/>
    <w:rsid w:val="00B63C6E"/>
    <w:rsid w:val="00B70BC2"/>
    <w:rsid w:val="00B760F2"/>
    <w:rsid w:val="00B8706F"/>
    <w:rsid w:val="00B9011F"/>
    <w:rsid w:val="00B93080"/>
    <w:rsid w:val="00B93E74"/>
    <w:rsid w:val="00BB5B42"/>
    <w:rsid w:val="00BC08F7"/>
    <w:rsid w:val="00BC2700"/>
    <w:rsid w:val="00BD6AE6"/>
    <w:rsid w:val="00BE4664"/>
    <w:rsid w:val="00BE4F5C"/>
    <w:rsid w:val="00BE70A6"/>
    <w:rsid w:val="00BF5BC4"/>
    <w:rsid w:val="00BF6699"/>
    <w:rsid w:val="00BF749C"/>
    <w:rsid w:val="00BF7E62"/>
    <w:rsid w:val="00C04F3C"/>
    <w:rsid w:val="00C05003"/>
    <w:rsid w:val="00C05591"/>
    <w:rsid w:val="00C0638F"/>
    <w:rsid w:val="00C07FAD"/>
    <w:rsid w:val="00C10D99"/>
    <w:rsid w:val="00C132B9"/>
    <w:rsid w:val="00C15467"/>
    <w:rsid w:val="00C1707E"/>
    <w:rsid w:val="00C20104"/>
    <w:rsid w:val="00C37554"/>
    <w:rsid w:val="00C40D88"/>
    <w:rsid w:val="00C42E99"/>
    <w:rsid w:val="00C450B9"/>
    <w:rsid w:val="00C514E3"/>
    <w:rsid w:val="00C520B1"/>
    <w:rsid w:val="00C57669"/>
    <w:rsid w:val="00C6110E"/>
    <w:rsid w:val="00C62658"/>
    <w:rsid w:val="00C62DB8"/>
    <w:rsid w:val="00C6521D"/>
    <w:rsid w:val="00C71E36"/>
    <w:rsid w:val="00C7406C"/>
    <w:rsid w:val="00C748E0"/>
    <w:rsid w:val="00C77D15"/>
    <w:rsid w:val="00C77F71"/>
    <w:rsid w:val="00C81D7C"/>
    <w:rsid w:val="00C876B6"/>
    <w:rsid w:val="00C92764"/>
    <w:rsid w:val="00C94A8A"/>
    <w:rsid w:val="00C971D3"/>
    <w:rsid w:val="00C977DD"/>
    <w:rsid w:val="00CA2B1A"/>
    <w:rsid w:val="00CB0BD4"/>
    <w:rsid w:val="00CB0C34"/>
    <w:rsid w:val="00CB4CC6"/>
    <w:rsid w:val="00CB60EB"/>
    <w:rsid w:val="00CC1801"/>
    <w:rsid w:val="00CC3ECE"/>
    <w:rsid w:val="00CC6EEB"/>
    <w:rsid w:val="00CD1865"/>
    <w:rsid w:val="00CD4F8B"/>
    <w:rsid w:val="00CE0B02"/>
    <w:rsid w:val="00CE77C9"/>
    <w:rsid w:val="00CF0CDC"/>
    <w:rsid w:val="00CF4E80"/>
    <w:rsid w:val="00D002FD"/>
    <w:rsid w:val="00D003EB"/>
    <w:rsid w:val="00D01A66"/>
    <w:rsid w:val="00D028A0"/>
    <w:rsid w:val="00D113E3"/>
    <w:rsid w:val="00D11C91"/>
    <w:rsid w:val="00D120A5"/>
    <w:rsid w:val="00D1425D"/>
    <w:rsid w:val="00D17DB9"/>
    <w:rsid w:val="00D251E9"/>
    <w:rsid w:val="00D31398"/>
    <w:rsid w:val="00D31BE0"/>
    <w:rsid w:val="00D32757"/>
    <w:rsid w:val="00D34ACC"/>
    <w:rsid w:val="00D45B0D"/>
    <w:rsid w:val="00D5067A"/>
    <w:rsid w:val="00D50FD7"/>
    <w:rsid w:val="00D51E64"/>
    <w:rsid w:val="00D529CF"/>
    <w:rsid w:val="00D5639A"/>
    <w:rsid w:val="00D573AB"/>
    <w:rsid w:val="00D63ED9"/>
    <w:rsid w:val="00D65662"/>
    <w:rsid w:val="00D66983"/>
    <w:rsid w:val="00D71AFA"/>
    <w:rsid w:val="00D739AC"/>
    <w:rsid w:val="00D75210"/>
    <w:rsid w:val="00D77F3F"/>
    <w:rsid w:val="00D803F8"/>
    <w:rsid w:val="00D806CB"/>
    <w:rsid w:val="00D85DED"/>
    <w:rsid w:val="00D85EF1"/>
    <w:rsid w:val="00D91AFF"/>
    <w:rsid w:val="00D940C6"/>
    <w:rsid w:val="00D9507C"/>
    <w:rsid w:val="00DA6AD4"/>
    <w:rsid w:val="00DB1DF8"/>
    <w:rsid w:val="00DB768F"/>
    <w:rsid w:val="00DC1A97"/>
    <w:rsid w:val="00DC3BC2"/>
    <w:rsid w:val="00DC4DBC"/>
    <w:rsid w:val="00DC70C8"/>
    <w:rsid w:val="00DD1638"/>
    <w:rsid w:val="00DD3309"/>
    <w:rsid w:val="00DD7D5D"/>
    <w:rsid w:val="00DE709B"/>
    <w:rsid w:val="00DE79D6"/>
    <w:rsid w:val="00DF1A7D"/>
    <w:rsid w:val="00DF1DCC"/>
    <w:rsid w:val="00DF1F7E"/>
    <w:rsid w:val="00DF522E"/>
    <w:rsid w:val="00DF5BC4"/>
    <w:rsid w:val="00DF68AE"/>
    <w:rsid w:val="00E03A0D"/>
    <w:rsid w:val="00E03E6C"/>
    <w:rsid w:val="00E06F3A"/>
    <w:rsid w:val="00E113AA"/>
    <w:rsid w:val="00E11536"/>
    <w:rsid w:val="00E17E65"/>
    <w:rsid w:val="00E2393F"/>
    <w:rsid w:val="00E31E68"/>
    <w:rsid w:val="00E377A4"/>
    <w:rsid w:val="00E5053E"/>
    <w:rsid w:val="00E61144"/>
    <w:rsid w:val="00E625E1"/>
    <w:rsid w:val="00E6734D"/>
    <w:rsid w:val="00E720CD"/>
    <w:rsid w:val="00E72D20"/>
    <w:rsid w:val="00E7390B"/>
    <w:rsid w:val="00E73A60"/>
    <w:rsid w:val="00E7413F"/>
    <w:rsid w:val="00E77DF2"/>
    <w:rsid w:val="00E85290"/>
    <w:rsid w:val="00E87207"/>
    <w:rsid w:val="00E90A9A"/>
    <w:rsid w:val="00E90B87"/>
    <w:rsid w:val="00E91352"/>
    <w:rsid w:val="00E91FCF"/>
    <w:rsid w:val="00E97AF7"/>
    <w:rsid w:val="00EA38CA"/>
    <w:rsid w:val="00EA701E"/>
    <w:rsid w:val="00EB2CCD"/>
    <w:rsid w:val="00EB3B54"/>
    <w:rsid w:val="00EB6E30"/>
    <w:rsid w:val="00EB724B"/>
    <w:rsid w:val="00EC459A"/>
    <w:rsid w:val="00ED4431"/>
    <w:rsid w:val="00ED4A09"/>
    <w:rsid w:val="00EE0573"/>
    <w:rsid w:val="00EF4B80"/>
    <w:rsid w:val="00EF6975"/>
    <w:rsid w:val="00EF7BD9"/>
    <w:rsid w:val="00F02C62"/>
    <w:rsid w:val="00F04B05"/>
    <w:rsid w:val="00F14326"/>
    <w:rsid w:val="00F14CD4"/>
    <w:rsid w:val="00F30F3B"/>
    <w:rsid w:val="00F31D7C"/>
    <w:rsid w:val="00F35897"/>
    <w:rsid w:val="00F401C5"/>
    <w:rsid w:val="00F41217"/>
    <w:rsid w:val="00F43B39"/>
    <w:rsid w:val="00F45891"/>
    <w:rsid w:val="00F54FA2"/>
    <w:rsid w:val="00F60650"/>
    <w:rsid w:val="00F702F6"/>
    <w:rsid w:val="00F726B6"/>
    <w:rsid w:val="00F75429"/>
    <w:rsid w:val="00F75F6C"/>
    <w:rsid w:val="00F77992"/>
    <w:rsid w:val="00F80C2F"/>
    <w:rsid w:val="00F80F81"/>
    <w:rsid w:val="00F8546E"/>
    <w:rsid w:val="00F87BC1"/>
    <w:rsid w:val="00F92FD3"/>
    <w:rsid w:val="00FA0641"/>
    <w:rsid w:val="00FA34EA"/>
    <w:rsid w:val="00FA3A5F"/>
    <w:rsid w:val="00FA6C22"/>
    <w:rsid w:val="00FB043A"/>
    <w:rsid w:val="00FB1412"/>
    <w:rsid w:val="00FB5B87"/>
    <w:rsid w:val="00FB6617"/>
    <w:rsid w:val="00FB7206"/>
    <w:rsid w:val="00FC0889"/>
    <w:rsid w:val="00FC617F"/>
    <w:rsid w:val="00FD2508"/>
    <w:rsid w:val="00FD37B0"/>
    <w:rsid w:val="00FD39BB"/>
    <w:rsid w:val="00FD3E21"/>
    <w:rsid w:val="00FD43C8"/>
    <w:rsid w:val="00FD4F2D"/>
    <w:rsid w:val="00FD6AA0"/>
    <w:rsid w:val="00FD6ADA"/>
    <w:rsid w:val="00FE0113"/>
    <w:rsid w:val="00FE54CD"/>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AF0B1-00E7-4AC0-AEE3-24C6EFF7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9E66-9E5F-4B7D-BB85-C2A003883C0A}"/>
</file>

<file path=customXml/itemProps2.xml><?xml version="1.0" encoding="utf-8"?>
<ds:datastoreItem xmlns:ds="http://schemas.openxmlformats.org/officeDocument/2006/customXml" ds:itemID="{EED5C433-C472-4578-BAF1-5795B2395E21}"/>
</file>

<file path=customXml/itemProps3.xml><?xml version="1.0" encoding="utf-8"?>
<ds:datastoreItem xmlns:ds="http://schemas.openxmlformats.org/officeDocument/2006/customXml" ds:itemID="{6A3B4860-07B8-48BB-ADCE-018D3F0DF836}"/>
</file>

<file path=customXml/itemProps4.xml><?xml version="1.0" encoding="utf-8"?>
<ds:datastoreItem xmlns:ds="http://schemas.openxmlformats.org/officeDocument/2006/customXml" ds:itemID="{5C03967E-67D7-42F5-93F2-D5FD92FC41D2}"/>
</file>

<file path=docProps/app.xml><?xml version="1.0" encoding="utf-8"?>
<Properties xmlns="http://schemas.openxmlformats.org/officeDocument/2006/extended-properties" xmlns:vt="http://schemas.openxmlformats.org/officeDocument/2006/docPropsVTypes">
  <Template>Normal</Template>
  <TotalTime>10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Ltd v Embassy of the Republic of Angola &amp; Another  (HC-MD-CIV- ACT-CON-2021-02570) [2023] NAHCMD 326 (14 June 2023)</dc:title>
  <dc:creator>Prinsloo Hannelie</dc:creator>
  <cp:lastModifiedBy>Collins Omalu</cp:lastModifiedBy>
  <cp:revision>12</cp:revision>
  <cp:lastPrinted>2023-06-14T13:36:00Z</cp:lastPrinted>
  <dcterms:created xsi:type="dcterms:W3CDTF">2023-06-14T12:40:00Z</dcterms:created>
  <dcterms:modified xsi:type="dcterms:W3CDTF">2023-06-26T07:10:00Z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