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B0" w:rsidRPr="002C3E72" w:rsidRDefault="001F49B0" w:rsidP="001F49B0">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1F49B0" w:rsidRPr="002C3E72" w:rsidRDefault="001F49B0" w:rsidP="001F49B0">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08C72214" wp14:editId="5A730DB7">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1F49B0" w:rsidRPr="00BB5FC3" w:rsidRDefault="001F49B0" w:rsidP="001F49B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72214"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1F49B0" w:rsidRPr="00BB5FC3" w:rsidRDefault="001F49B0" w:rsidP="001F49B0">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0AE20505" wp14:editId="1BE734A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F49B0" w:rsidRPr="002C3E72" w:rsidRDefault="001F49B0" w:rsidP="001F49B0">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1F49B0" w:rsidRDefault="001F49B0" w:rsidP="001F49B0">
      <w:pPr>
        <w:jc w:val="center"/>
        <w:rPr>
          <w:rFonts w:ascii="Arial" w:eastAsia="Calibri" w:hAnsi="Arial" w:cs="Arial"/>
          <w:b/>
          <w:sz w:val="24"/>
          <w:szCs w:val="24"/>
        </w:rPr>
      </w:pPr>
      <w:r>
        <w:rPr>
          <w:rFonts w:ascii="Arial" w:eastAsia="Calibri" w:hAnsi="Arial" w:cs="Arial"/>
          <w:b/>
          <w:sz w:val="24"/>
          <w:szCs w:val="24"/>
        </w:rPr>
        <w:t>REVIEW JUDGMENT</w:t>
      </w:r>
    </w:p>
    <w:p w:rsidR="001F49B0" w:rsidRPr="00B13EE6" w:rsidRDefault="001F49B0" w:rsidP="001F49B0">
      <w:pPr>
        <w:jc w:val="center"/>
        <w:rPr>
          <w:rFonts w:ascii="Arial" w:hAnsi="Arial" w:cs="Arial"/>
          <w:b/>
        </w:rPr>
      </w:pPr>
      <w:r>
        <w:rPr>
          <w:rFonts w:ascii="Arial" w:eastAsia="Calibri" w:hAnsi="Arial" w:cs="Arial"/>
          <w:b/>
          <w:sz w:val="24"/>
          <w:szCs w:val="24"/>
        </w:rPr>
        <w:t>PRACTICE DIRECTIVE 61</w:t>
      </w:r>
    </w:p>
    <w:tbl>
      <w:tblPr>
        <w:tblStyle w:val="TableGrid"/>
        <w:tblW w:w="9923" w:type="dxa"/>
        <w:tblInd w:w="-275" w:type="dxa"/>
        <w:tblLook w:val="04A0" w:firstRow="1" w:lastRow="0" w:firstColumn="1" w:lastColumn="0" w:noHBand="0" w:noVBand="1"/>
      </w:tblPr>
      <w:tblGrid>
        <w:gridCol w:w="4770"/>
        <w:gridCol w:w="627"/>
        <w:gridCol w:w="4526"/>
      </w:tblGrid>
      <w:tr w:rsidR="001F49B0" w:rsidRPr="001B0FDD" w:rsidTr="005937FC">
        <w:trPr>
          <w:trHeight w:val="1088"/>
        </w:trPr>
        <w:tc>
          <w:tcPr>
            <w:tcW w:w="5397" w:type="dxa"/>
            <w:gridSpan w:val="2"/>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Case Title:</w:t>
            </w:r>
          </w:p>
          <w:p w:rsidR="001F49B0" w:rsidRPr="00044E4F" w:rsidRDefault="001F49B0" w:rsidP="001F49B0">
            <w:pPr>
              <w:spacing w:line="360" w:lineRule="auto"/>
              <w:jc w:val="both"/>
              <w:rPr>
                <w:rFonts w:ascii="Arial" w:hAnsi="Arial" w:cs="Arial"/>
                <w:i/>
                <w:sz w:val="24"/>
                <w:szCs w:val="24"/>
              </w:rPr>
            </w:pPr>
            <w:r w:rsidRPr="00044E4F">
              <w:rPr>
                <w:rFonts w:ascii="Arial" w:hAnsi="Arial" w:cs="Arial"/>
                <w:i/>
                <w:sz w:val="24"/>
                <w:szCs w:val="24"/>
              </w:rPr>
              <w:t xml:space="preserve">The State v </w:t>
            </w:r>
            <w:r>
              <w:rPr>
                <w:rFonts w:ascii="Arial" w:hAnsi="Arial" w:cs="Arial"/>
                <w:i/>
                <w:sz w:val="24"/>
                <w:szCs w:val="24"/>
              </w:rPr>
              <w:t xml:space="preserve">Petrus </w:t>
            </w:r>
            <w:proofErr w:type="spellStart"/>
            <w:r>
              <w:rPr>
                <w:rFonts w:ascii="Arial" w:hAnsi="Arial" w:cs="Arial"/>
                <w:i/>
                <w:sz w:val="24"/>
                <w:szCs w:val="24"/>
              </w:rPr>
              <w:t>Engelbrecht</w:t>
            </w:r>
            <w:proofErr w:type="spellEnd"/>
            <w:r w:rsidR="002111F8">
              <w:rPr>
                <w:rFonts w:ascii="Arial" w:hAnsi="Arial" w:cs="Arial"/>
                <w:i/>
                <w:sz w:val="24"/>
                <w:szCs w:val="24"/>
              </w:rPr>
              <w:t xml:space="preserve"> and two others</w:t>
            </w:r>
          </w:p>
        </w:tc>
        <w:tc>
          <w:tcPr>
            <w:tcW w:w="4526" w:type="dxa"/>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Case No:</w:t>
            </w:r>
          </w:p>
          <w:p w:rsidR="001F49B0" w:rsidRPr="00044E4F" w:rsidRDefault="001F49B0" w:rsidP="001F49B0">
            <w:pPr>
              <w:spacing w:line="360" w:lineRule="auto"/>
              <w:jc w:val="both"/>
              <w:rPr>
                <w:rFonts w:ascii="Arial" w:hAnsi="Arial" w:cs="Arial"/>
                <w:sz w:val="24"/>
                <w:szCs w:val="24"/>
              </w:rPr>
            </w:pPr>
            <w:r w:rsidRPr="00044E4F">
              <w:rPr>
                <w:rFonts w:ascii="Arial" w:hAnsi="Arial" w:cs="Arial"/>
                <w:sz w:val="24"/>
                <w:szCs w:val="24"/>
              </w:rPr>
              <w:t>CR</w:t>
            </w:r>
            <w:r w:rsidR="005937FC">
              <w:rPr>
                <w:rFonts w:ascii="Arial" w:hAnsi="Arial" w:cs="Arial"/>
                <w:sz w:val="24"/>
                <w:szCs w:val="24"/>
              </w:rPr>
              <w:t xml:space="preserve"> 66</w:t>
            </w:r>
            <w:r w:rsidRPr="00044E4F">
              <w:rPr>
                <w:rFonts w:ascii="Arial" w:hAnsi="Arial" w:cs="Arial"/>
                <w:sz w:val="24"/>
                <w:szCs w:val="24"/>
              </w:rPr>
              <w:t>/2023</w:t>
            </w:r>
          </w:p>
        </w:tc>
      </w:tr>
      <w:tr w:rsidR="001F49B0" w:rsidRPr="001B0FDD" w:rsidTr="005937FC">
        <w:trPr>
          <w:trHeight w:val="872"/>
        </w:trPr>
        <w:tc>
          <w:tcPr>
            <w:tcW w:w="5397" w:type="dxa"/>
            <w:gridSpan w:val="2"/>
          </w:tcPr>
          <w:p w:rsidR="001F49B0" w:rsidRPr="00044E4F" w:rsidRDefault="001F49B0" w:rsidP="002E2D57">
            <w:pPr>
              <w:spacing w:line="360" w:lineRule="auto"/>
              <w:jc w:val="both"/>
              <w:rPr>
                <w:rFonts w:ascii="Arial" w:hAnsi="Arial" w:cs="Arial"/>
                <w:b/>
              </w:rPr>
            </w:pPr>
            <w:r w:rsidRPr="00044E4F">
              <w:rPr>
                <w:rFonts w:ascii="Arial" w:hAnsi="Arial" w:cs="Arial"/>
                <w:b/>
              </w:rPr>
              <w:t>High Court Review No:</w:t>
            </w:r>
          </w:p>
          <w:p w:rsidR="001F49B0" w:rsidRPr="00044E4F" w:rsidRDefault="001F49B0" w:rsidP="002E2D57">
            <w:pPr>
              <w:spacing w:line="360" w:lineRule="auto"/>
              <w:jc w:val="both"/>
              <w:rPr>
                <w:rFonts w:ascii="Arial" w:hAnsi="Arial" w:cs="Arial"/>
                <w:sz w:val="24"/>
                <w:szCs w:val="24"/>
                <w:lang w:val="en-US"/>
              </w:rPr>
            </w:pPr>
            <w:r>
              <w:rPr>
                <w:rFonts w:ascii="Arial" w:hAnsi="Arial" w:cs="Arial"/>
              </w:rPr>
              <w:t>45</w:t>
            </w:r>
            <w:r w:rsidRPr="00044E4F">
              <w:rPr>
                <w:rFonts w:ascii="Arial" w:hAnsi="Arial" w:cs="Arial"/>
              </w:rPr>
              <w:t>/2023</w:t>
            </w:r>
          </w:p>
        </w:tc>
        <w:tc>
          <w:tcPr>
            <w:tcW w:w="4526" w:type="dxa"/>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Division of Court:</w:t>
            </w:r>
          </w:p>
          <w:p w:rsidR="001F49B0" w:rsidRPr="00044E4F" w:rsidRDefault="001F49B0" w:rsidP="002E2D57">
            <w:pPr>
              <w:spacing w:line="360" w:lineRule="auto"/>
              <w:jc w:val="both"/>
              <w:rPr>
                <w:rFonts w:ascii="Arial" w:hAnsi="Arial" w:cs="Arial"/>
                <w:sz w:val="24"/>
                <w:szCs w:val="24"/>
              </w:rPr>
            </w:pPr>
            <w:r w:rsidRPr="00044E4F">
              <w:rPr>
                <w:rFonts w:ascii="Arial" w:hAnsi="Arial" w:cs="Arial"/>
                <w:sz w:val="24"/>
                <w:szCs w:val="24"/>
              </w:rPr>
              <w:t>Main Division</w:t>
            </w:r>
          </w:p>
        </w:tc>
      </w:tr>
      <w:tr w:rsidR="001F49B0" w:rsidRPr="001B0FDD" w:rsidTr="005937FC">
        <w:trPr>
          <w:trHeight w:val="881"/>
        </w:trPr>
        <w:tc>
          <w:tcPr>
            <w:tcW w:w="5397" w:type="dxa"/>
            <w:gridSpan w:val="2"/>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Heard before:</w:t>
            </w:r>
          </w:p>
          <w:p w:rsidR="001F49B0" w:rsidRPr="0078025B" w:rsidRDefault="000201D7" w:rsidP="000201D7">
            <w:pPr>
              <w:spacing w:line="360" w:lineRule="auto"/>
              <w:jc w:val="both"/>
              <w:rPr>
                <w:rFonts w:ascii="Arial" w:hAnsi="Arial" w:cs="Arial"/>
                <w:sz w:val="24"/>
                <w:szCs w:val="24"/>
              </w:rPr>
            </w:pPr>
            <w:r>
              <w:rPr>
                <w:rFonts w:ascii="Arial" w:hAnsi="Arial" w:cs="Arial"/>
                <w:sz w:val="24"/>
                <w:szCs w:val="24"/>
              </w:rPr>
              <w:t xml:space="preserve">Liebenberg J et </w:t>
            </w:r>
            <w:r w:rsidR="001F49B0">
              <w:rPr>
                <w:rFonts w:ascii="Arial" w:hAnsi="Arial" w:cs="Arial"/>
                <w:sz w:val="24"/>
                <w:szCs w:val="24"/>
              </w:rPr>
              <w:t>January</w:t>
            </w:r>
            <w:r w:rsidR="001F49B0" w:rsidRPr="00044E4F">
              <w:rPr>
                <w:rFonts w:ascii="Arial" w:hAnsi="Arial" w:cs="Arial"/>
                <w:sz w:val="24"/>
                <w:szCs w:val="24"/>
              </w:rPr>
              <w:t xml:space="preserve"> </w:t>
            </w:r>
            <w:r w:rsidR="001F49B0">
              <w:rPr>
                <w:rFonts w:ascii="Arial" w:hAnsi="Arial" w:cs="Arial"/>
                <w:sz w:val="24"/>
                <w:szCs w:val="24"/>
              </w:rPr>
              <w:t xml:space="preserve">J </w:t>
            </w:r>
          </w:p>
        </w:tc>
        <w:tc>
          <w:tcPr>
            <w:tcW w:w="4526" w:type="dxa"/>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Delivered on:</w:t>
            </w:r>
          </w:p>
          <w:p w:rsidR="001F49B0" w:rsidRPr="00044E4F" w:rsidRDefault="00D66DB7" w:rsidP="002E2D57">
            <w:pPr>
              <w:spacing w:line="360" w:lineRule="auto"/>
              <w:jc w:val="both"/>
              <w:rPr>
                <w:rFonts w:ascii="Arial" w:hAnsi="Arial" w:cs="Arial"/>
                <w:sz w:val="24"/>
                <w:szCs w:val="24"/>
              </w:rPr>
            </w:pPr>
            <w:r>
              <w:rPr>
                <w:rFonts w:ascii="Arial" w:hAnsi="Arial" w:cs="Arial"/>
                <w:sz w:val="24"/>
                <w:szCs w:val="24"/>
              </w:rPr>
              <w:t>16</w:t>
            </w:r>
            <w:r w:rsidR="00786FE6">
              <w:rPr>
                <w:rFonts w:ascii="Arial" w:hAnsi="Arial" w:cs="Arial"/>
                <w:sz w:val="24"/>
                <w:szCs w:val="24"/>
              </w:rPr>
              <w:t xml:space="preserve"> </w:t>
            </w:r>
            <w:r w:rsidR="001F49B0">
              <w:rPr>
                <w:rFonts w:ascii="Arial" w:hAnsi="Arial" w:cs="Arial"/>
                <w:sz w:val="24"/>
                <w:szCs w:val="24"/>
              </w:rPr>
              <w:t>June</w:t>
            </w:r>
            <w:r w:rsidR="001F49B0" w:rsidRPr="00044E4F">
              <w:rPr>
                <w:rFonts w:ascii="Arial" w:hAnsi="Arial" w:cs="Arial"/>
                <w:sz w:val="24"/>
                <w:szCs w:val="24"/>
              </w:rPr>
              <w:t xml:space="preserve"> 2023</w:t>
            </w:r>
          </w:p>
        </w:tc>
      </w:tr>
      <w:tr w:rsidR="001F49B0" w:rsidRPr="001B0FDD" w:rsidTr="005937FC">
        <w:tc>
          <w:tcPr>
            <w:tcW w:w="9923" w:type="dxa"/>
            <w:gridSpan w:val="3"/>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 xml:space="preserve">Neutral citation: </w:t>
            </w:r>
            <w:r w:rsidRPr="00044E4F">
              <w:rPr>
                <w:rFonts w:ascii="Arial" w:hAnsi="Arial" w:cs="Arial"/>
                <w:i/>
                <w:sz w:val="24"/>
                <w:szCs w:val="24"/>
              </w:rPr>
              <w:t xml:space="preserve">S v </w:t>
            </w:r>
            <w:proofErr w:type="spellStart"/>
            <w:r>
              <w:rPr>
                <w:rFonts w:ascii="Arial" w:hAnsi="Arial" w:cs="Arial"/>
                <w:i/>
                <w:sz w:val="24"/>
                <w:szCs w:val="24"/>
              </w:rPr>
              <w:t>Engelbrecht</w:t>
            </w:r>
            <w:proofErr w:type="spellEnd"/>
            <w:r w:rsidRPr="00044E4F">
              <w:rPr>
                <w:rFonts w:ascii="Arial" w:hAnsi="Arial" w:cs="Arial"/>
                <w:i/>
                <w:sz w:val="24"/>
                <w:szCs w:val="24"/>
              </w:rPr>
              <w:t xml:space="preserve"> </w:t>
            </w:r>
            <w:r w:rsidR="005937FC">
              <w:rPr>
                <w:rFonts w:ascii="Arial" w:hAnsi="Arial" w:cs="Arial"/>
                <w:sz w:val="24"/>
                <w:szCs w:val="24"/>
              </w:rPr>
              <w:t>(CR 66</w:t>
            </w:r>
            <w:r>
              <w:rPr>
                <w:rFonts w:ascii="Arial" w:hAnsi="Arial" w:cs="Arial"/>
                <w:sz w:val="24"/>
                <w:szCs w:val="24"/>
              </w:rPr>
              <w:t>/2023</w:t>
            </w:r>
            <w:r w:rsidRPr="00044E4F">
              <w:rPr>
                <w:rFonts w:ascii="Arial" w:hAnsi="Arial" w:cs="Arial"/>
                <w:sz w:val="24"/>
                <w:szCs w:val="24"/>
              </w:rPr>
              <w:t xml:space="preserve">) </w:t>
            </w:r>
            <w:r>
              <w:rPr>
                <w:rFonts w:ascii="Arial" w:hAnsi="Arial" w:cs="Arial"/>
                <w:sz w:val="24"/>
                <w:szCs w:val="24"/>
              </w:rPr>
              <w:t>[2023] NAHCMD</w:t>
            </w:r>
            <w:r w:rsidR="0078025B">
              <w:rPr>
                <w:rFonts w:ascii="Arial" w:hAnsi="Arial" w:cs="Arial"/>
                <w:sz w:val="24"/>
                <w:szCs w:val="24"/>
              </w:rPr>
              <w:t xml:space="preserve"> </w:t>
            </w:r>
            <w:r w:rsidR="00D66DB7">
              <w:rPr>
                <w:rFonts w:ascii="Arial" w:hAnsi="Arial" w:cs="Arial"/>
                <w:sz w:val="24"/>
                <w:szCs w:val="24"/>
              </w:rPr>
              <w:t>329</w:t>
            </w:r>
            <w:r>
              <w:rPr>
                <w:rFonts w:ascii="Arial" w:hAnsi="Arial" w:cs="Arial"/>
                <w:sz w:val="24"/>
                <w:szCs w:val="24"/>
              </w:rPr>
              <w:t xml:space="preserve"> </w:t>
            </w:r>
            <w:r w:rsidRPr="00044E4F">
              <w:rPr>
                <w:rFonts w:ascii="Arial" w:hAnsi="Arial" w:cs="Arial"/>
                <w:sz w:val="24"/>
                <w:szCs w:val="24"/>
              </w:rPr>
              <w:t xml:space="preserve"> (</w:t>
            </w:r>
            <w:r w:rsidR="00D66DB7">
              <w:rPr>
                <w:rFonts w:ascii="Arial" w:hAnsi="Arial" w:cs="Arial"/>
                <w:sz w:val="24"/>
                <w:szCs w:val="24"/>
              </w:rPr>
              <w:t>16</w:t>
            </w:r>
            <w:bookmarkStart w:id="0" w:name="_GoBack"/>
            <w:bookmarkEnd w:id="0"/>
            <w:r w:rsidR="0078025B">
              <w:rPr>
                <w:rFonts w:ascii="Arial" w:hAnsi="Arial" w:cs="Arial"/>
                <w:sz w:val="24"/>
                <w:szCs w:val="24"/>
              </w:rPr>
              <w:t xml:space="preserve"> </w:t>
            </w:r>
            <w:r>
              <w:rPr>
                <w:rFonts w:ascii="Arial" w:hAnsi="Arial" w:cs="Arial"/>
                <w:sz w:val="24"/>
                <w:szCs w:val="24"/>
              </w:rPr>
              <w:t>June</w:t>
            </w:r>
            <w:r w:rsidRPr="00044E4F">
              <w:rPr>
                <w:rFonts w:ascii="Arial" w:hAnsi="Arial" w:cs="Arial"/>
                <w:sz w:val="24"/>
                <w:szCs w:val="24"/>
              </w:rPr>
              <w:t xml:space="preserve"> 2023)</w:t>
            </w:r>
          </w:p>
          <w:p w:rsidR="001F49B0" w:rsidRPr="00044E4F" w:rsidRDefault="001F49B0" w:rsidP="002E2D57">
            <w:pPr>
              <w:spacing w:line="360" w:lineRule="auto"/>
              <w:jc w:val="both"/>
              <w:rPr>
                <w:rFonts w:ascii="Arial" w:hAnsi="Arial" w:cs="Arial"/>
                <w:b/>
                <w:sz w:val="24"/>
                <w:szCs w:val="24"/>
              </w:rPr>
            </w:pPr>
          </w:p>
        </w:tc>
      </w:tr>
      <w:tr w:rsidR="001F49B0" w:rsidRPr="00ED330E" w:rsidTr="005937FC">
        <w:tc>
          <w:tcPr>
            <w:tcW w:w="9923" w:type="dxa"/>
            <w:gridSpan w:val="3"/>
          </w:tcPr>
          <w:p w:rsidR="001F49B0" w:rsidRPr="00EF3FFF" w:rsidRDefault="001F49B0" w:rsidP="002E2D57">
            <w:pPr>
              <w:spacing w:line="360" w:lineRule="auto"/>
              <w:jc w:val="both"/>
              <w:rPr>
                <w:rFonts w:ascii="Arial" w:hAnsi="Arial" w:cs="Arial"/>
                <w:sz w:val="24"/>
                <w:szCs w:val="24"/>
              </w:rPr>
            </w:pPr>
            <w:r w:rsidRPr="00EF3FFF">
              <w:rPr>
                <w:rFonts w:ascii="Arial" w:hAnsi="Arial" w:cs="Arial"/>
                <w:b/>
                <w:sz w:val="24"/>
                <w:szCs w:val="24"/>
              </w:rPr>
              <w:t>The order:</w:t>
            </w:r>
          </w:p>
          <w:p w:rsidR="00786FE6" w:rsidRDefault="00950FC2" w:rsidP="00950FC2">
            <w:pPr>
              <w:pStyle w:val="ListParagraph"/>
              <w:numPr>
                <w:ilvl w:val="0"/>
                <w:numId w:val="3"/>
              </w:numPr>
              <w:tabs>
                <w:tab w:val="left" w:pos="851"/>
              </w:tabs>
              <w:spacing w:after="200" w:line="360" w:lineRule="auto"/>
              <w:jc w:val="both"/>
              <w:rPr>
                <w:rFonts w:ascii="Arial" w:hAnsi="Arial" w:cs="Arial"/>
                <w:sz w:val="24"/>
                <w:szCs w:val="24"/>
              </w:rPr>
            </w:pPr>
            <w:r>
              <w:rPr>
                <w:rFonts w:ascii="Arial" w:hAnsi="Arial" w:cs="Arial"/>
                <w:sz w:val="24"/>
                <w:szCs w:val="24"/>
              </w:rPr>
              <w:t>The conviction and sentence of accused 1 is confirmed.</w:t>
            </w:r>
          </w:p>
          <w:p w:rsidR="00950FC2" w:rsidRDefault="00950FC2" w:rsidP="00786FE6">
            <w:pPr>
              <w:pStyle w:val="ListParagraph"/>
              <w:tabs>
                <w:tab w:val="left" w:pos="851"/>
              </w:tabs>
              <w:spacing w:after="200" w:line="360" w:lineRule="auto"/>
              <w:jc w:val="both"/>
              <w:rPr>
                <w:rFonts w:ascii="Arial" w:hAnsi="Arial" w:cs="Arial"/>
                <w:sz w:val="24"/>
                <w:szCs w:val="24"/>
              </w:rPr>
            </w:pPr>
            <w:r>
              <w:rPr>
                <w:rFonts w:ascii="Arial" w:hAnsi="Arial" w:cs="Arial"/>
                <w:sz w:val="24"/>
                <w:szCs w:val="24"/>
              </w:rPr>
              <w:t xml:space="preserve"> </w:t>
            </w:r>
          </w:p>
          <w:p w:rsidR="001F49B0" w:rsidRPr="00950FC2" w:rsidRDefault="00950FC2" w:rsidP="00950FC2">
            <w:pPr>
              <w:pStyle w:val="ListParagraph"/>
              <w:numPr>
                <w:ilvl w:val="0"/>
                <w:numId w:val="3"/>
              </w:numPr>
              <w:tabs>
                <w:tab w:val="left" w:pos="851"/>
              </w:tabs>
              <w:spacing w:after="200" w:line="360" w:lineRule="auto"/>
              <w:jc w:val="both"/>
              <w:rPr>
                <w:rFonts w:ascii="Arial" w:hAnsi="Arial" w:cs="Arial"/>
                <w:sz w:val="24"/>
                <w:szCs w:val="24"/>
              </w:rPr>
            </w:pPr>
            <w:r w:rsidRPr="00950FC2">
              <w:rPr>
                <w:rFonts w:ascii="Arial" w:hAnsi="Arial" w:cs="Arial"/>
                <w:sz w:val="24"/>
                <w:szCs w:val="24"/>
              </w:rPr>
              <w:t>The closing of the state`s case in respect of accused 2 and 3 is set aside and the matter is remitted to the trial court with directions to proceed to trial in respect of accused 2 and 3 in the event that the prosecutor is unable to obtain authorisation from the prosecutor-general to stop prosecution.</w:t>
            </w:r>
          </w:p>
        </w:tc>
      </w:tr>
      <w:tr w:rsidR="001F49B0" w:rsidRPr="001B0FDD" w:rsidTr="005937FC">
        <w:tc>
          <w:tcPr>
            <w:tcW w:w="9923" w:type="dxa"/>
            <w:gridSpan w:val="3"/>
          </w:tcPr>
          <w:p w:rsidR="001F49B0" w:rsidRPr="00EF3FFF" w:rsidRDefault="001F49B0" w:rsidP="002E2D57">
            <w:pPr>
              <w:spacing w:line="360" w:lineRule="auto"/>
              <w:jc w:val="both"/>
              <w:rPr>
                <w:rFonts w:ascii="Arial" w:hAnsi="Arial" w:cs="Arial"/>
                <w:b/>
                <w:sz w:val="24"/>
                <w:szCs w:val="24"/>
              </w:rPr>
            </w:pPr>
            <w:r w:rsidRPr="00EF3FFF">
              <w:rPr>
                <w:rFonts w:ascii="Arial" w:hAnsi="Arial" w:cs="Arial"/>
                <w:b/>
                <w:sz w:val="24"/>
                <w:szCs w:val="24"/>
              </w:rPr>
              <w:lastRenderedPageBreak/>
              <w:t>Reasons for order:</w:t>
            </w:r>
          </w:p>
        </w:tc>
      </w:tr>
      <w:tr w:rsidR="001F49B0" w:rsidRPr="00FE65E1" w:rsidTr="005937FC">
        <w:tc>
          <w:tcPr>
            <w:tcW w:w="9923" w:type="dxa"/>
            <w:gridSpan w:val="3"/>
          </w:tcPr>
          <w:p w:rsidR="001F49B0" w:rsidRPr="0089156F" w:rsidRDefault="001F49B0" w:rsidP="002E2D57">
            <w:pPr>
              <w:spacing w:line="360" w:lineRule="auto"/>
              <w:jc w:val="both"/>
              <w:rPr>
                <w:rFonts w:ascii="Arial" w:hAnsi="Arial" w:cs="Arial"/>
                <w:sz w:val="24"/>
                <w:szCs w:val="24"/>
              </w:rPr>
            </w:pPr>
          </w:p>
          <w:p w:rsidR="001F49B0" w:rsidRPr="00950FC2" w:rsidRDefault="0078025B" w:rsidP="00950FC2">
            <w:pPr>
              <w:spacing w:line="360" w:lineRule="auto"/>
              <w:jc w:val="both"/>
              <w:rPr>
                <w:rFonts w:ascii="Arial" w:hAnsi="Arial" w:cs="Arial"/>
                <w:sz w:val="24"/>
                <w:szCs w:val="24"/>
              </w:rPr>
            </w:pPr>
            <w:r>
              <w:rPr>
                <w:rFonts w:ascii="Arial" w:hAnsi="Arial" w:cs="Arial"/>
                <w:sz w:val="24"/>
                <w:szCs w:val="24"/>
              </w:rPr>
              <w:t>JANUARY</w:t>
            </w:r>
            <w:r w:rsidR="001F49B0">
              <w:rPr>
                <w:rFonts w:ascii="Arial" w:hAnsi="Arial" w:cs="Arial"/>
                <w:sz w:val="24"/>
                <w:szCs w:val="24"/>
              </w:rPr>
              <w:t xml:space="preserve"> </w:t>
            </w:r>
            <w:r w:rsidR="001F49B0" w:rsidRPr="0089156F">
              <w:rPr>
                <w:rFonts w:ascii="Arial" w:hAnsi="Arial" w:cs="Arial"/>
                <w:sz w:val="24"/>
                <w:szCs w:val="24"/>
              </w:rPr>
              <w:t>J</w:t>
            </w:r>
            <w:r w:rsidR="001F49B0">
              <w:rPr>
                <w:rFonts w:ascii="Arial" w:hAnsi="Arial" w:cs="Arial"/>
                <w:sz w:val="24"/>
                <w:szCs w:val="24"/>
              </w:rPr>
              <w:t xml:space="preserve"> (</w:t>
            </w:r>
            <w:r w:rsidR="00786FE6">
              <w:rPr>
                <w:rFonts w:ascii="Arial" w:hAnsi="Arial" w:cs="Arial"/>
                <w:sz w:val="24"/>
                <w:szCs w:val="24"/>
              </w:rPr>
              <w:t>LIEBENBERG</w:t>
            </w:r>
            <w:r>
              <w:rPr>
                <w:rFonts w:ascii="Arial" w:hAnsi="Arial" w:cs="Arial"/>
                <w:sz w:val="24"/>
                <w:szCs w:val="24"/>
              </w:rPr>
              <w:t xml:space="preserve"> J </w:t>
            </w:r>
            <w:r w:rsidR="001F49B0">
              <w:rPr>
                <w:rFonts w:ascii="Arial" w:hAnsi="Arial" w:cs="Arial"/>
                <w:sz w:val="24"/>
                <w:szCs w:val="24"/>
              </w:rPr>
              <w:t xml:space="preserve">concurring </w:t>
            </w:r>
            <w:r w:rsidR="001F49B0" w:rsidRPr="0089156F">
              <w:rPr>
                <w:rFonts w:ascii="Arial" w:hAnsi="Arial" w:cs="Arial"/>
                <w:sz w:val="24"/>
                <w:szCs w:val="24"/>
              </w:rPr>
              <w:t xml:space="preserve">)  </w:t>
            </w:r>
          </w:p>
          <w:p w:rsidR="001F49B0" w:rsidRDefault="00647493"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D10241">
              <w:rPr>
                <w:rFonts w:ascii="Arial" w:hAnsi="Arial" w:cs="Arial"/>
                <w:sz w:val="24"/>
                <w:szCs w:val="24"/>
              </w:rPr>
              <w:t xml:space="preserve">The case was submitted from the </w:t>
            </w:r>
            <w:proofErr w:type="spellStart"/>
            <w:r>
              <w:rPr>
                <w:rFonts w:ascii="Arial" w:hAnsi="Arial" w:cs="Arial"/>
                <w:sz w:val="24"/>
                <w:szCs w:val="24"/>
              </w:rPr>
              <w:t>Keetmanshoop</w:t>
            </w:r>
            <w:proofErr w:type="spellEnd"/>
            <w:r w:rsidRPr="00D10241">
              <w:rPr>
                <w:rFonts w:ascii="Arial" w:hAnsi="Arial" w:cs="Arial"/>
                <w:sz w:val="24"/>
                <w:szCs w:val="24"/>
              </w:rPr>
              <w:t xml:space="preserve"> Magistrate’s Court for automatic review pursuant to s 302(1) of the Criminal Procedure Act 51 of 1977</w:t>
            </w:r>
            <w:r>
              <w:rPr>
                <w:rFonts w:ascii="Arial" w:hAnsi="Arial" w:cs="Arial"/>
                <w:sz w:val="24"/>
                <w:szCs w:val="24"/>
              </w:rPr>
              <w:t xml:space="preserve">, as amended </w:t>
            </w:r>
            <w:r w:rsidRPr="00D10241">
              <w:rPr>
                <w:rFonts w:ascii="Arial" w:hAnsi="Arial" w:cs="Arial"/>
                <w:sz w:val="24"/>
                <w:szCs w:val="24"/>
              </w:rPr>
              <w:t>(the CPA).</w:t>
            </w:r>
          </w:p>
          <w:p w:rsidR="001F49B0" w:rsidRDefault="00FF6F95"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The </w:t>
            </w:r>
            <w:r w:rsidR="0078025B">
              <w:rPr>
                <w:rFonts w:ascii="Arial" w:eastAsia="Calibri" w:hAnsi="Arial" w:cs="Arial"/>
                <w:sz w:val="24"/>
                <w:szCs w:val="24"/>
                <w:lang w:val="en-US"/>
              </w:rPr>
              <w:t>three accused persons</w:t>
            </w:r>
            <w:r>
              <w:rPr>
                <w:rFonts w:ascii="Arial" w:eastAsia="Calibri" w:hAnsi="Arial" w:cs="Arial"/>
                <w:sz w:val="24"/>
                <w:szCs w:val="24"/>
                <w:lang w:val="en-US"/>
              </w:rPr>
              <w:t xml:space="preserve"> were charged with theft</w:t>
            </w:r>
            <w:r w:rsidR="00287FFB">
              <w:rPr>
                <w:rFonts w:ascii="Arial" w:eastAsia="Calibri" w:hAnsi="Arial" w:cs="Arial"/>
                <w:sz w:val="24"/>
                <w:szCs w:val="24"/>
                <w:lang w:val="en-US"/>
              </w:rPr>
              <w:t>. It is alleged</w:t>
            </w:r>
            <w:r>
              <w:rPr>
                <w:rFonts w:ascii="Arial" w:eastAsia="Calibri" w:hAnsi="Arial" w:cs="Arial"/>
                <w:sz w:val="24"/>
                <w:szCs w:val="24"/>
                <w:lang w:val="en-US"/>
              </w:rPr>
              <w:t xml:space="preserve"> that upon or about the 26</w:t>
            </w:r>
            <w:r w:rsidRPr="00FF6F95">
              <w:rPr>
                <w:rFonts w:ascii="Arial" w:eastAsia="Calibri" w:hAnsi="Arial" w:cs="Arial"/>
                <w:sz w:val="24"/>
                <w:szCs w:val="24"/>
                <w:vertAlign w:val="superscript"/>
                <w:lang w:val="en-US"/>
              </w:rPr>
              <w:t>th</w:t>
            </w:r>
            <w:r>
              <w:rPr>
                <w:rFonts w:ascii="Arial" w:eastAsia="Calibri" w:hAnsi="Arial" w:cs="Arial"/>
                <w:sz w:val="24"/>
                <w:szCs w:val="24"/>
                <w:lang w:val="en-US"/>
              </w:rPr>
              <w:t xml:space="preserve"> day of October 2022 and at or near </w:t>
            </w:r>
            <w:proofErr w:type="spellStart"/>
            <w:r>
              <w:rPr>
                <w:rFonts w:ascii="Arial" w:eastAsia="Calibri" w:hAnsi="Arial" w:cs="Arial"/>
                <w:sz w:val="24"/>
                <w:szCs w:val="24"/>
                <w:lang w:val="en-US"/>
              </w:rPr>
              <w:t>Keetmanshoop</w:t>
            </w:r>
            <w:proofErr w:type="spellEnd"/>
            <w:r>
              <w:rPr>
                <w:rFonts w:ascii="Arial" w:eastAsia="Calibri" w:hAnsi="Arial" w:cs="Arial"/>
                <w:sz w:val="24"/>
                <w:szCs w:val="24"/>
                <w:lang w:val="en-US"/>
              </w:rPr>
              <w:t>, the said accused did wrongfully, unlawfully and with int</w:t>
            </w:r>
            <w:r w:rsidR="0078025B">
              <w:rPr>
                <w:rFonts w:ascii="Arial" w:eastAsia="Calibri" w:hAnsi="Arial" w:cs="Arial"/>
                <w:sz w:val="24"/>
                <w:szCs w:val="24"/>
                <w:lang w:val="en-US"/>
              </w:rPr>
              <w:t>ention, steal cash and 1x purse to the value of N$2 600</w:t>
            </w:r>
            <w:r>
              <w:rPr>
                <w:rFonts w:ascii="Arial" w:eastAsia="Calibri" w:hAnsi="Arial" w:cs="Arial"/>
                <w:sz w:val="24"/>
                <w:szCs w:val="24"/>
                <w:lang w:val="en-US"/>
              </w:rPr>
              <w:t xml:space="preserve"> the property or in the lawful possession of Mariana </w:t>
            </w:r>
            <w:proofErr w:type="spellStart"/>
            <w:r>
              <w:rPr>
                <w:rFonts w:ascii="Arial" w:eastAsia="Calibri" w:hAnsi="Arial" w:cs="Arial"/>
                <w:sz w:val="24"/>
                <w:szCs w:val="24"/>
                <w:lang w:val="en-US"/>
              </w:rPr>
              <w:t>Kooper</w:t>
            </w:r>
            <w:proofErr w:type="spellEnd"/>
            <w:r>
              <w:rPr>
                <w:rFonts w:ascii="Arial" w:eastAsia="Calibri" w:hAnsi="Arial" w:cs="Arial"/>
                <w:sz w:val="24"/>
                <w:szCs w:val="24"/>
                <w:lang w:val="en-US"/>
              </w:rPr>
              <w:t xml:space="preserve">. </w:t>
            </w:r>
          </w:p>
          <w:p w:rsidR="00FC6A5A" w:rsidRDefault="00FF6F95"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Accused</w:t>
            </w:r>
            <w:r w:rsidR="00AF3A2E">
              <w:rPr>
                <w:rFonts w:ascii="Arial" w:eastAsia="Calibri" w:hAnsi="Arial" w:cs="Arial"/>
                <w:sz w:val="24"/>
                <w:szCs w:val="24"/>
                <w:lang w:val="en-US"/>
              </w:rPr>
              <w:t xml:space="preserve"> one</w:t>
            </w:r>
            <w:r w:rsidR="00983059">
              <w:rPr>
                <w:rFonts w:ascii="Arial" w:eastAsia="Calibri" w:hAnsi="Arial" w:cs="Arial"/>
                <w:sz w:val="24"/>
                <w:szCs w:val="24"/>
                <w:lang w:val="en-US"/>
              </w:rPr>
              <w:t xml:space="preserve"> pleaded guilty whereas accused</w:t>
            </w:r>
            <w:r w:rsidR="00AF3A2E">
              <w:rPr>
                <w:rFonts w:ascii="Arial" w:eastAsia="Calibri" w:hAnsi="Arial" w:cs="Arial"/>
                <w:sz w:val="24"/>
                <w:szCs w:val="24"/>
                <w:lang w:val="en-US"/>
              </w:rPr>
              <w:t xml:space="preserve"> two and three </w:t>
            </w:r>
            <w:r>
              <w:rPr>
                <w:rFonts w:ascii="Arial" w:eastAsia="Calibri" w:hAnsi="Arial" w:cs="Arial"/>
                <w:sz w:val="24"/>
                <w:szCs w:val="24"/>
                <w:lang w:val="en-US"/>
              </w:rPr>
              <w:t xml:space="preserve">pleaded not guilty to the offence </w:t>
            </w:r>
            <w:r w:rsidR="00983059">
              <w:rPr>
                <w:rFonts w:ascii="Arial" w:eastAsia="Calibri" w:hAnsi="Arial" w:cs="Arial"/>
                <w:sz w:val="24"/>
                <w:szCs w:val="24"/>
                <w:lang w:val="en-US"/>
              </w:rPr>
              <w:t xml:space="preserve">before </w:t>
            </w:r>
            <w:r w:rsidR="00057B16">
              <w:rPr>
                <w:rFonts w:ascii="Arial" w:eastAsia="Calibri" w:hAnsi="Arial" w:cs="Arial"/>
                <w:sz w:val="24"/>
                <w:szCs w:val="24"/>
                <w:lang w:val="en-US"/>
              </w:rPr>
              <w:t xml:space="preserve">a </w:t>
            </w:r>
            <w:r w:rsidR="00983059">
              <w:rPr>
                <w:rFonts w:ascii="Arial" w:eastAsia="Calibri" w:hAnsi="Arial" w:cs="Arial"/>
                <w:sz w:val="24"/>
                <w:szCs w:val="24"/>
                <w:lang w:val="en-US"/>
              </w:rPr>
              <w:t>magistrate</w:t>
            </w:r>
            <w:r w:rsidR="00057B16">
              <w:rPr>
                <w:rFonts w:ascii="Arial" w:eastAsia="Calibri" w:hAnsi="Arial" w:cs="Arial"/>
                <w:sz w:val="24"/>
                <w:szCs w:val="24"/>
                <w:lang w:val="en-US"/>
              </w:rPr>
              <w:t xml:space="preserve"> other than the one who submitted the case for review.</w:t>
            </w:r>
            <w:r w:rsidR="00983059">
              <w:rPr>
                <w:rFonts w:ascii="Arial" w:eastAsia="Calibri" w:hAnsi="Arial" w:cs="Arial"/>
                <w:sz w:val="24"/>
                <w:szCs w:val="24"/>
                <w:lang w:val="en-US"/>
              </w:rPr>
              <w:t xml:space="preserve"> </w:t>
            </w:r>
            <w:r w:rsidR="00AF3A2E">
              <w:rPr>
                <w:rFonts w:ascii="Arial" w:eastAsia="Calibri" w:hAnsi="Arial" w:cs="Arial"/>
                <w:sz w:val="24"/>
                <w:szCs w:val="24"/>
                <w:lang w:val="en-US"/>
              </w:rPr>
              <w:t>On reque</w:t>
            </w:r>
            <w:r w:rsidR="00057B16">
              <w:rPr>
                <w:rFonts w:ascii="Arial" w:eastAsia="Calibri" w:hAnsi="Arial" w:cs="Arial"/>
                <w:sz w:val="24"/>
                <w:szCs w:val="24"/>
                <w:lang w:val="en-US"/>
              </w:rPr>
              <w:t>st by the public prosecutor, that</w:t>
            </w:r>
            <w:r w:rsidR="00AF3A2E">
              <w:rPr>
                <w:rFonts w:ascii="Arial" w:eastAsia="Calibri" w:hAnsi="Arial" w:cs="Arial"/>
                <w:sz w:val="24"/>
                <w:szCs w:val="24"/>
                <w:lang w:val="en-US"/>
              </w:rPr>
              <w:t xml:space="preserve"> magistrate applied s 112(1</w:t>
            </w:r>
            <w:proofErr w:type="gramStart"/>
            <w:r w:rsidR="00AF3A2E">
              <w:rPr>
                <w:rFonts w:ascii="Arial" w:eastAsia="Calibri" w:hAnsi="Arial" w:cs="Arial"/>
                <w:sz w:val="24"/>
                <w:szCs w:val="24"/>
                <w:lang w:val="en-US"/>
              </w:rPr>
              <w:t>)</w:t>
            </w:r>
            <w:r w:rsidR="00AF3A2E" w:rsidRPr="00AF3A2E">
              <w:rPr>
                <w:rFonts w:ascii="Arial" w:eastAsia="Calibri" w:hAnsi="Arial" w:cs="Arial"/>
                <w:i/>
                <w:sz w:val="24"/>
                <w:szCs w:val="24"/>
                <w:lang w:val="en-US"/>
              </w:rPr>
              <w:t>(</w:t>
            </w:r>
            <w:proofErr w:type="gramEnd"/>
            <w:r w:rsidR="00AF3A2E" w:rsidRPr="00AF3A2E">
              <w:rPr>
                <w:rFonts w:ascii="Arial" w:eastAsia="Calibri" w:hAnsi="Arial" w:cs="Arial"/>
                <w:i/>
                <w:sz w:val="24"/>
                <w:szCs w:val="24"/>
                <w:lang w:val="en-US"/>
              </w:rPr>
              <w:t xml:space="preserve">a) </w:t>
            </w:r>
            <w:r w:rsidR="00EF764D" w:rsidRPr="00EF764D">
              <w:rPr>
                <w:rFonts w:ascii="Arial" w:eastAsia="Calibri" w:hAnsi="Arial" w:cs="Arial"/>
                <w:sz w:val="24"/>
                <w:szCs w:val="24"/>
                <w:lang w:val="en-US"/>
              </w:rPr>
              <w:t>of the CPA</w:t>
            </w:r>
            <w:r w:rsidR="00EF764D">
              <w:rPr>
                <w:rFonts w:ascii="Arial" w:eastAsia="Calibri" w:hAnsi="Arial" w:cs="Arial"/>
                <w:i/>
                <w:sz w:val="24"/>
                <w:szCs w:val="24"/>
                <w:lang w:val="en-US"/>
              </w:rPr>
              <w:t xml:space="preserve"> </w:t>
            </w:r>
            <w:r w:rsidR="00AF3A2E">
              <w:rPr>
                <w:rFonts w:ascii="Arial" w:eastAsia="Calibri" w:hAnsi="Arial" w:cs="Arial"/>
                <w:sz w:val="24"/>
                <w:szCs w:val="24"/>
                <w:lang w:val="en-US"/>
              </w:rPr>
              <w:t>and convicted accused one on his plea of guilty.</w:t>
            </w:r>
            <w:r w:rsidR="00EF764D">
              <w:rPr>
                <w:rFonts w:ascii="Arial" w:eastAsia="Calibri" w:hAnsi="Arial" w:cs="Arial"/>
                <w:sz w:val="24"/>
                <w:szCs w:val="24"/>
                <w:lang w:val="en-US"/>
              </w:rPr>
              <w:t xml:space="preserve"> </w:t>
            </w:r>
            <w:r w:rsidR="00057B16">
              <w:rPr>
                <w:rFonts w:ascii="Arial" w:eastAsia="Calibri" w:hAnsi="Arial" w:cs="Arial"/>
                <w:sz w:val="24"/>
                <w:szCs w:val="24"/>
                <w:lang w:val="en-US"/>
              </w:rPr>
              <w:t>He</w:t>
            </w:r>
            <w:r w:rsidR="00EF764D">
              <w:rPr>
                <w:rFonts w:ascii="Arial" w:eastAsia="Calibri" w:hAnsi="Arial" w:cs="Arial"/>
                <w:sz w:val="24"/>
                <w:szCs w:val="24"/>
                <w:lang w:val="en-US"/>
              </w:rPr>
              <w:t xml:space="preserve"> applied s 115 of the CPA in respect of accused two and three.</w:t>
            </w:r>
            <w:r>
              <w:rPr>
                <w:rFonts w:ascii="Arial" w:eastAsia="Calibri" w:hAnsi="Arial" w:cs="Arial"/>
                <w:sz w:val="24"/>
                <w:szCs w:val="24"/>
                <w:lang w:val="en-US"/>
              </w:rPr>
              <w:t xml:space="preserve"> </w:t>
            </w:r>
            <w:r w:rsidR="00EF764D">
              <w:rPr>
                <w:rFonts w:ascii="Arial" w:eastAsia="Calibri" w:hAnsi="Arial" w:cs="Arial"/>
                <w:sz w:val="24"/>
                <w:szCs w:val="24"/>
                <w:lang w:val="en-US"/>
              </w:rPr>
              <w:t>The record of proceeding reflects that accused two stated: ‘I plead guilty because I did not commit the offence.’ This must be a typing error because this accused indicated in no uncertain terms t</w:t>
            </w:r>
            <w:r w:rsidR="00FC6A5A">
              <w:rPr>
                <w:rFonts w:ascii="Arial" w:eastAsia="Calibri" w:hAnsi="Arial" w:cs="Arial"/>
                <w:sz w:val="24"/>
                <w:szCs w:val="24"/>
                <w:lang w:val="en-US"/>
              </w:rPr>
              <w:t>hat he wanted to plead not guilty. Accused two stated that he pleaded not guilty because he did not commit the offence and that he was not part thereof.</w:t>
            </w:r>
          </w:p>
          <w:p w:rsidR="00FC6A5A" w:rsidRDefault="00FC6A5A"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The pub</w:t>
            </w:r>
            <w:r w:rsidR="007D3A4B">
              <w:rPr>
                <w:rFonts w:ascii="Arial" w:eastAsia="Calibri" w:hAnsi="Arial" w:cs="Arial"/>
                <w:sz w:val="24"/>
                <w:szCs w:val="24"/>
                <w:lang w:val="en-US"/>
              </w:rPr>
              <w:t>lic prosecutor then closed the</w:t>
            </w:r>
            <w:r>
              <w:rPr>
                <w:rFonts w:ascii="Arial" w:eastAsia="Calibri" w:hAnsi="Arial" w:cs="Arial"/>
                <w:sz w:val="24"/>
                <w:szCs w:val="24"/>
                <w:lang w:val="en-US"/>
              </w:rPr>
              <w:t xml:space="preserve"> case against accused two and three. The magistrate merely allowed them to stand down without any verdict.</w:t>
            </w:r>
          </w:p>
          <w:p w:rsidR="007D3A4B" w:rsidRDefault="00FC6A5A"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The court proceeded with mitigation in relation to accused one. During his address, the </w:t>
            </w:r>
            <w:r w:rsidR="00FC757C">
              <w:rPr>
                <w:rFonts w:ascii="Arial" w:eastAsia="Calibri" w:hAnsi="Arial" w:cs="Arial"/>
                <w:sz w:val="24"/>
                <w:szCs w:val="24"/>
                <w:lang w:val="en-US"/>
              </w:rPr>
              <w:t>accused stated</w:t>
            </w:r>
            <w:r>
              <w:rPr>
                <w:rFonts w:ascii="Arial" w:eastAsia="Calibri" w:hAnsi="Arial" w:cs="Arial"/>
                <w:sz w:val="24"/>
                <w:szCs w:val="24"/>
                <w:lang w:val="en-US"/>
              </w:rPr>
              <w:t xml:space="preserve"> that there was no money in the wallet and in addition he requested the court to view a video recording. Further</w:t>
            </w:r>
            <w:r w:rsidR="00FC757C">
              <w:rPr>
                <w:rFonts w:ascii="Arial" w:eastAsia="Calibri" w:hAnsi="Arial" w:cs="Arial"/>
                <w:sz w:val="24"/>
                <w:szCs w:val="24"/>
                <w:lang w:val="en-US"/>
              </w:rPr>
              <w:t xml:space="preserve">, although </w:t>
            </w:r>
            <w:r>
              <w:rPr>
                <w:rFonts w:ascii="Arial" w:eastAsia="Calibri" w:hAnsi="Arial" w:cs="Arial"/>
                <w:sz w:val="24"/>
                <w:szCs w:val="24"/>
                <w:lang w:val="en-US"/>
              </w:rPr>
              <w:t>he</w:t>
            </w:r>
            <w:r w:rsidR="00FC757C">
              <w:rPr>
                <w:rFonts w:ascii="Arial" w:eastAsia="Calibri" w:hAnsi="Arial" w:cs="Arial"/>
                <w:sz w:val="24"/>
                <w:szCs w:val="24"/>
                <w:lang w:val="en-US"/>
              </w:rPr>
              <w:t xml:space="preserve"> pleaded guilty, he</w:t>
            </w:r>
            <w:r>
              <w:rPr>
                <w:rFonts w:ascii="Arial" w:eastAsia="Calibri" w:hAnsi="Arial" w:cs="Arial"/>
                <w:sz w:val="24"/>
                <w:szCs w:val="24"/>
                <w:lang w:val="en-US"/>
              </w:rPr>
              <w:t xml:space="preserve"> questioned on what basis the court will find him guilty</w:t>
            </w:r>
            <w:r w:rsidR="00FC757C">
              <w:rPr>
                <w:rFonts w:ascii="Arial" w:eastAsia="Calibri" w:hAnsi="Arial" w:cs="Arial"/>
                <w:sz w:val="24"/>
                <w:szCs w:val="24"/>
                <w:lang w:val="en-US"/>
              </w:rPr>
              <w:t>. The magistrate applied s 113 of the CPA and entered a plea of not guilty.</w:t>
            </w:r>
            <w:r>
              <w:rPr>
                <w:rFonts w:ascii="Arial" w:eastAsia="Calibri" w:hAnsi="Arial" w:cs="Arial"/>
                <w:sz w:val="24"/>
                <w:szCs w:val="24"/>
                <w:lang w:val="en-US"/>
              </w:rPr>
              <w:t xml:space="preserve">  </w:t>
            </w:r>
            <w:r w:rsidR="00FF6F95">
              <w:rPr>
                <w:rFonts w:ascii="Arial" w:eastAsia="Calibri" w:hAnsi="Arial" w:cs="Arial"/>
                <w:sz w:val="24"/>
                <w:szCs w:val="24"/>
                <w:lang w:val="en-US"/>
              </w:rPr>
              <w:t xml:space="preserve">The matter was then postponed for </w:t>
            </w:r>
            <w:r w:rsidR="00FC757C">
              <w:rPr>
                <w:rFonts w:ascii="Arial" w:eastAsia="Calibri" w:hAnsi="Arial" w:cs="Arial"/>
                <w:sz w:val="24"/>
                <w:szCs w:val="24"/>
                <w:lang w:val="en-US"/>
              </w:rPr>
              <w:t>t</w:t>
            </w:r>
            <w:r w:rsidR="007D3A4B">
              <w:rPr>
                <w:rFonts w:ascii="Arial" w:eastAsia="Calibri" w:hAnsi="Arial" w:cs="Arial"/>
                <w:sz w:val="24"/>
                <w:szCs w:val="24"/>
                <w:lang w:val="en-US"/>
              </w:rPr>
              <w:t>r</w:t>
            </w:r>
            <w:r w:rsidR="00FC757C">
              <w:rPr>
                <w:rFonts w:ascii="Arial" w:eastAsia="Calibri" w:hAnsi="Arial" w:cs="Arial"/>
                <w:sz w:val="24"/>
                <w:szCs w:val="24"/>
                <w:lang w:val="en-US"/>
              </w:rPr>
              <w:t>ial</w:t>
            </w:r>
            <w:r w:rsidR="00FF6F95">
              <w:rPr>
                <w:rFonts w:ascii="Arial" w:eastAsia="Calibri" w:hAnsi="Arial" w:cs="Arial"/>
                <w:sz w:val="24"/>
                <w:szCs w:val="24"/>
                <w:lang w:val="en-US"/>
              </w:rPr>
              <w:t>.</w:t>
            </w:r>
            <w:r w:rsidR="007D3A4B">
              <w:rPr>
                <w:rFonts w:ascii="Arial" w:eastAsia="Calibri" w:hAnsi="Arial" w:cs="Arial"/>
                <w:sz w:val="24"/>
                <w:szCs w:val="24"/>
                <w:lang w:val="en-US"/>
              </w:rPr>
              <w:t xml:space="preserve"> Bail was granted to accused one. Accused two’s bail money was refunded and a warrant of liberation was granted for accused three.</w:t>
            </w:r>
            <w:r w:rsidR="00FF6F95">
              <w:rPr>
                <w:rFonts w:ascii="Arial" w:eastAsia="Calibri" w:hAnsi="Arial" w:cs="Arial"/>
                <w:sz w:val="24"/>
                <w:szCs w:val="24"/>
                <w:lang w:val="en-US"/>
              </w:rPr>
              <w:t xml:space="preserve"> </w:t>
            </w:r>
            <w:r w:rsidR="007D3A4B">
              <w:rPr>
                <w:rFonts w:ascii="Arial" w:eastAsia="Calibri" w:hAnsi="Arial" w:cs="Arial"/>
                <w:sz w:val="24"/>
                <w:szCs w:val="24"/>
                <w:lang w:val="en-US"/>
              </w:rPr>
              <w:t xml:space="preserve"> The NAMCIS record of proceedings reflects on the status of the accused </w:t>
            </w:r>
            <w:r w:rsidR="007D3A4B">
              <w:rPr>
                <w:rFonts w:ascii="Arial" w:eastAsia="Calibri" w:hAnsi="Arial" w:cs="Arial"/>
                <w:sz w:val="24"/>
                <w:szCs w:val="24"/>
                <w:lang w:val="en-US"/>
              </w:rPr>
              <w:lastRenderedPageBreak/>
              <w:t>that accused one was remanded in custody, accused two and three</w:t>
            </w:r>
            <w:r w:rsidR="00057B16">
              <w:rPr>
                <w:rFonts w:ascii="Arial" w:eastAsia="Calibri" w:hAnsi="Arial" w:cs="Arial"/>
                <w:sz w:val="24"/>
                <w:szCs w:val="24"/>
                <w:lang w:val="en-US"/>
              </w:rPr>
              <w:t>’s status</w:t>
            </w:r>
            <w:r w:rsidR="007D3A4B">
              <w:rPr>
                <w:rFonts w:ascii="Arial" w:eastAsia="Calibri" w:hAnsi="Arial" w:cs="Arial"/>
                <w:sz w:val="24"/>
                <w:szCs w:val="24"/>
                <w:lang w:val="en-US"/>
              </w:rPr>
              <w:t xml:space="preserve"> </w:t>
            </w:r>
            <w:r w:rsidR="00057B16">
              <w:rPr>
                <w:rFonts w:ascii="Arial" w:eastAsia="Calibri" w:hAnsi="Arial" w:cs="Arial"/>
                <w:sz w:val="24"/>
                <w:szCs w:val="24"/>
                <w:lang w:val="en-US"/>
              </w:rPr>
              <w:t>reflects</w:t>
            </w:r>
            <w:r w:rsidR="007D3A4B">
              <w:rPr>
                <w:rFonts w:ascii="Arial" w:eastAsia="Calibri" w:hAnsi="Arial" w:cs="Arial"/>
                <w:sz w:val="24"/>
                <w:szCs w:val="24"/>
                <w:lang w:val="en-US"/>
              </w:rPr>
              <w:t xml:space="preserve"> not guilty and discharged.</w:t>
            </w:r>
            <w:r w:rsidR="00057B16">
              <w:rPr>
                <w:rFonts w:ascii="Arial" w:eastAsia="Calibri" w:hAnsi="Arial" w:cs="Arial"/>
                <w:sz w:val="24"/>
                <w:szCs w:val="24"/>
                <w:lang w:val="en-US"/>
              </w:rPr>
              <w:t xml:space="preserve"> This reflection, in my view, is a fact after the matter appeared in court and does not show that the magistrate in fact gave a verdict of not guilty in respect of accused two and three who were entitled to a verdict after their pleas of not guilty.</w:t>
            </w:r>
          </w:p>
          <w:p w:rsidR="00081F20" w:rsidRDefault="00C55901"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081F20">
              <w:rPr>
                <w:rFonts w:ascii="Arial" w:eastAsia="Calibri" w:hAnsi="Arial" w:cs="Arial"/>
                <w:sz w:val="24"/>
                <w:szCs w:val="24"/>
                <w:lang w:val="en-US"/>
              </w:rPr>
              <w:t xml:space="preserve">On the subsequent appearance, </w:t>
            </w:r>
            <w:r w:rsidR="00FF6009">
              <w:rPr>
                <w:rFonts w:ascii="Arial" w:eastAsia="Calibri" w:hAnsi="Arial" w:cs="Arial"/>
                <w:sz w:val="24"/>
                <w:szCs w:val="24"/>
                <w:lang w:val="en-US"/>
              </w:rPr>
              <w:t>a senior</w:t>
            </w:r>
            <w:r w:rsidR="007D3A4B" w:rsidRPr="00081F20">
              <w:rPr>
                <w:rFonts w:ascii="Arial" w:eastAsia="Calibri" w:hAnsi="Arial" w:cs="Arial"/>
                <w:sz w:val="24"/>
                <w:szCs w:val="24"/>
                <w:lang w:val="en-US"/>
              </w:rPr>
              <w:t xml:space="preserve"> magistrate</w:t>
            </w:r>
            <w:r w:rsidR="00FF6009">
              <w:rPr>
                <w:rFonts w:ascii="Arial" w:eastAsia="Calibri" w:hAnsi="Arial" w:cs="Arial"/>
                <w:sz w:val="24"/>
                <w:szCs w:val="24"/>
                <w:lang w:val="en-US"/>
              </w:rPr>
              <w:t xml:space="preserve"> and head of the Magistrates Offices at </w:t>
            </w:r>
            <w:proofErr w:type="spellStart"/>
            <w:r w:rsidR="00FF6009">
              <w:rPr>
                <w:rFonts w:ascii="Arial" w:eastAsia="Calibri" w:hAnsi="Arial" w:cs="Arial"/>
                <w:sz w:val="24"/>
                <w:szCs w:val="24"/>
                <w:lang w:val="en-US"/>
              </w:rPr>
              <w:t>Keetmanshoop</w:t>
            </w:r>
            <w:proofErr w:type="spellEnd"/>
            <w:r w:rsidR="00FF6009">
              <w:rPr>
                <w:rFonts w:ascii="Arial" w:eastAsia="Calibri" w:hAnsi="Arial" w:cs="Arial"/>
                <w:sz w:val="24"/>
                <w:szCs w:val="24"/>
                <w:lang w:val="en-US"/>
              </w:rPr>
              <w:t xml:space="preserve"> presided</w:t>
            </w:r>
            <w:r w:rsidR="007D3A4B" w:rsidRPr="00081F20">
              <w:rPr>
                <w:rFonts w:ascii="Arial" w:eastAsia="Calibri" w:hAnsi="Arial" w:cs="Arial"/>
                <w:sz w:val="24"/>
                <w:szCs w:val="24"/>
                <w:lang w:val="en-US"/>
              </w:rPr>
              <w:t>. Only accused one appeared.</w:t>
            </w:r>
            <w:r w:rsidR="00081F20" w:rsidRPr="00081F20">
              <w:rPr>
                <w:rFonts w:ascii="Arial" w:eastAsia="Calibri" w:hAnsi="Arial" w:cs="Arial"/>
                <w:sz w:val="24"/>
                <w:szCs w:val="24"/>
                <w:lang w:val="en-US"/>
              </w:rPr>
              <w:t xml:space="preserve"> The trial could not proceed because the witness, who is the complainant, was not available as she was booked off sick. </w:t>
            </w:r>
          </w:p>
          <w:p w:rsidR="00233D40" w:rsidRDefault="00081F20"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233D40">
              <w:rPr>
                <w:rFonts w:ascii="Arial" w:eastAsia="Calibri" w:hAnsi="Arial" w:cs="Arial"/>
                <w:sz w:val="24"/>
                <w:szCs w:val="24"/>
                <w:lang w:val="en-US"/>
              </w:rPr>
              <w:t xml:space="preserve">When the matter eventually was enrolled for trial </w:t>
            </w:r>
            <w:r w:rsidR="00233D40" w:rsidRPr="00233D40">
              <w:rPr>
                <w:rFonts w:ascii="Arial" w:eastAsia="Calibri" w:hAnsi="Arial" w:cs="Arial"/>
                <w:sz w:val="24"/>
                <w:szCs w:val="24"/>
                <w:lang w:val="en-US"/>
              </w:rPr>
              <w:t xml:space="preserve">of accused one, </w:t>
            </w:r>
            <w:r w:rsidR="00FF6009">
              <w:rPr>
                <w:rFonts w:ascii="Arial" w:eastAsia="Calibri" w:hAnsi="Arial" w:cs="Arial"/>
                <w:sz w:val="24"/>
                <w:szCs w:val="24"/>
                <w:lang w:val="en-US"/>
              </w:rPr>
              <w:t>the same senior magistrate</w:t>
            </w:r>
            <w:r w:rsidRPr="00233D40">
              <w:rPr>
                <w:rFonts w:ascii="Arial" w:eastAsia="Calibri" w:hAnsi="Arial" w:cs="Arial"/>
                <w:sz w:val="24"/>
                <w:szCs w:val="24"/>
                <w:lang w:val="en-US"/>
              </w:rPr>
              <w:t xml:space="preserve"> was again presiding. The trial proceeded and the accused was convicted after evidence was led.</w:t>
            </w:r>
            <w:r w:rsidR="00233D40" w:rsidRPr="00233D40">
              <w:rPr>
                <w:rFonts w:ascii="Arial" w:eastAsia="Calibri" w:hAnsi="Arial" w:cs="Arial"/>
                <w:sz w:val="24"/>
                <w:szCs w:val="24"/>
                <w:lang w:val="en-US"/>
              </w:rPr>
              <w:t xml:space="preserve"> He was sentenced to a fine of N$4000 or in default of payment 24 months’ imprisonment of which N$1000 or six months are suspended for a period of five years on condition that he is not convicted for theft, committed during the period of suspension. We have no qualms with the conviction and sentence</w:t>
            </w:r>
            <w:r w:rsidR="00926DB8">
              <w:rPr>
                <w:rFonts w:ascii="Arial" w:eastAsia="Calibri" w:hAnsi="Arial" w:cs="Arial"/>
                <w:sz w:val="24"/>
                <w:szCs w:val="24"/>
                <w:lang w:val="en-US"/>
              </w:rPr>
              <w:t xml:space="preserve"> and will confirm it</w:t>
            </w:r>
            <w:r w:rsidR="00233D40" w:rsidRPr="00233D40">
              <w:rPr>
                <w:rFonts w:ascii="Arial" w:eastAsia="Calibri" w:hAnsi="Arial" w:cs="Arial"/>
                <w:sz w:val="24"/>
                <w:szCs w:val="24"/>
                <w:lang w:val="en-US"/>
              </w:rPr>
              <w:t xml:space="preserve">. </w:t>
            </w:r>
          </w:p>
          <w:p w:rsidR="001F49B0" w:rsidRPr="00233D40" w:rsidRDefault="00447ED7"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233D40">
              <w:rPr>
                <w:rFonts w:ascii="Arial" w:eastAsia="Calibri" w:hAnsi="Arial" w:cs="Arial"/>
                <w:sz w:val="24"/>
                <w:szCs w:val="24"/>
                <w:lang w:val="en-US"/>
              </w:rPr>
              <w:t>The record is silent as to whether</w:t>
            </w:r>
            <w:r w:rsidR="00233D40">
              <w:rPr>
                <w:rFonts w:ascii="Arial" w:eastAsia="Calibri" w:hAnsi="Arial" w:cs="Arial"/>
                <w:sz w:val="24"/>
                <w:szCs w:val="24"/>
                <w:lang w:val="en-US"/>
              </w:rPr>
              <w:t xml:space="preserve"> or not</w:t>
            </w:r>
            <w:r w:rsidRPr="00233D40">
              <w:rPr>
                <w:rFonts w:ascii="Arial" w:eastAsia="Calibri" w:hAnsi="Arial" w:cs="Arial"/>
                <w:sz w:val="24"/>
                <w:szCs w:val="24"/>
                <w:lang w:val="en-US"/>
              </w:rPr>
              <w:t xml:space="preserve"> the prosecutor obtained </w:t>
            </w:r>
            <w:r w:rsidR="007357EB">
              <w:rPr>
                <w:rFonts w:ascii="Arial" w:eastAsia="Calibri" w:hAnsi="Arial" w:cs="Arial"/>
                <w:sz w:val="24"/>
                <w:szCs w:val="24"/>
                <w:lang w:val="en-US"/>
              </w:rPr>
              <w:t>the necessary consent from the Prosecutor-G</w:t>
            </w:r>
            <w:r w:rsidRPr="00233D40">
              <w:rPr>
                <w:rFonts w:ascii="Arial" w:eastAsia="Calibri" w:hAnsi="Arial" w:cs="Arial"/>
                <w:sz w:val="24"/>
                <w:szCs w:val="24"/>
                <w:lang w:val="en-US"/>
              </w:rPr>
              <w:t>eneral</w:t>
            </w:r>
            <w:r w:rsidR="00167797" w:rsidRPr="00233D40">
              <w:rPr>
                <w:rFonts w:ascii="Arial" w:eastAsia="Calibri" w:hAnsi="Arial" w:cs="Arial"/>
                <w:sz w:val="24"/>
                <w:szCs w:val="24"/>
                <w:lang w:val="en-US"/>
              </w:rPr>
              <w:t xml:space="preserve"> </w:t>
            </w:r>
            <w:r w:rsidR="007357EB">
              <w:rPr>
                <w:rFonts w:ascii="Arial" w:eastAsia="Calibri" w:hAnsi="Arial" w:cs="Arial"/>
                <w:sz w:val="24"/>
                <w:szCs w:val="24"/>
                <w:lang w:val="en-US"/>
              </w:rPr>
              <w:t xml:space="preserve">(PG) </w:t>
            </w:r>
            <w:r w:rsidR="00167797" w:rsidRPr="00233D40">
              <w:rPr>
                <w:rFonts w:ascii="Arial" w:eastAsia="Calibri" w:hAnsi="Arial" w:cs="Arial"/>
                <w:sz w:val="24"/>
                <w:szCs w:val="24"/>
                <w:lang w:val="en-US"/>
              </w:rPr>
              <w:t xml:space="preserve">in terms of s 6 </w:t>
            </w:r>
            <w:r w:rsidR="00167797" w:rsidRPr="00233D40">
              <w:rPr>
                <w:rFonts w:ascii="Arial" w:eastAsia="Calibri" w:hAnsi="Arial" w:cs="Arial"/>
                <w:i/>
                <w:sz w:val="24"/>
                <w:szCs w:val="24"/>
                <w:lang w:val="en-US"/>
              </w:rPr>
              <w:t xml:space="preserve">(b) </w:t>
            </w:r>
            <w:r w:rsidR="00167797" w:rsidRPr="00233D40">
              <w:rPr>
                <w:rFonts w:ascii="Arial" w:eastAsia="Calibri" w:hAnsi="Arial" w:cs="Arial"/>
                <w:sz w:val="24"/>
                <w:szCs w:val="24"/>
                <w:lang w:val="en-US"/>
              </w:rPr>
              <w:t>of the CPA,</w:t>
            </w:r>
            <w:r w:rsidRPr="00233D40">
              <w:rPr>
                <w:rFonts w:ascii="Arial" w:eastAsia="Calibri" w:hAnsi="Arial" w:cs="Arial"/>
                <w:sz w:val="24"/>
                <w:szCs w:val="24"/>
                <w:lang w:val="en-US"/>
              </w:rPr>
              <w:t xml:space="preserve"> to close its case against accused </w:t>
            </w:r>
            <w:r w:rsidR="00233D40">
              <w:rPr>
                <w:rFonts w:ascii="Arial" w:eastAsia="Calibri" w:hAnsi="Arial" w:cs="Arial"/>
                <w:sz w:val="24"/>
                <w:szCs w:val="24"/>
                <w:lang w:val="en-US"/>
              </w:rPr>
              <w:t>two and three</w:t>
            </w:r>
            <w:r w:rsidRPr="00233D40">
              <w:rPr>
                <w:rFonts w:ascii="Arial" w:eastAsia="Calibri" w:hAnsi="Arial" w:cs="Arial"/>
                <w:sz w:val="24"/>
                <w:szCs w:val="24"/>
                <w:lang w:val="en-US"/>
              </w:rPr>
              <w:t xml:space="preserve"> aft</w:t>
            </w:r>
            <w:r w:rsidR="00233D40">
              <w:rPr>
                <w:rFonts w:ascii="Arial" w:eastAsia="Calibri" w:hAnsi="Arial" w:cs="Arial"/>
                <w:sz w:val="24"/>
                <w:szCs w:val="24"/>
                <w:lang w:val="en-US"/>
              </w:rPr>
              <w:t>er they have pleaded not guilty.</w:t>
            </w:r>
            <w:r w:rsidRPr="00233D40">
              <w:rPr>
                <w:rFonts w:ascii="Arial" w:eastAsia="Calibri" w:hAnsi="Arial" w:cs="Arial"/>
                <w:sz w:val="24"/>
                <w:szCs w:val="24"/>
                <w:lang w:val="en-US"/>
              </w:rPr>
              <w:t xml:space="preserve"> </w:t>
            </w:r>
            <w:r w:rsidR="00233D40">
              <w:rPr>
                <w:rFonts w:ascii="Arial" w:eastAsia="Calibri" w:hAnsi="Arial" w:cs="Arial"/>
                <w:sz w:val="24"/>
                <w:szCs w:val="24"/>
                <w:lang w:val="en-US"/>
              </w:rPr>
              <w:t>It</w:t>
            </w:r>
            <w:r w:rsidRPr="00233D40">
              <w:rPr>
                <w:rFonts w:ascii="Arial" w:eastAsia="Calibri" w:hAnsi="Arial" w:cs="Arial"/>
                <w:sz w:val="24"/>
                <w:szCs w:val="24"/>
                <w:lang w:val="en-US"/>
              </w:rPr>
              <w:t xml:space="preserve"> is similarly silent as to whether</w:t>
            </w:r>
            <w:r w:rsidR="00233D40">
              <w:rPr>
                <w:rFonts w:ascii="Arial" w:eastAsia="Calibri" w:hAnsi="Arial" w:cs="Arial"/>
                <w:sz w:val="24"/>
                <w:szCs w:val="24"/>
                <w:lang w:val="en-US"/>
              </w:rPr>
              <w:t xml:space="preserve"> or not</w:t>
            </w:r>
            <w:r w:rsidRPr="00233D40">
              <w:rPr>
                <w:rFonts w:ascii="Arial" w:eastAsia="Calibri" w:hAnsi="Arial" w:cs="Arial"/>
                <w:sz w:val="24"/>
                <w:szCs w:val="24"/>
                <w:lang w:val="en-US"/>
              </w:rPr>
              <w:t xml:space="preserve"> the presiding magistrate at the time </w:t>
            </w:r>
            <w:r w:rsidR="00F275C2" w:rsidRPr="00233D40">
              <w:rPr>
                <w:rFonts w:ascii="Arial" w:eastAsia="Calibri" w:hAnsi="Arial" w:cs="Arial"/>
                <w:sz w:val="24"/>
                <w:szCs w:val="24"/>
                <w:lang w:val="en-US"/>
              </w:rPr>
              <w:t>enquired from</w:t>
            </w:r>
            <w:r w:rsidRPr="00233D40">
              <w:rPr>
                <w:rFonts w:ascii="Arial" w:eastAsia="Calibri" w:hAnsi="Arial" w:cs="Arial"/>
                <w:sz w:val="24"/>
                <w:szCs w:val="24"/>
                <w:lang w:val="en-US"/>
              </w:rPr>
              <w:t xml:space="preserve"> the prosecutor </w:t>
            </w:r>
            <w:r w:rsidR="00FF6009">
              <w:rPr>
                <w:rFonts w:ascii="Arial" w:eastAsia="Calibri" w:hAnsi="Arial" w:cs="Arial"/>
                <w:sz w:val="24"/>
                <w:szCs w:val="24"/>
                <w:lang w:val="en-US"/>
              </w:rPr>
              <w:t>if</w:t>
            </w:r>
            <w:r w:rsidR="00F275C2" w:rsidRPr="00233D40">
              <w:rPr>
                <w:rFonts w:ascii="Arial" w:eastAsia="Calibri" w:hAnsi="Arial" w:cs="Arial"/>
                <w:sz w:val="24"/>
                <w:szCs w:val="24"/>
                <w:lang w:val="en-US"/>
              </w:rPr>
              <w:t xml:space="preserve"> such consent was obtained. </w:t>
            </w:r>
            <w:r w:rsidR="00233D40">
              <w:rPr>
                <w:rFonts w:ascii="Arial" w:eastAsia="Calibri" w:hAnsi="Arial" w:cs="Arial"/>
                <w:sz w:val="24"/>
                <w:szCs w:val="24"/>
                <w:lang w:val="en-US"/>
              </w:rPr>
              <w:t>The J15 ch</w:t>
            </w:r>
            <w:r w:rsidR="00955B51">
              <w:rPr>
                <w:rFonts w:ascii="Arial" w:eastAsia="Calibri" w:hAnsi="Arial" w:cs="Arial"/>
                <w:sz w:val="24"/>
                <w:szCs w:val="24"/>
                <w:lang w:val="en-US"/>
              </w:rPr>
              <w:t xml:space="preserve">arge sheet, signed by </w:t>
            </w:r>
            <w:r w:rsidR="00FF6009">
              <w:rPr>
                <w:rFonts w:ascii="Arial" w:eastAsia="Calibri" w:hAnsi="Arial" w:cs="Arial"/>
                <w:sz w:val="24"/>
                <w:szCs w:val="24"/>
                <w:lang w:val="en-US"/>
              </w:rPr>
              <w:t>the senior magistrate</w:t>
            </w:r>
            <w:r w:rsidR="00955B51">
              <w:rPr>
                <w:rFonts w:ascii="Arial" w:eastAsia="Calibri" w:hAnsi="Arial" w:cs="Arial"/>
                <w:sz w:val="24"/>
                <w:szCs w:val="24"/>
                <w:lang w:val="en-US"/>
              </w:rPr>
              <w:t xml:space="preserve">, </w:t>
            </w:r>
            <w:r w:rsidR="00233D40">
              <w:rPr>
                <w:rFonts w:ascii="Arial" w:eastAsia="Calibri" w:hAnsi="Arial" w:cs="Arial"/>
                <w:sz w:val="24"/>
                <w:szCs w:val="24"/>
                <w:lang w:val="en-US"/>
              </w:rPr>
              <w:t xml:space="preserve">reflects </w:t>
            </w:r>
            <w:r w:rsidR="00955B51">
              <w:rPr>
                <w:rFonts w:ascii="Arial" w:eastAsia="Calibri" w:hAnsi="Arial" w:cs="Arial"/>
                <w:sz w:val="24"/>
                <w:szCs w:val="24"/>
                <w:lang w:val="en-US"/>
              </w:rPr>
              <w:t>the verdict of guilty and sentence in relation to accused one, however there is no verdict on accused two and three. It reflects as follows: ‘04/11/2022, Guilty Acc. 1 &amp; 174 granted Acc. 2 &amp; 3’ seemingly by</w:t>
            </w:r>
            <w:r w:rsidR="00FF6009">
              <w:rPr>
                <w:rFonts w:ascii="Arial" w:eastAsia="Calibri" w:hAnsi="Arial" w:cs="Arial"/>
                <w:sz w:val="24"/>
                <w:szCs w:val="24"/>
                <w:lang w:val="en-US"/>
              </w:rPr>
              <w:t xml:space="preserve"> the</w:t>
            </w:r>
            <w:r w:rsidR="00955B51">
              <w:rPr>
                <w:rFonts w:ascii="Arial" w:eastAsia="Calibri" w:hAnsi="Arial" w:cs="Arial"/>
                <w:sz w:val="24"/>
                <w:szCs w:val="24"/>
                <w:lang w:val="en-US"/>
              </w:rPr>
              <w:t xml:space="preserve"> </w:t>
            </w:r>
            <w:r w:rsidR="00FF6009">
              <w:rPr>
                <w:rFonts w:ascii="Arial" w:eastAsia="Calibri" w:hAnsi="Arial" w:cs="Arial"/>
                <w:sz w:val="24"/>
                <w:szCs w:val="24"/>
                <w:lang w:val="en-US"/>
              </w:rPr>
              <w:t>initial magistrate at the beginning of the case</w:t>
            </w:r>
            <w:r w:rsidR="00955B51">
              <w:rPr>
                <w:rFonts w:ascii="Arial" w:eastAsia="Calibri" w:hAnsi="Arial" w:cs="Arial"/>
                <w:sz w:val="24"/>
                <w:szCs w:val="24"/>
                <w:lang w:val="en-US"/>
              </w:rPr>
              <w:t xml:space="preserve"> and ‘03/04/2023, Guilty as charged = Acc.1 </w:t>
            </w:r>
            <w:r w:rsidR="0066023D">
              <w:rPr>
                <w:rFonts w:ascii="Arial" w:eastAsia="Calibri" w:hAnsi="Arial" w:cs="Arial"/>
                <w:sz w:val="24"/>
                <w:szCs w:val="24"/>
                <w:lang w:val="en-US"/>
              </w:rPr>
              <w:t xml:space="preserve">seemingly by </w:t>
            </w:r>
            <w:r w:rsidR="00FF6009">
              <w:rPr>
                <w:rFonts w:ascii="Arial" w:eastAsia="Calibri" w:hAnsi="Arial" w:cs="Arial"/>
                <w:sz w:val="24"/>
                <w:szCs w:val="24"/>
                <w:lang w:val="en-US"/>
              </w:rPr>
              <w:t>the senior magistrate</w:t>
            </w:r>
            <w:r w:rsidR="0066023D">
              <w:rPr>
                <w:rFonts w:ascii="Arial" w:eastAsia="Calibri" w:hAnsi="Arial" w:cs="Arial"/>
                <w:sz w:val="24"/>
                <w:szCs w:val="24"/>
                <w:lang w:val="en-US"/>
              </w:rPr>
              <w:t>.</w:t>
            </w:r>
            <w:r w:rsidR="00955B51">
              <w:rPr>
                <w:rFonts w:ascii="Arial" w:eastAsia="Calibri" w:hAnsi="Arial" w:cs="Arial"/>
                <w:sz w:val="24"/>
                <w:szCs w:val="24"/>
                <w:lang w:val="en-US"/>
              </w:rPr>
              <w:t xml:space="preserve"> </w:t>
            </w:r>
          </w:p>
          <w:p w:rsidR="001F49B0" w:rsidRDefault="0066023D"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Consequently</w:t>
            </w:r>
            <w:r w:rsidR="00447ED7">
              <w:rPr>
                <w:rFonts w:ascii="Arial" w:eastAsia="Calibri" w:hAnsi="Arial" w:cs="Arial"/>
                <w:sz w:val="24"/>
                <w:szCs w:val="24"/>
                <w:lang w:val="en-US"/>
              </w:rPr>
              <w:t>, I directed a query to the magistrate</w:t>
            </w:r>
            <w:r w:rsidR="00FF6009">
              <w:rPr>
                <w:rFonts w:ascii="Arial" w:eastAsia="Calibri" w:hAnsi="Arial" w:cs="Arial"/>
                <w:sz w:val="24"/>
                <w:szCs w:val="24"/>
                <w:lang w:val="en-US"/>
              </w:rPr>
              <w:t xml:space="preserve"> who submitted the matter for review</w:t>
            </w:r>
            <w:r w:rsidR="00447ED7">
              <w:rPr>
                <w:rFonts w:ascii="Arial" w:eastAsia="Calibri" w:hAnsi="Arial" w:cs="Arial"/>
                <w:sz w:val="24"/>
                <w:szCs w:val="24"/>
                <w:lang w:val="en-US"/>
              </w:rPr>
              <w:t xml:space="preserve"> as follows;</w:t>
            </w:r>
          </w:p>
          <w:p w:rsidR="002631FB" w:rsidRPr="002631FB" w:rsidRDefault="002631FB" w:rsidP="002631FB">
            <w:pPr>
              <w:tabs>
                <w:tab w:val="left" w:pos="851"/>
              </w:tabs>
              <w:spacing w:after="200" w:line="360" w:lineRule="auto"/>
              <w:jc w:val="both"/>
              <w:rPr>
                <w:rFonts w:ascii="Arial" w:eastAsia="Calibri" w:hAnsi="Arial" w:cs="Arial"/>
                <w:lang w:val="en-US"/>
              </w:rPr>
            </w:pPr>
            <w:r>
              <w:rPr>
                <w:rFonts w:ascii="Arial" w:eastAsia="Calibri" w:hAnsi="Arial" w:cs="Arial"/>
                <w:sz w:val="24"/>
                <w:szCs w:val="24"/>
                <w:lang w:val="en-US"/>
              </w:rPr>
              <w:t xml:space="preserve">         </w:t>
            </w:r>
            <w:r w:rsidRPr="002631FB">
              <w:rPr>
                <w:rFonts w:ascii="Arial" w:eastAsia="Calibri" w:hAnsi="Arial" w:cs="Arial"/>
                <w:lang w:val="en-US"/>
              </w:rPr>
              <w:t xml:space="preserve">‘1. Considering the judgment in </w:t>
            </w:r>
            <w:r w:rsidRPr="0066023D">
              <w:rPr>
                <w:rFonts w:ascii="Arial" w:eastAsia="Calibri" w:hAnsi="Arial" w:cs="Arial"/>
                <w:i/>
                <w:lang w:val="en-US"/>
              </w:rPr>
              <w:t xml:space="preserve">S v </w:t>
            </w:r>
            <w:proofErr w:type="spellStart"/>
            <w:r w:rsidRPr="0066023D">
              <w:rPr>
                <w:rFonts w:ascii="Arial" w:eastAsia="Calibri" w:hAnsi="Arial" w:cs="Arial"/>
                <w:i/>
                <w:lang w:val="en-US"/>
              </w:rPr>
              <w:t>Katemo</w:t>
            </w:r>
            <w:proofErr w:type="spellEnd"/>
            <w:r w:rsidRPr="002631FB">
              <w:rPr>
                <w:rFonts w:ascii="Arial" w:eastAsia="Calibri" w:hAnsi="Arial" w:cs="Arial"/>
                <w:lang w:val="en-US"/>
              </w:rPr>
              <w:t xml:space="preserve"> (CR 33/2014) [2014] NAHCMD 205 </w:t>
            </w:r>
            <w:r w:rsidR="0066023D" w:rsidRPr="002631FB">
              <w:rPr>
                <w:rFonts w:ascii="Arial" w:eastAsia="Calibri" w:hAnsi="Arial" w:cs="Arial"/>
                <w:lang w:val="en-US"/>
              </w:rPr>
              <w:t>(3</w:t>
            </w:r>
            <w:r w:rsidRPr="002631FB">
              <w:rPr>
                <w:rFonts w:ascii="Arial" w:eastAsia="Calibri" w:hAnsi="Arial" w:cs="Arial"/>
                <w:lang w:val="en-US"/>
              </w:rPr>
              <w:t xml:space="preserve"> July 2014), the Magistrate must explain if the closing of the State`s case after the pleas of accused 2 and 3 does not amount to an unauthorized stopping of prosecution.</w:t>
            </w:r>
          </w:p>
          <w:p w:rsidR="002631FB" w:rsidRPr="002631FB" w:rsidRDefault="002631FB" w:rsidP="002631FB">
            <w:pPr>
              <w:tabs>
                <w:tab w:val="left" w:pos="851"/>
              </w:tabs>
              <w:spacing w:after="200" w:line="360" w:lineRule="auto"/>
              <w:jc w:val="both"/>
              <w:rPr>
                <w:rFonts w:ascii="Arial" w:eastAsia="Calibri" w:hAnsi="Arial" w:cs="Arial"/>
                <w:lang w:val="en-US"/>
              </w:rPr>
            </w:pPr>
            <w:r w:rsidRPr="002631FB">
              <w:rPr>
                <w:rFonts w:ascii="Arial" w:eastAsia="Calibri" w:hAnsi="Arial" w:cs="Arial"/>
                <w:lang w:val="en-US"/>
              </w:rPr>
              <w:lastRenderedPageBreak/>
              <w:t>2. In addition, without an acquittal, is the procedure thereafter, in relation to accused 2 and 3, in accordance with justice?’</w:t>
            </w:r>
          </w:p>
          <w:p w:rsidR="001F49B0" w:rsidRDefault="002631FB"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The magistrate responded to the above query in a letter dated 22 May 2023 as follows;</w:t>
            </w:r>
          </w:p>
          <w:p w:rsidR="002631FB" w:rsidRPr="00F22F9D" w:rsidRDefault="002631FB" w:rsidP="002631FB">
            <w:pPr>
              <w:tabs>
                <w:tab w:val="left" w:pos="851"/>
              </w:tabs>
              <w:spacing w:after="200" w:line="360" w:lineRule="auto"/>
              <w:jc w:val="both"/>
              <w:rPr>
                <w:rFonts w:ascii="Arial" w:eastAsia="Calibri" w:hAnsi="Arial" w:cs="Arial"/>
                <w:lang w:val="en-US"/>
              </w:rPr>
            </w:pPr>
            <w:r>
              <w:rPr>
                <w:rFonts w:ascii="Arial" w:eastAsia="Calibri" w:hAnsi="Arial" w:cs="Arial"/>
                <w:sz w:val="24"/>
                <w:szCs w:val="24"/>
                <w:lang w:val="en-US"/>
              </w:rPr>
              <w:t xml:space="preserve">         </w:t>
            </w:r>
            <w:r w:rsidRPr="00F22F9D">
              <w:rPr>
                <w:rFonts w:ascii="Arial" w:eastAsia="Calibri" w:hAnsi="Arial" w:cs="Arial"/>
                <w:lang w:val="en-US"/>
              </w:rPr>
              <w:t xml:space="preserve">‘ … </w:t>
            </w:r>
            <w:r w:rsidR="00C807A0" w:rsidRPr="00F22F9D">
              <w:rPr>
                <w:rFonts w:ascii="Arial" w:eastAsia="Calibri" w:hAnsi="Arial" w:cs="Arial"/>
                <w:lang w:val="en-US"/>
              </w:rPr>
              <w:t>Firstly I wish to draw the Court`s attention to the fact that although I convict</w:t>
            </w:r>
            <w:r w:rsidR="0066023D">
              <w:rPr>
                <w:rFonts w:ascii="Arial" w:eastAsia="Calibri" w:hAnsi="Arial" w:cs="Arial"/>
                <w:lang w:val="en-US"/>
              </w:rPr>
              <w:t>ed and sentenced Accused 1 on 03</w:t>
            </w:r>
            <w:r w:rsidR="00C807A0" w:rsidRPr="00F22F9D">
              <w:rPr>
                <w:rFonts w:ascii="Arial" w:eastAsia="Calibri" w:hAnsi="Arial" w:cs="Arial"/>
                <w:lang w:val="en-US"/>
              </w:rPr>
              <w:t xml:space="preserve">/04/2023, all Accused pleaded before my colleague Magistrate </w:t>
            </w:r>
            <w:proofErr w:type="spellStart"/>
            <w:r w:rsidR="00C807A0" w:rsidRPr="00F22F9D">
              <w:rPr>
                <w:rFonts w:ascii="Arial" w:eastAsia="Calibri" w:hAnsi="Arial" w:cs="Arial"/>
                <w:lang w:val="en-US"/>
              </w:rPr>
              <w:t>Masuku</w:t>
            </w:r>
            <w:proofErr w:type="spellEnd"/>
            <w:r w:rsidR="00C807A0" w:rsidRPr="00F22F9D">
              <w:rPr>
                <w:rFonts w:ascii="Arial" w:eastAsia="Calibri" w:hAnsi="Arial" w:cs="Arial"/>
                <w:lang w:val="en-US"/>
              </w:rPr>
              <w:t xml:space="preserve"> on 04/11/2022. Thus, although the proceedings may be silent on the said acquittal to a certain extent, from the face of the charge sheet and the NAMCIS Court order of 04/11/2022 is clear that both Accused 2 &amp; 3 were acquitted on 04/11/2022 as their status is indicated as “Not guilty and discharged”; see page 9 of the typed record to this effect. Hence, when the Accused 1 appeared before me thereafter on 17/01/2023 there was only one Accused remaining on the charge sheet. As such, I am thus not the correct judicial officer to answer the query of the </w:t>
            </w:r>
            <w:proofErr w:type="spellStart"/>
            <w:r w:rsidR="00C807A0" w:rsidRPr="00F22F9D">
              <w:rPr>
                <w:rFonts w:ascii="Arial" w:eastAsia="Calibri" w:hAnsi="Arial" w:cs="Arial"/>
                <w:lang w:val="en-US"/>
              </w:rPr>
              <w:t>Honourable</w:t>
            </w:r>
            <w:proofErr w:type="spellEnd"/>
            <w:r w:rsidR="00C807A0" w:rsidRPr="00F22F9D">
              <w:rPr>
                <w:rFonts w:ascii="Arial" w:eastAsia="Calibri" w:hAnsi="Arial" w:cs="Arial"/>
                <w:lang w:val="en-US"/>
              </w:rPr>
              <w:t xml:space="preserve"> Reviewing Justice. </w:t>
            </w:r>
          </w:p>
          <w:p w:rsidR="00C807A0" w:rsidRPr="00F22F9D" w:rsidRDefault="00C807A0" w:rsidP="002631FB">
            <w:pPr>
              <w:tabs>
                <w:tab w:val="left" w:pos="851"/>
              </w:tabs>
              <w:spacing w:after="200" w:line="360" w:lineRule="auto"/>
              <w:jc w:val="both"/>
              <w:rPr>
                <w:rFonts w:ascii="Arial" w:eastAsia="Calibri" w:hAnsi="Arial" w:cs="Arial"/>
                <w:lang w:val="en-US"/>
              </w:rPr>
            </w:pPr>
            <w:r w:rsidRPr="00F22F9D">
              <w:rPr>
                <w:rFonts w:ascii="Arial" w:eastAsia="Calibri" w:hAnsi="Arial" w:cs="Arial"/>
                <w:lang w:val="en-US"/>
              </w:rPr>
              <w:t xml:space="preserve">I however retain that the conviction and sentence of Accused 1 before me, is in order as the State proved its case beyond doubt and </w:t>
            </w:r>
            <w:r w:rsidR="00F22F9D" w:rsidRPr="00F22F9D">
              <w:rPr>
                <w:rFonts w:ascii="Arial" w:eastAsia="Calibri" w:hAnsi="Arial" w:cs="Arial"/>
                <w:lang w:val="en-US"/>
              </w:rPr>
              <w:t xml:space="preserve">ought to thus stand. In the premise, I therefore return the original record for the esteemed consideration of the </w:t>
            </w:r>
            <w:proofErr w:type="spellStart"/>
            <w:r w:rsidR="00F22F9D" w:rsidRPr="00F22F9D">
              <w:rPr>
                <w:rFonts w:ascii="Arial" w:eastAsia="Calibri" w:hAnsi="Arial" w:cs="Arial"/>
                <w:lang w:val="en-US"/>
              </w:rPr>
              <w:t>Honourable</w:t>
            </w:r>
            <w:proofErr w:type="spellEnd"/>
            <w:r w:rsidR="00F22F9D" w:rsidRPr="00F22F9D">
              <w:rPr>
                <w:rFonts w:ascii="Arial" w:eastAsia="Calibri" w:hAnsi="Arial" w:cs="Arial"/>
                <w:lang w:val="en-US"/>
              </w:rPr>
              <w:t xml:space="preserve"> Reviewing Court and cannot assist any further in respect of Accused 2 and 3 who did not appear before me since their pleas on 04/11/2022.’</w:t>
            </w:r>
          </w:p>
          <w:p w:rsidR="001F49B0" w:rsidRDefault="0095148E"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We appreciate that the case was disposed of by two different magistrate</w:t>
            </w:r>
            <w:r w:rsidR="00866D8E">
              <w:rPr>
                <w:rFonts w:ascii="Arial" w:eastAsia="Calibri" w:hAnsi="Arial" w:cs="Arial"/>
                <w:sz w:val="24"/>
                <w:szCs w:val="24"/>
                <w:lang w:val="en-US"/>
              </w:rPr>
              <w:t>s</w:t>
            </w:r>
            <w:r>
              <w:rPr>
                <w:rFonts w:ascii="Arial" w:eastAsia="Calibri" w:hAnsi="Arial" w:cs="Arial"/>
                <w:sz w:val="24"/>
                <w:szCs w:val="24"/>
                <w:lang w:val="en-US"/>
              </w:rPr>
              <w:t xml:space="preserve">. Our understanding is that </w:t>
            </w:r>
            <w:r w:rsidR="007A0167">
              <w:rPr>
                <w:rFonts w:ascii="Arial" w:eastAsia="Calibri" w:hAnsi="Arial" w:cs="Arial"/>
                <w:sz w:val="24"/>
                <w:szCs w:val="24"/>
                <w:lang w:val="en-US"/>
              </w:rPr>
              <w:t>the magistrate</w:t>
            </w:r>
            <w:r>
              <w:rPr>
                <w:rFonts w:ascii="Arial" w:eastAsia="Calibri" w:hAnsi="Arial" w:cs="Arial"/>
                <w:sz w:val="24"/>
                <w:szCs w:val="24"/>
                <w:lang w:val="en-US"/>
              </w:rPr>
              <w:t xml:space="preserve"> </w:t>
            </w:r>
            <w:r w:rsidR="00866D8E">
              <w:rPr>
                <w:rFonts w:ascii="Arial" w:eastAsia="Calibri" w:hAnsi="Arial" w:cs="Arial"/>
                <w:sz w:val="24"/>
                <w:szCs w:val="24"/>
                <w:lang w:val="en-US"/>
              </w:rPr>
              <w:t>who submitted the matter for rev</w:t>
            </w:r>
            <w:r w:rsidR="007357EB">
              <w:rPr>
                <w:rFonts w:ascii="Arial" w:eastAsia="Calibri" w:hAnsi="Arial" w:cs="Arial"/>
                <w:sz w:val="24"/>
                <w:szCs w:val="24"/>
                <w:lang w:val="en-US"/>
              </w:rPr>
              <w:t>iew</w:t>
            </w:r>
            <w:r w:rsidR="00866D8E">
              <w:rPr>
                <w:rFonts w:ascii="Arial" w:eastAsia="Calibri" w:hAnsi="Arial" w:cs="Arial"/>
                <w:sz w:val="24"/>
                <w:szCs w:val="24"/>
                <w:lang w:val="en-US"/>
              </w:rPr>
              <w:t xml:space="preserve"> </w:t>
            </w:r>
            <w:r>
              <w:rPr>
                <w:rFonts w:ascii="Arial" w:eastAsia="Calibri" w:hAnsi="Arial" w:cs="Arial"/>
                <w:sz w:val="24"/>
                <w:szCs w:val="24"/>
                <w:lang w:val="en-US"/>
              </w:rPr>
              <w:t xml:space="preserve">is the head of the Magistrates Office at </w:t>
            </w:r>
            <w:proofErr w:type="spellStart"/>
            <w:r>
              <w:rPr>
                <w:rFonts w:ascii="Arial" w:eastAsia="Calibri" w:hAnsi="Arial" w:cs="Arial"/>
                <w:sz w:val="24"/>
                <w:szCs w:val="24"/>
                <w:lang w:val="en-US"/>
              </w:rPr>
              <w:t>Keetmanshoop</w:t>
            </w:r>
            <w:proofErr w:type="spellEnd"/>
            <w:r>
              <w:rPr>
                <w:rFonts w:ascii="Arial" w:eastAsia="Calibri" w:hAnsi="Arial" w:cs="Arial"/>
                <w:sz w:val="24"/>
                <w:szCs w:val="24"/>
                <w:lang w:val="en-US"/>
              </w:rPr>
              <w:t xml:space="preserve"> and that </w:t>
            </w:r>
            <w:r w:rsidR="007A0167">
              <w:rPr>
                <w:rFonts w:ascii="Arial" w:eastAsia="Calibri" w:hAnsi="Arial" w:cs="Arial"/>
                <w:sz w:val="24"/>
                <w:szCs w:val="24"/>
                <w:lang w:val="en-US"/>
              </w:rPr>
              <w:t>the first magistrate who dealt with the matter</w:t>
            </w:r>
            <w:r>
              <w:rPr>
                <w:rFonts w:ascii="Arial" w:eastAsia="Calibri" w:hAnsi="Arial" w:cs="Arial"/>
                <w:sz w:val="24"/>
                <w:szCs w:val="24"/>
                <w:lang w:val="en-US"/>
              </w:rPr>
              <w:t xml:space="preserve"> is under her supervision. The response from the magistrate</w:t>
            </w:r>
            <w:r w:rsidR="007A0167">
              <w:rPr>
                <w:rFonts w:ascii="Arial" w:eastAsia="Calibri" w:hAnsi="Arial" w:cs="Arial"/>
                <w:sz w:val="24"/>
                <w:szCs w:val="24"/>
                <w:lang w:val="en-US"/>
              </w:rPr>
              <w:t xml:space="preserve"> in these circumstances</w:t>
            </w:r>
            <w:r w:rsidR="00511110">
              <w:rPr>
                <w:rFonts w:ascii="Arial" w:eastAsia="Calibri" w:hAnsi="Arial" w:cs="Arial"/>
                <w:sz w:val="24"/>
                <w:szCs w:val="24"/>
                <w:lang w:val="en-US"/>
              </w:rPr>
              <w:t>,</w:t>
            </w:r>
            <w:r>
              <w:rPr>
                <w:rFonts w:ascii="Arial" w:eastAsia="Calibri" w:hAnsi="Arial" w:cs="Arial"/>
                <w:sz w:val="24"/>
                <w:szCs w:val="24"/>
                <w:lang w:val="en-US"/>
              </w:rPr>
              <w:t xml:space="preserve"> not to be the correct person to answer the query</w:t>
            </w:r>
            <w:r w:rsidR="00511110">
              <w:rPr>
                <w:rFonts w:ascii="Arial" w:eastAsia="Calibri" w:hAnsi="Arial" w:cs="Arial"/>
                <w:sz w:val="24"/>
                <w:szCs w:val="24"/>
                <w:lang w:val="en-US"/>
              </w:rPr>
              <w:t>,</w:t>
            </w:r>
            <w:r>
              <w:rPr>
                <w:rFonts w:ascii="Arial" w:eastAsia="Calibri" w:hAnsi="Arial" w:cs="Arial"/>
                <w:sz w:val="24"/>
                <w:szCs w:val="24"/>
                <w:lang w:val="en-US"/>
              </w:rPr>
              <w:t xml:space="preserve"> is unacceptable. Firstly, the matter was submitted by her for review and thus she must accept responsibility for it. Secondly, it is her responsibility to supervise</w:t>
            </w:r>
            <w:r w:rsidR="00511110">
              <w:rPr>
                <w:rFonts w:ascii="Arial" w:eastAsia="Calibri" w:hAnsi="Arial" w:cs="Arial"/>
                <w:sz w:val="24"/>
                <w:szCs w:val="24"/>
                <w:lang w:val="en-US"/>
              </w:rPr>
              <w:t>,</w:t>
            </w:r>
            <w:r w:rsidR="007A0167">
              <w:rPr>
                <w:rFonts w:ascii="Arial" w:eastAsia="Calibri" w:hAnsi="Arial" w:cs="Arial"/>
                <w:sz w:val="24"/>
                <w:szCs w:val="24"/>
                <w:lang w:val="en-US"/>
              </w:rPr>
              <w:t xml:space="preserve"> train</w:t>
            </w:r>
            <w:r>
              <w:rPr>
                <w:rFonts w:ascii="Arial" w:eastAsia="Calibri" w:hAnsi="Arial" w:cs="Arial"/>
                <w:sz w:val="24"/>
                <w:szCs w:val="24"/>
                <w:lang w:val="en-US"/>
              </w:rPr>
              <w:t xml:space="preserve"> magistrates under her supervision and point out irregularities</w:t>
            </w:r>
            <w:r w:rsidR="007357EB">
              <w:rPr>
                <w:rFonts w:ascii="Arial" w:eastAsia="Calibri" w:hAnsi="Arial" w:cs="Arial"/>
                <w:sz w:val="24"/>
                <w:szCs w:val="24"/>
                <w:lang w:val="en-US"/>
              </w:rPr>
              <w:t xml:space="preserve">; alternatively, </w:t>
            </w:r>
            <w:r>
              <w:rPr>
                <w:rFonts w:ascii="Arial" w:eastAsia="Calibri" w:hAnsi="Arial" w:cs="Arial"/>
                <w:sz w:val="24"/>
                <w:szCs w:val="24"/>
                <w:lang w:val="en-US"/>
              </w:rPr>
              <w:t xml:space="preserve">to direct the </w:t>
            </w:r>
            <w:r w:rsidR="00511110">
              <w:rPr>
                <w:rFonts w:ascii="Arial" w:eastAsia="Calibri" w:hAnsi="Arial" w:cs="Arial"/>
                <w:sz w:val="24"/>
                <w:szCs w:val="24"/>
                <w:lang w:val="en-US"/>
              </w:rPr>
              <w:t>query</w:t>
            </w:r>
            <w:r>
              <w:rPr>
                <w:rFonts w:ascii="Arial" w:eastAsia="Calibri" w:hAnsi="Arial" w:cs="Arial"/>
                <w:sz w:val="24"/>
                <w:szCs w:val="24"/>
                <w:lang w:val="en-US"/>
              </w:rPr>
              <w:t xml:space="preserve"> to the responsible m</w:t>
            </w:r>
            <w:r w:rsidR="00511110">
              <w:rPr>
                <w:rFonts w:ascii="Arial" w:eastAsia="Calibri" w:hAnsi="Arial" w:cs="Arial"/>
                <w:sz w:val="24"/>
                <w:szCs w:val="24"/>
                <w:lang w:val="en-US"/>
              </w:rPr>
              <w:t>agistrate under her supervision for an answer.</w:t>
            </w:r>
          </w:p>
          <w:p w:rsidR="00B80CA0" w:rsidRPr="00B80CA0" w:rsidRDefault="00866D8E" w:rsidP="001F49B0">
            <w:pPr>
              <w:numPr>
                <w:ilvl w:val="0"/>
                <w:numId w:val="1"/>
              </w:numPr>
              <w:tabs>
                <w:tab w:val="left" w:pos="851"/>
              </w:tabs>
              <w:spacing w:after="200" w:line="360" w:lineRule="auto"/>
              <w:ind w:left="0" w:hanging="14"/>
              <w:jc w:val="both"/>
              <w:rPr>
                <w:rFonts w:ascii="Arial" w:eastAsia="Calibri" w:hAnsi="Arial" w:cs="Arial"/>
                <w:color w:val="FF0000"/>
                <w:sz w:val="24"/>
                <w:szCs w:val="24"/>
                <w:lang w:val="en-US"/>
              </w:rPr>
            </w:pPr>
            <w:r>
              <w:rPr>
                <w:rFonts w:ascii="Arial" w:hAnsi="Arial" w:cs="Arial"/>
                <w:sz w:val="24"/>
                <w:szCs w:val="24"/>
              </w:rPr>
              <w:t xml:space="preserve">Be that is it may, </w:t>
            </w:r>
            <w:r w:rsidR="008B7D92">
              <w:rPr>
                <w:rFonts w:ascii="Arial" w:hAnsi="Arial" w:cs="Arial"/>
                <w:sz w:val="24"/>
                <w:szCs w:val="24"/>
              </w:rPr>
              <w:t xml:space="preserve">Magistrates` </w:t>
            </w:r>
            <w:r>
              <w:rPr>
                <w:rFonts w:ascii="Arial" w:hAnsi="Arial" w:cs="Arial"/>
                <w:sz w:val="24"/>
                <w:szCs w:val="24"/>
              </w:rPr>
              <w:t>C</w:t>
            </w:r>
            <w:r w:rsidR="008B7D92">
              <w:rPr>
                <w:rFonts w:ascii="Arial" w:hAnsi="Arial" w:cs="Arial"/>
                <w:sz w:val="24"/>
                <w:szCs w:val="24"/>
              </w:rPr>
              <w:t xml:space="preserve">ourts are courts of record. It is incumbent on a magistrate to keep proper record of what transpires in the </w:t>
            </w:r>
            <w:r w:rsidR="00811205">
              <w:rPr>
                <w:rFonts w:ascii="Arial" w:hAnsi="Arial" w:cs="Arial"/>
                <w:sz w:val="24"/>
                <w:szCs w:val="24"/>
              </w:rPr>
              <w:t xml:space="preserve">trial </w:t>
            </w:r>
            <w:r w:rsidR="008B7D92">
              <w:rPr>
                <w:rFonts w:ascii="Arial" w:hAnsi="Arial" w:cs="Arial"/>
                <w:sz w:val="24"/>
                <w:szCs w:val="24"/>
              </w:rPr>
              <w:t xml:space="preserve">court. In the absence of the </w:t>
            </w:r>
            <w:r w:rsidR="00023C4F">
              <w:rPr>
                <w:rFonts w:ascii="Arial" w:hAnsi="Arial" w:cs="Arial"/>
                <w:sz w:val="24"/>
                <w:szCs w:val="24"/>
              </w:rPr>
              <w:t>court record reflecting whether accused</w:t>
            </w:r>
            <w:r w:rsidR="003510D4">
              <w:rPr>
                <w:rFonts w:ascii="Arial" w:hAnsi="Arial" w:cs="Arial"/>
                <w:sz w:val="24"/>
                <w:szCs w:val="24"/>
              </w:rPr>
              <w:t xml:space="preserve"> 1 and 2 were acquitted</w:t>
            </w:r>
            <w:r w:rsidR="008B7D92">
              <w:rPr>
                <w:rFonts w:ascii="Arial" w:hAnsi="Arial" w:cs="Arial"/>
                <w:sz w:val="24"/>
                <w:szCs w:val="24"/>
              </w:rPr>
              <w:t xml:space="preserve">, the reviewing court is </w:t>
            </w:r>
            <w:r w:rsidR="008B7D92">
              <w:rPr>
                <w:rFonts w:ascii="Arial" w:hAnsi="Arial" w:cs="Arial"/>
                <w:sz w:val="24"/>
                <w:szCs w:val="24"/>
              </w:rPr>
              <w:lastRenderedPageBreak/>
              <w:t xml:space="preserve">unable to conclude that </w:t>
            </w:r>
            <w:r w:rsidR="003510D4">
              <w:rPr>
                <w:rFonts w:ascii="Arial" w:hAnsi="Arial" w:cs="Arial"/>
                <w:sz w:val="24"/>
                <w:szCs w:val="24"/>
              </w:rPr>
              <w:t xml:space="preserve">they were. </w:t>
            </w:r>
            <w:r>
              <w:rPr>
                <w:rFonts w:ascii="Arial" w:hAnsi="Arial" w:cs="Arial"/>
                <w:sz w:val="24"/>
                <w:szCs w:val="24"/>
              </w:rPr>
              <w:t>The case</w:t>
            </w:r>
            <w:r w:rsidR="003510D4">
              <w:rPr>
                <w:rFonts w:ascii="Arial" w:hAnsi="Arial" w:cs="Arial"/>
                <w:sz w:val="24"/>
                <w:szCs w:val="24"/>
              </w:rPr>
              <w:t xml:space="preserve"> can thus not be </w:t>
            </w:r>
            <w:r>
              <w:rPr>
                <w:rFonts w:ascii="Arial" w:hAnsi="Arial" w:cs="Arial"/>
                <w:sz w:val="24"/>
                <w:szCs w:val="24"/>
              </w:rPr>
              <w:t>certified to be</w:t>
            </w:r>
            <w:r w:rsidR="003510D4">
              <w:rPr>
                <w:rFonts w:ascii="Arial" w:hAnsi="Arial" w:cs="Arial"/>
                <w:sz w:val="24"/>
                <w:szCs w:val="24"/>
              </w:rPr>
              <w:t xml:space="preserve"> in accordance with justice.</w:t>
            </w:r>
            <w:r w:rsidR="00511110">
              <w:rPr>
                <w:rFonts w:ascii="Arial" w:hAnsi="Arial" w:cs="Arial"/>
                <w:sz w:val="24"/>
                <w:szCs w:val="24"/>
              </w:rPr>
              <w:t xml:space="preserve"> </w:t>
            </w:r>
          </w:p>
          <w:p w:rsidR="008B7D92" w:rsidRPr="00861609" w:rsidRDefault="00511110" w:rsidP="001F49B0">
            <w:pPr>
              <w:numPr>
                <w:ilvl w:val="0"/>
                <w:numId w:val="1"/>
              </w:numPr>
              <w:tabs>
                <w:tab w:val="left" w:pos="851"/>
              </w:tabs>
              <w:spacing w:after="200" w:line="360" w:lineRule="auto"/>
              <w:ind w:left="0" w:hanging="14"/>
              <w:jc w:val="both"/>
              <w:rPr>
                <w:rFonts w:ascii="Arial" w:eastAsia="Calibri" w:hAnsi="Arial" w:cs="Arial"/>
                <w:color w:val="FF0000"/>
                <w:sz w:val="24"/>
                <w:szCs w:val="24"/>
                <w:lang w:val="en-US"/>
              </w:rPr>
            </w:pPr>
            <w:r>
              <w:rPr>
                <w:rFonts w:ascii="Arial" w:hAnsi="Arial" w:cs="Arial"/>
                <w:sz w:val="24"/>
                <w:szCs w:val="24"/>
              </w:rPr>
              <w:t>In addition, the procedure followed by the magistrate</w:t>
            </w:r>
            <w:r w:rsidR="00B80CA0">
              <w:rPr>
                <w:rFonts w:ascii="Arial" w:hAnsi="Arial" w:cs="Arial"/>
                <w:sz w:val="24"/>
                <w:szCs w:val="24"/>
              </w:rPr>
              <w:t xml:space="preserve"> in relation to accused two and three</w:t>
            </w:r>
            <w:r>
              <w:rPr>
                <w:rFonts w:ascii="Arial" w:hAnsi="Arial" w:cs="Arial"/>
                <w:sz w:val="24"/>
                <w:szCs w:val="24"/>
              </w:rPr>
              <w:t xml:space="preserve"> is irregular.</w:t>
            </w:r>
            <w:r w:rsidR="003510D4">
              <w:rPr>
                <w:rFonts w:ascii="Arial" w:hAnsi="Arial" w:cs="Arial"/>
                <w:sz w:val="24"/>
                <w:szCs w:val="24"/>
              </w:rPr>
              <w:t xml:space="preserve"> </w:t>
            </w:r>
            <w:r w:rsidR="00B80CA0">
              <w:rPr>
                <w:rFonts w:ascii="Arial" w:hAnsi="Arial" w:cs="Arial"/>
                <w:sz w:val="24"/>
                <w:szCs w:val="24"/>
              </w:rPr>
              <w:t xml:space="preserve">As already alluded to, they were entitled to a verdict. The correct procedure is to have had their trial separated </w:t>
            </w:r>
            <w:r w:rsidR="008C1265">
              <w:rPr>
                <w:rFonts w:ascii="Arial" w:hAnsi="Arial" w:cs="Arial"/>
                <w:sz w:val="24"/>
                <w:szCs w:val="24"/>
              </w:rPr>
              <w:t>in terms of s 157 of the CPA on application by the public prosecutor</w:t>
            </w:r>
            <w:r w:rsidR="0022606F">
              <w:rPr>
                <w:rFonts w:ascii="Arial" w:hAnsi="Arial" w:cs="Arial"/>
                <w:sz w:val="24"/>
                <w:szCs w:val="24"/>
              </w:rPr>
              <w:t>,</w:t>
            </w:r>
            <w:r w:rsidR="008C1265">
              <w:rPr>
                <w:rFonts w:ascii="Arial" w:hAnsi="Arial" w:cs="Arial"/>
                <w:sz w:val="24"/>
                <w:szCs w:val="24"/>
              </w:rPr>
              <w:t xml:space="preserve"> alternatively to have tried them jointly with accused one after the entering of a plea of not guilt</w:t>
            </w:r>
            <w:r w:rsidR="009D7C5B">
              <w:rPr>
                <w:rFonts w:ascii="Arial" w:hAnsi="Arial" w:cs="Arial"/>
                <w:sz w:val="24"/>
                <w:szCs w:val="24"/>
              </w:rPr>
              <w:t>y in terms of s 113 of the CPA or for the prosecutor to have obtained consent from the PG to stop prosecution</w:t>
            </w:r>
            <w:r w:rsidR="0022606F">
              <w:rPr>
                <w:rFonts w:ascii="Arial" w:hAnsi="Arial" w:cs="Arial"/>
                <w:sz w:val="24"/>
                <w:szCs w:val="24"/>
              </w:rPr>
              <w:t>.</w:t>
            </w:r>
            <w:r w:rsidR="00B80CA0">
              <w:rPr>
                <w:rFonts w:ascii="Arial" w:hAnsi="Arial" w:cs="Arial"/>
                <w:sz w:val="24"/>
                <w:szCs w:val="24"/>
              </w:rPr>
              <w:t xml:space="preserve"> </w:t>
            </w:r>
          </w:p>
          <w:p w:rsidR="00287FFB" w:rsidRPr="008D6AE7" w:rsidRDefault="008C1265" w:rsidP="00287FFB">
            <w:pPr>
              <w:numPr>
                <w:ilvl w:val="0"/>
                <w:numId w:val="1"/>
              </w:numPr>
              <w:tabs>
                <w:tab w:val="left" w:pos="851"/>
              </w:tabs>
              <w:spacing w:after="200" w:line="360" w:lineRule="auto"/>
              <w:ind w:left="0" w:firstLine="0"/>
              <w:jc w:val="both"/>
              <w:rPr>
                <w:rFonts w:ascii="Arial" w:eastAsia="Calibri" w:hAnsi="Arial" w:cs="Arial"/>
                <w:sz w:val="24"/>
                <w:szCs w:val="24"/>
                <w:lang w:val="en-US"/>
              </w:rPr>
            </w:pPr>
            <w:r>
              <w:rPr>
                <w:rFonts w:ascii="Arial" w:hAnsi="Arial" w:cs="Arial"/>
                <w:sz w:val="24"/>
                <w:szCs w:val="24"/>
              </w:rPr>
              <w:t>The closing of the State’s case</w:t>
            </w:r>
            <w:r w:rsidR="009163B2">
              <w:rPr>
                <w:rFonts w:ascii="Arial" w:hAnsi="Arial" w:cs="Arial"/>
                <w:sz w:val="24"/>
                <w:szCs w:val="24"/>
              </w:rPr>
              <w:t>,</w:t>
            </w:r>
            <w:r>
              <w:rPr>
                <w:rFonts w:ascii="Arial" w:hAnsi="Arial" w:cs="Arial"/>
                <w:sz w:val="24"/>
                <w:szCs w:val="24"/>
              </w:rPr>
              <w:t xml:space="preserve"> after accused two and three pleaded and gave plea explanations</w:t>
            </w:r>
            <w:r w:rsidR="009163B2">
              <w:rPr>
                <w:rFonts w:ascii="Arial" w:hAnsi="Arial" w:cs="Arial"/>
                <w:sz w:val="24"/>
                <w:szCs w:val="24"/>
              </w:rPr>
              <w:t>,</w:t>
            </w:r>
            <w:r>
              <w:rPr>
                <w:rFonts w:ascii="Arial" w:hAnsi="Arial" w:cs="Arial"/>
                <w:sz w:val="24"/>
                <w:szCs w:val="24"/>
              </w:rPr>
              <w:t xml:space="preserve"> amounted to a stopping of prosecution</w:t>
            </w:r>
            <w:r w:rsidR="00287FFB" w:rsidRPr="003535EC">
              <w:rPr>
                <w:rFonts w:ascii="Arial" w:hAnsi="Arial" w:cs="Arial"/>
                <w:sz w:val="24"/>
                <w:szCs w:val="24"/>
              </w:rPr>
              <w:t xml:space="preserve">. </w:t>
            </w:r>
          </w:p>
          <w:p w:rsidR="008D6AE7" w:rsidRPr="008D6AE7" w:rsidRDefault="008C1265" w:rsidP="008D6AE7">
            <w:pPr>
              <w:numPr>
                <w:ilvl w:val="0"/>
                <w:numId w:val="1"/>
              </w:numPr>
              <w:tabs>
                <w:tab w:val="left" w:pos="851"/>
              </w:tabs>
              <w:spacing w:after="200" w:line="360" w:lineRule="auto"/>
              <w:ind w:left="0" w:firstLine="0"/>
              <w:jc w:val="both"/>
              <w:rPr>
                <w:rFonts w:ascii="Arial" w:eastAsia="Calibri" w:hAnsi="Arial" w:cs="Arial"/>
                <w:sz w:val="24"/>
                <w:szCs w:val="24"/>
                <w:lang w:val="en-US"/>
              </w:rPr>
            </w:pPr>
            <w:r>
              <w:rPr>
                <w:rFonts w:ascii="Arial" w:hAnsi="Arial" w:cs="Arial"/>
                <w:sz w:val="24"/>
                <w:szCs w:val="24"/>
              </w:rPr>
              <w:t>This court</w:t>
            </w:r>
            <w:r w:rsidR="00C91E2D">
              <w:rPr>
                <w:rFonts w:ascii="Arial" w:hAnsi="Arial" w:cs="Arial"/>
                <w:sz w:val="24"/>
                <w:szCs w:val="24"/>
              </w:rPr>
              <w:t xml:space="preserve"> in</w:t>
            </w:r>
            <w:r w:rsidR="008D6AE7" w:rsidRPr="008D6AE7">
              <w:rPr>
                <w:rFonts w:ascii="Arial" w:hAnsi="Arial" w:cs="Arial"/>
                <w:sz w:val="24"/>
                <w:szCs w:val="24"/>
              </w:rPr>
              <w:t xml:space="preserve"> </w:t>
            </w:r>
            <w:r w:rsidR="00C91E2D">
              <w:rPr>
                <w:rFonts w:ascii="Arial" w:hAnsi="Arial" w:cs="Arial"/>
                <w:i/>
                <w:sz w:val="24"/>
                <w:szCs w:val="24"/>
              </w:rPr>
              <w:t>S</w:t>
            </w:r>
            <w:r w:rsidR="008D6AE7" w:rsidRPr="008D6AE7">
              <w:rPr>
                <w:rFonts w:ascii="Arial" w:hAnsi="Arial" w:cs="Arial"/>
                <w:i/>
                <w:sz w:val="24"/>
                <w:szCs w:val="24"/>
              </w:rPr>
              <w:t xml:space="preserve"> v </w:t>
            </w:r>
            <w:proofErr w:type="spellStart"/>
            <w:r w:rsidR="008D6AE7" w:rsidRPr="008D6AE7">
              <w:rPr>
                <w:rFonts w:ascii="Arial" w:hAnsi="Arial" w:cs="Arial"/>
                <w:i/>
                <w:sz w:val="24"/>
                <w:szCs w:val="24"/>
              </w:rPr>
              <w:t>Ekandjo</w:t>
            </w:r>
            <w:proofErr w:type="spellEnd"/>
            <w:r w:rsidR="008D6AE7">
              <w:rPr>
                <w:rStyle w:val="FootnoteReference"/>
                <w:rFonts w:ascii="Arial" w:hAnsi="Arial" w:cs="Arial"/>
                <w:i/>
                <w:sz w:val="24"/>
                <w:szCs w:val="24"/>
              </w:rPr>
              <w:footnoteReference w:id="1"/>
            </w:r>
            <w:r w:rsidR="008D6AE7" w:rsidRPr="008D6AE7">
              <w:rPr>
                <w:rFonts w:ascii="Arial" w:hAnsi="Arial" w:cs="Arial"/>
                <w:i/>
                <w:sz w:val="24"/>
                <w:szCs w:val="24"/>
              </w:rPr>
              <w:t xml:space="preserve"> </w:t>
            </w:r>
            <w:r w:rsidR="008D6AE7">
              <w:rPr>
                <w:rFonts w:ascii="Arial" w:hAnsi="Arial" w:cs="Arial"/>
                <w:sz w:val="24"/>
                <w:szCs w:val="24"/>
              </w:rPr>
              <w:t xml:space="preserve">and endorsed by the court in </w:t>
            </w:r>
            <w:r w:rsidR="00C91E2D" w:rsidRPr="00C91E2D">
              <w:rPr>
                <w:rFonts w:ascii="Arial" w:hAnsi="Arial" w:cs="Arial"/>
                <w:i/>
                <w:sz w:val="24"/>
                <w:szCs w:val="24"/>
              </w:rPr>
              <w:t xml:space="preserve">S v </w:t>
            </w:r>
            <w:proofErr w:type="spellStart"/>
            <w:r w:rsidR="00C91E2D" w:rsidRPr="00C91E2D">
              <w:rPr>
                <w:rFonts w:ascii="Arial" w:hAnsi="Arial" w:cs="Arial"/>
                <w:i/>
                <w:sz w:val="24"/>
                <w:szCs w:val="24"/>
              </w:rPr>
              <w:t>Katemo</w:t>
            </w:r>
            <w:proofErr w:type="spellEnd"/>
            <w:r w:rsidR="00C91E2D">
              <w:rPr>
                <w:rStyle w:val="FootnoteReference"/>
                <w:rFonts w:ascii="Arial" w:hAnsi="Arial" w:cs="Arial"/>
                <w:sz w:val="24"/>
                <w:szCs w:val="24"/>
              </w:rPr>
              <w:footnoteReference w:id="2"/>
            </w:r>
            <w:r w:rsidR="00C91E2D">
              <w:rPr>
                <w:rFonts w:ascii="Arial" w:hAnsi="Arial" w:cs="Arial"/>
                <w:sz w:val="24"/>
                <w:szCs w:val="24"/>
              </w:rPr>
              <w:t xml:space="preserve"> </w:t>
            </w:r>
            <w:r w:rsidR="00705FEE">
              <w:rPr>
                <w:rFonts w:ascii="Arial" w:hAnsi="Arial" w:cs="Arial"/>
                <w:sz w:val="24"/>
                <w:szCs w:val="24"/>
              </w:rPr>
              <w:t xml:space="preserve">held </w:t>
            </w:r>
            <w:r w:rsidR="00C91E2D">
              <w:rPr>
                <w:rFonts w:ascii="Arial" w:hAnsi="Arial" w:cs="Arial"/>
                <w:sz w:val="24"/>
                <w:szCs w:val="24"/>
              </w:rPr>
              <w:t>that</w:t>
            </w:r>
            <w:r w:rsidR="008D6AE7" w:rsidRPr="008D6AE7">
              <w:rPr>
                <w:rFonts w:ascii="Arial" w:hAnsi="Arial" w:cs="Arial"/>
                <w:sz w:val="24"/>
                <w:szCs w:val="24"/>
              </w:rPr>
              <w:t>:</w:t>
            </w:r>
          </w:p>
          <w:p w:rsidR="00C91E2D" w:rsidRPr="00E21CEC" w:rsidRDefault="008D6AE7" w:rsidP="00C91E2D">
            <w:pPr>
              <w:spacing w:line="360" w:lineRule="auto"/>
              <w:jc w:val="both"/>
              <w:rPr>
                <w:rFonts w:ascii="Arial" w:hAnsi="Arial" w:cs="Arial"/>
                <w:lang w:val="en-US"/>
              </w:rPr>
            </w:pPr>
            <w:r w:rsidRPr="008D6AE7">
              <w:rPr>
                <w:rFonts w:ascii="Arial" w:hAnsi="Arial" w:cs="Arial"/>
                <w:sz w:val="24"/>
                <w:szCs w:val="24"/>
              </w:rPr>
              <w:tab/>
            </w:r>
            <w:r w:rsidR="00C91E2D" w:rsidRPr="00D01AC8">
              <w:rPr>
                <w:rFonts w:ascii="Arial" w:hAnsi="Arial" w:cs="Arial"/>
                <w:lang w:val="en-US"/>
              </w:rPr>
              <w:t xml:space="preserve">‘It is clear from s. 6 (b) of the Act that when an accused had pleaded, the proceedings may only be stopped if the Prosecutor-General or any person, authorized thereto by the Prosecutor-General has consented thereto. Once an accused has pleaded, the prosecutor no longer has control over the case and the Court then takes control. The only way to take the case out of the court’s hands is for the Prosecutor-General to act in terms of s. 6 (b) thereby terminating (“stopping”) the prosecution. The accused is then entitled to be acquitted. Where the prosecutor no longer wishes to proceed with a charge against the </w:t>
            </w:r>
            <w:proofErr w:type="gramStart"/>
            <w:r w:rsidR="00C91E2D" w:rsidRPr="00D01AC8">
              <w:rPr>
                <w:rFonts w:ascii="Arial" w:hAnsi="Arial" w:cs="Arial"/>
                <w:lang w:val="en-US"/>
              </w:rPr>
              <w:t xml:space="preserve">accused </w:t>
            </w:r>
            <w:r w:rsidR="0022606F">
              <w:rPr>
                <w:rFonts w:ascii="Arial" w:hAnsi="Arial" w:cs="Arial"/>
                <w:lang w:val="en-US"/>
              </w:rPr>
              <w:t xml:space="preserve"> it</w:t>
            </w:r>
            <w:proofErr w:type="gramEnd"/>
            <w:r w:rsidR="0022606F">
              <w:rPr>
                <w:rFonts w:ascii="Arial" w:hAnsi="Arial" w:cs="Arial"/>
                <w:lang w:val="en-US"/>
              </w:rPr>
              <w:t xml:space="preserve"> </w:t>
            </w:r>
            <w:r w:rsidR="00C91E2D" w:rsidRPr="00D01AC8">
              <w:rPr>
                <w:rFonts w:ascii="Arial" w:hAnsi="Arial" w:cs="Arial"/>
                <w:lang w:val="en-US"/>
              </w:rPr>
              <w:t xml:space="preserve">is incumbent upon the magistrate to enquire of the prosecutor whether the Prosecutor-General has consented thereto because without such consent the stopping is void. </w:t>
            </w:r>
            <w:r w:rsidR="00C91E2D">
              <w:rPr>
                <w:rFonts w:ascii="Arial" w:hAnsi="Arial" w:cs="Arial"/>
              </w:rPr>
              <w:t xml:space="preserve">The unauthorised stopping of prosecution would amount to a nullity </w:t>
            </w:r>
            <w:r w:rsidR="00C91E2D" w:rsidRPr="00D01AC8">
              <w:rPr>
                <w:rFonts w:ascii="Arial" w:hAnsi="Arial" w:cs="Arial"/>
                <w:lang w:val="en-US"/>
              </w:rPr>
              <w:t>(</w:t>
            </w:r>
            <w:r w:rsidR="00C91E2D" w:rsidRPr="00D01AC8">
              <w:rPr>
                <w:rFonts w:ascii="Arial" w:hAnsi="Arial" w:cs="Arial"/>
                <w:i/>
                <w:lang w:val="en-US"/>
              </w:rPr>
              <w:t xml:space="preserve">S v van </w:t>
            </w:r>
            <w:proofErr w:type="spellStart"/>
            <w:r w:rsidR="00C91E2D" w:rsidRPr="00D01AC8">
              <w:rPr>
                <w:rFonts w:ascii="Arial" w:hAnsi="Arial" w:cs="Arial"/>
                <w:i/>
                <w:lang w:val="en-US"/>
              </w:rPr>
              <w:t>Niekerk</w:t>
            </w:r>
            <w:proofErr w:type="spellEnd"/>
            <w:r w:rsidR="00C91E2D" w:rsidRPr="00D01AC8">
              <w:rPr>
                <w:rFonts w:ascii="Arial" w:hAnsi="Arial" w:cs="Arial"/>
                <w:b/>
                <w:lang w:val="en-US"/>
              </w:rPr>
              <w:t xml:space="preserve"> </w:t>
            </w:r>
            <w:r w:rsidR="00C91E2D" w:rsidRPr="00D01AC8">
              <w:rPr>
                <w:rFonts w:ascii="Arial" w:hAnsi="Arial" w:cs="Arial"/>
                <w:lang w:val="en-US"/>
              </w:rPr>
              <w:t xml:space="preserve">1985 (4) SA 550 (BG); </w:t>
            </w:r>
            <w:r w:rsidR="00C91E2D" w:rsidRPr="00D01AC8">
              <w:rPr>
                <w:rFonts w:ascii="Arial" w:hAnsi="Arial" w:cs="Arial"/>
                <w:i/>
                <w:lang w:val="en-US"/>
              </w:rPr>
              <w:t xml:space="preserve">du </w:t>
            </w:r>
            <w:proofErr w:type="spellStart"/>
            <w:r w:rsidR="00C91E2D" w:rsidRPr="00D01AC8">
              <w:rPr>
                <w:rFonts w:ascii="Arial" w:hAnsi="Arial" w:cs="Arial"/>
                <w:i/>
                <w:lang w:val="en-US"/>
              </w:rPr>
              <w:t>Toit</w:t>
            </w:r>
            <w:proofErr w:type="spellEnd"/>
            <w:r w:rsidR="00C91E2D" w:rsidRPr="00D01AC8">
              <w:rPr>
                <w:rFonts w:ascii="Arial" w:hAnsi="Arial" w:cs="Arial"/>
                <w:lang w:val="en-US"/>
              </w:rPr>
              <w:t xml:space="preserve"> et al. Commentary on the Criminal Procedure Act at 1-5.’</w:t>
            </w:r>
          </w:p>
          <w:p w:rsidR="001F49B0" w:rsidRPr="00AC638E" w:rsidRDefault="00C91E2D" w:rsidP="00AC638E">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In view of the above, the </w:t>
            </w:r>
            <w:r w:rsidR="009163B2">
              <w:rPr>
                <w:rFonts w:ascii="Arial" w:eastAsia="Calibri" w:hAnsi="Arial" w:cs="Arial"/>
                <w:sz w:val="24"/>
                <w:szCs w:val="24"/>
                <w:lang w:val="en-US"/>
              </w:rPr>
              <w:t xml:space="preserve">ostensible </w:t>
            </w:r>
            <w:r>
              <w:rPr>
                <w:rFonts w:ascii="Arial" w:eastAsia="Calibri" w:hAnsi="Arial" w:cs="Arial"/>
                <w:sz w:val="24"/>
                <w:szCs w:val="24"/>
                <w:lang w:val="en-US"/>
              </w:rPr>
              <w:t>acquittal of accused 2 and 3 was a nul</w:t>
            </w:r>
            <w:r w:rsidR="008C1265">
              <w:rPr>
                <w:rFonts w:ascii="Arial" w:eastAsia="Calibri" w:hAnsi="Arial" w:cs="Arial"/>
                <w:sz w:val="24"/>
                <w:szCs w:val="24"/>
                <w:lang w:val="en-US"/>
              </w:rPr>
              <w:t>lity and the prosecutor had</w:t>
            </w:r>
            <w:r>
              <w:rPr>
                <w:rFonts w:ascii="Arial" w:eastAsia="Calibri" w:hAnsi="Arial" w:cs="Arial"/>
                <w:sz w:val="24"/>
                <w:szCs w:val="24"/>
                <w:lang w:val="en-US"/>
              </w:rPr>
              <w:t xml:space="preserve"> to either obtain the consent of the Prosecutor</w:t>
            </w:r>
            <w:r w:rsidR="008C1265">
              <w:rPr>
                <w:rFonts w:ascii="Arial" w:eastAsia="Calibri" w:hAnsi="Arial" w:cs="Arial"/>
                <w:sz w:val="24"/>
                <w:szCs w:val="24"/>
                <w:lang w:val="en-US"/>
              </w:rPr>
              <w:t xml:space="preserve"> </w:t>
            </w:r>
            <w:r>
              <w:rPr>
                <w:rFonts w:ascii="Arial" w:eastAsia="Calibri" w:hAnsi="Arial" w:cs="Arial"/>
                <w:sz w:val="24"/>
                <w:szCs w:val="24"/>
                <w:lang w:val="en-US"/>
              </w:rPr>
              <w:t>- General to stop the prosecution against accused 2 and 3 or proceed</w:t>
            </w:r>
            <w:r w:rsidR="008C1265">
              <w:rPr>
                <w:rFonts w:ascii="Arial" w:eastAsia="Calibri" w:hAnsi="Arial" w:cs="Arial"/>
                <w:sz w:val="24"/>
                <w:szCs w:val="24"/>
                <w:lang w:val="en-US"/>
              </w:rPr>
              <w:t>ed</w:t>
            </w:r>
            <w:r>
              <w:rPr>
                <w:rFonts w:ascii="Arial" w:eastAsia="Calibri" w:hAnsi="Arial" w:cs="Arial"/>
                <w:sz w:val="24"/>
                <w:szCs w:val="24"/>
                <w:lang w:val="en-US"/>
              </w:rPr>
              <w:t xml:space="preserve"> to lead evidence on the count charged. </w:t>
            </w:r>
          </w:p>
          <w:p w:rsidR="001F49B0" w:rsidRDefault="001F49B0" w:rsidP="001F49B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lastRenderedPageBreak/>
              <w:t>In the result, it is ordered:</w:t>
            </w:r>
          </w:p>
          <w:p w:rsidR="009163B2" w:rsidRPr="009163B2" w:rsidRDefault="009163B2" w:rsidP="009163B2">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1.   </w:t>
            </w:r>
            <w:r w:rsidR="00AC638E" w:rsidRPr="009163B2">
              <w:rPr>
                <w:rFonts w:ascii="Arial" w:hAnsi="Arial" w:cs="Arial"/>
                <w:sz w:val="24"/>
                <w:szCs w:val="24"/>
              </w:rPr>
              <w:t>The conviction and sentence of accused 1 is confirmed.</w:t>
            </w:r>
          </w:p>
          <w:p w:rsidR="00AC638E" w:rsidRPr="009163B2" w:rsidRDefault="009163B2" w:rsidP="009163B2">
            <w:pPr>
              <w:tabs>
                <w:tab w:val="left" w:pos="851"/>
              </w:tabs>
              <w:spacing w:after="200" w:line="360" w:lineRule="auto"/>
              <w:ind w:left="1242" w:hanging="1242"/>
              <w:jc w:val="both"/>
              <w:rPr>
                <w:rFonts w:ascii="Arial" w:eastAsia="Calibri" w:hAnsi="Arial" w:cs="Arial"/>
                <w:sz w:val="24"/>
                <w:szCs w:val="24"/>
                <w:lang w:val="en-US"/>
              </w:rPr>
            </w:pPr>
            <w:r>
              <w:rPr>
                <w:rFonts w:ascii="Arial" w:hAnsi="Arial" w:cs="Arial"/>
                <w:sz w:val="24"/>
                <w:szCs w:val="24"/>
              </w:rPr>
              <w:t xml:space="preserve">             2.   </w:t>
            </w:r>
            <w:r w:rsidR="00AC638E" w:rsidRPr="009163B2">
              <w:rPr>
                <w:rFonts w:ascii="Arial" w:hAnsi="Arial" w:cs="Arial"/>
                <w:sz w:val="24"/>
                <w:szCs w:val="24"/>
              </w:rPr>
              <w:t>The closing of the state`s case in respect of accused 2 and 3 is set aside and the matter is remitted to the trial court with directions to proceed to trial in respect of accused 2 and 3 in the event that the prosecutor is unable to</w:t>
            </w:r>
            <w:r w:rsidR="0022606F">
              <w:rPr>
                <w:rFonts w:ascii="Arial" w:hAnsi="Arial" w:cs="Arial"/>
                <w:sz w:val="24"/>
                <w:szCs w:val="24"/>
              </w:rPr>
              <w:t xml:space="preserve"> obtain authorisation from the Prosecutor-G</w:t>
            </w:r>
            <w:r w:rsidR="00AC638E" w:rsidRPr="009163B2">
              <w:rPr>
                <w:rFonts w:ascii="Arial" w:hAnsi="Arial" w:cs="Arial"/>
                <w:sz w:val="24"/>
                <w:szCs w:val="24"/>
              </w:rPr>
              <w:t>e</w:t>
            </w:r>
            <w:r w:rsidR="00705FEE" w:rsidRPr="009163B2">
              <w:rPr>
                <w:rFonts w:ascii="Arial" w:hAnsi="Arial" w:cs="Arial"/>
                <w:sz w:val="24"/>
                <w:szCs w:val="24"/>
              </w:rPr>
              <w:t xml:space="preserve">neral </w:t>
            </w:r>
            <w:r w:rsidR="00AC638E" w:rsidRPr="009163B2">
              <w:rPr>
                <w:rFonts w:ascii="Arial" w:hAnsi="Arial" w:cs="Arial"/>
                <w:sz w:val="24"/>
                <w:szCs w:val="24"/>
              </w:rPr>
              <w:t xml:space="preserve">to stop prosecution. </w:t>
            </w:r>
          </w:p>
        </w:tc>
      </w:tr>
      <w:tr w:rsidR="001F49B0" w:rsidRPr="001B0FDD" w:rsidTr="005937FC">
        <w:tc>
          <w:tcPr>
            <w:tcW w:w="4770" w:type="dxa"/>
          </w:tcPr>
          <w:p w:rsidR="001F49B0" w:rsidRPr="0089156F" w:rsidRDefault="001F49B0" w:rsidP="002E2D57">
            <w:pPr>
              <w:spacing w:line="360" w:lineRule="auto"/>
              <w:jc w:val="center"/>
              <w:rPr>
                <w:rFonts w:ascii="Arial" w:hAnsi="Arial" w:cs="Arial"/>
                <w:b/>
                <w:sz w:val="24"/>
                <w:szCs w:val="24"/>
              </w:rPr>
            </w:pPr>
          </w:p>
        </w:tc>
        <w:tc>
          <w:tcPr>
            <w:tcW w:w="5153" w:type="dxa"/>
            <w:gridSpan w:val="2"/>
          </w:tcPr>
          <w:p w:rsidR="001F49B0" w:rsidRPr="0089156F" w:rsidRDefault="001F49B0" w:rsidP="002E2D57">
            <w:pPr>
              <w:spacing w:line="360" w:lineRule="auto"/>
              <w:jc w:val="center"/>
              <w:rPr>
                <w:rFonts w:ascii="Arial" w:hAnsi="Arial" w:cs="Arial"/>
                <w:b/>
                <w:sz w:val="24"/>
                <w:szCs w:val="24"/>
              </w:rPr>
            </w:pPr>
          </w:p>
          <w:p w:rsidR="001F49B0" w:rsidRPr="0089156F" w:rsidRDefault="001F49B0" w:rsidP="002E2D57">
            <w:pPr>
              <w:spacing w:line="360" w:lineRule="auto"/>
              <w:jc w:val="center"/>
              <w:rPr>
                <w:rFonts w:ascii="Arial" w:hAnsi="Arial" w:cs="Arial"/>
                <w:b/>
                <w:sz w:val="24"/>
                <w:szCs w:val="24"/>
              </w:rPr>
            </w:pPr>
          </w:p>
        </w:tc>
      </w:tr>
      <w:tr w:rsidR="001F49B0" w:rsidRPr="001B0FDD" w:rsidTr="005937FC">
        <w:trPr>
          <w:trHeight w:val="827"/>
        </w:trPr>
        <w:tc>
          <w:tcPr>
            <w:tcW w:w="4770" w:type="dxa"/>
          </w:tcPr>
          <w:p w:rsidR="001F49B0" w:rsidRDefault="00E21CEC" w:rsidP="002E2D57">
            <w:pPr>
              <w:spacing w:line="360" w:lineRule="auto"/>
              <w:jc w:val="center"/>
              <w:rPr>
                <w:rFonts w:ascii="Arial" w:hAnsi="Arial" w:cs="Arial"/>
                <w:b/>
                <w:sz w:val="24"/>
                <w:szCs w:val="24"/>
              </w:rPr>
            </w:pPr>
            <w:r>
              <w:rPr>
                <w:rFonts w:ascii="Arial" w:hAnsi="Arial" w:cs="Arial"/>
                <w:b/>
                <w:sz w:val="24"/>
                <w:szCs w:val="24"/>
              </w:rPr>
              <w:t>H C JANUARY</w:t>
            </w:r>
          </w:p>
          <w:p w:rsidR="001F49B0" w:rsidRPr="0089156F" w:rsidRDefault="001F49B0" w:rsidP="002E2D57">
            <w:pPr>
              <w:spacing w:line="360" w:lineRule="auto"/>
              <w:jc w:val="center"/>
              <w:rPr>
                <w:rFonts w:ascii="Arial" w:hAnsi="Arial" w:cs="Arial"/>
                <w:b/>
                <w:sz w:val="24"/>
                <w:szCs w:val="24"/>
              </w:rPr>
            </w:pPr>
            <w:r w:rsidRPr="0089156F">
              <w:rPr>
                <w:rFonts w:ascii="Arial" w:hAnsi="Arial" w:cs="Arial"/>
                <w:b/>
                <w:sz w:val="24"/>
                <w:szCs w:val="24"/>
              </w:rPr>
              <w:t>JUDGE</w:t>
            </w:r>
          </w:p>
        </w:tc>
        <w:tc>
          <w:tcPr>
            <w:tcW w:w="5153" w:type="dxa"/>
            <w:gridSpan w:val="2"/>
          </w:tcPr>
          <w:p w:rsidR="001F49B0" w:rsidRDefault="0022606F" w:rsidP="002E2D57">
            <w:pPr>
              <w:spacing w:line="360" w:lineRule="auto"/>
              <w:jc w:val="center"/>
              <w:rPr>
                <w:rFonts w:ascii="Arial" w:hAnsi="Arial" w:cs="Arial"/>
                <w:b/>
                <w:sz w:val="24"/>
                <w:szCs w:val="24"/>
              </w:rPr>
            </w:pPr>
            <w:r>
              <w:rPr>
                <w:rFonts w:ascii="Arial" w:hAnsi="Arial" w:cs="Arial"/>
                <w:b/>
                <w:sz w:val="24"/>
                <w:szCs w:val="24"/>
              </w:rPr>
              <w:t>J C LIEBENBERG</w:t>
            </w:r>
          </w:p>
          <w:p w:rsidR="001F49B0" w:rsidRPr="0089156F" w:rsidRDefault="001F49B0" w:rsidP="002E2D57">
            <w:pPr>
              <w:spacing w:line="360" w:lineRule="auto"/>
              <w:jc w:val="center"/>
              <w:rPr>
                <w:rFonts w:ascii="Arial" w:hAnsi="Arial" w:cs="Arial"/>
                <w:b/>
                <w:sz w:val="24"/>
                <w:szCs w:val="24"/>
              </w:rPr>
            </w:pPr>
            <w:r w:rsidRPr="0089156F">
              <w:rPr>
                <w:rFonts w:ascii="Arial" w:hAnsi="Arial" w:cs="Arial"/>
                <w:b/>
                <w:sz w:val="24"/>
                <w:szCs w:val="24"/>
              </w:rPr>
              <w:t>JUDGE</w:t>
            </w:r>
          </w:p>
        </w:tc>
      </w:tr>
    </w:tbl>
    <w:p w:rsidR="001F49B0" w:rsidRDefault="001F49B0" w:rsidP="001F49B0"/>
    <w:p w:rsidR="006E1BCD" w:rsidRDefault="004F7777"/>
    <w:sectPr w:rsidR="006E1BCD" w:rsidSect="001E236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77" w:rsidRDefault="004F7777" w:rsidP="001F49B0">
      <w:pPr>
        <w:spacing w:after="0" w:line="240" w:lineRule="auto"/>
      </w:pPr>
      <w:r>
        <w:separator/>
      </w:r>
    </w:p>
  </w:endnote>
  <w:endnote w:type="continuationSeparator" w:id="0">
    <w:p w:rsidR="004F7777" w:rsidRDefault="004F7777" w:rsidP="001F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77" w:rsidRDefault="004F7777" w:rsidP="001F49B0">
      <w:pPr>
        <w:spacing w:after="0" w:line="240" w:lineRule="auto"/>
      </w:pPr>
      <w:r>
        <w:separator/>
      </w:r>
    </w:p>
  </w:footnote>
  <w:footnote w:type="continuationSeparator" w:id="0">
    <w:p w:rsidR="004F7777" w:rsidRDefault="004F7777" w:rsidP="001F49B0">
      <w:pPr>
        <w:spacing w:after="0" w:line="240" w:lineRule="auto"/>
      </w:pPr>
      <w:r>
        <w:continuationSeparator/>
      </w:r>
    </w:p>
  </w:footnote>
  <w:footnote w:id="1">
    <w:p w:rsidR="008D6AE7" w:rsidRDefault="008D6AE7">
      <w:pPr>
        <w:pStyle w:val="FootnoteText"/>
      </w:pPr>
      <w:r>
        <w:rPr>
          <w:rStyle w:val="FootnoteReference"/>
        </w:rPr>
        <w:footnoteRef/>
      </w:r>
      <w:r>
        <w:t xml:space="preserve"> </w:t>
      </w:r>
      <w:r w:rsidRPr="00B246D2">
        <w:rPr>
          <w:rFonts w:ascii="Arial" w:hAnsi="Arial" w:cs="Arial"/>
          <w:i/>
        </w:rPr>
        <w:t xml:space="preserve">S v </w:t>
      </w:r>
      <w:proofErr w:type="spellStart"/>
      <w:r w:rsidRPr="00B246D2">
        <w:rPr>
          <w:rFonts w:ascii="Arial" w:hAnsi="Arial" w:cs="Arial"/>
          <w:i/>
        </w:rPr>
        <w:t>Ekandjo</w:t>
      </w:r>
      <w:proofErr w:type="spellEnd"/>
      <w:r w:rsidRPr="00B246D2">
        <w:rPr>
          <w:rFonts w:ascii="Arial" w:hAnsi="Arial" w:cs="Arial"/>
          <w:i/>
        </w:rPr>
        <w:t xml:space="preserve"> </w:t>
      </w:r>
      <w:r w:rsidRPr="00B246D2">
        <w:rPr>
          <w:rFonts w:ascii="Arial" w:hAnsi="Arial" w:cs="Arial"/>
        </w:rPr>
        <w:t>CR 04/2010, not reported.</w:t>
      </w:r>
    </w:p>
  </w:footnote>
  <w:footnote w:id="2">
    <w:p w:rsidR="00C91E2D" w:rsidRPr="00B73C6C" w:rsidRDefault="00C91E2D" w:rsidP="00C91E2D">
      <w:pPr>
        <w:jc w:val="both"/>
        <w:rPr>
          <w:rFonts w:ascii="Arial" w:hAnsi="Arial" w:cs="Arial"/>
          <w:lang w:val="en-ZA"/>
        </w:rPr>
      </w:pPr>
      <w:r>
        <w:rPr>
          <w:rStyle w:val="FootnoteReference"/>
        </w:rPr>
        <w:footnoteRef/>
      </w:r>
      <w:r>
        <w:t xml:space="preserve"> </w:t>
      </w:r>
      <w:r>
        <w:rPr>
          <w:rFonts w:ascii="Arial" w:hAnsi="Arial" w:cs="Arial"/>
          <w:i/>
          <w:lang w:val="en-ZA"/>
        </w:rPr>
        <w:t xml:space="preserve">S v </w:t>
      </w:r>
      <w:proofErr w:type="spellStart"/>
      <w:r>
        <w:rPr>
          <w:rFonts w:ascii="Arial" w:hAnsi="Arial" w:cs="Arial"/>
          <w:i/>
          <w:lang w:val="en-ZA"/>
        </w:rPr>
        <w:t>Katemo</w:t>
      </w:r>
      <w:proofErr w:type="spellEnd"/>
      <w:r w:rsidRPr="00B73C6C">
        <w:rPr>
          <w:rFonts w:ascii="Arial" w:hAnsi="Arial" w:cs="Arial"/>
          <w:i/>
          <w:lang w:val="en-ZA"/>
        </w:rPr>
        <w:t xml:space="preserve"> </w:t>
      </w:r>
      <w:r>
        <w:rPr>
          <w:rFonts w:ascii="Arial" w:hAnsi="Arial" w:cs="Arial"/>
          <w:lang w:val="en-ZA"/>
        </w:rPr>
        <w:t>(CR 33/2014) [2014</w:t>
      </w:r>
      <w:r w:rsidRPr="00B73C6C">
        <w:rPr>
          <w:rFonts w:ascii="Arial" w:hAnsi="Arial" w:cs="Arial"/>
          <w:lang w:val="en-ZA"/>
        </w:rPr>
        <w:t>] NAHC</w:t>
      </w:r>
      <w:r>
        <w:rPr>
          <w:rFonts w:ascii="Arial" w:hAnsi="Arial" w:cs="Arial"/>
          <w:lang w:val="en-ZA"/>
        </w:rPr>
        <w:t>MD 205 (3 July 2014</w:t>
      </w:r>
      <w:r w:rsidRPr="00B73C6C">
        <w:rPr>
          <w:rFonts w:ascii="Arial" w:hAnsi="Arial" w:cs="Arial"/>
          <w:lang w:val="en-ZA"/>
        </w:rPr>
        <w:t>)</w:t>
      </w:r>
      <w:r>
        <w:rPr>
          <w:rFonts w:ascii="Arial" w:hAnsi="Arial" w:cs="Arial"/>
          <w:lang w:val="en-ZA"/>
        </w:rPr>
        <w:t>.</w:t>
      </w:r>
    </w:p>
    <w:p w:rsidR="00C91E2D" w:rsidRDefault="00C91E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32365"/>
      <w:docPartObj>
        <w:docPartGallery w:val="Page Numbers (Top of Page)"/>
        <w:docPartUnique/>
      </w:docPartObj>
    </w:sdtPr>
    <w:sdtEndPr>
      <w:rPr>
        <w:noProof/>
      </w:rPr>
    </w:sdtEndPr>
    <w:sdtContent>
      <w:p w:rsidR="001E2361" w:rsidRDefault="00973635">
        <w:pPr>
          <w:pStyle w:val="Header"/>
          <w:jc w:val="right"/>
        </w:pPr>
        <w:r>
          <w:fldChar w:fldCharType="begin"/>
        </w:r>
        <w:r>
          <w:instrText xml:space="preserve"> PAGE   \* MERGEFORMAT </w:instrText>
        </w:r>
        <w:r>
          <w:fldChar w:fldCharType="separate"/>
        </w:r>
        <w:r w:rsidR="000E1CE1">
          <w:rPr>
            <w:noProof/>
          </w:rPr>
          <w:t>6</w:t>
        </w:r>
        <w:r>
          <w:rPr>
            <w:noProof/>
          </w:rPr>
          <w:fldChar w:fldCharType="end"/>
        </w:r>
      </w:p>
    </w:sdtContent>
  </w:sdt>
  <w:p w:rsidR="001E2361" w:rsidRDefault="004F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2B"/>
    <w:multiLevelType w:val="hybridMultilevel"/>
    <w:tmpl w:val="88DE3F2C"/>
    <w:lvl w:ilvl="0" w:tplc="FDE4B24A">
      <w:start w:val="1"/>
      <w:numFmt w:val="decimal"/>
      <w:lvlText w:val="[%1]"/>
      <w:lvlJc w:val="left"/>
      <w:pPr>
        <w:ind w:left="562" w:hanging="360"/>
      </w:pPr>
      <w:rPr>
        <w:rFonts w:ascii="Arial" w:hAnsi="Arial" w:cs="Arial" w:hint="default"/>
        <w:b w:val="0"/>
        <w:i w:val="0"/>
        <w:color w:val="auto"/>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abstractNum w:abstractNumId="1">
    <w:nsid w:val="27B054E3"/>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AB70C4C"/>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B0"/>
    <w:rsid w:val="000201D7"/>
    <w:rsid w:val="00023C4F"/>
    <w:rsid w:val="00057B16"/>
    <w:rsid w:val="00081F20"/>
    <w:rsid w:val="000E1CE1"/>
    <w:rsid w:val="00126760"/>
    <w:rsid w:val="00167797"/>
    <w:rsid w:val="001F49B0"/>
    <w:rsid w:val="002111F8"/>
    <w:rsid w:val="002231ED"/>
    <w:rsid w:val="0022606F"/>
    <w:rsid w:val="00233D40"/>
    <w:rsid w:val="002631FB"/>
    <w:rsid w:val="00287FFB"/>
    <w:rsid w:val="003510D4"/>
    <w:rsid w:val="003535EC"/>
    <w:rsid w:val="003B6FC7"/>
    <w:rsid w:val="00447ED7"/>
    <w:rsid w:val="004F7777"/>
    <w:rsid w:val="00510A0C"/>
    <w:rsid w:val="00511110"/>
    <w:rsid w:val="005937FC"/>
    <w:rsid w:val="00603A12"/>
    <w:rsid w:val="00647493"/>
    <w:rsid w:val="0066023D"/>
    <w:rsid w:val="006A3091"/>
    <w:rsid w:val="00705FEE"/>
    <w:rsid w:val="007357EB"/>
    <w:rsid w:val="0074533E"/>
    <w:rsid w:val="0078025B"/>
    <w:rsid w:val="00786FE6"/>
    <w:rsid w:val="007A0167"/>
    <w:rsid w:val="007D3A4B"/>
    <w:rsid w:val="00811205"/>
    <w:rsid w:val="00861609"/>
    <w:rsid w:val="00866D8E"/>
    <w:rsid w:val="008B7D92"/>
    <w:rsid w:val="008C1265"/>
    <w:rsid w:val="008D6AE7"/>
    <w:rsid w:val="009163B2"/>
    <w:rsid w:val="00926DB8"/>
    <w:rsid w:val="00950FC2"/>
    <w:rsid w:val="0095148E"/>
    <w:rsid w:val="00955B51"/>
    <w:rsid w:val="00973635"/>
    <w:rsid w:val="00983059"/>
    <w:rsid w:val="009D7C5B"/>
    <w:rsid w:val="009F095E"/>
    <w:rsid w:val="00AC638E"/>
    <w:rsid w:val="00AF3A2E"/>
    <w:rsid w:val="00B80CA0"/>
    <w:rsid w:val="00C55901"/>
    <w:rsid w:val="00C807A0"/>
    <w:rsid w:val="00C91E2D"/>
    <w:rsid w:val="00D66DB7"/>
    <w:rsid w:val="00E21CEC"/>
    <w:rsid w:val="00ED68C1"/>
    <w:rsid w:val="00EF1C56"/>
    <w:rsid w:val="00EF2894"/>
    <w:rsid w:val="00EF764D"/>
    <w:rsid w:val="00F22F9D"/>
    <w:rsid w:val="00F275C2"/>
    <w:rsid w:val="00FC6A5A"/>
    <w:rsid w:val="00FC757C"/>
    <w:rsid w:val="00FF6009"/>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9B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9B0"/>
    <w:pPr>
      <w:ind w:left="720"/>
      <w:contextualSpacing/>
    </w:pPr>
  </w:style>
  <w:style w:type="paragraph" w:styleId="Header">
    <w:name w:val="header"/>
    <w:basedOn w:val="Normal"/>
    <w:link w:val="HeaderChar"/>
    <w:uiPriority w:val="99"/>
    <w:unhideWhenUsed/>
    <w:rsid w:val="001F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B0"/>
  </w:style>
  <w:style w:type="paragraph" w:styleId="FootnoteText">
    <w:name w:val="footnote text"/>
    <w:basedOn w:val="Normal"/>
    <w:link w:val="FootnoteTextChar"/>
    <w:uiPriority w:val="99"/>
    <w:semiHidden/>
    <w:unhideWhenUsed/>
    <w:rsid w:val="001F4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B0"/>
    <w:rPr>
      <w:sz w:val="20"/>
      <w:szCs w:val="20"/>
    </w:rPr>
  </w:style>
  <w:style w:type="character" w:styleId="FootnoteReference">
    <w:name w:val="footnote reference"/>
    <w:basedOn w:val="DefaultParagraphFont"/>
    <w:uiPriority w:val="99"/>
    <w:semiHidden/>
    <w:unhideWhenUsed/>
    <w:rsid w:val="001F49B0"/>
    <w:rPr>
      <w:vertAlign w:val="superscript"/>
    </w:rPr>
  </w:style>
  <w:style w:type="paragraph" w:styleId="BalloonText">
    <w:name w:val="Balloon Text"/>
    <w:basedOn w:val="Normal"/>
    <w:link w:val="BalloonTextChar"/>
    <w:uiPriority w:val="99"/>
    <w:semiHidden/>
    <w:unhideWhenUsed/>
    <w:rsid w:val="001F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9B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9B0"/>
    <w:pPr>
      <w:ind w:left="720"/>
      <w:contextualSpacing/>
    </w:pPr>
  </w:style>
  <w:style w:type="paragraph" w:styleId="Header">
    <w:name w:val="header"/>
    <w:basedOn w:val="Normal"/>
    <w:link w:val="HeaderChar"/>
    <w:uiPriority w:val="99"/>
    <w:unhideWhenUsed/>
    <w:rsid w:val="001F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B0"/>
  </w:style>
  <w:style w:type="paragraph" w:styleId="FootnoteText">
    <w:name w:val="footnote text"/>
    <w:basedOn w:val="Normal"/>
    <w:link w:val="FootnoteTextChar"/>
    <w:uiPriority w:val="99"/>
    <w:semiHidden/>
    <w:unhideWhenUsed/>
    <w:rsid w:val="001F4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B0"/>
    <w:rPr>
      <w:sz w:val="20"/>
      <w:szCs w:val="20"/>
    </w:rPr>
  </w:style>
  <w:style w:type="character" w:styleId="FootnoteReference">
    <w:name w:val="footnote reference"/>
    <w:basedOn w:val="DefaultParagraphFont"/>
    <w:uiPriority w:val="99"/>
    <w:semiHidden/>
    <w:unhideWhenUsed/>
    <w:rsid w:val="001F49B0"/>
    <w:rPr>
      <w:vertAlign w:val="superscript"/>
    </w:rPr>
  </w:style>
  <w:style w:type="paragraph" w:styleId="BalloonText">
    <w:name w:val="Balloon Text"/>
    <w:basedOn w:val="Normal"/>
    <w:link w:val="BalloonTextChar"/>
    <w:uiPriority w:val="99"/>
    <w:semiHidden/>
    <w:unhideWhenUsed/>
    <w:rsid w:val="001F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2023-06-15T18:30:00+00:00</Judgment_x0020_Date>
  </documentManagement>
</p:properties>
</file>

<file path=customXml/itemProps1.xml><?xml version="1.0" encoding="utf-8"?>
<ds:datastoreItem xmlns:ds="http://schemas.openxmlformats.org/officeDocument/2006/customXml" ds:itemID="{1C929F53-3603-47A1-BE86-236EF6793261}"/>
</file>

<file path=customXml/itemProps2.xml><?xml version="1.0" encoding="utf-8"?>
<ds:datastoreItem xmlns:ds="http://schemas.openxmlformats.org/officeDocument/2006/customXml" ds:itemID="{EADE75C6-7608-4247-B754-91FC14E894ED}"/>
</file>

<file path=customXml/itemProps3.xml><?xml version="1.0" encoding="utf-8"?>
<ds:datastoreItem xmlns:ds="http://schemas.openxmlformats.org/officeDocument/2006/customXml" ds:itemID="{539ECF58-760F-48D2-A45C-36E8718A218C}"/>
</file>

<file path=customXml/itemProps4.xml><?xml version="1.0" encoding="utf-8"?>
<ds:datastoreItem xmlns:ds="http://schemas.openxmlformats.org/officeDocument/2006/customXml" ds:itemID="{2A3DEA23-F3BB-4ACC-A627-77C8C1E8DBDB}"/>
</file>

<file path=docProps/app.xml><?xml version="1.0" encoding="utf-8"?>
<Properties xmlns="http://schemas.openxmlformats.org/officeDocument/2006/extended-properties" xmlns:vt="http://schemas.openxmlformats.org/officeDocument/2006/docPropsVTypes">
  <Template>Normal</Template>
  <TotalTime>193</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Engelbrecht (CR 66-2023) 2023 NAHCMD 329 (16 June 2023)</dc:title>
  <dc:creator>Michelle N. Ullrich</dc:creator>
  <cp:lastModifiedBy>Michelle N. Ullrich</cp:lastModifiedBy>
  <cp:revision>3</cp:revision>
  <cp:lastPrinted>2023-06-16T07:02:00Z</cp:lastPrinted>
  <dcterms:created xsi:type="dcterms:W3CDTF">2023-06-14T11:06:00Z</dcterms:created>
  <dcterms:modified xsi:type="dcterms:W3CDTF">2023-06-16T10:30:00Z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