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10" w:rsidRPr="00184D10" w:rsidRDefault="00184D10" w:rsidP="00184D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184D10" w:rsidRPr="00184D10" w:rsidRDefault="00184D10" w:rsidP="00184D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84D10">
        <w:rPr>
          <w:rFonts w:ascii="Arial" w:eastAsia="Times New Roman" w:hAnsi="Arial" w:cs="Arial"/>
          <w:b/>
          <w:sz w:val="24"/>
          <w:szCs w:val="24"/>
          <w:lang w:val="en-GB"/>
        </w:rPr>
        <w:t>REPUBLIC OF NAMIBIA</w:t>
      </w:r>
    </w:p>
    <w:p w:rsidR="00184D10" w:rsidRPr="00184D10" w:rsidRDefault="00184D10" w:rsidP="00184D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184D10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187DF111" wp14:editId="3295E35B">
            <wp:extent cx="809625" cy="819150"/>
            <wp:effectExtent l="0" t="0" r="9525" b="0"/>
            <wp:docPr id="2" name="Picture 2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10" w:rsidRPr="00184D10" w:rsidRDefault="00184D10" w:rsidP="00184D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:rsidR="00184D10" w:rsidRDefault="00184D10" w:rsidP="00184D1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84D10">
        <w:rPr>
          <w:rFonts w:ascii="Arial" w:eastAsia="Times New Roman" w:hAnsi="Arial" w:cs="Arial"/>
          <w:b/>
          <w:sz w:val="24"/>
          <w:szCs w:val="24"/>
          <w:lang w:val="en-GB"/>
        </w:rPr>
        <w:t>IN THE HIGH COURT OF NAMIBIA, MAIN DIVISION, WINDHOEK</w:t>
      </w:r>
    </w:p>
    <w:p w:rsidR="000C3C29" w:rsidRPr="00184D10" w:rsidRDefault="000C3C29" w:rsidP="00184D1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184D10" w:rsidRDefault="00184D10" w:rsidP="00184D1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84D10">
        <w:rPr>
          <w:rFonts w:ascii="Arial" w:eastAsia="Times New Roman" w:hAnsi="Arial" w:cs="Arial"/>
          <w:b/>
          <w:sz w:val="24"/>
          <w:szCs w:val="24"/>
          <w:lang w:val="en-GB"/>
        </w:rPr>
        <w:t>REVIEW JUDGMENT</w:t>
      </w:r>
    </w:p>
    <w:p w:rsidR="00184D10" w:rsidRPr="000C3C29" w:rsidRDefault="00184D10" w:rsidP="00184D1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184D10" w:rsidRPr="00184D10" w:rsidTr="002573BB">
        <w:trPr>
          <w:trHeight w:val="744"/>
        </w:trPr>
        <w:tc>
          <w:tcPr>
            <w:tcW w:w="5397" w:type="dxa"/>
            <w:gridSpan w:val="2"/>
          </w:tcPr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184D10" w:rsidRPr="000C3C29" w:rsidRDefault="00184D10" w:rsidP="009672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C29">
              <w:rPr>
                <w:rFonts w:ascii="Arial" w:hAnsi="Arial" w:cs="Arial"/>
                <w:sz w:val="24"/>
                <w:szCs w:val="24"/>
              </w:rPr>
              <w:t xml:space="preserve">S v </w:t>
            </w:r>
            <w:r w:rsidR="00967269">
              <w:rPr>
                <w:rFonts w:ascii="Arial" w:hAnsi="Arial" w:cs="Arial"/>
                <w:sz w:val="24"/>
                <w:szCs w:val="24"/>
              </w:rPr>
              <w:t>Dion !</w:t>
            </w:r>
            <w:proofErr w:type="spellStart"/>
            <w:r w:rsidR="00967269">
              <w:rPr>
                <w:rFonts w:ascii="Arial" w:hAnsi="Arial" w:cs="Arial"/>
                <w:sz w:val="24"/>
                <w:szCs w:val="24"/>
              </w:rPr>
              <w:t>Karab</w:t>
            </w:r>
            <w:proofErr w:type="spellEnd"/>
            <w:r w:rsidR="00967269">
              <w:rPr>
                <w:rFonts w:ascii="Arial" w:hAnsi="Arial" w:cs="Arial"/>
                <w:sz w:val="24"/>
                <w:szCs w:val="24"/>
              </w:rPr>
              <w:t xml:space="preserve"> and Elvin </w:t>
            </w:r>
            <w:proofErr w:type="spellStart"/>
            <w:r w:rsidR="00967269">
              <w:rPr>
                <w:rFonts w:ascii="Arial" w:hAnsi="Arial" w:cs="Arial"/>
                <w:sz w:val="24"/>
                <w:szCs w:val="24"/>
              </w:rPr>
              <w:t>Jossob</w:t>
            </w:r>
            <w:proofErr w:type="spellEnd"/>
          </w:p>
        </w:tc>
        <w:tc>
          <w:tcPr>
            <w:tcW w:w="4323" w:type="dxa"/>
          </w:tcPr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184D10" w:rsidRPr="00184D10" w:rsidRDefault="0064665E" w:rsidP="00A729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 </w:t>
            </w:r>
            <w:r w:rsidR="001D7913">
              <w:rPr>
                <w:rFonts w:ascii="Arial" w:hAnsi="Arial" w:cs="Arial"/>
                <w:sz w:val="24"/>
                <w:szCs w:val="24"/>
              </w:rPr>
              <w:t>69/2023</w:t>
            </w:r>
          </w:p>
        </w:tc>
      </w:tr>
      <w:tr w:rsidR="00184D10" w:rsidRPr="00184D10" w:rsidTr="002573BB">
        <w:trPr>
          <w:trHeight w:val="844"/>
        </w:trPr>
        <w:tc>
          <w:tcPr>
            <w:tcW w:w="5397" w:type="dxa"/>
            <w:gridSpan w:val="2"/>
          </w:tcPr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High Court MD Review No:</w:t>
            </w:r>
          </w:p>
          <w:p w:rsidR="00184D10" w:rsidRPr="00184D10" w:rsidRDefault="00184D10" w:rsidP="009672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D10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184D10" w:rsidRPr="00184D10" w:rsidTr="002573BB">
        <w:trPr>
          <w:trHeight w:val="1187"/>
        </w:trPr>
        <w:tc>
          <w:tcPr>
            <w:tcW w:w="5397" w:type="dxa"/>
            <w:gridSpan w:val="2"/>
          </w:tcPr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967269" w:rsidRDefault="00967269" w:rsidP="00257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Claasen</w:t>
            </w:r>
            <w:proofErr w:type="spellEnd"/>
            <w:r w:rsidRPr="00184D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J et</w:t>
            </w:r>
          </w:p>
          <w:p w:rsidR="00184D10" w:rsidRPr="00184D10" w:rsidRDefault="00B31626" w:rsidP="002573B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Christiaan</w:t>
            </w:r>
            <w:r w:rsidR="00967269">
              <w:rPr>
                <w:rFonts w:ascii="Arial" w:hAnsi="Arial" w:cs="Arial"/>
                <w:sz w:val="24"/>
                <w:szCs w:val="24"/>
              </w:rPr>
              <w:t xml:space="preserve"> AJ</w:t>
            </w:r>
          </w:p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184D10" w:rsidRPr="00184D10" w:rsidRDefault="001D7913" w:rsidP="0096726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184D10" w:rsidRPr="00184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7269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184D1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184D10" w:rsidRPr="00184D10" w:rsidTr="002573BB">
        <w:tc>
          <w:tcPr>
            <w:tcW w:w="9720" w:type="dxa"/>
            <w:gridSpan w:val="3"/>
          </w:tcPr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32DD" w:rsidRDefault="00184D10" w:rsidP="00257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Neutral citation:</w:t>
            </w:r>
            <w:r w:rsidR="00AC3B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3BA5" w:rsidRPr="00AC3BA5">
              <w:rPr>
                <w:rFonts w:ascii="Arial" w:hAnsi="Arial" w:cs="Arial"/>
                <w:i/>
                <w:sz w:val="24"/>
                <w:szCs w:val="24"/>
              </w:rPr>
              <w:t>S v Dion !</w:t>
            </w:r>
            <w:proofErr w:type="spellStart"/>
            <w:r w:rsidR="00AC3BA5" w:rsidRPr="00AC3BA5">
              <w:rPr>
                <w:rFonts w:ascii="Arial" w:hAnsi="Arial" w:cs="Arial"/>
                <w:i/>
                <w:sz w:val="24"/>
                <w:szCs w:val="24"/>
              </w:rPr>
              <w:t>Karab</w:t>
            </w:r>
            <w:proofErr w:type="spellEnd"/>
            <w:r w:rsidR="00AC3BA5" w:rsidRPr="00AC3BA5">
              <w:rPr>
                <w:rFonts w:ascii="Arial" w:hAnsi="Arial" w:cs="Arial"/>
                <w:i/>
                <w:sz w:val="24"/>
                <w:szCs w:val="24"/>
              </w:rPr>
              <w:t xml:space="preserve"> and Elvin </w:t>
            </w:r>
            <w:proofErr w:type="spellStart"/>
            <w:r w:rsidR="00AC3BA5" w:rsidRPr="00AC3BA5">
              <w:rPr>
                <w:rFonts w:ascii="Arial" w:hAnsi="Arial" w:cs="Arial"/>
                <w:i/>
                <w:sz w:val="24"/>
                <w:szCs w:val="24"/>
              </w:rPr>
              <w:t>Jossob</w:t>
            </w:r>
            <w:proofErr w:type="spellEnd"/>
            <w:r w:rsidRPr="00184D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4D10">
              <w:rPr>
                <w:rFonts w:ascii="Arial" w:hAnsi="Arial" w:cs="Arial"/>
                <w:sz w:val="24"/>
                <w:szCs w:val="24"/>
              </w:rPr>
              <w:t>(CR</w:t>
            </w:r>
            <w:r w:rsidR="00C66ED4">
              <w:rPr>
                <w:rFonts w:ascii="Arial" w:hAnsi="Arial" w:cs="Arial"/>
                <w:sz w:val="24"/>
                <w:szCs w:val="24"/>
              </w:rPr>
              <w:t xml:space="preserve"> 69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/2023) [2023</w:t>
            </w:r>
            <w:r w:rsidR="000C3C29">
              <w:rPr>
                <w:rFonts w:ascii="Arial" w:hAnsi="Arial" w:cs="Arial"/>
                <w:sz w:val="24"/>
                <w:szCs w:val="24"/>
              </w:rPr>
              <w:t>] NAHCMD</w:t>
            </w:r>
            <w:r w:rsidR="001D7913">
              <w:rPr>
                <w:rFonts w:ascii="Arial" w:hAnsi="Arial" w:cs="Arial"/>
                <w:sz w:val="24"/>
                <w:szCs w:val="24"/>
              </w:rPr>
              <w:t xml:space="preserve"> 350 </w:t>
            </w:r>
          </w:p>
          <w:p w:rsidR="00184D10" w:rsidRPr="00184D10" w:rsidRDefault="00D132DD" w:rsidP="00257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 w:rsidR="000C3C29">
              <w:rPr>
                <w:rFonts w:ascii="Arial" w:hAnsi="Arial" w:cs="Arial"/>
                <w:sz w:val="24"/>
                <w:szCs w:val="24"/>
              </w:rPr>
              <w:t>(</w:t>
            </w:r>
            <w:r w:rsidR="001D7913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967269"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184D10">
              <w:rPr>
                <w:rFonts w:ascii="Arial" w:hAnsi="Arial" w:cs="Arial"/>
                <w:sz w:val="24"/>
                <w:szCs w:val="24"/>
              </w:rPr>
              <w:t>2023</w:t>
            </w:r>
            <w:r w:rsidR="00184D10" w:rsidRPr="00184D1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10" w:rsidRPr="00184D10" w:rsidTr="002573BB">
        <w:tc>
          <w:tcPr>
            <w:tcW w:w="9720" w:type="dxa"/>
            <w:gridSpan w:val="3"/>
          </w:tcPr>
          <w:p w:rsidR="00184D10" w:rsidRP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184D10" w:rsidRDefault="006C742C" w:rsidP="008A4AA8">
            <w:pPr>
              <w:pStyle w:val="ListParagraph"/>
              <w:numPr>
                <w:ilvl w:val="0"/>
                <w:numId w:val="5"/>
              </w:numPr>
              <w:spacing w:before="240" w:after="3" w:line="360" w:lineRule="auto"/>
              <w:ind w:left="346" w:hanging="272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Each accused’s </w:t>
            </w:r>
            <w:r w:rsidR="008B3E53">
              <w:rPr>
                <w:rFonts w:ascii="Arial" w:hAnsi="Arial" w:cs="Arial"/>
                <w:sz w:val="24"/>
                <w:szCs w:val="24"/>
              </w:rPr>
              <w:t>conviction and sentence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E53">
              <w:rPr>
                <w:rFonts w:ascii="Arial" w:hAnsi="Arial" w:cs="Arial"/>
                <w:sz w:val="24"/>
                <w:szCs w:val="24"/>
              </w:rPr>
              <w:t>are set aside.</w:t>
            </w:r>
          </w:p>
          <w:p w:rsidR="008B3E53" w:rsidRDefault="008B3E53" w:rsidP="008A4AA8">
            <w:pPr>
              <w:pStyle w:val="ListParagraph"/>
              <w:numPr>
                <w:ilvl w:val="0"/>
                <w:numId w:val="5"/>
              </w:numPr>
              <w:spacing w:before="240" w:after="3" w:line="360" w:lineRule="auto"/>
              <w:ind w:left="346" w:hanging="272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matter is remitted to the magistrate with a d</w:t>
            </w:r>
            <w:r w:rsidR="00D73D29">
              <w:rPr>
                <w:rFonts w:ascii="Arial" w:hAnsi="Arial" w:cs="Arial"/>
                <w:sz w:val="24"/>
                <w:szCs w:val="24"/>
              </w:rPr>
              <w:t xml:space="preserve">irection that count 4 be dealt </w:t>
            </w:r>
            <w:r>
              <w:rPr>
                <w:rFonts w:ascii="Arial" w:hAnsi="Arial" w:cs="Arial"/>
                <w:sz w:val="24"/>
                <w:szCs w:val="24"/>
              </w:rPr>
              <w:t>with afresh from the stage of plea.</w:t>
            </w:r>
          </w:p>
          <w:p w:rsidR="008B3E53" w:rsidRPr="00DF5D1B" w:rsidRDefault="008B3E53" w:rsidP="008A4AA8">
            <w:pPr>
              <w:pStyle w:val="ListParagraph"/>
              <w:numPr>
                <w:ilvl w:val="0"/>
                <w:numId w:val="5"/>
              </w:numPr>
              <w:spacing w:before="240" w:after="3" w:line="360" w:lineRule="auto"/>
              <w:ind w:left="346" w:hanging="272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event of a conviction the sentencing magistrate must have regard to the sentence that has already been served.</w:t>
            </w:r>
          </w:p>
        </w:tc>
      </w:tr>
      <w:tr w:rsidR="00184D10" w:rsidRPr="00184D10" w:rsidTr="002573BB">
        <w:tc>
          <w:tcPr>
            <w:tcW w:w="9720" w:type="dxa"/>
            <w:gridSpan w:val="3"/>
          </w:tcPr>
          <w:p w:rsid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  <w:r w:rsidRPr="00184D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4D10" w:rsidRPr="00184D10" w:rsidRDefault="000C3C29" w:rsidP="002573B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CLAASEN J (CONCURRING </w:t>
            </w:r>
            <w:r w:rsidR="001D7913">
              <w:rPr>
                <w:rFonts w:ascii="Arial" w:hAnsi="Arial" w:cs="Arial"/>
                <w:sz w:val="24"/>
                <w:szCs w:val="24"/>
              </w:rPr>
              <w:t>CHRISTIAAN</w:t>
            </w:r>
            <w:r w:rsidR="009672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3D2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184D10">
              <w:rPr>
                <w:rFonts w:ascii="Arial" w:hAnsi="Arial" w:cs="Arial"/>
                <w:sz w:val="24"/>
                <w:szCs w:val="24"/>
              </w:rPr>
              <w:t>)</w:t>
            </w:r>
            <w:r w:rsidR="00AC3BA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84D10" w:rsidRDefault="00184D10" w:rsidP="002573B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4D10" w:rsidRDefault="0064665E" w:rsidP="002E4AD7">
            <w:pPr>
              <w:numPr>
                <w:ilvl w:val="0"/>
                <w:numId w:val="1"/>
              </w:numPr>
              <w:spacing w:after="3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002D72FB">
              <w:rPr>
                <w:rFonts w:ascii="Arial" w:hAnsi="Arial" w:cs="Arial"/>
                <w:sz w:val="24"/>
                <w:szCs w:val="24"/>
              </w:rPr>
              <w:t xml:space="preserve">accused </w:t>
            </w:r>
            <w:r w:rsidR="00BF4A1C">
              <w:rPr>
                <w:rFonts w:ascii="Arial" w:hAnsi="Arial" w:cs="Arial"/>
                <w:sz w:val="24"/>
                <w:szCs w:val="24"/>
              </w:rPr>
              <w:t xml:space="preserve">persons </w:t>
            </w:r>
            <w:r w:rsidR="0048480E">
              <w:rPr>
                <w:rFonts w:ascii="Arial" w:hAnsi="Arial" w:cs="Arial"/>
                <w:sz w:val="24"/>
                <w:szCs w:val="24"/>
              </w:rPr>
              <w:t>were convicted</w:t>
            </w:r>
            <w:r w:rsidR="002D72FB">
              <w:rPr>
                <w:rFonts w:ascii="Arial" w:hAnsi="Arial" w:cs="Arial"/>
                <w:sz w:val="24"/>
                <w:szCs w:val="24"/>
              </w:rPr>
              <w:t xml:space="preserve"> in the</w:t>
            </w:r>
            <w:r w:rsidR="00184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91A">
              <w:rPr>
                <w:rFonts w:ascii="Arial" w:hAnsi="Arial" w:cs="Arial"/>
                <w:sz w:val="24"/>
                <w:szCs w:val="24"/>
              </w:rPr>
              <w:t>M</w:t>
            </w:r>
            <w:r w:rsidR="00184D10" w:rsidRPr="00184D10">
              <w:rPr>
                <w:rFonts w:ascii="Arial" w:hAnsi="Arial" w:cs="Arial"/>
                <w:sz w:val="24"/>
                <w:szCs w:val="24"/>
              </w:rPr>
              <w:t>agistrate’s</w:t>
            </w:r>
            <w:r w:rsidR="00184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91A">
              <w:rPr>
                <w:rFonts w:ascii="Arial" w:hAnsi="Arial" w:cs="Arial"/>
                <w:sz w:val="24"/>
                <w:szCs w:val="24"/>
              </w:rPr>
              <w:t>C</w:t>
            </w:r>
            <w:r w:rsidR="00DF5D1B">
              <w:rPr>
                <w:rFonts w:ascii="Arial" w:hAnsi="Arial" w:cs="Arial"/>
                <w:sz w:val="24"/>
                <w:szCs w:val="24"/>
              </w:rPr>
              <w:t xml:space="preserve">ourt </w:t>
            </w:r>
            <w:r w:rsidR="00AC3BA5">
              <w:rPr>
                <w:rFonts w:ascii="Arial" w:hAnsi="Arial" w:cs="Arial"/>
                <w:sz w:val="24"/>
                <w:szCs w:val="24"/>
              </w:rPr>
              <w:t xml:space="preserve">in the district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r w:rsidR="00967269">
              <w:rPr>
                <w:rFonts w:ascii="Arial" w:hAnsi="Arial" w:cs="Arial"/>
                <w:sz w:val="24"/>
                <w:szCs w:val="24"/>
              </w:rPr>
              <w:t>Keetmanshoop</w:t>
            </w:r>
            <w:proofErr w:type="spellEnd"/>
            <w:r w:rsidR="009672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4A1C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8A4AA8">
              <w:rPr>
                <w:rFonts w:ascii="Arial" w:hAnsi="Arial" w:cs="Arial"/>
                <w:sz w:val="24"/>
                <w:szCs w:val="24"/>
              </w:rPr>
              <w:t>a charge of contravening s</w:t>
            </w:r>
            <w:r w:rsidR="00BF4A1C">
              <w:rPr>
                <w:rFonts w:ascii="Arial" w:hAnsi="Arial" w:cs="Arial"/>
                <w:sz w:val="24"/>
                <w:szCs w:val="24"/>
              </w:rPr>
              <w:t xml:space="preserve"> 2 of the Stock Theft Act 22 of 1990 – Possession of suspected stolen stock, to wit 2 carcasses. </w:t>
            </w:r>
            <w:r w:rsidR="002D7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80E">
              <w:rPr>
                <w:rFonts w:ascii="Arial" w:hAnsi="Arial" w:cs="Arial"/>
                <w:sz w:val="24"/>
                <w:szCs w:val="24"/>
              </w:rPr>
              <w:t>Each of them was sentenced to</w:t>
            </w:r>
            <w:r w:rsidR="004471D0">
              <w:rPr>
                <w:rFonts w:ascii="Arial" w:hAnsi="Arial" w:cs="Arial"/>
                <w:sz w:val="24"/>
                <w:szCs w:val="24"/>
              </w:rPr>
              <w:t xml:space="preserve"> N$ 2000 or 8</w:t>
            </w:r>
            <w:r w:rsidR="0048480E">
              <w:rPr>
                <w:rFonts w:ascii="Arial" w:hAnsi="Arial" w:cs="Arial"/>
                <w:sz w:val="24"/>
                <w:szCs w:val="24"/>
              </w:rPr>
              <w:t xml:space="preserve"> months</w:t>
            </w:r>
            <w:r w:rsidR="004471D0">
              <w:rPr>
                <w:rFonts w:ascii="Arial" w:hAnsi="Arial" w:cs="Arial"/>
                <w:sz w:val="24"/>
                <w:szCs w:val="24"/>
              </w:rPr>
              <w:t>’</w:t>
            </w:r>
            <w:r w:rsidR="0048480E">
              <w:rPr>
                <w:rFonts w:ascii="Arial" w:hAnsi="Arial" w:cs="Arial"/>
                <w:sz w:val="24"/>
                <w:szCs w:val="24"/>
              </w:rPr>
              <w:t xml:space="preserve"> imprisonment.</w:t>
            </w:r>
          </w:p>
          <w:p w:rsidR="002D72FB" w:rsidRDefault="002D72FB" w:rsidP="002D72FB">
            <w:pPr>
              <w:spacing w:after="3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7BB8" w:rsidRDefault="002D72FB" w:rsidP="002D72FB">
            <w:pPr>
              <w:spacing w:after="3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[2]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43465">
              <w:rPr>
                <w:rFonts w:ascii="Arial" w:hAnsi="Arial" w:cs="Arial"/>
                <w:sz w:val="24"/>
                <w:szCs w:val="24"/>
              </w:rPr>
              <w:t>T</w:t>
            </w:r>
            <w:r w:rsidR="00173F95">
              <w:rPr>
                <w:rFonts w:ascii="Arial" w:hAnsi="Arial" w:cs="Arial"/>
                <w:sz w:val="24"/>
                <w:szCs w:val="24"/>
              </w:rPr>
              <w:t>he case was send on automatic review and the</w:t>
            </w:r>
            <w:r w:rsidR="00D43465">
              <w:rPr>
                <w:rFonts w:ascii="Arial" w:hAnsi="Arial" w:cs="Arial"/>
                <w:sz w:val="24"/>
                <w:szCs w:val="24"/>
              </w:rPr>
              <w:t xml:space="preserve"> court addressed </w:t>
            </w:r>
            <w:r w:rsidR="00697BB8">
              <w:rPr>
                <w:rFonts w:ascii="Arial" w:hAnsi="Arial" w:cs="Arial"/>
                <w:sz w:val="24"/>
                <w:szCs w:val="24"/>
              </w:rPr>
              <w:t>three questions to the court a</w:t>
            </w:r>
            <w:r w:rsidR="00D43465" w:rsidRPr="00BE2A8B">
              <w:rPr>
                <w:rFonts w:ascii="Arial" w:hAnsi="Arial" w:cs="Arial"/>
                <w:i/>
                <w:sz w:val="24"/>
                <w:szCs w:val="24"/>
              </w:rPr>
              <w:t xml:space="preserve"> quo</w:t>
            </w:r>
            <w:r w:rsidR="008B52A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97BB8">
              <w:rPr>
                <w:rFonts w:ascii="Arial" w:hAnsi="Arial" w:cs="Arial"/>
                <w:sz w:val="24"/>
                <w:szCs w:val="24"/>
              </w:rPr>
              <w:t xml:space="preserve">The first </w:t>
            </w:r>
            <w:r w:rsidR="00BC0AFF">
              <w:rPr>
                <w:rFonts w:ascii="Arial" w:hAnsi="Arial" w:cs="Arial"/>
                <w:sz w:val="24"/>
                <w:szCs w:val="24"/>
              </w:rPr>
              <w:t>two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 issues </w:t>
            </w:r>
            <w:r w:rsidR="00BC0AFF">
              <w:rPr>
                <w:rFonts w:ascii="Arial" w:hAnsi="Arial" w:cs="Arial"/>
                <w:sz w:val="24"/>
                <w:szCs w:val="24"/>
              </w:rPr>
              <w:t>centred around the conviction, which was done in terms of s 1</w:t>
            </w:r>
            <w:r w:rsidR="00697BB8">
              <w:rPr>
                <w:rFonts w:ascii="Arial" w:hAnsi="Arial" w:cs="Arial"/>
                <w:sz w:val="24"/>
                <w:szCs w:val="24"/>
              </w:rPr>
              <w:t>12(1</w:t>
            </w:r>
            <w:proofErr w:type="gramStart"/>
            <w:r w:rsidR="00697BB8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="00697BB8" w:rsidRPr="008A4AA8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697BB8">
              <w:rPr>
                <w:rFonts w:ascii="Arial" w:hAnsi="Arial" w:cs="Arial"/>
                <w:sz w:val="24"/>
                <w:szCs w:val="24"/>
              </w:rPr>
              <w:t xml:space="preserve">) of the Criminal Procedure Act 51 of 1977 as amended(the CPA). </w:t>
            </w:r>
            <w:r w:rsidR="00BC0AF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471D0">
              <w:rPr>
                <w:rFonts w:ascii="Arial" w:hAnsi="Arial" w:cs="Arial"/>
                <w:sz w:val="24"/>
                <w:szCs w:val="24"/>
              </w:rPr>
              <w:t>concerns dealt with</w:t>
            </w:r>
            <w:r w:rsidR="00BC0AFF">
              <w:rPr>
                <w:rFonts w:ascii="Arial" w:hAnsi="Arial" w:cs="Arial"/>
                <w:sz w:val="24"/>
                <w:szCs w:val="24"/>
              </w:rPr>
              <w:t xml:space="preserve"> whether this particular offence can be regarded as a minor offence and 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secondly, </w:t>
            </w:r>
            <w:r w:rsidR="00BC0AFF">
              <w:rPr>
                <w:rFonts w:ascii="Arial" w:hAnsi="Arial" w:cs="Arial"/>
                <w:sz w:val="24"/>
                <w:szCs w:val="24"/>
              </w:rPr>
              <w:t xml:space="preserve">given 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that no questioning took place, </w:t>
            </w:r>
            <w:r w:rsidR="00BC0AFF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4471D0">
              <w:rPr>
                <w:rFonts w:ascii="Arial" w:hAnsi="Arial" w:cs="Arial"/>
                <w:sz w:val="24"/>
                <w:szCs w:val="24"/>
              </w:rPr>
              <w:t xml:space="preserve">could 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the court </w:t>
            </w:r>
            <w:r w:rsidR="00173F95" w:rsidRPr="008A4AA8">
              <w:rPr>
                <w:rFonts w:ascii="Arial" w:hAnsi="Arial" w:cs="Arial"/>
                <w:i/>
                <w:sz w:val="24"/>
                <w:szCs w:val="24"/>
              </w:rPr>
              <w:t>a quo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 be satisfied </w:t>
            </w:r>
            <w:r w:rsidR="00BC0AFF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8B52A4">
              <w:rPr>
                <w:rFonts w:ascii="Arial" w:hAnsi="Arial" w:cs="Arial"/>
                <w:sz w:val="24"/>
                <w:szCs w:val="24"/>
              </w:rPr>
              <w:t>the accused persons did not have a satisfactory account for being in possession of the carcasses</w:t>
            </w:r>
            <w:r w:rsidR="00BC0AFF">
              <w:rPr>
                <w:rFonts w:ascii="Arial" w:hAnsi="Arial" w:cs="Arial"/>
                <w:sz w:val="24"/>
                <w:szCs w:val="24"/>
              </w:rPr>
              <w:t>.</w:t>
            </w:r>
            <w:r w:rsidR="008B52A4">
              <w:rPr>
                <w:rFonts w:ascii="Arial" w:hAnsi="Arial" w:cs="Arial"/>
                <w:sz w:val="24"/>
                <w:szCs w:val="24"/>
              </w:rPr>
              <w:t xml:space="preserve"> As a regards sentencing, </w:t>
            </w:r>
            <w:r w:rsidR="00BC0AFF">
              <w:rPr>
                <w:rFonts w:ascii="Arial" w:hAnsi="Arial" w:cs="Arial"/>
                <w:sz w:val="24"/>
                <w:szCs w:val="24"/>
              </w:rPr>
              <w:t>the issue was whether the r</w:t>
            </w:r>
            <w:r w:rsidR="008B52A4">
              <w:rPr>
                <w:rFonts w:ascii="Arial" w:hAnsi="Arial" w:cs="Arial"/>
                <w:sz w:val="24"/>
                <w:szCs w:val="24"/>
              </w:rPr>
              <w:t>atio between the fine and imprisonment is proportional to each other.</w:t>
            </w:r>
          </w:p>
          <w:p w:rsidR="008B52A4" w:rsidRDefault="008B52A4" w:rsidP="002D72FB">
            <w:pPr>
              <w:spacing w:after="3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3465" w:rsidRPr="002D72FB" w:rsidRDefault="008B52A4" w:rsidP="008B52A4">
            <w:pPr>
              <w:spacing w:after="3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43E1E">
              <w:rPr>
                <w:rFonts w:ascii="Arial" w:hAnsi="Arial" w:cs="Arial"/>
                <w:sz w:val="24"/>
                <w:szCs w:val="24"/>
              </w:rPr>
              <w:t>I</w:t>
            </w:r>
            <w:r w:rsidR="004471D0">
              <w:rPr>
                <w:rFonts w:ascii="Arial" w:hAnsi="Arial" w:cs="Arial"/>
                <w:sz w:val="24"/>
                <w:szCs w:val="24"/>
              </w:rPr>
              <w:t xml:space="preserve"> will paraphrase the reply</w:t>
            </w:r>
            <w:r w:rsidR="00543E1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471D0">
              <w:rPr>
                <w:rFonts w:ascii="Arial" w:hAnsi="Arial" w:cs="Arial"/>
                <w:sz w:val="24"/>
                <w:szCs w:val="24"/>
              </w:rPr>
              <w:t xml:space="preserve">which indicates that the court </w:t>
            </w:r>
            <w:r w:rsidR="004471D0" w:rsidRPr="00173F95">
              <w:rPr>
                <w:rFonts w:ascii="Arial" w:hAnsi="Arial" w:cs="Arial"/>
                <w:i/>
                <w:sz w:val="24"/>
                <w:szCs w:val="24"/>
              </w:rPr>
              <w:t>a quo</w:t>
            </w:r>
            <w:r w:rsidR="004471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 fami</w:t>
            </w:r>
            <w:r w:rsidR="004471D0">
              <w:rPr>
                <w:rFonts w:ascii="Arial" w:hAnsi="Arial" w:cs="Arial"/>
                <w:sz w:val="24"/>
                <w:szCs w:val="24"/>
              </w:rPr>
              <w:t xml:space="preserve">liar with </w:t>
            </w:r>
            <w:r w:rsidR="00543E1E">
              <w:rPr>
                <w:rFonts w:ascii="Arial" w:hAnsi="Arial" w:cs="Arial"/>
                <w:sz w:val="24"/>
                <w:szCs w:val="24"/>
              </w:rPr>
              <w:t>the relevant case law.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="00543E1E">
              <w:rPr>
                <w:rFonts w:ascii="Arial" w:hAnsi="Arial" w:cs="Arial"/>
                <w:sz w:val="24"/>
                <w:szCs w:val="24"/>
              </w:rPr>
              <w:t xml:space="preserve">  The magistrate </w:t>
            </w:r>
            <w:r w:rsidR="00D324E4">
              <w:rPr>
                <w:rFonts w:ascii="Arial" w:hAnsi="Arial" w:cs="Arial"/>
                <w:sz w:val="24"/>
                <w:szCs w:val="24"/>
              </w:rPr>
              <w:t xml:space="preserve">explained </w:t>
            </w:r>
            <w:r>
              <w:rPr>
                <w:rFonts w:ascii="Arial" w:hAnsi="Arial" w:cs="Arial"/>
                <w:sz w:val="24"/>
                <w:szCs w:val="24"/>
              </w:rPr>
              <w:t>that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 she </w:t>
            </w:r>
            <w:r w:rsidR="00BC0AFF">
              <w:rPr>
                <w:rFonts w:ascii="Arial" w:hAnsi="Arial" w:cs="Arial"/>
                <w:sz w:val="24"/>
                <w:szCs w:val="24"/>
              </w:rPr>
              <w:t xml:space="preserve">considered 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it a trivial offense as </w:t>
            </w:r>
            <w:r w:rsidR="008A4AA8">
              <w:rPr>
                <w:rFonts w:ascii="Arial" w:hAnsi="Arial" w:cs="Arial"/>
                <w:sz w:val="24"/>
                <w:szCs w:val="24"/>
              </w:rPr>
              <w:t>the carcasses</w:t>
            </w:r>
            <w:r w:rsidR="00BC0AFF">
              <w:rPr>
                <w:rFonts w:ascii="Arial" w:hAnsi="Arial" w:cs="Arial"/>
                <w:sz w:val="24"/>
                <w:szCs w:val="24"/>
              </w:rPr>
              <w:t xml:space="preserve"> were</w:t>
            </w:r>
            <w:r w:rsidR="008A4AA8">
              <w:rPr>
                <w:rFonts w:ascii="Arial" w:hAnsi="Arial" w:cs="Arial"/>
                <w:sz w:val="24"/>
                <w:szCs w:val="24"/>
              </w:rPr>
              <w:t xml:space="preserve"> ‘unvalued’. (sic)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 She motivated her stance </w:t>
            </w:r>
            <w:r w:rsidR="00BC0AFF">
              <w:rPr>
                <w:rFonts w:ascii="Arial" w:hAnsi="Arial" w:cs="Arial"/>
                <w:sz w:val="24"/>
                <w:szCs w:val="24"/>
              </w:rPr>
              <w:t>that s 112(1</w:t>
            </w:r>
            <w:proofErr w:type="gramStart"/>
            <w:r w:rsidR="00BC0AFF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="00BC0AFF" w:rsidRPr="008A4AA8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BC0AFF">
              <w:rPr>
                <w:rFonts w:ascii="Arial" w:hAnsi="Arial" w:cs="Arial"/>
                <w:sz w:val="24"/>
                <w:szCs w:val="24"/>
              </w:rPr>
              <w:t xml:space="preserve">) of the CPA applies because the sentence would not exceed N$ 6 000 and that even the prosecutor requested </w:t>
            </w:r>
            <w:r w:rsidR="00543E1E">
              <w:rPr>
                <w:rFonts w:ascii="Arial" w:hAnsi="Arial" w:cs="Arial"/>
                <w:sz w:val="24"/>
                <w:szCs w:val="24"/>
              </w:rPr>
              <w:t>disposal of the case in terms of that provision. She furthermore reasoned that the charge was explained to the accused persons in a langua</w:t>
            </w:r>
            <w:r w:rsidR="008A4AA8">
              <w:rPr>
                <w:rFonts w:ascii="Arial" w:hAnsi="Arial" w:cs="Arial"/>
                <w:sz w:val="24"/>
                <w:szCs w:val="24"/>
              </w:rPr>
              <w:t xml:space="preserve">ge they understood, and that ‘. . . </w:t>
            </w:r>
            <w:r w:rsidR="00543E1E">
              <w:rPr>
                <w:rFonts w:ascii="Arial" w:hAnsi="Arial" w:cs="Arial"/>
                <w:sz w:val="24"/>
                <w:szCs w:val="24"/>
              </w:rPr>
              <w:t>had they had a satisfactory account I trust the Accused would have pleaded not guilty because they don’t agree to the content of the charge just read and interpreted to them.’ (</w:t>
            </w:r>
            <w:proofErr w:type="gramStart"/>
            <w:r w:rsidR="00543E1E">
              <w:rPr>
                <w:rFonts w:ascii="Arial" w:hAnsi="Arial" w:cs="Arial"/>
                <w:sz w:val="24"/>
                <w:szCs w:val="24"/>
              </w:rPr>
              <w:t>sic</w:t>
            </w:r>
            <w:proofErr w:type="gramEnd"/>
            <w:r w:rsidR="00543E1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773BAD" w:rsidRDefault="00543E1E" w:rsidP="002D72FB">
            <w:pPr>
              <w:spacing w:before="240" w:after="3"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[4]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0279C1">
              <w:rPr>
                <w:rFonts w:ascii="Arial" w:hAnsi="Arial" w:cs="Arial"/>
                <w:sz w:val="24"/>
                <w:szCs w:val="24"/>
              </w:rPr>
              <w:t>It remains a common misconception amongst many magistrates to use the penalty clause as the only de</w:t>
            </w:r>
            <w:r w:rsidR="00656D05">
              <w:rPr>
                <w:rFonts w:ascii="Arial" w:hAnsi="Arial" w:cs="Arial"/>
                <w:sz w:val="24"/>
                <w:szCs w:val="24"/>
              </w:rPr>
              <w:t>termining factor in considering the application of s 112(</w:t>
            </w:r>
            <w:r w:rsidR="00173F95">
              <w:rPr>
                <w:rFonts w:ascii="Arial" w:hAnsi="Arial" w:cs="Arial"/>
                <w:sz w:val="24"/>
                <w:szCs w:val="24"/>
              </w:rPr>
              <w:t>1)(</w:t>
            </w:r>
            <w:r w:rsidR="00173F95" w:rsidRPr="008A4AA8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173F95">
              <w:rPr>
                <w:rFonts w:ascii="Arial" w:hAnsi="Arial" w:cs="Arial"/>
                <w:sz w:val="24"/>
                <w:szCs w:val="24"/>
              </w:rPr>
              <w:t>) or s</w:t>
            </w:r>
            <w:r w:rsidR="008A4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F95">
              <w:rPr>
                <w:rFonts w:ascii="Arial" w:hAnsi="Arial" w:cs="Arial"/>
                <w:sz w:val="24"/>
                <w:szCs w:val="24"/>
              </w:rPr>
              <w:t>112(1)(</w:t>
            </w:r>
            <w:r w:rsidR="00173F95" w:rsidRPr="008A4AA8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) of the CPA, despite being </w:t>
            </w:r>
            <w:r w:rsidR="00656D05">
              <w:rPr>
                <w:rFonts w:ascii="Arial" w:hAnsi="Arial" w:cs="Arial"/>
                <w:sz w:val="24"/>
                <w:szCs w:val="24"/>
              </w:rPr>
              <w:t xml:space="preserve">cautioned against that </w:t>
            </w:r>
            <w:r w:rsidR="00873560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773BAD" w:rsidRPr="008A4AA8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proofErr w:type="spellStart"/>
            <w:r w:rsidR="00773BAD" w:rsidRPr="008A4AA8">
              <w:rPr>
                <w:rFonts w:ascii="Arial" w:hAnsi="Arial" w:cs="Arial"/>
                <w:i/>
                <w:sz w:val="24"/>
                <w:szCs w:val="24"/>
              </w:rPr>
              <w:t>Onesmus</w:t>
            </w:r>
            <w:proofErr w:type="spellEnd"/>
            <w:r w:rsidR="00773BAD" w:rsidRPr="008A4AA8">
              <w:rPr>
                <w:rFonts w:ascii="Arial" w:hAnsi="Arial" w:cs="Arial"/>
                <w:i/>
                <w:sz w:val="24"/>
                <w:szCs w:val="24"/>
              </w:rPr>
              <w:t xml:space="preserve">, S v </w:t>
            </w:r>
            <w:proofErr w:type="spellStart"/>
            <w:r w:rsidR="00773BAD" w:rsidRPr="008A4AA8">
              <w:rPr>
                <w:rFonts w:ascii="Arial" w:hAnsi="Arial" w:cs="Arial"/>
                <w:i/>
                <w:sz w:val="24"/>
                <w:szCs w:val="24"/>
              </w:rPr>
              <w:t>Amukoto</w:t>
            </w:r>
            <w:proofErr w:type="spellEnd"/>
            <w:r w:rsidR="00773BAD" w:rsidRPr="008A4AA8">
              <w:rPr>
                <w:rFonts w:ascii="Arial" w:hAnsi="Arial" w:cs="Arial"/>
                <w:i/>
                <w:sz w:val="24"/>
                <w:szCs w:val="24"/>
              </w:rPr>
              <w:t xml:space="preserve">, S v </w:t>
            </w:r>
            <w:proofErr w:type="spellStart"/>
            <w:r w:rsidR="00773BAD" w:rsidRPr="008A4AA8">
              <w:rPr>
                <w:rFonts w:ascii="Arial" w:hAnsi="Arial" w:cs="Arial"/>
                <w:i/>
                <w:sz w:val="24"/>
                <w:szCs w:val="24"/>
              </w:rPr>
              <w:t>Shipange</w:t>
            </w:r>
            <w:proofErr w:type="spellEnd"/>
            <w:r w:rsidR="00773BAD" w:rsidRPr="008A4AA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73BAD" w:rsidRPr="008A4AA8">
              <w:rPr>
                <w:rFonts w:ascii="Arial" w:hAnsi="Arial" w:cs="Arial"/>
                <w:sz w:val="24"/>
                <w:szCs w:val="24"/>
              </w:rPr>
              <w:t>at para 11</w:t>
            </w:r>
            <w:r w:rsidR="00773BAD">
              <w:rPr>
                <w:rFonts w:ascii="Arial" w:hAnsi="Arial" w:cs="Arial"/>
                <w:i/>
              </w:rPr>
              <w:t>:</w:t>
            </w:r>
          </w:p>
          <w:p w:rsidR="000279C1" w:rsidRDefault="000279C1" w:rsidP="002D72FB">
            <w:pPr>
              <w:spacing w:before="240" w:after="3" w:line="360" w:lineRule="auto"/>
              <w:jc w:val="both"/>
              <w:rPr>
                <w:rFonts w:ascii="Arial" w:hAnsi="Arial" w:cs="Arial"/>
                <w:i/>
              </w:rPr>
            </w:pPr>
            <w:r>
              <w:tab/>
            </w:r>
            <w:r w:rsidRPr="000279C1">
              <w:rPr>
                <w:rFonts w:ascii="Arial" w:hAnsi="Arial" w:cs="Arial"/>
              </w:rPr>
              <w:t xml:space="preserve">‘It seems to me that since the amendment became operative, </w:t>
            </w:r>
            <w:r w:rsidRPr="00656D05">
              <w:rPr>
                <w:rFonts w:ascii="Arial" w:hAnsi="Arial" w:cs="Arial"/>
                <w:u w:val="single"/>
              </w:rPr>
              <w:t>the particulars of the offences allegedly committed, are now largely ignored; or given insufficient consideration by presiding officers when exercising their discretion whether or not to invoke the</w:t>
            </w:r>
            <w:r w:rsidR="008A4AA8">
              <w:rPr>
                <w:rFonts w:ascii="Arial" w:hAnsi="Arial" w:cs="Arial"/>
                <w:u w:val="single"/>
              </w:rPr>
              <w:t xml:space="preserve"> provisions of s 112 (1</w:t>
            </w:r>
            <w:proofErr w:type="gramStart"/>
            <w:r w:rsidR="008A4AA8">
              <w:rPr>
                <w:rFonts w:ascii="Arial" w:hAnsi="Arial" w:cs="Arial"/>
                <w:u w:val="single"/>
              </w:rPr>
              <w:t>)</w:t>
            </w:r>
            <w:r w:rsidRPr="00656D05">
              <w:rPr>
                <w:rFonts w:ascii="Arial" w:hAnsi="Arial" w:cs="Arial"/>
                <w:u w:val="single"/>
              </w:rPr>
              <w:t>(</w:t>
            </w:r>
            <w:proofErr w:type="gramEnd"/>
            <w:r w:rsidRPr="00656D05">
              <w:rPr>
                <w:rFonts w:ascii="Arial" w:hAnsi="Arial" w:cs="Arial"/>
                <w:u w:val="single"/>
              </w:rPr>
              <w:t xml:space="preserve">a); and that the emphasis is only on the fine that could be imposed to a maximum of N$6 000. </w:t>
            </w:r>
            <w:r w:rsidRPr="000279C1">
              <w:rPr>
                <w:rFonts w:ascii="Arial" w:hAnsi="Arial" w:cs="Arial"/>
              </w:rPr>
              <w:t xml:space="preserve">In other </w:t>
            </w:r>
            <w:r w:rsidRPr="000279C1">
              <w:rPr>
                <w:rFonts w:ascii="Arial" w:hAnsi="Arial" w:cs="Arial"/>
              </w:rPr>
              <w:lastRenderedPageBreak/>
              <w:t>words, the reasoning seems to be that, irrespective of the nature and particulars of the alleged offence, a severe fine, would be justified, even though the accused would be unable to pay the fine and therefore has to serve a custodial sentence. It is because of this approach that cases involving crimes such as housebreaking with intent to steal; theft; assault with intent to cause grievous bodily harm; and, even arson, are lately finalised in terms of s 112(1)(</w:t>
            </w:r>
            <w:r w:rsidRPr="00AC3BA5">
              <w:rPr>
                <w:rFonts w:ascii="Arial" w:hAnsi="Arial" w:cs="Arial"/>
                <w:i/>
              </w:rPr>
              <w:t>a</w:t>
            </w:r>
            <w:r w:rsidRPr="000279C1">
              <w:rPr>
                <w:rFonts w:ascii="Arial" w:hAnsi="Arial" w:cs="Arial"/>
              </w:rPr>
              <w:t>) of the Act. As earlier stated, the provisions of s 112(1</w:t>
            </w:r>
            <w:proofErr w:type="gramStart"/>
            <w:r w:rsidRPr="000279C1">
              <w:rPr>
                <w:rFonts w:ascii="Arial" w:hAnsi="Arial" w:cs="Arial"/>
              </w:rPr>
              <w:t>)(</w:t>
            </w:r>
            <w:proofErr w:type="gramEnd"/>
            <w:r w:rsidRPr="00AC3BA5">
              <w:rPr>
                <w:rFonts w:ascii="Arial" w:hAnsi="Arial" w:cs="Arial"/>
                <w:i/>
              </w:rPr>
              <w:t>a</w:t>
            </w:r>
            <w:r w:rsidRPr="000279C1">
              <w:rPr>
                <w:rFonts w:ascii="Arial" w:hAnsi="Arial" w:cs="Arial"/>
              </w:rPr>
              <w:t>) apply only to those cases involving offences considered to be minor; where the accused can be taken on his word to have committed the crime - without the court having to satisfy itself by questioning t</w:t>
            </w:r>
            <w:r w:rsidR="008A4AA8">
              <w:rPr>
                <w:rFonts w:ascii="Arial" w:hAnsi="Arial" w:cs="Arial"/>
              </w:rPr>
              <w:t>he accused in terms of s 112(1)</w:t>
            </w:r>
            <w:r w:rsidRPr="000279C1">
              <w:rPr>
                <w:rFonts w:ascii="Arial" w:hAnsi="Arial" w:cs="Arial"/>
              </w:rPr>
              <w:t>(</w:t>
            </w:r>
            <w:r w:rsidRPr="00AC3BA5">
              <w:rPr>
                <w:rFonts w:ascii="Arial" w:hAnsi="Arial" w:cs="Arial"/>
                <w:i/>
              </w:rPr>
              <w:t>b</w:t>
            </w:r>
            <w:r w:rsidRPr="000279C1">
              <w:rPr>
                <w:rFonts w:ascii="Arial" w:hAnsi="Arial" w:cs="Arial"/>
              </w:rPr>
              <w:t>) that an offence was committed and that it wa</w:t>
            </w:r>
            <w:r>
              <w:rPr>
                <w:rFonts w:ascii="Arial" w:hAnsi="Arial" w:cs="Arial"/>
              </w:rPr>
              <w:t xml:space="preserve">s the accused who committed it. </w:t>
            </w:r>
            <w:r w:rsidRPr="000279C1">
              <w:rPr>
                <w:rFonts w:ascii="Arial" w:hAnsi="Arial" w:cs="Arial"/>
              </w:rPr>
              <w:t>Specific provision is made in the Act to deal with guilty pleas involving serious offences in terms of s 112 (1) (</w:t>
            </w:r>
            <w:r w:rsidRPr="00AC3BA5">
              <w:rPr>
                <w:rFonts w:ascii="Arial" w:hAnsi="Arial" w:cs="Arial"/>
                <w:i/>
              </w:rPr>
              <w:t>b</w:t>
            </w:r>
            <w:r w:rsidRPr="000279C1">
              <w:rPr>
                <w:rFonts w:ascii="Arial" w:hAnsi="Arial" w:cs="Arial"/>
              </w:rPr>
              <w:t>) and presiding officers should fully understand the distinction between the two subsections and the ambit of each, when exercising their judicial discretion during a plea of guilty</w:t>
            </w:r>
            <w:r>
              <w:t>.’</w:t>
            </w:r>
            <w:r w:rsidR="00656D05">
              <w:t xml:space="preserve"> </w:t>
            </w:r>
            <w:r w:rsidR="00656D05" w:rsidRPr="00656D05">
              <w:rPr>
                <w:rFonts w:ascii="Arial" w:hAnsi="Arial" w:cs="Arial"/>
                <w:sz w:val="24"/>
                <w:szCs w:val="24"/>
              </w:rPr>
              <w:t>My emphasis.</w:t>
            </w:r>
          </w:p>
          <w:p w:rsidR="005F4FAA" w:rsidRDefault="00656D05" w:rsidP="002D72FB">
            <w:pPr>
              <w:spacing w:before="240" w:after="3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65623">
              <w:rPr>
                <w:rFonts w:ascii="Arial" w:hAnsi="Arial" w:cs="Arial"/>
                <w:sz w:val="24"/>
                <w:szCs w:val="24"/>
              </w:rPr>
              <w:t>Since that time</w:t>
            </w:r>
            <w:r w:rsidR="00AC3BA5">
              <w:rPr>
                <w:rFonts w:ascii="Arial" w:hAnsi="Arial" w:cs="Arial"/>
                <w:sz w:val="24"/>
                <w:szCs w:val="24"/>
              </w:rPr>
              <w:t>,</w:t>
            </w:r>
            <w:r w:rsidR="00D65623">
              <w:rPr>
                <w:rFonts w:ascii="Arial" w:hAnsi="Arial" w:cs="Arial"/>
                <w:sz w:val="24"/>
                <w:szCs w:val="24"/>
              </w:rPr>
              <w:t xml:space="preserve"> many review judgments had seen the light on the same topic, but magistrates continue to </w:t>
            </w:r>
            <w:r w:rsidR="00B31626">
              <w:rPr>
                <w:rFonts w:ascii="Arial" w:hAnsi="Arial" w:cs="Arial"/>
                <w:sz w:val="24"/>
                <w:szCs w:val="24"/>
              </w:rPr>
              <w:t xml:space="preserve">fail to exercise their discretion to </w:t>
            </w:r>
            <w:r w:rsidR="00142BFE">
              <w:rPr>
                <w:rFonts w:ascii="Arial" w:hAnsi="Arial" w:cs="Arial"/>
                <w:sz w:val="24"/>
                <w:szCs w:val="24"/>
              </w:rPr>
              <w:t>invoke s</w:t>
            </w:r>
            <w:r w:rsidR="008A4A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5623">
              <w:rPr>
                <w:rFonts w:ascii="Arial" w:hAnsi="Arial" w:cs="Arial"/>
                <w:sz w:val="24"/>
                <w:szCs w:val="24"/>
              </w:rPr>
              <w:t>112(1</w:t>
            </w:r>
            <w:proofErr w:type="gramStart"/>
            <w:r w:rsidR="00D65623"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="00D65623" w:rsidRPr="008A4AA8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D65623">
              <w:rPr>
                <w:rFonts w:ascii="Arial" w:hAnsi="Arial" w:cs="Arial"/>
                <w:sz w:val="24"/>
                <w:szCs w:val="24"/>
              </w:rPr>
              <w:t>) of the CPA</w:t>
            </w:r>
            <w:r w:rsidR="00142BFE">
              <w:rPr>
                <w:rFonts w:ascii="Arial" w:hAnsi="Arial" w:cs="Arial"/>
                <w:sz w:val="24"/>
                <w:szCs w:val="24"/>
              </w:rPr>
              <w:t xml:space="preserve"> judiciously</w:t>
            </w:r>
            <w:r w:rsidR="00173F95">
              <w:rPr>
                <w:rFonts w:ascii="Arial" w:hAnsi="Arial" w:cs="Arial"/>
                <w:sz w:val="24"/>
                <w:szCs w:val="24"/>
              </w:rPr>
              <w:t>,</w:t>
            </w:r>
            <w:r w:rsidR="00D65623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  <w:r w:rsidR="00D656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F95">
              <w:rPr>
                <w:rFonts w:ascii="Arial" w:hAnsi="Arial" w:cs="Arial"/>
                <w:sz w:val="24"/>
                <w:szCs w:val="24"/>
              </w:rPr>
              <w:t>which usually result in anomaly in sentencing as will be seen below.</w:t>
            </w:r>
          </w:p>
          <w:p w:rsidR="005F4FAA" w:rsidRDefault="005F4FAA" w:rsidP="002D72FB">
            <w:pPr>
              <w:spacing w:before="240" w:after="3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[6]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73D29">
              <w:rPr>
                <w:rFonts w:ascii="Arial" w:hAnsi="Arial" w:cs="Arial"/>
                <w:sz w:val="24"/>
                <w:szCs w:val="24"/>
              </w:rPr>
              <w:t>I move to the ot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her concern about the </w:t>
            </w:r>
            <w:r w:rsidR="00D73D29">
              <w:rPr>
                <w:rFonts w:ascii="Arial" w:hAnsi="Arial" w:cs="Arial"/>
                <w:sz w:val="24"/>
                <w:szCs w:val="24"/>
              </w:rPr>
              <w:t>conviction. T</w:t>
            </w:r>
            <w:r w:rsidR="00173F95">
              <w:rPr>
                <w:rFonts w:ascii="Arial" w:hAnsi="Arial" w:cs="Arial"/>
                <w:sz w:val="24"/>
                <w:szCs w:val="24"/>
              </w:rPr>
              <w:t xml:space="preserve">he same subject matter arose in </w:t>
            </w:r>
            <w:proofErr w:type="spellStart"/>
            <w:r w:rsidR="00656D05" w:rsidRPr="00D65623">
              <w:rPr>
                <w:rFonts w:ascii="Arial" w:hAnsi="Arial" w:cs="Arial"/>
                <w:i/>
                <w:sz w:val="24"/>
                <w:szCs w:val="24"/>
              </w:rPr>
              <w:t>Goagoseb</w:t>
            </w:r>
            <w:proofErr w:type="spellEnd"/>
            <w:r w:rsidR="00656D05" w:rsidRPr="00D65623">
              <w:rPr>
                <w:rFonts w:ascii="Arial" w:hAnsi="Arial" w:cs="Arial"/>
                <w:i/>
                <w:sz w:val="24"/>
                <w:szCs w:val="24"/>
              </w:rPr>
              <w:t xml:space="preserve"> and 4 others</w:t>
            </w:r>
            <w:r w:rsidR="00D65623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656D05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  <w:r w:rsidR="00D73D2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73D29" w:rsidRPr="00D73D29">
              <w:rPr>
                <w:rFonts w:ascii="Arial" w:hAnsi="Arial" w:cs="Arial"/>
                <w:sz w:val="24"/>
                <w:szCs w:val="24"/>
              </w:rPr>
              <w:t xml:space="preserve">and it was stated </w:t>
            </w:r>
            <w:r w:rsidRPr="00D73D29">
              <w:rPr>
                <w:rFonts w:ascii="Arial" w:hAnsi="Arial" w:cs="Arial"/>
                <w:sz w:val="24"/>
                <w:szCs w:val="24"/>
              </w:rPr>
              <w:t>that</w:t>
            </w:r>
            <w:r w:rsidRPr="005F4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B7D">
              <w:rPr>
                <w:rFonts w:ascii="Arial" w:hAnsi="Arial" w:cs="Arial"/>
                <w:sz w:val="24"/>
                <w:szCs w:val="24"/>
              </w:rPr>
              <w:t>t</w:t>
            </w:r>
            <w:r w:rsidRPr="005F4FAA">
              <w:rPr>
                <w:rFonts w:ascii="Arial" w:hAnsi="Arial" w:cs="Arial"/>
                <w:sz w:val="24"/>
                <w:szCs w:val="24"/>
              </w:rPr>
              <w:t>he magistrate, in the absence of questioning the accused persons, could not have been satisfied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do not have a valid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defens</w:t>
            </w:r>
            <w:r w:rsidRPr="005F4FAA"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5F4FAA">
              <w:rPr>
                <w:rFonts w:ascii="Arial" w:hAnsi="Arial" w:cs="Arial"/>
                <w:sz w:val="24"/>
                <w:szCs w:val="24"/>
              </w:rPr>
              <w:t xml:space="preserve"> in the sense that they could have a justified explanation for the possession of the donkey meat in question.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AC3BA5">
              <w:rPr>
                <w:rFonts w:ascii="Arial" w:hAnsi="Arial" w:cs="Arial"/>
                <w:i/>
                <w:sz w:val="24"/>
                <w:szCs w:val="24"/>
              </w:rPr>
              <w:t>Goagose</w:t>
            </w:r>
            <w:proofErr w:type="spellEnd"/>
            <w:r w:rsidR="00AC3BA5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577B7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review court set aside the conviction on account of the misdirection by the magistrate to have applied s 112(1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)(</w:t>
            </w:r>
            <w:proofErr w:type="gramEnd"/>
            <w:r w:rsidRPr="008A4AA8">
              <w:rPr>
                <w:rFonts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) of the CPA for the said offence. </w:t>
            </w:r>
            <w:r w:rsidR="00577B7D">
              <w:rPr>
                <w:rFonts w:ascii="Arial" w:hAnsi="Arial" w:cs="Arial"/>
                <w:sz w:val="24"/>
                <w:szCs w:val="24"/>
              </w:rPr>
              <w:t>This court is in agreement with that sentiment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same result follows herein on account of the </w:t>
            </w:r>
            <w:r w:rsidR="00577B7D">
              <w:rPr>
                <w:rFonts w:ascii="Arial" w:hAnsi="Arial" w:cs="Arial"/>
                <w:sz w:val="24"/>
                <w:szCs w:val="24"/>
              </w:rPr>
              <w:t xml:space="preserve">same mistake. The justification given by the magistrate does nothing </w:t>
            </w:r>
            <w:r w:rsidR="00593DFB">
              <w:rPr>
                <w:rFonts w:ascii="Arial" w:hAnsi="Arial" w:cs="Arial"/>
                <w:sz w:val="24"/>
                <w:szCs w:val="24"/>
              </w:rPr>
              <w:t xml:space="preserve">to cure the irregularity. </w:t>
            </w:r>
          </w:p>
          <w:p w:rsidR="008B3E53" w:rsidRDefault="00577B7D" w:rsidP="002D72FB">
            <w:pPr>
              <w:spacing w:before="240" w:after="3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[7]</w:t>
            </w:r>
            <w:r>
              <w:rPr>
                <w:rFonts w:ascii="Arial" w:hAnsi="Arial" w:cs="Arial"/>
                <w:sz w:val="24"/>
                <w:szCs w:val="24"/>
              </w:rPr>
              <w:tab/>
              <w:t>In turning to the sentence,</w:t>
            </w:r>
            <w:r w:rsidR="000C72FB">
              <w:rPr>
                <w:rFonts w:ascii="Arial" w:hAnsi="Arial" w:cs="Arial"/>
                <w:sz w:val="24"/>
                <w:szCs w:val="24"/>
              </w:rPr>
              <w:t xml:space="preserve"> it also stands to be set aside, as once again the accused was slapped with a </w:t>
            </w:r>
            <w:r w:rsidR="00FC4C80">
              <w:rPr>
                <w:rFonts w:ascii="Arial" w:hAnsi="Arial" w:cs="Arial"/>
                <w:sz w:val="24"/>
                <w:szCs w:val="24"/>
              </w:rPr>
              <w:t>relatively heavy</w:t>
            </w:r>
            <w:r w:rsidR="000C72FB">
              <w:rPr>
                <w:rFonts w:ascii="Arial" w:hAnsi="Arial" w:cs="Arial"/>
                <w:sz w:val="24"/>
                <w:szCs w:val="24"/>
              </w:rPr>
              <w:t xml:space="preserve"> alternative period of imprisonment in the sentence, yet the magistrate regarded</w:t>
            </w:r>
            <w:r w:rsidR="00AC3BA5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0C72FB">
              <w:rPr>
                <w:rFonts w:ascii="Arial" w:hAnsi="Arial" w:cs="Arial"/>
                <w:sz w:val="24"/>
                <w:szCs w:val="24"/>
              </w:rPr>
              <w:t xml:space="preserve"> offence as a minor one </w:t>
            </w:r>
            <w:r w:rsidR="00EF33FA">
              <w:rPr>
                <w:rFonts w:ascii="Arial" w:hAnsi="Arial" w:cs="Arial"/>
                <w:sz w:val="24"/>
                <w:szCs w:val="24"/>
              </w:rPr>
              <w:t>during the plea stage. T</w:t>
            </w:r>
            <w:r w:rsidR="000C72FB">
              <w:rPr>
                <w:rFonts w:ascii="Arial" w:hAnsi="Arial" w:cs="Arial"/>
                <w:sz w:val="24"/>
                <w:szCs w:val="24"/>
              </w:rPr>
              <w:t xml:space="preserve">his untenable situation was </w:t>
            </w:r>
            <w:r w:rsidR="00EF33FA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0C72FB">
              <w:rPr>
                <w:rFonts w:ascii="Arial" w:hAnsi="Arial" w:cs="Arial"/>
                <w:sz w:val="24"/>
                <w:szCs w:val="24"/>
              </w:rPr>
              <w:t xml:space="preserve">referred to </w:t>
            </w:r>
            <w:r w:rsidR="00AC3BA5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0C72FB">
              <w:rPr>
                <w:rFonts w:ascii="Arial" w:hAnsi="Arial" w:cs="Arial"/>
                <w:sz w:val="24"/>
                <w:szCs w:val="24"/>
              </w:rPr>
              <w:t>the</w:t>
            </w:r>
            <w:r w:rsidR="000C72FB" w:rsidRPr="00EF33F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0C72FB" w:rsidRPr="00EF33FA">
              <w:rPr>
                <w:rFonts w:ascii="Arial" w:hAnsi="Arial" w:cs="Arial"/>
                <w:i/>
                <w:sz w:val="24"/>
                <w:szCs w:val="24"/>
              </w:rPr>
              <w:t>Onesmus</w:t>
            </w:r>
            <w:proofErr w:type="spellEnd"/>
            <w:r w:rsidR="000C72FB">
              <w:rPr>
                <w:rFonts w:ascii="Arial" w:hAnsi="Arial" w:cs="Arial"/>
                <w:sz w:val="24"/>
                <w:szCs w:val="24"/>
              </w:rPr>
              <w:t xml:space="preserve"> matter at para </w:t>
            </w:r>
            <w:r w:rsidR="00FC4C80">
              <w:rPr>
                <w:rFonts w:ascii="Arial" w:hAnsi="Arial" w:cs="Arial"/>
                <w:sz w:val="24"/>
                <w:szCs w:val="24"/>
              </w:rPr>
              <w:t xml:space="preserve">8 and </w:t>
            </w:r>
            <w:r w:rsidR="00AC3BA5">
              <w:rPr>
                <w:rFonts w:ascii="Arial" w:hAnsi="Arial" w:cs="Arial"/>
                <w:sz w:val="24"/>
                <w:szCs w:val="24"/>
              </w:rPr>
              <w:t>10</w:t>
            </w:r>
            <w:r w:rsidR="000C72FB">
              <w:rPr>
                <w:rFonts w:ascii="Arial" w:hAnsi="Arial" w:cs="Arial"/>
                <w:sz w:val="24"/>
                <w:szCs w:val="24"/>
              </w:rPr>
              <w:t>.</w:t>
            </w:r>
            <w:r w:rsidR="000C72FB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  <w:r w:rsidR="008B3E53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8B3E53" w:rsidRPr="008B3E53">
              <w:rPr>
                <w:rFonts w:ascii="Arial" w:hAnsi="Arial" w:cs="Arial"/>
                <w:i/>
                <w:sz w:val="24"/>
                <w:szCs w:val="24"/>
              </w:rPr>
              <w:t>Nyumba</w:t>
            </w:r>
            <w:proofErr w:type="spellEnd"/>
            <w:r w:rsidR="00AC3BA5">
              <w:rPr>
                <w:rFonts w:ascii="Arial" w:hAnsi="Arial" w:cs="Arial"/>
                <w:sz w:val="24"/>
                <w:szCs w:val="24"/>
              </w:rPr>
              <w:t>,</w:t>
            </w:r>
            <w:r w:rsidR="008B3E53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8B3E53">
              <w:rPr>
                <w:rFonts w:ascii="Arial" w:hAnsi="Arial" w:cs="Arial"/>
                <w:sz w:val="24"/>
                <w:szCs w:val="24"/>
              </w:rPr>
              <w:lastRenderedPageBreak/>
              <w:t>court stated at para 8 that eight months, even though imposed as an alternative to a sentence of a fine,  was too harsh and it induced a sense of shock where s 112(1)(</w:t>
            </w:r>
            <w:r w:rsidR="008B3E53" w:rsidRPr="00AE651E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8B3E53">
              <w:rPr>
                <w:rFonts w:ascii="Arial" w:hAnsi="Arial" w:cs="Arial"/>
                <w:sz w:val="24"/>
                <w:szCs w:val="24"/>
              </w:rPr>
              <w:t xml:space="preserve">) of the CPA was applied. We are of the same view </w:t>
            </w:r>
            <w:r w:rsidR="00873219">
              <w:rPr>
                <w:rFonts w:ascii="Arial" w:hAnsi="Arial" w:cs="Arial"/>
                <w:sz w:val="24"/>
                <w:szCs w:val="24"/>
              </w:rPr>
              <w:t>about the imprisonment term which was imposed as an alternative to the fine.</w:t>
            </w:r>
            <w:r w:rsidR="008B3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72FB" w:rsidRDefault="002D72FB" w:rsidP="002D72FB">
            <w:pPr>
              <w:spacing w:before="240" w:after="3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C4C8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ab/>
              <w:t>In the result, the following order is made:</w:t>
            </w:r>
          </w:p>
          <w:p w:rsidR="008B3E53" w:rsidRDefault="006C742C" w:rsidP="008B3E53">
            <w:pPr>
              <w:pStyle w:val="ListParagraph"/>
              <w:numPr>
                <w:ilvl w:val="0"/>
                <w:numId w:val="9"/>
              </w:numPr>
              <w:spacing w:before="240" w:after="3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Each accused’s conviction </w:t>
            </w:r>
            <w:r w:rsidR="008B3E53">
              <w:rPr>
                <w:rFonts w:ascii="Arial" w:hAnsi="Arial" w:cs="Arial"/>
                <w:sz w:val="24"/>
                <w:szCs w:val="24"/>
              </w:rPr>
              <w:t>and sentence are set aside.</w:t>
            </w:r>
          </w:p>
          <w:p w:rsidR="00AE651E" w:rsidRDefault="008B3E53" w:rsidP="00AE651E">
            <w:pPr>
              <w:pStyle w:val="ListParagraph"/>
              <w:numPr>
                <w:ilvl w:val="0"/>
                <w:numId w:val="9"/>
              </w:numPr>
              <w:spacing w:before="240" w:after="3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matter is remitted to the magistrate with a direction that count 4 be dealt with afresh from the stage of plea.</w:t>
            </w:r>
          </w:p>
          <w:p w:rsidR="002D72FB" w:rsidRPr="00AE651E" w:rsidRDefault="008B3E53" w:rsidP="00AE651E">
            <w:pPr>
              <w:pStyle w:val="ListParagraph"/>
              <w:numPr>
                <w:ilvl w:val="0"/>
                <w:numId w:val="9"/>
              </w:numPr>
              <w:spacing w:before="240" w:after="3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51E">
              <w:rPr>
                <w:rFonts w:ascii="Arial" w:hAnsi="Arial" w:cs="Arial"/>
                <w:sz w:val="24"/>
                <w:szCs w:val="24"/>
              </w:rPr>
              <w:t>In the event of a conviction</w:t>
            </w:r>
            <w:r w:rsidR="00AC3BA5">
              <w:rPr>
                <w:rFonts w:ascii="Arial" w:hAnsi="Arial" w:cs="Arial"/>
                <w:sz w:val="24"/>
                <w:szCs w:val="24"/>
              </w:rPr>
              <w:t>,</w:t>
            </w:r>
            <w:r w:rsidRPr="00AE651E">
              <w:rPr>
                <w:rFonts w:ascii="Arial" w:hAnsi="Arial" w:cs="Arial"/>
                <w:sz w:val="24"/>
                <w:szCs w:val="24"/>
              </w:rPr>
              <w:t xml:space="preserve"> the sentencing magistrate must have regard to the </w:t>
            </w:r>
            <w:r w:rsidR="00593DFB" w:rsidRPr="00AE651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E651E">
              <w:rPr>
                <w:rFonts w:ascii="Arial" w:hAnsi="Arial" w:cs="Arial"/>
                <w:sz w:val="24"/>
                <w:szCs w:val="24"/>
              </w:rPr>
              <w:t>sentence that has already been served.</w:t>
            </w:r>
          </w:p>
          <w:p w:rsidR="008B3E53" w:rsidRPr="00184D10" w:rsidRDefault="008B3E53" w:rsidP="008B3E53">
            <w:pPr>
              <w:pStyle w:val="ListParagraph"/>
              <w:spacing w:before="240" w:after="3" w:line="360" w:lineRule="auto"/>
              <w:ind w:left="9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10" w:rsidRPr="00184D10" w:rsidTr="002573BB">
        <w:tc>
          <w:tcPr>
            <w:tcW w:w="4770" w:type="dxa"/>
          </w:tcPr>
          <w:p w:rsidR="00184D10" w:rsidRPr="00184D10" w:rsidRDefault="00184D10" w:rsidP="002573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4D10" w:rsidRPr="00184D10" w:rsidRDefault="00184D10" w:rsidP="002573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4D10" w:rsidRPr="00184D10" w:rsidRDefault="00184D10" w:rsidP="002573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184D10" w:rsidRPr="00184D10" w:rsidRDefault="00184D10" w:rsidP="002573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D10" w:rsidRPr="00184D10" w:rsidTr="002573BB">
        <w:trPr>
          <w:trHeight w:val="827"/>
        </w:trPr>
        <w:tc>
          <w:tcPr>
            <w:tcW w:w="4770" w:type="dxa"/>
          </w:tcPr>
          <w:p w:rsidR="00184D10" w:rsidRPr="00184D10" w:rsidRDefault="00184D10" w:rsidP="002573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C CLAASEN</w:t>
            </w:r>
          </w:p>
          <w:p w:rsidR="00184D10" w:rsidRPr="00184D10" w:rsidRDefault="00184D10" w:rsidP="002573B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D10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B31626" w:rsidRPr="00B31626" w:rsidRDefault="00B31626" w:rsidP="00B31626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1626">
              <w:rPr>
                <w:rFonts w:ascii="Arial" w:hAnsi="Arial" w:cs="Arial"/>
                <w:b/>
                <w:sz w:val="24"/>
                <w:szCs w:val="24"/>
              </w:rPr>
              <w:t xml:space="preserve">CHRISTIAAN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  <w:p w:rsidR="00184D10" w:rsidRPr="00184D10" w:rsidRDefault="00B31626" w:rsidP="002573B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ACTING </w:t>
            </w:r>
            <w:r w:rsidR="00184D10" w:rsidRPr="00184D10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</w:tr>
    </w:tbl>
    <w:p w:rsidR="00184D10" w:rsidRPr="00184D10" w:rsidRDefault="00184D10" w:rsidP="00184D10">
      <w:pPr>
        <w:rPr>
          <w:rFonts w:ascii="Arial" w:hAnsi="Arial" w:cs="Arial"/>
          <w:sz w:val="24"/>
          <w:szCs w:val="24"/>
        </w:rPr>
      </w:pPr>
    </w:p>
    <w:p w:rsidR="002D14AD" w:rsidRPr="00184D10" w:rsidRDefault="002D14AD" w:rsidP="00184D10">
      <w:pPr>
        <w:rPr>
          <w:rFonts w:ascii="Arial" w:hAnsi="Arial" w:cs="Arial"/>
          <w:sz w:val="24"/>
          <w:szCs w:val="24"/>
        </w:rPr>
      </w:pPr>
    </w:p>
    <w:sectPr w:rsidR="002D14AD" w:rsidRPr="00184D10" w:rsidSect="00C4143B">
      <w:headerReference w:type="default" r:id="rId9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E8" w:rsidRDefault="00F36BE8" w:rsidP="00CA04B0">
      <w:pPr>
        <w:spacing w:after="0" w:line="240" w:lineRule="auto"/>
      </w:pPr>
      <w:r>
        <w:separator/>
      </w:r>
    </w:p>
  </w:endnote>
  <w:endnote w:type="continuationSeparator" w:id="0">
    <w:p w:rsidR="00F36BE8" w:rsidRDefault="00F36BE8" w:rsidP="00CA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E8" w:rsidRDefault="00F36BE8" w:rsidP="00CA04B0">
      <w:pPr>
        <w:spacing w:after="0" w:line="240" w:lineRule="auto"/>
      </w:pPr>
      <w:r>
        <w:separator/>
      </w:r>
    </w:p>
  </w:footnote>
  <w:footnote w:type="continuationSeparator" w:id="0">
    <w:p w:rsidR="00F36BE8" w:rsidRDefault="00F36BE8" w:rsidP="00CA04B0">
      <w:pPr>
        <w:spacing w:after="0" w:line="240" w:lineRule="auto"/>
      </w:pPr>
      <w:r>
        <w:continuationSeparator/>
      </w:r>
    </w:p>
  </w:footnote>
  <w:footnote w:id="1">
    <w:p w:rsidR="008B52A4" w:rsidRPr="0036741C" w:rsidRDefault="008B52A4">
      <w:pPr>
        <w:pStyle w:val="FootnoteText"/>
        <w:rPr>
          <w:rFonts w:ascii="Arial" w:hAnsi="Arial" w:cs="Arial"/>
        </w:rPr>
      </w:pPr>
      <w:r w:rsidRPr="0036741C">
        <w:rPr>
          <w:rStyle w:val="FootnoteReference"/>
          <w:rFonts w:ascii="Arial" w:hAnsi="Arial" w:cs="Arial"/>
        </w:rPr>
        <w:footnoteRef/>
      </w:r>
      <w:r w:rsidRPr="0036741C">
        <w:rPr>
          <w:rFonts w:ascii="Arial" w:hAnsi="Arial" w:cs="Arial"/>
        </w:rPr>
        <w:t xml:space="preserve"> </w:t>
      </w:r>
      <w:r w:rsidRPr="0036741C">
        <w:rPr>
          <w:rFonts w:ascii="Arial" w:hAnsi="Arial" w:cs="Arial"/>
          <w:i/>
        </w:rPr>
        <w:t xml:space="preserve">S v </w:t>
      </w:r>
      <w:proofErr w:type="spellStart"/>
      <w:r w:rsidRPr="0036741C">
        <w:rPr>
          <w:rFonts w:ascii="Arial" w:hAnsi="Arial" w:cs="Arial"/>
          <w:i/>
        </w:rPr>
        <w:t>Aniseb</w:t>
      </w:r>
      <w:proofErr w:type="spellEnd"/>
      <w:r w:rsidRPr="0036741C">
        <w:rPr>
          <w:rFonts w:ascii="Arial" w:hAnsi="Arial" w:cs="Arial"/>
          <w:i/>
        </w:rPr>
        <w:t xml:space="preserve"> and another</w:t>
      </w:r>
      <w:r w:rsidRPr="0036741C">
        <w:rPr>
          <w:rFonts w:ascii="Arial" w:hAnsi="Arial" w:cs="Arial"/>
        </w:rPr>
        <w:t xml:space="preserve"> 1991 NR 203(HC) and </w:t>
      </w:r>
      <w:r w:rsidRPr="0036741C">
        <w:rPr>
          <w:rFonts w:ascii="Arial" w:hAnsi="Arial" w:cs="Arial"/>
          <w:i/>
        </w:rPr>
        <w:t xml:space="preserve">S v </w:t>
      </w:r>
      <w:proofErr w:type="spellStart"/>
      <w:r w:rsidRPr="0036741C">
        <w:rPr>
          <w:rFonts w:ascii="Arial" w:hAnsi="Arial" w:cs="Arial"/>
          <w:i/>
        </w:rPr>
        <w:t>Onesmus</w:t>
      </w:r>
      <w:proofErr w:type="spellEnd"/>
      <w:r w:rsidRPr="0036741C">
        <w:rPr>
          <w:rFonts w:ascii="Arial" w:hAnsi="Arial" w:cs="Arial"/>
          <w:i/>
        </w:rPr>
        <w:t xml:space="preserve">, S v </w:t>
      </w:r>
      <w:proofErr w:type="spellStart"/>
      <w:r w:rsidRPr="0036741C">
        <w:rPr>
          <w:rFonts w:ascii="Arial" w:hAnsi="Arial" w:cs="Arial"/>
          <w:i/>
        </w:rPr>
        <w:t>Amukoto</w:t>
      </w:r>
      <w:proofErr w:type="spellEnd"/>
      <w:r w:rsidRPr="0036741C">
        <w:rPr>
          <w:rFonts w:ascii="Arial" w:hAnsi="Arial" w:cs="Arial"/>
          <w:i/>
        </w:rPr>
        <w:t xml:space="preserve">, S v </w:t>
      </w:r>
      <w:proofErr w:type="spellStart"/>
      <w:r w:rsidRPr="0036741C">
        <w:rPr>
          <w:rFonts w:ascii="Arial" w:hAnsi="Arial" w:cs="Arial"/>
          <w:i/>
        </w:rPr>
        <w:t>Shipange</w:t>
      </w:r>
      <w:proofErr w:type="spellEnd"/>
      <w:r w:rsidRPr="0036741C">
        <w:rPr>
          <w:rFonts w:ascii="Arial" w:hAnsi="Arial" w:cs="Arial"/>
          <w:i/>
        </w:rPr>
        <w:t xml:space="preserve"> </w:t>
      </w:r>
      <w:r w:rsidRPr="0036741C">
        <w:rPr>
          <w:rFonts w:ascii="Arial" w:hAnsi="Arial" w:cs="Arial"/>
        </w:rPr>
        <w:t>2011(2) NR 461.</w:t>
      </w:r>
    </w:p>
  </w:footnote>
  <w:footnote w:id="2">
    <w:p w:rsidR="00D65623" w:rsidRPr="00D73D29" w:rsidRDefault="00D65623" w:rsidP="00D65623">
      <w:pPr>
        <w:pStyle w:val="FootnoteText"/>
        <w:rPr>
          <w:rFonts w:ascii="Arial" w:hAnsi="Arial" w:cs="Arial"/>
        </w:rPr>
      </w:pPr>
      <w:r w:rsidRPr="0036741C">
        <w:rPr>
          <w:rStyle w:val="FootnoteReference"/>
          <w:rFonts w:ascii="Arial" w:hAnsi="Arial" w:cs="Arial"/>
        </w:rPr>
        <w:footnoteRef/>
      </w:r>
      <w:r w:rsidRPr="0036741C">
        <w:rPr>
          <w:rFonts w:ascii="Arial" w:hAnsi="Arial" w:cs="Arial"/>
        </w:rPr>
        <w:t xml:space="preserve"> </w:t>
      </w:r>
      <w:r w:rsidRPr="00D73D29">
        <w:rPr>
          <w:rFonts w:ascii="Arial" w:hAnsi="Arial" w:cs="Arial"/>
          <w:i/>
        </w:rPr>
        <w:t xml:space="preserve">S v </w:t>
      </w:r>
      <w:proofErr w:type="spellStart"/>
      <w:r w:rsidRPr="00D73D29">
        <w:rPr>
          <w:rFonts w:ascii="Arial" w:hAnsi="Arial" w:cs="Arial"/>
          <w:i/>
        </w:rPr>
        <w:t>Skrywer</w:t>
      </w:r>
      <w:proofErr w:type="spellEnd"/>
      <w:r w:rsidRPr="00D73D29">
        <w:rPr>
          <w:rFonts w:ascii="Arial" w:hAnsi="Arial" w:cs="Arial"/>
        </w:rPr>
        <w:t xml:space="preserve"> (CR 22/2015</w:t>
      </w:r>
      <w:proofErr w:type="gramStart"/>
      <w:r w:rsidRPr="00D73D29">
        <w:rPr>
          <w:rFonts w:ascii="Arial" w:hAnsi="Arial" w:cs="Arial"/>
        </w:rPr>
        <w:t>)[</w:t>
      </w:r>
      <w:proofErr w:type="gramEnd"/>
      <w:r w:rsidRPr="00D73D29">
        <w:rPr>
          <w:rFonts w:ascii="Arial" w:hAnsi="Arial" w:cs="Arial"/>
        </w:rPr>
        <w:t xml:space="preserve">2015] NAHCMD 258 (30 October 2015),  </w:t>
      </w:r>
      <w:r w:rsidRPr="00D73D29">
        <w:rPr>
          <w:rFonts w:ascii="Arial" w:hAnsi="Arial" w:cs="Arial"/>
          <w:i/>
        </w:rPr>
        <w:t>S v Michael</w:t>
      </w:r>
      <w:r w:rsidRPr="00D73D29">
        <w:rPr>
          <w:rFonts w:ascii="Arial" w:hAnsi="Arial" w:cs="Arial"/>
        </w:rPr>
        <w:t xml:space="preserve"> (CR 1/2017) [2017] NAHCNLD 17 (3 March 2017), </w:t>
      </w:r>
      <w:r w:rsidRPr="00D73D29">
        <w:rPr>
          <w:rFonts w:ascii="Arial" w:hAnsi="Arial" w:cs="Arial"/>
          <w:i/>
        </w:rPr>
        <w:t>S v Frederick (</w:t>
      </w:r>
      <w:r w:rsidRPr="00D73D29">
        <w:rPr>
          <w:rFonts w:ascii="Arial" w:hAnsi="Arial" w:cs="Arial"/>
        </w:rPr>
        <w:t xml:space="preserve">CR 14/2019)[2019] NAHCNLD 23 (28 February 2019), </w:t>
      </w:r>
      <w:r w:rsidRPr="00D73D29">
        <w:rPr>
          <w:rFonts w:ascii="Arial" w:hAnsi="Arial" w:cs="Arial"/>
          <w:i/>
        </w:rPr>
        <w:t xml:space="preserve">S v </w:t>
      </w:r>
      <w:proofErr w:type="spellStart"/>
      <w:r w:rsidRPr="00D73D29">
        <w:rPr>
          <w:rFonts w:ascii="Arial" w:hAnsi="Arial" w:cs="Arial"/>
          <w:i/>
        </w:rPr>
        <w:t>Jona</w:t>
      </w:r>
      <w:proofErr w:type="spellEnd"/>
      <w:r w:rsidRPr="00D73D29">
        <w:rPr>
          <w:rFonts w:ascii="Arial" w:hAnsi="Arial" w:cs="Arial"/>
        </w:rPr>
        <w:t xml:space="preserve"> (39/2021) [2021] NAHCMD 255 (12 May 2021). </w:t>
      </w:r>
    </w:p>
  </w:footnote>
  <w:footnote w:id="3">
    <w:p w:rsidR="00656D05" w:rsidRPr="00D73D29" w:rsidRDefault="00656D05">
      <w:pPr>
        <w:pStyle w:val="FootnoteText"/>
        <w:rPr>
          <w:rFonts w:ascii="Arial" w:hAnsi="Arial" w:cs="Arial"/>
        </w:rPr>
      </w:pPr>
      <w:r w:rsidRPr="00D73D29">
        <w:rPr>
          <w:rStyle w:val="FootnoteReference"/>
          <w:rFonts w:ascii="Arial" w:hAnsi="Arial" w:cs="Arial"/>
        </w:rPr>
        <w:footnoteRef/>
      </w:r>
      <w:r w:rsidRPr="00D73D29">
        <w:rPr>
          <w:rFonts w:ascii="Arial" w:hAnsi="Arial" w:cs="Arial"/>
        </w:rPr>
        <w:t xml:space="preserve"> </w:t>
      </w:r>
      <w:r w:rsidRPr="00D73D29">
        <w:rPr>
          <w:rFonts w:ascii="Arial" w:hAnsi="Arial" w:cs="Arial"/>
          <w:i/>
        </w:rPr>
        <w:t xml:space="preserve">S v </w:t>
      </w:r>
      <w:proofErr w:type="spellStart"/>
      <w:r w:rsidRPr="00D73D29">
        <w:rPr>
          <w:rFonts w:ascii="Arial" w:hAnsi="Arial" w:cs="Arial"/>
          <w:i/>
        </w:rPr>
        <w:t>Goagoseb</w:t>
      </w:r>
      <w:proofErr w:type="spellEnd"/>
      <w:r w:rsidRPr="00D73D29">
        <w:rPr>
          <w:rFonts w:ascii="Arial" w:hAnsi="Arial" w:cs="Arial"/>
          <w:i/>
        </w:rPr>
        <w:t xml:space="preserve"> and 4 others</w:t>
      </w:r>
      <w:r w:rsidRPr="00D73D29">
        <w:rPr>
          <w:rFonts w:ascii="Arial" w:hAnsi="Arial" w:cs="Arial"/>
        </w:rPr>
        <w:t xml:space="preserve"> (CR 60/2022) [2022] NAHCMD 33 (8 July 2022).</w:t>
      </w:r>
    </w:p>
  </w:footnote>
  <w:footnote w:id="4">
    <w:p w:rsidR="000C72FB" w:rsidRPr="00D73D29" w:rsidRDefault="000C72FB">
      <w:pPr>
        <w:pStyle w:val="FootnoteText"/>
        <w:rPr>
          <w:rFonts w:ascii="Arial" w:hAnsi="Arial" w:cs="Arial"/>
        </w:rPr>
      </w:pPr>
      <w:r w:rsidRPr="00D73D29">
        <w:rPr>
          <w:rStyle w:val="FootnoteReference"/>
          <w:rFonts w:ascii="Arial" w:hAnsi="Arial" w:cs="Arial"/>
        </w:rPr>
        <w:footnoteRef/>
      </w:r>
      <w:r w:rsidRPr="00D73D29">
        <w:rPr>
          <w:rFonts w:ascii="Arial" w:hAnsi="Arial" w:cs="Arial"/>
        </w:rPr>
        <w:t xml:space="preserve"> </w:t>
      </w:r>
      <w:r w:rsidR="00FC4C80" w:rsidRPr="00D73D29">
        <w:rPr>
          <w:rFonts w:ascii="Arial" w:hAnsi="Arial" w:cs="Arial"/>
        </w:rPr>
        <w:t xml:space="preserve"> </w:t>
      </w:r>
      <w:r w:rsidR="00EF33FA" w:rsidRPr="00D73D29">
        <w:rPr>
          <w:rFonts w:ascii="Arial" w:hAnsi="Arial" w:cs="Arial"/>
          <w:i/>
          <w:color w:val="0D0D0D"/>
        </w:rPr>
        <w:t xml:space="preserve">S v </w:t>
      </w:r>
      <w:proofErr w:type="spellStart"/>
      <w:r w:rsidR="00EF33FA" w:rsidRPr="00D73D29">
        <w:rPr>
          <w:rFonts w:ascii="Arial" w:hAnsi="Arial" w:cs="Arial"/>
          <w:i/>
          <w:color w:val="171717"/>
        </w:rPr>
        <w:t>Kanyenge</w:t>
      </w:r>
      <w:proofErr w:type="spellEnd"/>
      <w:r w:rsidR="00EF33FA" w:rsidRPr="00D73D29">
        <w:rPr>
          <w:rFonts w:ascii="Arial" w:hAnsi="Arial" w:cs="Arial"/>
          <w:i/>
          <w:color w:val="0D0D0D"/>
        </w:rPr>
        <w:t xml:space="preserve"> </w:t>
      </w:r>
      <w:r w:rsidR="00EF33FA" w:rsidRPr="00D73D29">
        <w:rPr>
          <w:rFonts w:ascii="Arial" w:hAnsi="Arial" w:cs="Arial"/>
          <w:color w:val="0D0D0D"/>
        </w:rPr>
        <w:t>(CR 83/2021) [2021] NAHCMD 447 (01 October 2021)</w:t>
      </w:r>
      <w:proofErr w:type="gramStart"/>
      <w:r w:rsidR="00EF33FA">
        <w:rPr>
          <w:rFonts w:ascii="Arial" w:hAnsi="Arial" w:cs="Arial"/>
          <w:color w:val="0D0D0D"/>
        </w:rPr>
        <w:t>,</w:t>
      </w:r>
      <w:r w:rsidR="00FC4C80" w:rsidRPr="00D73D29">
        <w:rPr>
          <w:rFonts w:ascii="Arial" w:hAnsi="Arial" w:cs="Arial"/>
          <w:i/>
        </w:rPr>
        <w:t>S</w:t>
      </w:r>
      <w:proofErr w:type="gramEnd"/>
      <w:r w:rsidR="00FC4C80" w:rsidRPr="00D73D29">
        <w:rPr>
          <w:rFonts w:ascii="Arial" w:hAnsi="Arial" w:cs="Arial"/>
          <w:i/>
        </w:rPr>
        <w:t xml:space="preserve"> v </w:t>
      </w:r>
      <w:proofErr w:type="spellStart"/>
      <w:r w:rsidR="00FC4C80" w:rsidRPr="00D73D29">
        <w:rPr>
          <w:rFonts w:ascii="Arial" w:hAnsi="Arial" w:cs="Arial"/>
          <w:i/>
        </w:rPr>
        <w:t>Zauisomwe</w:t>
      </w:r>
      <w:proofErr w:type="spellEnd"/>
      <w:r w:rsidR="00FC4C80" w:rsidRPr="00D73D29">
        <w:rPr>
          <w:rFonts w:ascii="Arial" w:hAnsi="Arial" w:cs="Arial"/>
        </w:rPr>
        <w:t xml:space="preserve"> (CR 10/2020) [2020]</w:t>
      </w:r>
      <w:r w:rsidR="008B3E53" w:rsidRPr="00D73D29">
        <w:rPr>
          <w:rFonts w:ascii="Arial" w:hAnsi="Arial" w:cs="Arial"/>
        </w:rPr>
        <w:t xml:space="preserve"> </w:t>
      </w:r>
      <w:r w:rsidR="00EF33FA">
        <w:rPr>
          <w:rFonts w:ascii="Arial" w:hAnsi="Arial" w:cs="Arial"/>
        </w:rPr>
        <w:t>NAHCMD 44 (11 February 2020).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590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143B" w:rsidRDefault="00C414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E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143B" w:rsidRDefault="00C41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589D"/>
    <w:multiLevelType w:val="hybridMultilevel"/>
    <w:tmpl w:val="5D5C2982"/>
    <w:lvl w:ilvl="0" w:tplc="C5CE2D10">
      <w:start w:val="1"/>
      <w:numFmt w:val="decimal"/>
      <w:lvlText w:val="%1."/>
      <w:lvlJc w:val="left"/>
      <w:pPr>
        <w:ind w:left="936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362F6D05"/>
    <w:multiLevelType w:val="hybridMultilevel"/>
    <w:tmpl w:val="AE64C4D4"/>
    <w:lvl w:ilvl="0" w:tplc="A7E2116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C7DB5"/>
    <w:multiLevelType w:val="hybridMultilevel"/>
    <w:tmpl w:val="4AD2B056"/>
    <w:lvl w:ilvl="0" w:tplc="719AA04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37296C14"/>
    <w:multiLevelType w:val="hybridMultilevel"/>
    <w:tmpl w:val="15B89432"/>
    <w:lvl w:ilvl="0" w:tplc="4AFC0F1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FAC73DE"/>
    <w:multiLevelType w:val="hybridMultilevel"/>
    <w:tmpl w:val="80C6BD5E"/>
    <w:lvl w:ilvl="0" w:tplc="6A3E5886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4A82"/>
    <w:multiLevelType w:val="hybridMultilevel"/>
    <w:tmpl w:val="D9F0835C"/>
    <w:lvl w:ilvl="0" w:tplc="FE64C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4E44E1"/>
    <w:multiLevelType w:val="hybridMultilevel"/>
    <w:tmpl w:val="DC8C7D34"/>
    <w:lvl w:ilvl="0" w:tplc="C5CE2D10">
      <w:start w:val="1"/>
      <w:numFmt w:val="decimal"/>
      <w:lvlText w:val="%1."/>
      <w:lvlJc w:val="left"/>
      <w:pPr>
        <w:ind w:left="936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65B4720C"/>
    <w:multiLevelType w:val="hybridMultilevel"/>
    <w:tmpl w:val="6DDCF790"/>
    <w:lvl w:ilvl="0" w:tplc="7C1A6D8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731A7ACB"/>
    <w:multiLevelType w:val="hybridMultilevel"/>
    <w:tmpl w:val="AA26E100"/>
    <w:lvl w:ilvl="0" w:tplc="97700D3C">
      <w:start w:val="1"/>
      <w:numFmt w:val="decimal"/>
      <w:lvlText w:val="[%1]"/>
      <w:lvlJc w:val="left"/>
      <w:pPr>
        <w:ind w:left="576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C3B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CE6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3D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0F5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AAA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CDE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C02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29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0"/>
    <w:rsid w:val="00025045"/>
    <w:rsid w:val="000279C1"/>
    <w:rsid w:val="000726D5"/>
    <w:rsid w:val="00081C66"/>
    <w:rsid w:val="00092517"/>
    <w:rsid w:val="000C3C29"/>
    <w:rsid w:val="000C72FB"/>
    <w:rsid w:val="001020C3"/>
    <w:rsid w:val="001343F2"/>
    <w:rsid w:val="00142BFE"/>
    <w:rsid w:val="00154A06"/>
    <w:rsid w:val="0016091A"/>
    <w:rsid w:val="00173F95"/>
    <w:rsid w:val="00184D10"/>
    <w:rsid w:val="001858F1"/>
    <w:rsid w:val="001D7913"/>
    <w:rsid w:val="0020546C"/>
    <w:rsid w:val="00267F02"/>
    <w:rsid w:val="0027728E"/>
    <w:rsid w:val="002D14AD"/>
    <w:rsid w:val="002D72FB"/>
    <w:rsid w:val="002E4AD7"/>
    <w:rsid w:val="00312257"/>
    <w:rsid w:val="003128EE"/>
    <w:rsid w:val="0036741C"/>
    <w:rsid w:val="00373849"/>
    <w:rsid w:val="00377D25"/>
    <w:rsid w:val="00381901"/>
    <w:rsid w:val="00384FEE"/>
    <w:rsid w:val="003B63CE"/>
    <w:rsid w:val="003D642D"/>
    <w:rsid w:val="003E4436"/>
    <w:rsid w:val="004071CE"/>
    <w:rsid w:val="00411D03"/>
    <w:rsid w:val="004471D0"/>
    <w:rsid w:val="00447C60"/>
    <w:rsid w:val="0048480E"/>
    <w:rsid w:val="00543E1E"/>
    <w:rsid w:val="00577B7D"/>
    <w:rsid w:val="00593DFB"/>
    <w:rsid w:val="005F4FAA"/>
    <w:rsid w:val="0064665E"/>
    <w:rsid w:val="00650AEF"/>
    <w:rsid w:val="00656D05"/>
    <w:rsid w:val="00685C4B"/>
    <w:rsid w:val="00697BB8"/>
    <w:rsid w:val="006C6B03"/>
    <w:rsid w:val="006C742C"/>
    <w:rsid w:val="006E5513"/>
    <w:rsid w:val="00773BAD"/>
    <w:rsid w:val="007B33D6"/>
    <w:rsid w:val="007F0965"/>
    <w:rsid w:val="00803A49"/>
    <w:rsid w:val="008137E8"/>
    <w:rsid w:val="008234B8"/>
    <w:rsid w:val="008412EA"/>
    <w:rsid w:val="008463B5"/>
    <w:rsid w:val="008520F5"/>
    <w:rsid w:val="008565FA"/>
    <w:rsid w:val="00873219"/>
    <w:rsid w:val="00873560"/>
    <w:rsid w:val="00877085"/>
    <w:rsid w:val="008A4AA8"/>
    <w:rsid w:val="008B3E53"/>
    <w:rsid w:val="008B52A4"/>
    <w:rsid w:val="008D48D0"/>
    <w:rsid w:val="008E4DFD"/>
    <w:rsid w:val="00967269"/>
    <w:rsid w:val="009B1596"/>
    <w:rsid w:val="00A10E45"/>
    <w:rsid w:val="00A370C7"/>
    <w:rsid w:val="00A62C3D"/>
    <w:rsid w:val="00A72996"/>
    <w:rsid w:val="00A80FEC"/>
    <w:rsid w:val="00AC3BA5"/>
    <w:rsid w:val="00AD6980"/>
    <w:rsid w:val="00AE651E"/>
    <w:rsid w:val="00B31626"/>
    <w:rsid w:val="00B34815"/>
    <w:rsid w:val="00B45070"/>
    <w:rsid w:val="00B74999"/>
    <w:rsid w:val="00B95466"/>
    <w:rsid w:val="00BC0AFF"/>
    <w:rsid w:val="00BE2A8B"/>
    <w:rsid w:val="00BF4A1C"/>
    <w:rsid w:val="00C4143B"/>
    <w:rsid w:val="00C66ED4"/>
    <w:rsid w:val="00CA04B0"/>
    <w:rsid w:val="00CD18B6"/>
    <w:rsid w:val="00D132DD"/>
    <w:rsid w:val="00D20A92"/>
    <w:rsid w:val="00D324E4"/>
    <w:rsid w:val="00D43465"/>
    <w:rsid w:val="00D65623"/>
    <w:rsid w:val="00D73D29"/>
    <w:rsid w:val="00DB4CEF"/>
    <w:rsid w:val="00DC2553"/>
    <w:rsid w:val="00DF5D1B"/>
    <w:rsid w:val="00E22FA4"/>
    <w:rsid w:val="00E31D8B"/>
    <w:rsid w:val="00E5102F"/>
    <w:rsid w:val="00E724B5"/>
    <w:rsid w:val="00EB1D0C"/>
    <w:rsid w:val="00ED17A4"/>
    <w:rsid w:val="00EF33FA"/>
    <w:rsid w:val="00F36BE8"/>
    <w:rsid w:val="00F74C16"/>
    <w:rsid w:val="00FB4316"/>
    <w:rsid w:val="00FB64AA"/>
    <w:rsid w:val="00F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73825C-AA64-4F89-B0F0-57B277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1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4B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04B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4B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04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4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15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C4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3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C41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3B"/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373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49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49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2023-06-21T18:30:00+00:00</Judgment_x0020_Date>
  </documentManagement>
</p:properties>
</file>

<file path=customXml/itemProps1.xml><?xml version="1.0" encoding="utf-8"?>
<ds:datastoreItem xmlns:ds="http://schemas.openxmlformats.org/officeDocument/2006/customXml" ds:itemID="{6ABF64D6-C9BB-4ADE-891B-27C2C29692C4}"/>
</file>

<file path=customXml/itemProps2.xml><?xml version="1.0" encoding="utf-8"?>
<ds:datastoreItem xmlns:ds="http://schemas.openxmlformats.org/officeDocument/2006/customXml" ds:itemID="{FB37AA24-75E1-4EA6-AEB9-49AC6977384F}"/>
</file>

<file path=customXml/itemProps3.xml><?xml version="1.0" encoding="utf-8"?>
<ds:datastoreItem xmlns:ds="http://schemas.openxmlformats.org/officeDocument/2006/customXml" ds:itemID="{DD72D3F3-E95D-4C81-A939-5E414189D5E7}"/>
</file>

<file path=customXml/itemProps4.xml><?xml version="1.0" encoding="utf-8"?>
<ds:datastoreItem xmlns:ds="http://schemas.openxmlformats.org/officeDocument/2006/customXml" ds:itemID="{80086434-67EA-499F-8E90-03BE64CFD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Dion !Karab and Elvin Jossob (CR 60-2023) [2023] NAHCMD 350 (22 June 2023)</dc:title>
  <dc:subject/>
  <dc:creator>Ernestine N. Jansen</dc:creator>
  <cp:keywords/>
  <dc:description/>
  <cp:lastModifiedBy>Ernestine N. Jansen</cp:lastModifiedBy>
  <cp:revision>4</cp:revision>
  <cp:lastPrinted>2023-06-23T06:35:00Z</cp:lastPrinted>
  <dcterms:created xsi:type="dcterms:W3CDTF">2023-06-22T14:31:00Z</dcterms:created>
  <dcterms:modified xsi:type="dcterms:W3CDTF">2023-06-23T06:38:00Z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