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A50" w:rsidRDefault="00803A50" w:rsidP="00803A50">
      <w:pPr>
        <w:spacing w:after="0" w:line="360" w:lineRule="auto"/>
        <w:jc w:val="center"/>
        <w:rPr>
          <w:rFonts w:ascii="Arial" w:hAnsi="Arial" w:cs="Arial"/>
          <w:b/>
          <w:sz w:val="24"/>
          <w:szCs w:val="24"/>
        </w:rPr>
      </w:pPr>
      <w:r>
        <w:rPr>
          <w:noProof/>
          <w:lang w:eastAsia="en-ZA"/>
        </w:rPr>
        <mc:AlternateContent>
          <mc:Choice Requires="wps">
            <w:drawing>
              <wp:anchor distT="0" distB="0" distL="114300" distR="114300" simplePos="0" relativeHeight="251658240" behindDoc="0" locked="0" layoutInCell="1" allowOverlap="1">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rsidR="00803A50" w:rsidRPr="00F56667" w:rsidRDefault="00F56667" w:rsidP="00803A50">
                            <w:pPr>
                              <w:jc w:val="center"/>
                              <w:rPr>
                                <w:rFonts w:ascii="Arial" w:hAnsi="Arial" w:cs="Arial"/>
                                <w:b/>
                              </w:rPr>
                            </w:pPr>
                            <w:r w:rsidRPr="00F56667">
                              <w:rPr>
                                <w:rFonts w:ascii="Arial" w:hAnsi="Arial" w:cs="Arial"/>
                                <w:b/>
                              </w:rPr>
                              <w:t xml:space="preserve">NOT REPORTABLE </w:t>
                            </w:r>
                          </w:p>
                          <w:p w:rsidR="00803A50" w:rsidRDefault="00803A50" w:rsidP="00803A5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" strokecolor="white [3212]">
                <v:textbox>
                  <w:txbxContent>
                    <w:p w:rsidR="00803A50" w:rsidRPr="00F56667" w:rsidRDefault="00F56667" w:rsidP="00803A50">
                      <w:pPr>
                        <w:jc w:val="center"/>
                        <w:rPr>
                          <w:rFonts w:ascii="Arial" w:hAnsi="Arial" w:cs="Arial"/>
                          <w:b/>
                        </w:rPr>
                      </w:pPr>
                      <w:r w:rsidRPr="00F56667">
                        <w:rPr>
                          <w:rFonts w:ascii="Arial" w:hAnsi="Arial" w:cs="Arial"/>
                          <w:b/>
                        </w:rPr>
                        <w:t xml:space="preserve">NOT REPORTABLE </w:t>
                      </w:r>
                    </w:p>
                    <w:p w:rsidR="00803A50" w:rsidRDefault="00803A50" w:rsidP="00803A50">
                      <w:pPr>
                        <w:jc w:val="center"/>
                      </w:pPr>
                    </w:p>
                  </w:txbxContent>
                </v:textbox>
              </v:shape>
            </w:pict>
          </mc:Fallback>
        </mc:AlternateContent>
      </w:r>
      <w:r>
        <w:rPr>
          <w:rFonts w:ascii="Arial" w:hAnsi="Arial" w:cs="Arial"/>
          <w:b/>
          <w:sz w:val="24"/>
          <w:szCs w:val="24"/>
        </w:rPr>
        <w:t>REPUBLIC OF NAMIBIA</w:t>
      </w:r>
    </w:p>
    <w:p w:rsidR="00BB10D0" w:rsidRDefault="00BB10D0" w:rsidP="00803A50">
      <w:pPr>
        <w:spacing w:after="0" w:line="360" w:lineRule="auto"/>
        <w:jc w:val="center"/>
        <w:rPr>
          <w:rFonts w:ascii="Arial" w:hAnsi="Arial" w:cs="Arial"/>
          <w:b/>
          <w:sz w:val="24"/>
          <w:szCs w:val="24"/>
        </w:rPr>
      </w:pPr>
    </w:p>
    <w:p w:rsidR="00803A50" w:rsidRDefault="00803A50" w:rsidP="00803A50">
      <w:pPr>
        <w:spacing w:after="0" w:line="360" w:lineRule="auto"/>
        <w:jc w:val="center"/>
        <w:rPr>
          <w:b/>
          <w:sz w:val="32"/>
          <w:szCs w:val="32"/>
        </w:rPr>
      </w:pPr>
      <w:r>
        <w:rPr>
          <w:b/>
          <w:noProof/>
          <w:sz w:val="32"/>
          <w:szCs w:val="32"/>
          <w:lang w:eastAsia="en-ZA"/>
        </w:rPr>
        <w:drawing>
          <wp:inline distT="0" distB="0" distL="0" distR="0">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803A50" w:rsidRDefault="00803A50" w:rsidP="00803A50">
      <w:pPr>
        <w:spacing w:after="0" w:line="360" w:lineRule="auto"/>
        <w:jc w:val="center"/>
        <w:rPr>
          <w:rFonts w:ascii="Arial" w:hAnsi="Arial" w:cs="Arial"/>
          <w:b/>
          <w:sz w:val="24"/>
          <w:szCs w:val="24"/>
        </w:rPr>
      </w:pPr>
      <w:r>
        <w:rPr>
          <w:rFonts w:ascii="Arial" w:hAnsi="Arial" w:cs="Arial"/>
          <w:b/>
          <w:sz w:val="24"/>
          <w:szCs w:val="24"/>
        </w:rPr>
        <w:t>HIGH COURT OF NAMIBIA MAIN DIVISION, WINDHOEK</w:t>
      </w:r>
    </w:p>
    <w:p w:rsidR="00E562EE" w:rsidRDefault="00E562EE" w:rsidP="00803A50">
      <w:pPr>
        <w:spacing w:after="0" w:line="360" w:lineRule="auto"/>
        <w:jc w:val="center"/>
        <w:rPr>
          <w:rFonts w:ascii="Arial" w:hAnsi="Arial" w:cs="Arial"/>
          <w:b/>
          <w:sz w:val="24"/>
          <w:szCs w:val="24"/>
        </w:rPr>
      </w:pPr>
    </w:p>
    <w:p w:rsidR="00103C0D" w:rsidRPr="007604DC" w:rsidRDefault="00F56667" w:rsidP="007604DC">
      <w:pPr>
        <w:spacing w:after="0" w:line="360" w:lineRule="auto"/>
        <w:jc w:val="center"/>
        <w:rPr>
          <w:rFonts w:ascii="Arial" w:hAnsi="Arial" w:cs="Arial"/>
          <w:b/>
          <w:sz w:val="24"/>
          <w:szCs w:val="24"/>
        </w:rPr>
      </w:pPr>
      <w:r>
        <w:rPr>
          <w:rFonts w:ascii="Arial" w:hAnsi="Arial" w:cs="Arial"/>
          <w:b/>
          <w:sz w:val="24"/>
          <w:szCs w:val="24"/>
        </w:rPr>
        <w:t xml:space="preserve">RULING </w:t>
      </w:r>
    </w:p>
    <w:tbl>
      <w:tblPr>
        <w:tblStyle w:val="TableGrid"/>
        <w:tblW w:w="9209" w:type="dxa"/>
        <w:tblLook w:val="04A0" w:firstRow="1" w:lastRow="0" w:firstColumn="1" w:lastColumn="0" w:noHBand="0" w:noVBand="1"/>
      </w:tblPr>
      <w:tblGrid>
        <w:gridCol w:w="4508"/>
        <w:gridCol w:w="7"/>
        <w:gridCol w:w="4694"/>
      </w:tblGrid>
      <w:tr w:rsidR="000F2CE4" w:rsidTr="00103C0D">
        <w:trPr>
          <w:trHeight w:val="720"/>
        </w:trPr>
        <w:tc>
          <w:tcPr>
            <w:tcW w:w="4508" w:type="dxa"/>
            <w:vMerge w:val="restart"/>
          </w:tcPr>
          <w:p w:rsidR="000F2CE4" w:rsidRDefault="000F2CE4" w:rsidP="000F2CE4">
            <w:pPr>
              <w:spacing w:after="0" w:line="360" w:lineRule="auto"/>
              <w:rPr>
                <w:rFonts w:ascii="Arial" w:hAnsi="Arial" w:cs="Arial"/>
                <w:b/>
                <w:sz w:val="24"/>
                <w:szCs w:val="24"/>
              </w:rPr>
            </w:pPr>
            <w:r>
              <w:rPr>
                <w:rFonts w:ascii="Arial" w:hAnsi="Arial" w:cs="Arial"/>
                <w:b/>
                <w:sz w:val="24"/>
                <w:szCs w:val="24"/>
              </w:rPr>
              <w:t>Case Title:</w:t>
            </w:r>
          </w:p>
          <w:p w:rsidR="000F2CE4" w:rsidRDefault="000F2CE4" w:rsidP="000F2CE4">
            <w:pPr>
              <w:spacing w:after="0" w:line="240" w:lineRule="auto"/>
              <w:rPr>
                <w:rFonts w:ascii="Arial" w:hAnsi="Arial" w:cs="Arial"/>
                <w:b/>
                <w:sz w:val="24"/>
                <w:szCs w:val="24"/>
              </w:rPr>
            </w:pPr>
          </w:p>
          <w:p w:rsidR="000F2CE4" w:rsidRDefault="000F2CE4" w:rsidP="000F2CE4">
            <w:pPr>
              <w:spacing w:after="0" w:line="360" w:lineRule="auto"/>
              <w:rPr>
                <w:rFonts w:ascii="Arial" w:hAnsi="Arial" w:cs="Arial"/>
                <w:b/>
                <w:sz w:val="24"/>
                <w:szCs w:val="24"/>
              </w:rPr>
            </w:pPr>
            <w:proofErr w:type="spellStart"/>
            <w:r w:rsidRPr="000F2CE4">
              <w:rPr>
                <w:rFonts w:ascii="Arial" w:hAnsi="Arial" w:cs="Arial"/>
                <w:sz w:val="24"/>
                <w:szCs w:val="24"/>
              </w:rPr>
              <w:t>Gotlieb</w:t>
            </w:r>
            <w:proofErr w:type="spellEnd"/>
            <w:r w:rsidRPr="000F2CE4">
              <w:rPr>
                <w:rFonts w:ascii="Arial" w:hAnsi="Arial" w:cs="Arial"/>
                <w:sz w:val="24"/>
                <w:szCs w:val="24"/>
              </w:rPr>
              <w:t xml:space="preserve"> </w:t>
            </w:r>
            <w:proofErr w:type="spellStart"/>
            <w:r w:rsidRPr="000F2CE4">
              <w:rPr>
                <w:rFonts w:ascii="Arial" w:hAnsi="Arial" w:cs="Arial"/>
                <w:sz w:val="24"/>
                <w:szCs w:val="24"/>
              </w:rPr>
              <w:t>Panduleni</w:t>
            </w:r>
            <w:proofErr w:type="spellEnd"/>
            <w:r w:rsidRPr="000F2CE4">
              <w:rPr>
                <w:rFonts w:ascii="Arial" w:hAnsi="Arial" w:cs="Arial"/>
                <w:sz w:val="24"/>
                <w:szCs w:val="24"/>
              </w:rPr>
              <w:tab/>
            </w:r>
            <w:r>
              <w:rPr>
                <w:rFonts w:ascii="Arial" w:hAnsi="Arial" w:cs="Arial"/>
                <w:b/>
                <w:sz w:val="24"/>
                <w:szCs w:val="24"/>
              </w:rPr>
              <w:tab/>
            </w:r>
            <w:r w:rsidRPr="000F2CE4">
              <w:rPr>
                <w:rFonts w:ascii="Arial" w:hAnsi="Arial" w:cs="Arial"/>
                <w:sz w:val="24"/>
                <w:szCs w:val="24"/>
              </w:rPr>
              <w:t>Applicant</w:t>
            </w:r>
          </w:p>
          <w:p w:rsidR="000F2CE4" w:rsidRDefault="000F2CE4" w:rsidP="000D69DC">
            <w:pPr>
              <w:spacing w:after="0" w:line="240" w:lineRule="auto"/>
              <w:rPr>
                <w:rFonts w:ascii="Arial" w:hAnsi="Arial" w:cs="Arial"/>
                <w:b/>
                <w:sz w:val="24"/>
                <w:szCs w:val="24"/>
              </w:rPr>
            </w:pPr>
          </w:p>
          <w:p w:rsidR="000F2CE4" w:rsidRPr="000F2CE4" w:rsidRDefault="000F2CE4" w:rsidP="000F2CE4">
            <w:pPr>
              <w:spacing w:after="0" w:line="360" w:lineRule="auto"/>
              <w:rPr>
                <w:rFonts w:ascii="Arial" w:hAnsi="Arial" w:cs="Arial"/>
                <w:sz w:val="24"/>
                <w:szCs w:val="24"/>
              </w:rPr>
            </w:pPr>
            <w:r>
              <w:rPr>
                <w:rFonts w:ascii="Arial" w:hAnsi="Arial" w:cs="Arial"/>
                <w:sz w:val="24"/>
                <w:szCs w:val="24"/>
              </w:rPr>
              <w:t>v</w:t>
            </w:r>
          </w:p>
          <w:p w:rsidR="000F2CE4" w:rsidRPr="000F2CE4" w:rsidRDefault="000F2CE4" w:rsidP="000F2CE4">
            <w:pPr>
              <w:spacing w:after="0" w:line="240" w:lineRule="auto"/>
              <w:rPr>
                <w:rFonts w:ascii="Arial" w:hAnsi="Arial" w:cs="Arial"/>
                <w:sz w:val="24"/>
                <w:szCs w:val="24"/>
              </w:rPr>
            </w:pPr>
          </w:p>
          <w:p w:rsidR="000F2CE4" w:rsidRPr="000F2CE4" w:rsidRDefault="000F2CE4" w:rsidP="000F2CE4">
            <w:pPr>
              <w:spacing w:after="0" w:line="360" w:lineRule="auto"/>
              <w:rPr>
                <w:rFonts w:ascii="Arial" w:hAnsi="Arial" w:cs="Arial"/>
                <w:sz w:val="24"/>
                <w:szCs w:val="24"/>
              </w:rPr>
            </w:pPr>
            <w:r w:rsidRPr="000F2CE4">
              <w:rPr>
                <w:rFonts w:ascii="Arial" w:hAnsi="Arial" w:cs="Arial"/>
                <w:sz w:val="24"/>
                <w:szCs w:val="24"/>
              </w:rPr>
              <w:t>State</w:t>
            </w:r>
            <w:r w:rsidRPr="000F2CE4">
              <w:rPr>
                <w:rFonts w:ascii="Arial" w:hAnsi="Arial" w:cs="Arial"/>
                <w:sz w:val="24"/>
                <w:szCs w:val="24"/>
              </w:rPr>
              <w:tab/>
            </w:r>
            <w:r w:rsidRPr="000F2CE4">
              <w:rPr>
                <w:rFonts w:ascii="Arial" w:hAnsi="Arial" w:cs="Arial"/>
                <w:sz w:val="24"/>
                <w:szCs w:val="24"/>
              </w:rPr>
              <w:tab/>
            </w:r>
            <w:r w:rsidRPr="000F2CE4">
              <w:rPr>
                <w:rFonts w:ascii="Arial" w:hAnsi="Arial" w:cs="Arial"/>
                <w:sz w:val="24"/>
                <w:szCs w:val="24"/>
              </w:rPr>
              <w:tab/>
            </w:r>
            <w:r w:rsidRPr="000F2CE4">
              <w:rPr>
                <w:rFonts w:ascii="Arial" w:hAnsi="Arial" w:cs="Arial"/>
                <w:sz w:val="24"/>
                <w:szCs w:val="24"/>
              </w:rPr>
              <w:tab/>
              <w:t>Respondent</w:t>
            </w:r>
          </w:p>
        </w:tc>
        <w:tc>
          <w:tcPr>
            <w:tcW w:w="4701" w:type="dxa"/>
            <w:gridSpan w:val="2"/>
          </w:tcPr>
          <w:p w:rsidR="000F2CE4" w:rsidRPr="000F2CE4" w:rsidRDefault="000F2CE4" w:rsidP="000F2CE4">
            <w:pPr>
              <w:spacing w:after="0" w:line="360" w:lineRule="auto"/>
              <w:rPr>
                <w:rFonts w:ascii="Arial" w:hAnsi="Arial" w:cs="Arial"/>
                <w:sz w:val="24"/>
                <w:szCs w:val="24"/>
              </w:rPr>
            </w:pPr>
            <w:r>
              <w:rPr>
                <w:rFonts w:ascii="Arial" w:hAnsi="Arial" w:cs="Arial"/>
                <w:b/>
                <w:sz w:val="24"/>
                <w:szCs w:val="24"/>
              </w:rPr>
              <w:t xml:space="preserve">Case No: </w:t>
            </w:r>
            <w:r w:rsidR="000D69DC">
              <w:rPr>
                <w:rFonts w:ascii="Arial" w:hAnsi="Arial" w:cs="Arial"/>
                <w:sz w:val="24"/>
                <w:szCs w:val="24"/>
              </w:rPr>
              <w:t>CC 19</w:t>
            </w:r>
            <w:r w:rsidRPr="000F2CE4">
              <w:rPr>
                <w:rFonts w:ascii="Arial" w:hAnsi="Arial" w:cs="Arial"/>
                <w:sz w:val="24"/>
                <w:szCs w:val="24"/>
              </w:rPr>
              <w:t>/2017</w:t>
            </w:r>
          </w:p>
        </w:tc>
      </w:tr>
      <w:tr w:rsidR="000F2CE4" w:rsidTr="00103C0D">
        <w:trPr>
          <w:trHeight w:val="1319"/>
        </w:trPr>
        <w:tc>
          <w:tcPr>
            <w:tcW w:w="4508" w:type="dxa"/>
            <w:vMerge/>
          </w:tcPr>
          <w:p w:rsidR="000F2CE4" w:rsidRDefault="000F2CE4" w:rsidP="000F2CE4">
            <w:pPr>
              <w:spacing w:after="0" w:line="360" w:lineRule="auto"/>
              <w:rPr>
                <w:rFonts w:ascii="Arial" w:hAnsi="Arial" w:cs="Arial"/>
                <w:b/>
                <w:sz w:val="24"/>
                <w:szCs w:val="24"/>
              </w:rPr>
            </w:pPr>
          </w:p>
        </w:tc>
        <w:tc>
          <w:tcPr>
            <w:tcW w:w="4701" w:type="dxa"/>
            <w:gridSpan w:val="2"/>
          </w:tcPr>
          <w:p w:rsidR="000F2CE4" w:rsidRDefault="000F2CE4" w:rsidP="000F2CE4">
            <w:pPr>
              <w:spacing w:after="0" w:line="360" w:lineRule="auto"/>
              <w:rPr>
                <w:rFonts w:ascii="Arial" w:hAnsi="Arial" w:cs="Arial"/>
                <w:b/>
                <w:sz w:val="24"/>
                <w:szCs w:val="24"/>
              </w:rPr>
            </w:pPr>
            <w:r w:rsidRPr="000F2CE4">
              <w:rPr>
                <w:rFonts w:ascii="Arial" w:hAnsi="Arial" w:cs="Arial"/>
                <w:b/>
                <w:sz w:val="24"/>
                <w:szCs w:val="24"/>
              </w:rPr>
              <w:t xml:space="preserve">Division of Court: </w:t>
            </w:r>
            <w:r w:rsidRPr="000F2CE4">
              <w:rPr>
                <w:rFonts w:ascii="Arial" w:hAnsi="Arial" w:cs="Arial"/>
                <w:sz w:val="24"/>
                <w:szCs w:val="24"/>
              </w:rPr>
              <w:t>High Court, Main Division</w:t>
            </w:r>
          </w:p>
        </w:tc>
      </w:tr>
      <w:tr w:rsidR="000F2CE4" w:rsidTr="00103C0D">
        <w:trPr>
          <w:trHeight w:val="1209"/>
        </w:trPr>
        <w:tc>
          <w:tcPr>
            <w:tcW w:w="4508" w:type="dxa"/>
          </w:tcPr>
          <w:p w:rsidR="000F2CE4" w:rsidRPr="000F2CE4" w:rsidRDefault="000F2CE4" w:rsidP="000F2CE4">
            <w:pPr>
              <w:spacing w:after="0" w:line="360" w:lineRule="auto"/>
              <w:rPr>
                <w:rFonts w:ascii="Arial" w:hAnsi="Arial" w:cs="Arial"/>
                <w:b/>
                <w:sz w:val="24"/>
                <w:szCs w:val="24"/>
              </w:rPr>
            </w:pPr>
            <w:r w:rsidRPr="000F2CE4">
              <w:rPr>
                <w:rFonts w:ascii="Arial" w:hAnsi="Arial" w:cs="Arial"/>
                <w:b/>
                <w:sz w:val="24"/>
                <w:szCs w:val="24"/>
              </w:rPr>
              <w:t>Heard before:</w:t>
            </w:r>
          </w:p>
          <w:p w:rsidR="000F2CE4" w:rsidRPr="000F2CE4" w:rsidRDefault="000F2CE4" w:rsidP="000D69DC">
            <w:pPr>
              <w:spacing w:after="0" w:line="240" w:lineRule="auto"/>
              <w:rPr>
                <w:rFonts w:ascii="Arial" w:hAnsi="Arial" w:cs="Arial"/>
                <w:b/>
                <w:sz w:val="24"/>
                <w:szCs w:val="24"/>
              </w:rPr>
            </w:pPr>
          </w:p>
          <w:p w:rsidR="000F2CE4" w:rsidRPr="000F2CE4" w:rsidRDefault="000F2CE4" w:rsidP="000F2CE4">
            <w:pPr>
              <w:spacing w:after="0" w:line="360" w:lineRule="auto"/>
              <w:rPr>
                <w:rFonts w:ascii="Arial" w:hAnsi="Arial" w:cs="Arial"/>
                <w:sz w:val="24"/>
                <w:szCs w:val="24"/>
              </w:rPr>
            </w:pPr>
            <w:r w:rsidRPr="000F2CE4">
              <w:rPr>
                <w:rFonts w:ascii="Arial" w:hAnsi="Arial" w:cs="Arial"/>
                <w:sz w:val="24"/>
                <w:szCs w:val="24"/>
              </w:rPr>
              <w:t xml:space="preserve">Honourable Justice D </w:t>
            </w:r>
            <w:proofErr w:type="spellStart"/>
            <w:r w:rsidRPr="000F2CE4">
              <w:rPr>
                <w:rFonts w:ascii="Arial" w:hAnsi="Arial" w:cs="Arial"/>
                <w:sz w:val="24"/>
                <w:szCs w:val="24"/>
              </w:rPr>
              <w:t>Usiku</w:t>
            </w:r>
            <w:proofErr w:type="spellEnd"/>
          </w:p>
        </w:tc>
        <w:tc>
          <w:tcPr>
            <w:tcW w:w="4701" w:type="dxa"/>
            <w:gridSpan w:val="2"/>
          </w:tcPr>
          <w:p w:rsidR="000F2CE4" w:rsidRPr="000F2CE4" w:rsidRDefault="000F2CE4" w:rsidP="000F2CE4">
            <w:pPr>
              <w:spacing w:after="0" w:line="360" w:lineRule="auto"/>
              <w:rPr>
                <w:rFonts w:ascii="Arial" w:hAnsi="Arial" w:cs="Arial"/>
                <w:b/>
                <w:sz w:val="24"/>
                <w:szCs w:val="24"/>
              </w:rPr>
            </w:pPr>
            <w:r w:rsidRPr="000F2CE4">
              <w:rPr>
                <w:rFonts w:ascii="Arial" w:hAnsi="Arial" w:cs="Arial"/>
                <w:b/>
                <w:sz w:val="24"/>
                <w:szCs w:val="24"/>
              </w:rPr>
              <w:t xml:space="preserve">Heard on: </w:t>
            </w:r>
            <w:r w:rsidRPr="000F2CE4">
              <w:rPr>
                <w:rFonts w:ascii="Arial" w:hAnsi="Arial" w:cs="Arial"/>
                <w:sz w:val="24"/>
                <w:szCs w:val="24"/>
              </w:rPr>
              <w:t>3 July 2023</w:t>
            </w:r>
          </w:p>
          <w:p w:rsidR="000F2CE4" w:rsidRPr="000F2CE4" w:rsidRDefault="000F2CE4" w:rsidP="00192180">
            <w:pPr>
              <w:spacing w:after="0" w:line="240" w:lineRule="auto"/>
              <w:rPr>
                <w:rFonts w:ascii="Arial" w:hAnsi="Arial" w:cs="Arial"/>
                <w:b/>
                <w:sz w:val="24"/>
                <w:szCs w:val="24"/>
              </w:rPr>
            </w:pPr>
          </w:p>
          <w:p w:rsidR="000F2CE4" w:rsidRDefault="000F2CE4" w:rsidP="000F2CE4">
            <w:pPr>
              <w:spacing w:after="0" w:line="360" w:lineRule="auto"/>
              <w:rPr>
                <w:rFonts w:ascii="Arial" w:hAnsi="Arial" w:cs="Arial"/>
                <w:b/>
                <w:sz w:val="24"/>
                <w:szCs w:val="24"/>
              </w:rPr>
            </w:pPr>
            <w:r w:rsidRPr="000F2CE4">
              <w:rPr>
                <w:rFonts w:ascii="Arial" w:hAnsi="Arial" w:cs="Arial"/>
                <w:b/>
                <w:sz w:val="24"/>
                <w:szCs w:val="24"/>
              </w:rPr>
              <w:t xml:space="preserve">Delivered on: </w:t>
            </w:r>
            <w:r w:rsidRPr="000F2CE4">
              <w:rPr>
                <w:rFonts w:ascii="Arial" w:hAnsi="Arial" w:cs="Arial"/>
                <w:sz w:val="24"/>
                <w:szCs w:val="24"/>
              </w:rPr>
              <w:t>5 July 2023</w:t>
            </w:r>
          </w:p>
        </w:tc>
      </w:tr>
      <w:tr w:rsidR="000F2CE4" w:rsidTr="00103C0D">
        <w:trPr>
          <w:trHeight w:val="660"/>
        </w:trPr>
        <w:tc>
          <w:tcPr>
            <w:tcW w:w="9209" w:type="dxa"/>
            <w:gridSpan w:val="3"/>
          </w:tcPr>
          <w:p w:rsidR="000F2CE4" w:rsidRDefault="000F2CE4" w:rsidP="000F2CE4">
            <w:pPr>
              <w:spacing w:after="0" w:line="240" w:lineRule="auto"/>
              <w:rPr>
                <w:rFonts w:ascii="Arial" w:hAnsi="Arial" w:cs="Arial"/>
                <w:b/>
                <w:sz w:val="24"/>
                <w:szCs w:val="24"/>
              </w:rPr>
            </w:pPr>
          </w:p>
          <w:p w:rsidR="000F2CE4" w:rsidRPr="000F2CE4" w:rsidRDefault="000F2CE4" w:rsidP="000F2CE4">
            <w:pPr>
              <w:spacing w:after="0" w:line="360" w:lineRule="auto"/>
              <w:rPr>
                <w:rFonts w:ascii="Arial" w:hAnsi="Arial" w:cs="Arial"/>
                <w:b/>
                <w:sz w:val="24"/>
                <w:szCs w:val="24"/>
              </w:rPr>
            </w:pPr>
            <w:r w:rsidRPr="000F2CE4">
              <w:rPr>
                <w:rFonts w:ascii="Arial" w:hAnsi="Arial" w:cs="Arial"/>
                <w:b/>
                <w:sz w:val="24"/>
                <w:szCs w:val="24"/>
              </w:rPr>
              <w:t>Neutral citation:</w:t>
            </w:r>
            <w:r w:rsidRPr="000F2CE4">
              <w:rPr>
                <w:rFonts w:ascii="Arial" w:hAnsi="Arial" w:cs="Arial"/>
                <w:b/>
                <w:sz w:val="24"/>
                <w:szCs w:val="24"/>
              </w:rPr>
              <w:tab/>
            </w:r>
            <w:bookmarkStart w:id="0" w:name="_GoBack"/>
            <w:proofErr w:type="spellStart"/>
            <w:r w:rsidRPr="000F2CE4">
              <w:rPr>
                <w:rFonts w:ascii="Arial" w:hAnsi="Arial" w:cs="Arial"/>
                <w:i/>
                <w:sz w:val="24"/>
                <w:szCs w:val="24"/>
              </w:rPr>
              <w:t>Panduleni</w:t>
            </w:r>
            <w:proofErr w:type="spellEnd"/>
            <w:r w:rsidRPr="000F2CE4">
              <w:rPr>
                <w:rFonts w:ascii="Arial" w:hAnsi="Arial" w:cs="Arial"/>
                <w:i/>
                <w:sz w:val="24"/>
                <w:szCs w:val="24"/>
              </w:rPr>
              <w:t xml:space="preserve"> v S </w:t>
            </w:r>
            <w:r w:rsidR="000D69DC">
              <w:rPr>
                <w:rFonts w:ascii="Arial" w:hAnsi="Arial" w:cs="Arial"/>
                <w:sz w:val="24"/>
                <w:szCs w:val="24"/>
              </w:rPr>
              <w:t>(CC 19/2017) [2023] NAHCMD 379</w:t>
            </w:r>
            <w:r w:rsidRPr="000F2CE4">
              <w:rPr>
                <w:rFonts w:ascii="Arial" w:hAnsi="Arial" w:cs="Arial"/>
                <w:sz w:val="24"/>
                <w:szCs w:val="24"/>
              </w:rPr>
              <w:t xml:space="preserve"> (5 July 2023)</w:t>
            </w:r>
            <w:bookmarkEnd w:id="0"/>
          </w:p>
          <w:p w:rsidR="000F2CE4" w:rsidRPr="000F2CE4" w:rsidRDefault="000F2CE4" w:rsidP="000F2CE4">
            <w:pPr>
              <w:spacing w:after="0" w:line="240" w:lineRule="auto"/>
              <w:rPr>
                <w:rFonts w:ascii="Arial" w:hAnsi="Arial" w:cs="Arial"/>
                <w:b/>
                <w:sz w:val="24"/>
                <w:szCs w:val="24"/>
              </w:rPr>
            </w:pPr>
          </w:p>
        </w:tc>
      </w:tr>
      <w:tr w:rsidR="000F2CE4" w:rsidTr="00103C0D">
        <w:trPr>
          <w:trHeight w:val="660"/>
        </w:trPr>
        <w:tc>
          <w:tcPr>
            <w:tcW w:w="9209" w:type="dxa"/>
            <w:gridSpan w:val="3"/>
          </w:tcPr>
          <w:p w:rsidR="000F2CE4" w:rsidRDefault="000F2CE4" w:rsidP="000F2CE4">
            <w:pPr>
              <w:spacing w:after="0" w:line="240" w:lineRule="auto"/>
              <w:rPr>
                <w:rFonts w:ascii="Arial" w:hAnsi="Arial" w:cs="Arial"/>
                <w:b/>
                <w:sz w:val="24"/>
                <w:szCs w:val="24"/>
              </w:rPr>
            </w:pPr>
          </w:p>
          <w:p w:rsidR="000F2CE4" w:rsidRDefault="000F2CE4" w:rsidP="000F2CE4">
            <w:pPr>
              <w:spacing w:after="0" w:line="240" w:lineRule="auto"/>
              <w:rPr>
                <w:rFonts w:ascii="Arial" w:hAnsi="Arial" w:cs="Arial"/>
                <w:b/>
                <w:sz w:val="24"/>
                <w:szCs w:val="24"/>
              </w:rPr>
            </w:pPr>
            <w:r>
              <w:rPr>
                <w:rFonts w:ascii="Arial" w:hAnsi="Arial" w:cs="Arial"/>
                <w:b/>
                <w:sz w:val="24"/>
                <w:szCs w:val="24"/>
              </w:rPr>
              <w:t>ORDER:</w:t>
            </w:r>
          </w:p>
          <w:p w:rsidR="00103C0D" w:rsidRDefault="00103C0D" w:rsidP="000F2CE4">
            <w:pPr>
              <w:spacing w:after="0" w:line="240" w:lineRule="auto"/>
              <w:rPr>
                <w:rFonts w:ascii="Arial" w:hAnsi="Arial" w:cs="Arial"/>
                <w:b/>
                <w:sz w:val="24"/>
                <w:szCs w:val="24"/>
              </w:rPr>
            </w:pPr>
          </w:p>
        </w:tc>
      </w:tr>
      <w:tr w:rsidR="00103C0D" w:rsidTr="00103C0D">
        <w:trPr>
          <w:trHeight w:val="2104"/>
        </w:trPr>
        <w:tc>
          <w:tcPr>
            <w:tcW w:w="9209" w:type="dxa"/>
            <w:gridSpan w:val="3"/>
          </w:tcPr>
          <w:p w:rsidR="00103C0D" w:rsidRDefault="00103C0D" w:rsidP="00103C0D">
            <w:pPr>
              <w:spacing w:after="0" w:line="240" w:lineRule="auto"/>
              <w:ind w:left="720" w:hanging="720"/>
              <w:jc w:val="both"/>
              <w:rPr>
                <w:rFonts w:ascii="Arial" w:hAnsi="Arial" w:cs="Arial"/>
                <w:sz w:val="24"/>
                <w:szCs w:val="24"/>
              </w:rPr>
            </w:pPr>
          </w:p>
          <w:p w:rsidR="00103C0D" w:rsidRPr="00103C0D" w:rsidRDefault="00103C0D" w:rsidP="00103C0D">
            <w:pPr>
              <w:pStyle w:val="ListParagraph"/>
              <w:numPr>
                <w:ilvl w:val="0"/>
                <w:numId w:val="22"/>
              </w:numPr>
              <w:spacing w:after="0" w:line="360" w:lineRule="auto"/>
              <w:jc w:val="both"/>
              <w:rPr>
                <w:rFonts w:ascii="Arial" w:hAnsi="Arial" w:cs="Arial"/>
                <w:sz w:val="24"/>
                <w:szCs w:val="24"/>
              </w:rPr>
            </w:pPr>
            <w:r w:rsidRPr="00103C0D">
              <w:rPr>
                <w:rFonts w:ascii="Arial" w:hAnsi="Arial" w:cs="Arial"/>
                <w:sz w:val="24"/>
                <w:szCs w:val="24"/>
              </w:rPr>
              <w:t>The application to have the three state witnesses re-called for cross-examination in respect of the applicant is refused.</w:t>
            </w:r>
          </w:p>
          <w:p w:rsidR="00103C0D" w:rsidRDefault="00103C0D" w:rsidP="00103C0D">
            <w:pPr>
              <w:spacing w:after="0" w:line="240" w:lineRule="auto"/>
              <w:jc w:val="both"/>
              <w:rPr>
                <w:rFonts w:ascii="Arial" w:hAnsi="Arial" w:cs="Arial"/>
                <w:sz w:val="24"/>
                <w:szCs w:val="24"/>
              </w:rPr>
            </w:pPr>
          </w:p>
          <w:p w:rsidR="00103C0D" w:rsidRPr="00103C0D" w:rsidRDefault="00103C0D" w:rsidP="00103C0D">
            <w:pPr>
              <w:pStyle w:val="ListParagraph"/>
              <w:numPr>
                <w:ilvl w:val="0"/>
                <w:numId w:val="22"/>
              </w:numPr>
              <w:spacing w:after="0" w:line="360" w:lineRule="auto"/>
              <w:jc w:val="both"/>
              <w:rPr>
                <w:rFonts w:ascii="Arial" w:hAnsi="Arial" w:cs="Arial"/>
                <w:sz w:val="24"/>
                <w:szCs w:val="24"/>
              </w:rPr>
            </w:pPr>
            <w:r w:rsidRPr="00103C0D">
              <w:rPr>
                <w:rFonts w:ascii="Arial" w:hAnsi="Arial" w:cs="Arial"/>
                <w:sz w:val="24"/>
                <w:szCs w:val="24"/>
              </w:rPr>
              <w:t>It is ordered that the defence case should commence forthwith.</w:t>
            </w:r>
          </w:p>
          <w:p w:rsidR="00103C0D" w:rsidRDefault="00103C0D" w:rsidP="00103C0D">
            <w:pPr>
              <w:spacing w:after="0" w:line="240" w:lineRule="auto"/>
              <w:rPr>
                <w:rFonts w:ascii="Arial" w:hAnsi="Arial" w:cs="Arial"/>
                <w:b/>
                <w:sz w:val="24"/>
                <w:szCs w:val="24"/>
              </w:rPr>
            </w:pPr>
          </w:p>
        </w:tc>
      </w:tr>
      <w:tr w:rsidR="00103C0D" w:rsidTr="00103C0D">
        <w:trPr>
          <w:trHeight w:val="424"/>
        </w:trPr>
        <w:tc>
          <w:tcPr>
            <w:tcW w:w="9209" w:type="dxa"/>
            <w:gridSpan w:val="3"/>
          </w:tcPr>
          <w:p w:rsidR="00103C0D" w:rsidRDefault="00103C0D" w:rsidP="00103C0D">
            <w:pPr>
              <w:spacing w:after="0" w:line="240" w:lineRule="auto"/>
              <w:ind w:left="720" w:hanging="720"/>
              <w:jc w:val="both"/>
              <w:rPr>
                <w:rFonts w:ascii="Arial" w:hAnsi="Arial" w:cs="Arial"/>
                <w:b/>
                <w:sz w:val="24"/>
                <w:szCs w:val="24"/>
              </w:rPr>
            </w:pPr>
          </w:p>
          <w:p w:rsidR="00103C0D" w:rsidRPr="00103C0D" w:rsidRDefault="00103C0D" w:rsidP="00103C0D">
            <w:pPr>
              <w:spacing w:after="0" w:line="240" w:lineRule="auto"/>
              <w:ind w:left="720" w:hanging="720"/>
              <w:jc w:val="both"/>
              <w:rPr>
                <w:rFonts w:ascii="Arial" w:hAnsi="Arial" w:cs="Arial"/>
                <w:b/>
                <w:sz w:val="24"/>
                <w:szCs w:val="24"/>
              </w:rPr>
            </w:pPr>
            <w:r w:rsidRPr="00103C0D">
              <w:rPr>
                <w:rFonts w:ascii="Arial" w:hAnsi="Arial" w:cs="Arial"/>
                <w:b/>
                <w:sz w:val="24"/>
                <w:szCs w:val="24"/>
              </w:rPr>
              <w:t>REASONS FOR ORDERS:</w:t>
            </w:r>
          </w:p>
          <w:p w:rsidR="00103C0D" w:rsidRDefault="00103C0D" w:rsidP="00103C0D">
            <w:pPr>
              <w:spacing w:after="0" w:line="240" w:lineRule="auto"/>
              <w:ind w:left="720" w:hanging="720"/>
              <w:jc w:val="both"/>
              <w:rPr>
                <w:rFonts w:ascii="Arial" w:hAnsi="Arial" w:cs="Arial"/>
                <w:sz w:val="24"/>
                <w:szCs w:val="24"/>
              </w:rPr>
            </w:pPr>
          </w:p>
        </w:tc>
      </w:tr>
      <w:tr w:rsidR="00103C0D" w:rsidTr="002278EB">
        <w:trPr>
          <w:trHeight w:val="11083"/>
        </w:trPr>
        <w:tc>
          <w:tcPr>
            <w:tcW w:w="9209" w:type="dxa"/>
            <w:gridSpan w:val="3"/>
            <w:tcBorders>
              <w:bottom w:val="nil"/>
            </w:tcBorders>
          </w:tcPr>
          <w:p w:rsidR="00A639F5" w:rsidRDefault="00A639F5" w:rsidP="002452E3">
            <w:pPr>
              <w:spacing w:after="0" w:line="240" w:lineRule="auto"/>
              <w:jc w:val="both"/>
              <w:rPr>
                <w:rFonts w:ascii="Arial" w:hAnsi="Arial" w:cs="Arial"/>
                <w:b/>
                <w:sz w:val="24"/>
                <w:szCs w:val="24"/>
              </w:rPr>
            </w:pPr>
          </w:p>
          <w:p w:rsidR="00103C0D" w:rsidRPr="00F70EDB" w:rsidRDefault="00103C0D" w:rsidP="00103C0D">
            <w:pPr>
              <w:spacing w:after="0" w:line="360" w:lineRule="auto"/>
              <w:jc w:val="both"/>
              <w:rPr>
                <w:rFonts w:ascii="Arial" w:hAnsi="Arial" w:cs="Arial"/>
                <w:sz w:val="24"/>
                <w:szCs w:val="24"/>
              </w:rPr>
            </w:pPr>
            <w:r w:rsidRPr="00F70EDB">
              <w:rPr>
                <w:rFonts w:ascii="Arial" w:hAnsi="Arial" w:cs="Arial"/>
                <w:sz w:val="24"/>
                <w:szCs w:val="24"/>
              </w:rPr>
              <w:t>D USIKU J:</w:t>
            </w:r>
          </w:p>
          <w:p w:rsidR="00103C0D" w:rsidRDefault="00103C0D" w:rsidP="000D69DC">
            <w:pPr>
              <w:spacing w:after="0" w:line="240" w:lineRule="auto"/>
              <w:jc w:val="both"/>
              <w:rPr>
                <w:rFonts w:ascii="Arial" w:hAnsi="Arial" w:cs="Arial"/>
                <w:sz w:val="24"/>
                <w:szCs w:val="24"/>
              </w:rPr>
            </w:pPr>
          </w:p>
          <w:p w:rsidR="00103C0D" w:rsidRDefault="00103C0D" w:rsidP="00103C0D">
            <w:pPr>
              <w:spacing w:after="0" w:line="240" w:lineRule="auto"/>
              <w:jc w:val="both"/>
              <w:rPr>
                <w:rFonts w:ascii="Arial" w:hAnsi="Arial" w:cs="Arial"/>
                <w:sz w:val="24"/>
                <w:szCs w:val="24"/>
              </w:rPr>
            </w:pPr>
            <w:r>
              <w:rPr>
                <w:rFonts w:ascii="Arial" w:hAnsi="Arial" w:cs="Arial"/>
                <w:sz w:val="24"/>
                <w:szCs w:val="24"/>
              </w:rPr>
              <w:t>Introduction</w:t>
            </w:r>
          </w:p>
          <w:p w:rsidR="00103C0D" w:rsidRDefault="00103C0D" w:rsidP="00103C0D">
            <w:pPr>
              <w:spacing w:after="0" w:line="240" w:lineRule="auto"/>
              <w:jc w:val="both"/>
              <w:rPr>
                <w:rFonts w:ascii="Arial" w:hAnsi="Arial" w:cs="Arial"/>
                <w:sz w:val="24"/>
                <w:szCs w:val="24"/>
              </w:rPr>
            </w:pPr>
          </w:p>
          <w:p w:rsidR="00103C0D" w:rsidRDefault="00103C0D" w:rsidP="00103C0D">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The applicant herein stands jointly charged with four others with several crimes. When the matter was allocated before this court on 24 May 2018 for review roll, it was </w:t>
            </w:r>
            <w:r w:rsidR="00A22205">
              <w:rPr>
                <w:rFonts w:ascii="Arial" w:hAnsi="Arial" w:cs="Arial"/>
                <w:sz w:val="24"/>
                <w:szCs w:val="24"/>
              </w:rPr>
              <w:t xml:space="preserve">postponed to 28 June 2018. Mr </w:t>
            </w:r>
            <w:proofErr w:type="spellStart"/>
            <w:r w:rsidR="00A22205">
              <w:rPr>
                <w:rFonts w:ascii="Arial" w:hAnsi="Arial" w:cs="Arial"/>
                <w:sz w:val="24"/>
                <w:szCs w:val="24"/>
              </w:rPr>
              <w:t>Nh</w:t>
            </w:r>
            <w:r>
              <w:rPr>
                <w:rFonts w:ascii="Arial" w:hAnsi="Arial" w:cs="Arial"/>
                <w:sz w:val="24"/>
                <w:szCs w:val="24"/>
              </w:rPr>
              <w:t>inda</w:t>
            </w:r>
            <w:proofErr w:type="spellEnd"/>
            <w:r>
              <w:rPr>
                <w:rFonts w:ascii="Arial" w:hAnsi="Arial" w:cs="Arial"/>
                <w:sz w:val="24"/>
                <w:szCs w:val="24"/>
              </w:rPr>
              <w:t xml:space="preserve"> appeared on behalf of the applicant, but withdrew thereafter. When th</w:t>
            </w:r>
            <w:r w:rsidR="00A22205">
              <w:rPr>
                <w:rFonts w:ascii="Arial" w:hAnsi="Arial" w:cs="Arial"/>
                <w:sz w:val="24"/>
                <w:szCs w:val="24"/>
              </w:rPr>
              <w:t>e matter returned to court on 12 November</w:t>
            </w:r>
            <w:r>
              <w:rPr>
                <w:rFonts w:ascii="Arial" w:hAnsi="Arial" w:cs="Arial"/>
                <w:sz w:val="24"/>
                <w:szCs w:val="24"/>
              </w:rPr>
              <w:t xml:space="preserve"> 2018, the applicant was represented by Mr </w:t>
            </w:r>
            <w:proofErr w:type="spellStart"/>
            <w:r>
              <w:rPr>
                <w:rFonts w:ascii="Arial" w:hAnsi="Arial" w:cs="Arial"/>
                <w:sz w:val="24"/>
                <w:szCs w:val="24"/>
              </w:rPr>
              <w:t>Mbaeva</w:t>
            </w:r>
            <w:proofErr w:type="spellEnd"/>
            <w:r>
              <w:rPr>
                <w:rFonts w:ascii="Arial" w:hAnsi="Arial" w:cs="Arial"/>
                <w:sz w:val="24"/>
                <w:szCs w:val="24"/>
              </w:rPr>
              <w:t xml:space="preserve">. </w:t>
            </w:r>
            <w:proofErr w:type="spellStart"/>
            <w:r>
              <w:rPr>
                <w:rFonts w:ascii="Arial" w:hAnsi="Arial" w:cs="Arial"/>
                <w:sz w:val="24"/>
                <w:szCs w:val="24"/>
              </w:rPr>
              <w:t>Whereafter</w:t>
            </w:r>
            <w:proofErr w:type="spellEnd"/>
            <w:r>
              <w:rPr>
                <w:rFonts w:ascii="Arial" w:hAnsi="Arial" w:cs="Arial"/>
                <w:sz w:val="24"/>
                <w:szCs w:val="24"/>
              </w:rPr>
              <w:t xml:space="preserve"> the matter w</w:t>
            </w:r>
            <w:r w:rsidR="00A22205">
              <w:rPr>
                <w:rFonts w:ascii="Arial" w:hAnsi="Arial" w:cs="Arial"/>
                <w:sz w:val="24"/>
                <w:szCs w:val="24"/>
              </w:rPr>
              <w:t>as postponed to 14 November 2018</w:t>
            </w:r>
            <w:r>
              <w:rPr>
                <w:rFonts w:ascii="Arial" w:hAnsi="Arial" w:cs="Arial"/>
                <w:sz w:val="24"/>
                <w:szCs w:val="24"/>
              </w:rPr>
              <w:t xml:space="preserve">, in order for Mr </w:t>
            </w:r>
            <w:proofErr w:type="spellStart"/>
            <w:r>
              <w:rPr>
                <w:rFonts w:ascii="Arial" w:hAnsi="Arial" w:cs="Arial"/>
                <w:sz w:val="24"/>
                <w:szCs w:val="24"/>
              </w:rPr>
              <w:t>Mbaeva</w:t>
            </w:r>
            <w:proofErr w:type="spellEnd"/>
            <w:r>
              <w:rPr>
                <w:rFonts w:ascii="Arial" w:hAnsi="Arial" w:cs="Arial"/>
                <w:sz w:val="24"/>
                <w:szCs w:val="24"/>
              </w:rPr>
              <w:t xml:space="preserve"> to receive the disclosure. </w:t>
            </w:r>
          </w:p>
          <w:p w:rsidR="00103C0D" w:rsidRPr="00103C0D" w:rsidRDefault="00103C0D" w:rsidP="00103C0D">
            <w:pPr>
              <w:spacing w:line="360" w:lineRule="auto"/>
              <w:jc w:val="both"/>
              <w:rPr>
                <w:rFonts w:ascii="Arial" w:hAnsi="Arial" w:cs="Arial"/>
                <w:sz w:val="24"/>
                <w:szCs w:val="24"/>
              </w:rPr>
            </w:pPr>
            <w:r w:rsidRPr="00103C0D">
              <w:rPr>
                <w:rFonts w:ascii="Arial" w:hAnsi="Arial" w:cs="Arial"/>
                <w:sz w:val="24"/>
                <w:szCs w:val="24"/>
              </w:rPr>
              <w:t>[2]</w:t>
            </w:r>
            <w:r w:rsidRPr="00103C0D">
              <w:rPr>
                <w:rFonts w:ascii="Arial" w:hAnsi="Arial" w:cs="Arial"/>
                <w:sz w:val="24"/>
                <w:szCs w:val="24"/>
              </w:rPr>
              <w:tab/>
              <w:t>On 16 November 2018, the applicant brought an application for further particulars which was heard and the matter was postponed to 30 November 2018, for ruling on the application. The application was refused and the matter was postponed to 13 until 16 August 2019 for plea and trial. On that date, the applicant’s legal representative withdrew and the matter was again postponed to 20 August 2019 for status hearing.</w:t>
            </w:r>
          </w:p>
          <w:p w:rsidR="00103C0D" w:rsidRPr="00103C0D" w:rsidRDefault="00103C0D" w:rsidP="00103C0D">
            <w:pPr>
              <w:spacing w:line="360" w:lineRule="auto"/>
              <w:jc w:val="both"/>
              <w:rPr>
                <w:rFonts w:ascii="Arial" w:hAnsi="Arial" w:cs="Arial"/>
                <w:sz w:val="24"/>
                <w:szCs w:val="24"/>
              </w:rPr>
            </w:pPr>
            <w:r w:rsidRPr="00103C0D">
              <w:rPr>
                <w:rFonts w:ascii="Arial" w:hAnsi="Arial" w:cs="Arial"/>
                <w:sz w:val="24"/>
                <w:szCs w:val="24"/>
              </w:rPr>
              <w:t>[3]</w:t>
            </w:r>
            <w:r w:rsidRPr="00103C0D">
              <w:rPr>
                <w:rFonts w:ascii="Arial" w:hAnsi="Arial" w:cs="Arial"/>
                <w:sz w:val="24"/>
                <w:szCs w:val="24"/>
              </w:rPr>
              <w:tab/>
              <w:t xml:space="preserve">Mr </w:t>
            </w:r>
            <w:proofErr w:type="spellStart"/>
            <w:r w:rsidRPr="00103C0D">
              <w:rPr>
                <w:rFonts w:ascii="Arial" w:hAnsi="Arial" w:cs="Arial"/>
                <w:sz w:val="24"/>
                <w:szCs w:val="24"/>
              </w:rPr>
              <w:t>Muchali</w:t>
            </w:r>
            <w:proofErr w:type="spellEnd"/>
            <w:r w:rsidRPr="00103C0D">
              <w:rPr>
                <w:rFonts w:ascii="Arial" w:hAnsi="Arial" w:cs="Arial"/>
                <w:sz w:val="24"/>
                <w:szCs w:val="24"/>
              </w:rPr>
              <w:t xml:space="preserve"> came on board and the matter was again postponed until 10 September 2019 for status hearing. Another postponement was requested by the applicant’s legal representative in order to go through the disclosure, </w:t>
            </w:r>
            <w:proofErr w:type="spellStart"/>
            <w:r w:rsidRPr="00103C0D">
              <w:rPr>
                <w:rFonts w:ascii="Arial" w:hAnsi="Arial" w:cs="Arial"/>
                <w:sz w:val="24"/>
                <w:szCs w:val="24"/>
              </w:rPr>
              <w:t>whereafter</w:t>
            </w:r>
            <w:proofErr w:type="spellEnd"/>
            <w:r w:rsidRPr="00103C0D">
              <w:rPr>
                <w:rFonts w:ascii="Arial" w:hAnsi="Arial" w:cs="Arial"/>
                <w:sz w:val="24"/>
                <w:szCs w:val="24"/>
              </w:rPr>
              <w:t xml:space="preserve"> the case was postponed from 23 to 27 September 2019 for plea and trial. On 23 September 2019 there was no interpreter and the matter was rolled over to 24 September 2019 for plea and trial.</w:t>
            </w:r>
          </w:p>
          <w:p w:rsidR="00103C0D" w:rsidRPr="00103C0D" w:rsidRDefault="00103C0D" w:rsidP="00103C0D">
            <w:pPr>
              <w:spacing w:line="360" w:lineRule="auto"/>
              <w:jc w:val="both"/>
              <w:rPr>
                <w:rFonts w:ascii="Arial" w:hAnsi="Arial" w:cs="Arial"/>
                <w:sz w:val="24"/>
                <w:szCs w:val="24"/>
              </w:rPr>
            </w:pPr>
            <w:r w:rsidRPr="00103C0D">
              <w:rPr>
                <w:rFonts w:ascii="Arial" w:hAnsi="Arial" w:cs="Arial"/>
                <w:sz w:val="24"/>
                <w:szCs w:val="24"/>
              </w:rPr>
              <w:t>[4]</w:t>
            </w:r>
            <w:r w:rsidRPr="00103C0D">
              <w:rPr>
                <w:rFonts w:ascii="Arial" w:hAnsi="Arial" w:cs="Arial"/>
                <w:sz w:val="24"/>
                <w:szCs w:val="24"/>
              </w:rPr>
              <w:tab/>
              <w:t xml:space="preserve">On 24 September 2019, Mr </w:t>
            </w:r>
            <w:proofErr w:type="spellStart"/>
            <w:r w:rsidRPr="00103C0D">
              <w:rPr>
                <w:rFonts w:ascii="Arial" w:hAnsi="Arial" w:cs="Arial"/>
                <w:sz w:val="24"/>
                <w:szCs w:val="24"/>
              </w:rPr>
              <w:t>Muchali</w:t>
            </w:r>
            <w:proofErr w:type="spellEnd"/>
            <w:r w:rsidRPr="00103C0D">
              <w:rPr>
                <w:rFonts w:ascii="Arial" w:hAnsi="Arial" w:cs="Arial"/>
                <w:sz w:val="24"/>
                <w:szCs w:val="24"/>
              </w:rPr>
              <w:t xml:space="preserve"> informed the court that he was unable to proceed with the trial because the applicant herein did not instruct him as to how to proceed with the trial and the matter was once more postponed until 26 September 2019. The matter was again postponed on several occasions due to various reasons and set down for plea and trial from 17 to 21 August 2020. Upon resumption on 17 August 2020, Mr </w:t>
            </w:r>
            <w:proofErr w:type="spellStart"/>
            <w:r w:rsidRPr="00103C0D">
              <w:rPr>
                <w:rFonts w:ascii="Arial" w:hAnsi="Arial" w:cs="Arial"/>
                <w:sz w:val="24"/>
                <w:szCs w:val="24"/>
              </w:rPr>
              <w:t>Muchali</w:t>
            </w:r>
            <w:proofErr w:type="spellEnd"/>
            <w:r w:rsidRPr="00103C0D">
              <w:rPr>
                <w:rFonts w:ascii="Arial" w:hAnsi="Arial" w:cs="Arial"/>
                <w:sz w:val="24"/>
                <w:szCs w:val="24"/>
              </w:rPr>
              <w:t xml:space="preserve"> appearing on behalf of the applicant, informed the court that he did not receive instructions from the applicant herein and gave notice to withdraw. The matter was again postponed to 21 August 2020 in order for the applicant to obtain a legal aid lawyer.</w:t>
            </w:r>
          </w:p>
          <w:p w:rsidR="00103C0D" w:rsidRPr="00103C0D" w:rsidRDefault="00103C0D" w:rsidP="00103C0D">
            <w:pPr>
              <w:spacing w:line="360" w:lineRule="auto"/>
              <w:jc w:val="both"/>
              <w:rPr>
                <w:rFonts w:ascii="Arial" w:hAnsi="Arial" w:cs="Arial"/>
                <w:sz w:val="24"/>
                <w:szCs w:val="24"/>
              </w:rPr>
            </w:pPr>
            <w:r w:rsidRPr="00103C0D">
              <w:rPr>
                <w:rFonts w:ascii="Arial" w:hAnsi="Arial" w:cs="Arial"/>
                <w:sz w:val="24"/>
                <w:szCs w:val="24"/>
              </w:rPr>
              <w:lastRenderedPageBreak/>
              <w:t>[5]</w:t>
            </w:r>
            <w:r w:rsidRPr="00103C0D">
              <w:rPr>
                <w:rFonts w:ascii="Arial" w:hAnsi="Arial" w:cs="Arial"/>
                <w:sz w:val="24"/>
                <w:szCs w:val="24"/>
              </w:rPr>
              <w:tab/>
              <w:t xml:space="preserve">Mr </w:t>
            </w:r>
            <w:proofErr w:type="spellStart"/>
            <w:r w:rsidRPr="00103C0D">
              <w:rPr>
                <w:rFonts w:ascii="Arial" w:hAnsi="Arial" w:cs="Arial"/>
                <w:sz w:val="24"/>
                <w:szCs w:val="24"/>
              </w:rPr>
              <w:t>Kaurivi</w:t>
            </w:r>
            <w:proofErr w:type="spellEnd"/>
            <w:r w:rsidRPr="00103C0D">
              <w:rPr>
                <w:rFonts w:ascii="Arial" w:hAnsi="Arial" w:cs="Arial"/>
                <w:sz w:val="24"/>
                <w:szCs w:val="24"/>
              </w:rPr>
              <w:t xml:space="preserve"> was appointed and came on board </w:t>
            </w:r>
            <w:proofErr w:type="spellStart"/>
            <w:r w:rsidRPr="00103C0D">
              <w:rPr>
                <w:rFonts w:ascii="Arial" w:hAnsi="Arial" w:cs="Arial"/>
                <w:sz w:val="24"/>
                <w:szCs w:val="24"/>
              </w:rPr>
              <w:t>whereafter</w:t>
            </w:r>
            <w:proofErr w:type="spellEnd"/>
            <w:r w:rsidRPr="00103C0D">
              <w:rPr>
                <w:rFonts w:ascii="Arial" w:hAnsi="Arial" w:cs="Arial"/>
                <w:sz w:val="24"/>
                <w:szCs w:val="24"/>
              </w:rPr>
              <w:t xml:space="preserve"> the matter was postponed to 18 September 2020. On that date the matter was again postponed to 28 September 2020, for status hearing. This time it was due to covid-19 lock down. The matter was postponed to 29 September 2020, and again postponed for several other reasons until 9 August 2021.</w:t>
            </w:r>
          </w:p>
          <w:p w:rsidR="00103C0D" w:rsidRPr="00103C0D" w:rsidRDefault="00103C0D" w:rsidP="00103C0D">
            <w:pPr>
              <w:spacing w:line="360" w:lineRule="auto"/>
              <w:jc w:val="both"/>
              <w:rPr>
                <w:rFonts w:ascii="Arial" w:hAnsi="Arial" w:cs="Arial"/>
                <w:sz w:val="24"/>
                <w:szCs w:val="24"/>
              </w:rPr>
            </w:pPr>
            <w:r w:rsidRPr="00103C0D">
              <w:rPr>
                <w:rFonts w:ascii="Arial" w:hAnsi="Arial" w:cs="Arial"/>
                <w:sz w:val="24"/>
                <w:szCs w:val="24"/>
              </w:rPr>
              <w:t>[6]</w:t>
            </w:r>
            <w:r w:rsidRPr="00103C0D">
              <w:rPr>
                <w:rFonts w:ascii="Arial" w:hAnsi="Arial" w:cs="Arial"/>
                <w:sz w:val="24"/>
                <w:szCs w:val="24"/>
              </w:rPr>
              <w:tab/>
              <w:t xml:space="preserve">On that date, charges were put to the accused person’s, </w:t>
            </w:r>
            <w:proofErr w:type="spellStart"/>
            <w:r w:rsidRPr="00103C0D">
              <w:rPr>
                <w:rFonts w:ascii="Arial" w:hAnsi="Arial" w:cs="Arial"/>
                <w:sz w:val="24"/>
                <w:szCs w:val="24"/>
              </w:rPr>
              <w:t>whereafter</w:t>
            </w:r>
            <w:proofErr w:type="spellEnd"/>
            <w:r w:rsidRPr="00103C0D">
              <w:rPr>
                <w:rFonts w:ascii="Arial" w:hAnsi="Arial" w:cs="Arial"/>
                <w:sz w:val="24"/>
                <w:szCs w:val="24"/>
              </w:rPr>
              <w:t xml:space="preserve"> the matter was postponed to 10 – 12 August 2021 for continuation of trial. On 12 August 2021, the court held a trial within a trial in respect of the applicant and the matter was postponed to 6 September 2021 for ruling in the trial within a trial. After the ruling, the matter was postponed to 7 – 10 September 2021 for continuation of trial. On 10 September 2021 the matter was again postponed to 4 – 8 October 2021. Again, the matter was postponed for various reasons until </w:t>
            </w:r>
            <w:r w:rsidR="00A22205">
              <w:rPr>
                <w:rFonts w:ascii="Arial" w:hAnsi="Arial" w:cs="Arial"/>
                <w:sz w:val="24"/>
                <w:szCs w:val="24"/>
              </w:rPr>
              <w:t xml:space="preserve">7-11 </w:t>
            </w:r>
            <w:r w:rsidRPr="00103C0D">
              <w:rPr>
                <w:rFonts w:ascii="Arial" w:hAnsi="Arial" w:cs="Arial"/>
                <w:sz w:val="24"/>
                <w:szCs w:val="24"/>
              </w:rPr>
              <w:t>March 2022</w:t>
            </w:r>
            <w:r w:rsidR="00A22205">
              <w:rPr>
                <w:rFonts w:ascii="Arial" w:hAnsi="Arial" w:cs="Arial"/>
                <w:sz w:val="24"/>
                <w:szCs w:val="24"/>
              </w:rPr>
              <w:t xml:space="preserve"> for continuation of trial</w:t>
            </w:r>
            <w:r w:rsidRPr="00103C0D">
              <w:rPr>
                <w:rFonts w:ascii="Arial" w:hAnsi="Arial" w:cs="Arial"/>
                <w:sz w:val="24"/>
                <w:szCs w:val="24"/>
              </w:rPr>
              <w:t>. From that date there were several postponements until 3 October 2022</w:t>
            </w:r>
            <w:r w:rsidR="00A22205">
              <w:rPr>
                <w:rFonts w:ascii="Arial" w:hAnsi="Arial" w:cs="Arial"/>
                <w:sz w:val="24"/>
                <w:szCs w:val="24"/>
              </w:rPr>
              <w:t xml:space="preserve"> for continuation of trial</w:t>
            </w:r>
            <w:r w:rsidRPr="00103C0D">
              <w:rPr>
                <w:rFonts w:ascii="Arial" w:hAnsi="Arial" w:cs="Arial"/>
                <w:sz w:val="24"/>
                <w:szCs w:val="24"/>
              </w:rPr>
              <w:t xml:space="preserve">. The trial resumed and on 6 October 2022, the state closed its case, </w:t>
            </w:r>
            <w:proofErr w:type="spellStart"/>
            <w:r w:rsidRPr="00103C0D">
              <w:rPr>
                <w:rFonts w:ascii="Arial" w:hAnsi="Arial" w:cs="Arial"/>
                <w:sz w:val="24"/>
                <w:szCs w:val="24"/>
              </w:rPr>
              <w:t>whereafter</w:t>
            </w:r>
            <w:proofErr w:type="spellEnd"/>
            <w:r w:rsidRPr="00103C0D">
              <w:rPr>
                <w:rFonts w:ascii="Arial" w:hAnsi="Arial" w:cs="Arial"/>
                <w:sz w:val="24"/>
                <w:szCs w:val="24"/>
              </w:rPr>
              <w:t xml:space="preserve"> the case was postponed to 7 – 11 November 2022 for the defence case.</w:t>
            </w:r>
          </w:p>
          <w:p w:rsidR="00103C0D" w:rsidRPr="00103C0D" w:rsidRDefault="00103C0D" w:rsidP="00103C0D">
            <w:pPr>
              <w:spacing w:line="360" w:lineRule="auto"/>
              <w:jc w:val="both"/>
              <w:rPr>
                <w:rFonts w:ascii="Arial" w:hAnsi="Arial" w:cs="Arial"/>
                <w:sz w:val="24"/>
                <w:szCs w:val="24"/>
              </w:rPr>
            </w:pPr>
            <w:r w:rsidRPr="00103C0D">
              <w:rPr>
                <w:rFonts w:ascii="Arial" w:hAnsi="Arial" w:cs="Arial"/>
                <w:sz w:val="24"/>
                <w:szCs w:val="24"/>
              </w:rPr>
              <w:t>[7]</w:t>
            </w:r>
            <w:r w:rsidRPr="00103C0D">
              <w:rPr>
                <w:rFonts w:ascii="Arial" w:hAnsi="Arial" w:cs="Arial"/>
                <w:sz w:val="24"/>
                <w:szCs w:val="24"/>
              </w:rPr>
              <w:tab/>
              <w:t xml:space="preserve">On 7 November 2022, Mr </w:t>
            </w:r>
            <w:proofErr w:type="spellStart"/>
            <w:r w:rsidRPr="00103C0D">
              <w:rPr>
                <w:rFonts w:ascii="Arial" w:hAnsi="Arial" w:cs="Arial"/>
                <w:sz w:val="24"/>
                <w:szCs w:val="24"/>
              </w:rPr>
              <w:t>Kaurivi</w:t>
            </w:r>
            <w:proofErr w:type="spellEnd"/>
            <w:r w:rsidRPr="00103C0D">
              <w:rPr>
                <w:rFonts w:ascii="Arial" w:hAnsi="Arial" w:cs="Arial"/>
                <w:sz w:val="24"/>
                <w:szCs w:val="24"/>
              </w:rPr>
              <w:t xml:space="preserve"> appearing on behalf of the applicant withdrew and the matter was postponed to 8 November 2022. The applicant requested the matter to be postponed again in order to apply for a legal aid lawyer. The</w:t>
            </w:r>
            <w:r w:rsidR="00A22205">
              <w:rPr>
                <w:rFonts w:ascii="Arial" w:hAnsi="Arial" w:cs="Arial"/>
                <w:sz w:val="24"/>
                <w:szCs w:val="24"/>
              </w:rPr>
              <w:t xml:space="preserve"> matter was again postponed to 2</w:t>
            </w:r>
            <w:r w:rsidRPr="00103C0D">
              <w:rPr>
                <w:rFonts w:ascii="Arial" w:hAnsi="Arial" w:cs="Arial"/>
                <w:sz w:val="24"/>
                <w:szCs w:val="24"/>
              </w:rPr>
              <w:t xml:space="preserve">5 November 2022. On that date, the applicant informed the court that he has obtained the services of a legal aid lawyer, a certain Ms </w:t>
            </w:r>
            <w:proofErr w:type="spellStart"/>
            <w:r w:rsidRPr="00103C0D">
              <w:rPr>
                <w:rFonts w:ascii="Arial" w:hAnsi="Arial" w:cs="Arial"/>
                <w:sz w:val="24"/>
                <w:szCs w:val="24"/>
              </w:rPr>
              <w:t>Kandoni</w:t>
            </w:r>
            <w:proofErr w:type="spellEnd"/>
            <w:r w:rsidRPr="00103C0D">
              <w:rPr>
                <w:rFonts w:ascii="Arial" w:hAnsi="Arial" w:cs="Arial"/>
                <w:sz w:val="24"/>
                <w:szCs w:val="24"/>
              </w:rPr>
              <w:t xml:space="preserve"> who was not present at court, </w:t>
            </w:r>
            <w:proofErr w:type="spellStart"/>
            <w:r w:rsidRPr="00103C0D">
              <w:rPr>
                <w:rFonts w:ascii="Arial" w:hAnsi="Arial" w:cs="Arial"/>
                <w:sz w:val="24"/>
                <w:szCs w:val="24"/>
              </w:rPr>
              <w:t>whereafter</w:t>
            </w:r>
            <w:proofErr w:type="spellEnd"/>
            <w:r w:rsidRPr="00103C0D">
              <w:rPr>
                <w:rFonts w:ascii="Arial" w:hAnsi="Arial" w:cs="Arial"/>
                <w:sz w:val="24"/>
                <w:szCs w:val="24"/>
              </w:rPr>
              <w:t xml:space="preserve"> the matter was postponed to 13 – 17 February 2023 for the defence case. On resumption, Ms </w:t>
            </w:r>
            <w:proofErr w:type="spellStart"/>
            <w:r w:rsidRPr="00103C0D">
              <w:rPr>
                <w:rFonts w:ascii="Arial" w:hAnsi="Arial" w:cs="Arial"/>
                <w:sz w:val="24"/>
                <w:szCs w:val="24"/>
              </w:rPr>
              <w:t>Kandoni</w:t>
            </w:r>
            <w:proofErr w:type="spellEnd"/>
            <w:r w:rsidRPr="00103C0D">
              <w:rPr>
                <w:rFonts w:ascii="Arial" w:hAnsi="Arial" w:cs="Arial"/>
                <w:sz w:val="24"/>
                <w:szCs w:val="24"/>
              </w:rPr>
              <w:t xml:space="preserve"> informed court that she filed a notice of withdrawal and further that the applicant had instructed a private lawyer, Mr </w:t>
            </w:r>
            <w:proofErr w:type="spellStart"/>
            <w:r w:rsidRPr="00103C0D">
              <w:rPr>
                <w:rFonts w:ascii="Arial" w:hAnsi="Arial" w:cs="Arial"/>
                <w:sz w:val="24"/>
                <w:szCs w:val="24"/>
              </w:rPr>
              <w:t>Siyomunji</w:t>
            </w:r>
            <w:proofErr w:type="spellEnd"/>
            <w:r w:rsidRPr="00103C0D">
              <w:rPr>
                <w:rFonts w:ascii="Arial" w:hAnsi="Arial" w:cs="Arial"/>
                <w:sz w:val="24"/>
                <w:szCs w:val="24"/>
              </w:rPr>
              <w:t xml:space="preserve"> who at the time was not at court. The matter was postponed to 14 February 2023.</w:t>
            </w:r>
          </w:p>
          <w:p w:rsidR="00103C0D" w:rsidRDefault="00103C0D" w:rsidP="00103C0D">
            <w:pPr>
              <w:spacing w:line="360" w:lineRule="auto"/>
              <w:jc w:val="both"/>
              <w:rPr>
                <w:rFonts w:ascii="Arial" w:hAnsi="Arial" w:cs="Arial"/>
                <w:sz w:val="24"/>
                <w:szCs w:val="24"/>
              </w:rPr>
            </w:pPr>
            <w:r w:rsidRPr="00103C0D">
              <w:rPr>
                <w:rFonts w:ascii="Arial" w:hAnsi="Arial" w:cs="Arial"/>
                <w:sz w:val="24"/>
                <w:szCs w:val="24"/>
              </w:rPr>
              <w:t>[8]</w:t>
            </w:r>
            <w:r w:rsidRPr="00103C0D">
              <w:rPr>
                <w:rFonts w:ascii="Arial" w:hAnsi="Arial" w:cs="Arial"/>
                <w:sz w:val="24"/>
                <w:szCs w:val="24"/>
              </w:rPr>
              <w:tab/>
              <w:t xml:space="preserve">On resumption, Mr </w:t>
            </w:r>
            <w:proofErr w:type="spellStart"/>
            <w:r w:rsidRPr="00103C0D">
              <w:rPr>
                <w:rFonts w:ascii="Arial" w:hAnsi="Arial" w:cs="Arial"/>
                <w:sz w:val="24"/>
                <w:szCs w:val="24"/>
              </w:rPr>
              <w:t>Siyomunji</w:t>
            </w:r>
            <w:proofErr w:type="spellEnd"/>
            <w:r w:rsidRPr="00103C0D">
              <w:rPr>
                <w:rFonts w:ascii="Arial" w:hAnsi="Arial" w:cs="Arial"/>
                <w:sz w:val="24"/>
                <w:szCs w:val="24"/>
              </w:rPr>
              <w:t xml:space="preserve"> appeared for the applicant and the matter was postponed until 3</w:t>
            </w:r>
            <w:r w:rsidR="00A22205">
              <w:rPr>
                <w:rFonts w:ascii="Arial" w:hAnsi="Arial" w:cs="Arial"/>
                <w:sz w:val="24"/>
                <w:szCs w:val="24"/>
              </w:rPr>
              <w:t>-7</w:t>
            </w:r>
            <w:r w:rsidRPr="00103C0D">
              <w:rPr>
                <w:rFonts w:ascii="Arial" w:hAnsi="Arial" w:cs="Arial"/>
                <w:sz w:val="24"/>
                <w:szCs w:val="24"/>
              </w:rPr>
              <w:t xml:space="preserve"> July 2023</w:t>
            </w:r>
            <w:r w:rsidR="00A22205">
              <w:rPr>
                <w:rFonts w:ascii="Arial" w:hAnsi="Arial" w:cs="Arial"/>
                <w:sz w:val="24"/>
                <w:szCs w:val="24"/>
              </w:rPr>
              <w:t xml:space="preserve"> for defence case</w:t>
            </w:r>
            <w:r w:rsidRPr="00103C0D">
              <w:rPr>
                <w:rFonts w:ascii="Arial" w:hAnsi="Arial" w:cs="Arial"/>
                <w:sz w:val="24"/>
                <w:szCs w:val="24"/>
              </w:rPr>
              <w:t xml:space="preserve">. </w:t>
            </w:r>
          </w:p>
          <w:p w:rsidR="00103C0D" w:rsidRPr="00103C0D" w:rsidRDefault="00103C0D" w:rsidP="00103C0D">
            <w:pPr>
              <w:spacing w:line="360" w:lineRule="auto"/>
              <w:jc w:val="both"/>
              <w:rPr>
                <w:rFonts w:ascii="Arial" w:hAnsi="Arial" w:cs="Arial"/>
                <w:sz w:val="24"/>
                <w:szCs w:val="24"/>
              </w:rPr>
            </w:pPr>
            <w:r w:rsidRPr="00103C0D">
              <w:rPr>
                <w:rFonts w:ascii="Arial" w:hAnsi="Arial" w:cs="Arial"/>
                <w:sz w:val="24"/>
                <w:szCs w:val="24"/>
              </w:rPr>
              <w:t>[9]</w:t>
            </w:r>
            <w:r w:rsidRPr="00103C0D">
              <w:rPr>
                <w:rFonts w:ascii="Arial" w:hAnsi="Arial" w:cs="Arial"/>
                <w:sz w:val="24"/>
                <w:szCs w:val="24"/>
              </w:rPr>
              <w:tab/>
              <w:t>On 3 July 2023, the applicant through his legal representative, filed a notice of motion supported by an affidavit sworn to by the applicant, praying that three state witnesses be recalled to be cross examined in respect of the applicant.</w:t>
            </w:r>
          </w:p>
          <w:p w:rsidR="00103C0D" w:rsidRPr="00103C0D" w:rsidRDefault="00103C0D" w:rsidP="00103C0D">
            <w:pPr>
              <w:spacing w:line="360" w:lineRule="auto"/>
              <w:jc w:val="both"/>
              <w:rPr>
                <w:rFonts w:ascii="Arial" w:hAnsi="Arial" w:cs="Arial"/>
                <w:sz w:val="24"/>
                <w:szCs w:val="24"/>
              </w:rPr>
            </w:pPr>
            <w:r w:rsidRPr="00103C0D">
              <w:rPr>
                <w:rFonts w:ascii="Arial" w:hAnsi="Arial" w:cs="Arial"/>
                <w:sz w:val="24"/>
                <w:szCs w:val="24"/>
              </w:rPr>
              <w:lastRenderedPageBreak/>
              <w:t>[10]</w:t>
            </w:r>
            <w:r w:rsidRPr="00103C0D">
              <w:rPr>
                <w:rFonts w:ascii="Arial" w:hAnsi="Arial" w:cs="Arial"/>
                <w:sz w:val="24"/>
                <w:szCs w:val="24"/>
              </w:rPr>
              <w:tab/>
              <w:t>Whereas the state opposed the application, none of the accused persons</w:t>
            </w:r>
            <w:r w:rsidR="00A22205">
              <w:rPr>
                <w:rFonts w:ascii="Arial" w:hAnsi="Arial" w:cs="Arial"/>
                <w:sz w:val="24"/>
                <w:szCs w:val="24"/>
              </w:rPr>
              <w:t xml:space="preserve"> who are jointly charged</w:t>
            </w:r>
            <w:r w:rsidR="00192180">
              <w:rPr>
                <w:rFonts w:ascii="Arial" w:hAnsi="Arial" w:cs="Arial"/>
                <w:sz w:val="24"/>
                <w:szCs w:val="24"/>
              </w:rPr>
              <w:t xml:space="preserve"> with the applicant</w:t>
            </w:r>
            <w:r w:rsidRPr="00103C0D">
              <w:rPr>
                <w:rFonts w:ascii="Arial" w:hAnsi="Arial" w:cs="Arial"/>
                <w:sz w:val="24"/>
                <w:szCs w:val="24"/>
              </w:rPr>
              <w:t xml:space="preserve"> oppose</w:t>
            </w:r>
            <w:r w:rsidR="00A22205">
              <w:rPr>
                <w:rFonts w:ascii="Arial" w:hAnsi="Arial" w:cs="Arial"/>
                <w:sz w:val="24"/>
                <w:szCs w:val="24"/>
              </w:rPr>
              <w:t>d</w:t>
            </w:r>
            <w:r w:rsidRPr="00103C0D">
              <w:rPr>
                <w:rFonts w:ascii="Arial" w:hAnsi="Arial" w:cs="Arial"/>
                <w:sz w:val="24"/>
                <w:szCs w:val="24"/>
              </w:rPr>
              <w:t xml:space="preserve"> the application sought. Mr </w:t>
            </w:r>
            <w:proofErr w:type="spellStart"/>
            <w:r w:rsidRPr="00103C0D">
              <w:rPr>
                <w:rFonts w:ascii="Arial" w:hAnsi="Arial" w:cs="Arial"/>
                <w:sz w:val="24"/>
                <w:szCs w:val="24"/>
              </w:rPr>
              <w:t>Siyomunji</w:t>
            </w:r>
            <w:proofErr w:type="spellEnd"/>
            <w:r w:rsidRPr="00103C0D">
              <w:rPr>
                <w:rFonts w:ascii="Arial" w:hAnsi="Arial" w:cs="Arial"/>
                <w:sz w:val="24"/>
                <w:szCs w:val="24"/>
              </w:rPr>
              <w:t xml:space="preserve"> submitted that it is in the interest for justice to have the matter finalised because it has taken a long time</w:t>
            </w:r>
            <w:r w:rsidR="00A22205">
              <w:rPr>
                <w:rFonts w:ascii="Arial" w:hAnsi="Arial" w:cs="Arial"/>
                <w:sz w:val="24"/>
                <w:szCs w:val="24"/>
              </w:rPr>
              <w:t>.</w:t>
            </w:r>
          </w:p>
          <w:p w:rsidR="00103C0D" w:rsidRPr="00103C0D" w:rsidRDefault="00103C0D" w:rsidP="00103C0D">
            <w:pPr>
              <w:spacing w:line="360" w:lineRule="auto"/>
              <w:jc w:val="both"/>
              <w:rPr>
                <w:rFonts w:ascii="Arial" w:hAnsi="Arial" w:cs="Arial"/>
                <w:sz w:val="24"/>
                <w:szCs w:val="24"/>
              </w:rPr>
            </w:pPr>
            <w:r w:rsidRPr="00103C0D">
              <w:rPr>
                <w:rFonts w:ascii="Arial" w:hAnsi="Arial" w:cs="Arial"/>
                <w:sz w:val="24"/>
                <w:szCs w:val="24"/>
              </w:rPr>
              <w:t>[11]</w:t>
            </w:r>
            <w:r w:rsidRPr="00103C0D">
              <w:rPr>
                <w:rFonts w:ascii="Arial" w:hAnsi="Arial" w:cs="Arial"/>
                <w:sz w:val="24"/>
                <w:szCs w:val="24"/>
              </w:rPr>
              <w:tab/>
              <w:t>He further submitted that the application to have the three witnesses recalled is not meant to delay the proceedings, but because the three state witnesses are key witnesses in the case. It was further his submission that there were certain instructions that were not put to those witnesses during the course of the cross examination. The</w:t>
            </w:r>
            <w:r w:rsidR="00192180">
              <w:rPr>
                <w:rFonts w:ascii="Arial" w:hAnsi="Arial" w:cs="Arial"/>
                <w:sz w:val="24"/>
                <w:szCs w:val="24"/>
              </w:rPr>
              <w:t>y based their</w:t>
            </w:r>
            <w:r w:rsidRPr="00103C0D">
              <w:rPr>
                <w:rFonts w:ascii="Arial" w:hAnsi="Arial" w:cs="Arial"/>
                <w:sz w:val="24"/>
                <w:szCs w:val="24"/>
              </w:rPr>
              <w:t xml:space="preserve"> application on Article 12(2) of the Constitution. Thus it is their prayer that the applicant be afforded the opportunity to have the three state witnesses recalled</w:t>
            </w:r>
            <w:r w:rsidR="00192180">
              <w:rPr>
                <w:rFonts w:ascii="Arial" w:hAnsi="Arial" w:cs="Arial"/>
                <w:sz w:val="24"/>
                <w:szCs w:val="24"/>
              </w:rPr>
              <w:t xml:space="preserve"> for cross examination</w:t>
            </w:r>
            <w:r w:rsidRPr="00103C0D">
              <w:rPr>
                <w:rFonts w:ascii="Arial" w:hAnsi="Arial" w:cs="Arial"/>
                <w:sz w:val="24"/>
                <w:szCs w:val="24"/>
              </w:rPr>
              <w:t>.</w:t>
            </w:r>
          </w:p>
          <w:p w:rsidR="00103C0D" w:rsidRPr="00103C0D" w:rsidRDefault="00103C0D" w:rsidP="00103C0D">
            <w:pPr>
              <w:spacing w:line="360" w:lineRule="auto"/>
              <w:jc w:val="both"/>
              <w:rPr>
                <w:rFonts w:ascii="Arial" w:hAnsi="Arial" w:cs="Arial"/>
                <w:sz w:val="24"/>
                <w:szCs w:val="24"/>
              </w:rPr>
            </w:pPr>
            <w:r w:rsidRPr="00103C0D">
              <w:rPr>
                <w:rFonts w:ascii="Arial" w:hAnsi="Arial" w:cs="Arial"/>
                <w:sz w:val="24"/>
                <w:szCs w:val="24"/>
              </w:rPr>
              <w:t>[12]</w:t>
            </w:r>
            <w:r w:rsidRPr="00103C0D">
              <w:rPr>
                <w:rFonts w:ascii="Arial" w:hAnsi="Arial" w:cs="Arial"/>
                <w:sz w:val="24"/>
                <w:szCs w:val="24"/>
              </w:rPr>
              <w:tab/>
              <w:t xml:space="preserve">It was further submitted that in order for the court to make a proper determination at the end of the trial, those state witnesses be recalled. Further reference was made to </w:t>
            </w:r>
            <w:proofErr w:type="spellStart"/>
            <w:r w:rsidRPr="00103C0D">
              <w:rPr>
                <w:rFonts w:ascii="Arial" w:hAnsi="Arial" w:cs="Arial"/>
                <w:sz w:val="24"/>
                <w:szCs w:val="24"/>
              </w:rPr>
              <w:t>ss</w:t>
            </w:r>
            <w:proofErr w:type="spellEnd"/>
            <w:r w:rsidRPr="00103C0D">
              <w:rPr>
                <w:rFonts w:ascii="Arial" w:hAnsi="Arial" w:cs="Arial"/>
                <w:sz w:val="24"/>
                <w:szCs w:val="24"/>
              </w:rPr>
              <w:t xml:space="preserve"> 167 and 186 of the Criminal Procedure Act 51 of 1977 as amended.</w:t>
            </w:r>
          </w:p>
          <w:p w:rsidR="00103C0D" w:rsidRPr="00103C0D" w:rsidRDefault="00045086" w:rsidP="00103C0D">
            <w:pPr>
              <w:spacing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103C0D" w:rsidRPr="00103C0D">
              <w:rPr>
                <w:rFonts w:ascii="Arial" w:hAnsi="Arial" w:cs="Arial"/>
                <w:sz w:val="24"/>
                <w:szCs w:val="24"/>
              </w:rPr>
              <w:t>Section 167 provides:</w:t>
            </w:r>
          </w:p>
          <w:p w:rsidR="00103C0D" w:rsidRPr="00103C0D" w:rsidRDefault="00045086" w:rsidP="00103C0D">
            <w:pPr>
              <w:spacing w:line="360" w:lineRule="auto"/>
              <w:jc w:val="both"/>
              <w:rPr>
                <w:rFonts w:ascii="Arial" w:hAnsi="Arial" w:cs="Arial"/>
              </w:rPr>
            </w:pPr>
            <w:r>
              <w:rPr>
                <w:rFonts w:ascii="Arial" w:hAnsi="Arial" w:cs="Arial"/>
              </w:rPr>
              <w:tab/>
            </w:r>
            <w:r w:rsidR="00103C0D" w:rsidRPr="00103C0D">
              <w:rPr>
                <w:rFonts w:ascii="Arial" w:hAnsi="Arial" w:cs="Arial"/>
              </w:rPr>
              <w:t>‘The court may at any stage of criminal proceedings examine any person, other than an accused, who has been subpoenaed to attend such proceedings or who is in attendance at such proceedings, and may recall and re-examine any person, including an accused, already examined at the proceedings, and the court shall examine, or recall and re-examine, the person concerned if his evidence appears to the court essential to the just decision of the case.’</w:t>
            </w:r>
          </w:p>
          <w:p w:rsidR="00103C0D" w:rsidRPr="00103C0D" w:rsidRDefault="00045086" w:rsidP="00103C0D">
            <w:pPr>
              <w:spacing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r>
            <w:r w:rsidR="00103C0D" w:rsidRPr="00103C0D">
              <w:rPr>
                <w:rFonts w:ascii="Arial" w:hAnsi="Arial" w:cs="Arial"/>
                <w:sz w:val="24"/>
                <w:szCs w:val="24"/>
              </w:rPr>
              <w:t>And s 186 provides:</w:t>
            </w:r>
          </w:p>
          <w:p w:rsidR="00103C0D" w:rsidRPr="00103C0D" w:rsidRDefault="00045086" w:rsidP="00103C0D">
            <w:pPr>
              <w:spacing w:line="360" w:lineRule="auto"/>
              <w:jc w:val="both"/>
              <w:rPr>
                <w:rFonts w:ascii="Arial" w:hAnsi="Arial" w:cs="Arial"/>
                <w:sz w:val="24"/>
                <w:szCs w:val="24"/>
              </w:rPr>
            </w:pPr>
            <w:r>
              <w:rPr>
                <w:rFonts w:ascii="Arial" w:hAnsi="Arial" w:cs="Arial"/>
                <w:sz w:val="24"/>
                <w:szCs w:val="24"/>
              </w:rPr>
              <w:tab/>
            </w:r>
            <w:r w:rsidR="00103C0D" w:rsidRPr="00103C0D">
              <w:rPr>
                <w:rFonts w:ascii="Arial" w:hAnsi="Arial" w:cs="Arial"/>
                <w:sz w:val="24"/>
                <w:szCs w:val="24"/>
              </w:rPr>
              <w:t>‘</w:t>
            </w:r>
            <w:r w:rsidR="00103C0D" w:rsidRPr="00103C0D">
              <w:rPr>
                <w:rFonts w:ascii="Arial" w:hAnsi="Arial" w:cs="Arial"/>
              </w:rPr>
              <w:t>The court may at any stage of criminal proceedings subpoena or cause to be subpoenaed any person as a witness at such proceedings, and the court shall so subpoena a witness or so cause a witness to be subpoenaed if the evidence of such witness appears to the court essential to the just decision of the case.’</w:t>
            </w:r>
          </w:p>
          <w:p w:rsidR="00103C0D" w:rsidRPr="00103C0D" w:rsidRDefault="00045086" w:rsidP="00103C0D">
            <w:pPr>
              <w:spacing w:line="360" w:lineRule="auto"/>
              <w:jc w:val="both"/>
              <w:rPr>
                <w:rFonts w:ascii="Arial" w:hAnsi="Arial" w:cs="Arial"/>
                <w:sz w:val="24"/>
                <w:szCs w:val="24"/>
              </w:rPr>
            </w:pPr>
            <w:r>
              <w:rPr>
                <w:rFonts w:ascii="Arial" w:hAnsi="Arial" w:cs="Arial"/>
                <w:sz w:val="24"/>
                <w:szCs w:val="24"/>
              </w:rPr>
              <w:t>[15</w:t>
            </w:r>
            <w:r w:rsidR="00103C0D" w:rsidRPr="00103C0D">
              <w:rPr>
                <w:rFonts w:ascii="Arial" w:hAnsi="Arial" w:cs="Arial"/>
                <w:sz w:val="24"/>
                <w:szCs w:val="24"/>
              </w:rPr>
              <w:t>]</w:t>
            </w:r>
            <w:r w:rsidR="00103C0D" w:rsidRPr="00103C0D">
              <w:rPr>
                <w:rFonts w:ascii="Arial" w:hAnsi="Arial" w:cs="Arial"/>
                <w:sz w:val="24"/>
                <w:szCs w:val="24"/>
              </w:rPr>
              <w:tab/>
              <w:t>It is important to note that the two sections referred to are not peremptory and as such the court retain its right to exercise its discretion depending on the circumstances of each particular case.</w:t>
            </w:r>
          </w:p>
          <w:p w:rsidR="00103C0D" w:rsidRPr="00103C0D" w:rsidRDefault="00045086" w:rsidP="00103C0D">
            <w:pPr>
              <w:spacing w:line="360" w:lineRule="auto"/>
              <w:jc w:val="both"/>
              <w:rPr>
                <w:rFonts w:ascii="Arial" w:hAnsi="Arial" w:cs="Arial"/>
                <w:sz w:val="24"/>
                <w:szCs w:val="24"/>
              </w:rPr>
            </w:pPr>
            <w:r>
              <w:rPr>
                <w:rFonts w:ascii="Arial" w:hAnsi="Arial" w:cs="Arial"/>
                <w:sz w:val="24"/>
                <w:szCs w:val="24"/>
              </w:rPr>
              <w:lastRenderedPageBreak/>
              <w:t>[16</w:t>
            </w:r>
            <w:r w:rsidR="00103C0D" w:rsidRPr="00103C0D">
              <w:rPr>
                <w:rFonts w:ascii="Arial" w:hAnsi="Arial" w:cs="Arial"/>
                <w:sz w:val="24"/>
                <w:szCs w:val="24"/>
              </w:rPr>
              <w:t>]</w:t>
            </w:r>
            <w:r w:rsidR="00103C0D" w:rsidRPr="00103C0D">
              <w:rPr>
                <w:rFonts w:ascii="Arial" w:hAnsi="Arial" w:cs="Arial"/>
                <w:sz w:val="24"/>
                <w:szCs w:val="24"/>
              </w:rPr>
              <w:tab/>
              <w:t xml:space="preserve">On the other hand, the state opposed the application. In his submissions, Mr </w:t>
            </w:r>
            <w:proofErr w:type="spellStart"/>
            <w:r w:rsidR="00103C0D" w:rsidRPr="00103C0D">
              <w:rPr>
                <w:rFonts w:ascii="Arial" w:hAnsi="Arial" w:cs="Arial"/>
                <w:sz w:val="24"/>
                <w:szCs w:val="24"/>
              </w:rPr>
              <w:t>Lilungwe</w:t>
            </w:r>
            <w:proofErr w:type="spellEnd"/>
            <w:r w:rsidR="00103C0D" w:rsidRPr="00103C0D">
              <w:rPr>
                <w:rFonts w:ascii="Arial" w:hAnsi="Arial" w:cs="Arial"/>
                <w:sz w:val="24"/>
                <w:szCs w:val="24"/>
              </w:rPr>
              <w:t xml:space="preserve"> referred the court to the requirements to be made for an application for</w:t>
            </w:r>
            <w:r w:rsidR="00192180">
              <w:rPr>
                <w:rFonts w:ascii="Arial" w:hAnsi="Arial" w:cs="Arial"/>
                <w:sz w:val="24"/>
                <w:szCs w:val="24"/>
              </w:rPr>
              <w:t xml:space="preserve"> the</w:t>
            </w:r>
            <w:r w:rsidR="00103C0D" w:rsidRPr="00103C0D">
              <w:rPr>
                <w:rFonts w:ascii="Arial" w:hAnsi="Arial" w:cs="Arial"/>
                <w:sz w:val="24"/>
                <w:szCs w:val="24"/>
              </w:rPr>
              <w:t xml:space="preserve"> recalling of witnesses, emphasising that it should be in the interests of justice. It was further submitted that throughout the proceedings the applicant was legally represented. Reference was made to the matter of </w:t>
            </w:r>
            <w:r w:rsidR="00103C0D" w:rsidRPr="00103C0D">
              <w:rPr>
                <w:rFonts w:ascii="Arial" w:hAnsi="Arial" w:cs="Arial"/>
                <w:i/>
                <w:sz w:val="24"/>
                <w:szCs w:val="24"/>
              </w:rPr>
              <w:t xml:space="preserve">State v </w:t>
            </w:r>
            <w:proofErr w:type="spellStart"/>
            <w:r w:rsidR="00103C0D" w:rsidRPr="00103C0D">
              <w:rPr>
                <w:rFonts w:ascii="Arial" w:hAnsi="Arial" w:cs="Arial"/>
                <w:i/>
                <w:sz w:val="24"/>
                <w:szCs w:val="24"/>
              </w:rPr>
              <w:t>Likoro</w:t>
            </w:r>
            <w:proofErr w:type="spellEnd"/>
            <w:r w:rsidR="00103C0D" w:rsidRPr="00103C0D">
              <w:rPr>
                <w:rFonts w:ascii="Arial" w:hAnsi="Arial" w:cs="Arial"/>
                <w:i/>
                <w:sz w:val="24"/>
                <w:szCs w:val="24"/>
                <w:vertAlign w:val="superscript"/>
              </w:rPr>
              <w:footnoteReference w:id="1"/>
            </w:r>
            <w:r w:rsidR="00103C0D" w:rsidRPr="00103C0D">
              <w:rPr>
                <w:rFonts w:ascii="Arial" w:hAnsi="Arial" w:cs="Arial"/>
                <w:sz w:val="24"/>
                <w:szCs w:val="24"/>
              </w:rPr>
              <w:t xml:space="preserve">, in which the appellant had failed during the court proceedings to protest against the manner his counsel conducted his defence. Section 167 </w:t>
            </w:r>
            <w:r w:rsidR="00192180">
              <w:rPr>
                <w:rFonts w:ascii="Arial" w:hAnsi="Arial" w:cs="Arial"/>
                <w:sz w:val="24"/>
                <w:szCs w:val="24"/>
              </w:rPr>
              <w:t xml:space="preserve">of the Criminal Procedure Act </w:t>
            </w:r>
            <w:r w:rsidR="00103C0D" w:rsidRPr="00103C0D">
              <w:rPr>
                <w:rFonts w:ascii="Arial" w:hAnsi="Arial" w:cs="Arial"/>
                <w:sz w:val="24"/>
                <w:szCs w:val="24"/>
              </w:rPr>
              <w:t xml:space="preserve">51 of 1977 entitles the court to recall and re-examine any person in circumstances where the evidence of such person appears to the court essential. In the present case, the three state witnesses gave their testimony and were subjected to cross-examination. </w:t>
            </w:r>
          </w:p>
          <w:p w:rsidR="00045086" w:rsidRPr="00045086" w:rsidRDefault="00045086" w:rsidP="00045086">
            <w:pPr>
              <w:spacing w:line="360" w:lineRule="auto"/>
              <w:jc w:val="both"/>
              <w:rPr>
                <w:rFonts w:ascii="Arial" w:hAnsi="Arial" w:cs="Arial"/>
                <w:sz w:val="24"/>
                <w:szCs w:val="24"/>
              </w:rPr>
            </w:pPr>
            <w:r>
              <w:rPr>
                <w:rFonts w:ascii="Arial" w:hAnsi="Arial" w:cs="Arial"/>
                <w:sz w:val="24"/>
                <w:szCs w:val="24"/>
              </w:rPr>
              <w:t>[17</w:t>
            </w:r>
            <w:r w:rsidRPr="00045086">
              <w:rPr>
                <w:rFonts w:ascii="Arial" w:hAnsi="Arial" w:cs="Arial"/>
                <w:sz w:val="24"/>
                <w:szCs w:val="24"/>
              </w:rPr>
              <w:t>]</w:t>
            </w:r>
            <w:r w:rsidRPr="00045086">
              <w:rPr>
                <w:rFonts w:ascii="Arial" w:hAnsi="Arial" w:cs="Arial"/>
                <w:sz w:val="24"/>
                <w:szCs w:val="24"/>
              </w:rPr>
              <w:tab/>
              <w:t>The applicant is further relying on the right to a fair trial and in particular Article 12 1(</w:t>
            </w:r>
            <w:r w:rsidRPr="00045086">
              <w:rPr>
                <w:rFonts w:ascii="Arial" w:hAnsi="Arial" w:cs="Arial"/>
                <w:i/>
                <w:sz w:val="24"/>
                <w:szCs w:val="24"/>
              </w:rPr>
              <w:t>e</w:t>
            </w:r>
            <w:r w:rsidRPr="00045086">
              <w:rPr>
                <w:rFonts w:ascii="Arial" w:hAnsi="Arial" w:cs="Arial"/>
                <w:sz w:val="24"/>
                <w:szCs w:val="24"/>
              </w:rPr>
              <w:t>) of the Namibian Constitution which provides that:</w:t>
            </w:r>
          </w:p>
          <w:p w:rsidR="00045086" w:rsidRPr="00045086" w:rsidRDefault="00045086" w:rsidP="00045086">
            <w:pPr>
              <w:spacing w:line="360" w:lineRule="auto"/>
              <w:jc w:val="both"/>
              <w:rPr>
                <w:rFonts w:ascii="Arial" w:hAnsi="Arial" w:cs="Arial"/>
                <w:sz w:val="24"/>
                <w:szCs w:val="24"/>
              </w:rPr>
            </w:pPr>
            <w:r w:rsidRPr="00045086">
              <w:rPr>
                <w:rFonts w:ascii="Arial" w:hAnsi="Arial" w:cs="Arial"/>
                <w:sz w:val="24"/>
                <w:szCs w:val="24"/>
              </w:rPr>
              <w:tab/>
              <w:t>‘All persons shall be afforded adequate time and facilities for the preparation and presentation of their defence, before the commencement of and during their trial, and shall be entitled to be defended by a legal practitioner of their choice.’</w:t>
            </w:r>
          </w:p>
          <w:p w:rsidR="00045086" w:rsidRPr="00045086" w:rsidRDefault="00A639F5" w:rsidP="00045086">
            <w:pPr>
              <w:spacing w:line="360" w:lineRule="auto"/>
              <w:jc w:val="both"/>
              <w:rPr>
                <w:rFonts w:ascii="Arial" w:hAnsi="Arial" w:cs="Arial"/>
                <w:sz w:val="24"/>
                <w:szCs w:val="24"/>
              </w:rPr>
            </w:pPr>
            <w:r>
              <w:rPr>
                <w:rFonts w:ascii="Arial" w:hAnsi="Arial" w:cs="Arial"/>
                <w:sz w:val="24"/>
                <w:szCs w:val="24"/>
              </w:rPr>
              <w:t>[18</w:t>
            </w:r>
            <w:r w:rsidR="00045086" w:rsidRPr="00045086">
              <w:rPr>
                <w:rFonts w:ascii="Arial" w:hAnsi="Arial" w:cs="Arial"/>
                <w:sz w:val="24"/>
                <w:szCs w:val="24"/>
              </w:rPr>
              <w:t>]</w:t>
            </w:r>
            <w:r w:rsidR="00045086" w:rsidRPr="00045086">
              <w:rPr>
                <w:rFonts w:ascii="Arial" w:hAnsi="Arial" w:cs="Arial"/>
                <w:sz w:val="24"/>
                <w:szCs w:val="24"/>
              </w:rPr>
              <w:tab/>
              <w:t xml:space="preserve">In </w:t>
            </w:r>
            <w:r w:rsidR="00045086" w:rsidRPr="00045086">
              <w:rPr>
                <w:rFonts w:ascii="Arial" w:hAnsi="Arial" w:cs="Arial"/>
                <w:i/>
                <w:sz w:val="24"/>
                <w:szCs w:val="24"/>
              </w:rPr>
              <w:t>Prosecutor General of Namibia v Gomes and others</w:t>
            </w:r>
            <w:r w:rsidR="00045086" w:rsidRPr="00045086">
              <w:rPr>
                <w:rFonts w:ascii="Arial" w:hAnsi="Arial" w:cs="Arial"/>
                <w:i/>
                <w:sz w:val="24"/>
                <w:szCs w:val="24"/>
                <w:vertAlign w:val="superscript"/>
              </w:rPr>
              <w:footnoteReference w:id="2"/>
            </w:r>
            <w:r w:rsidR="00045086" w:rsidRPr="00045086">
              <w:rPr>
                <w:rFonts w:ascii="Arial" w:hAnsi="Arial" w:cs="Arial"/>
                <w:sz w:val="24"/>
                <w:szCs w:val="24"/>
              </w:rPr>
              <w:t>, it was held ‘that not all rights under Article 12 of the Constitution are absolute and that the true content of Article 12 was the right to a fair trial which is not absolute and unlimited. Thus, the concept of a fair trial is flexible, requiring a balance to be struck between individuals’ right to a fair trial and the state’s obligation to protect the interest of the public and effectively combating and prosecuting crime.’</w:t>
            </w:r>
          </w:p>
          <w:p w:rsidR="00045086" w:rsidRPr="00045086" w:rsidRDefault="00A639F5" w:rsidP="00045086">
            <w:pPr>
              <w:spacing w:line="360" w:lineRule="auto"/>
              <w:jc w:val="both"/>
              <w:rPr>
                <w:rFonts w:ascii="Arial" w:hAnsi="Arial" w:cs="Arial"/>
                <w:sz w:val="24"/>
                <w:szCs w:val="24"/>
              </w:rPr>
            </w:pPr>
            <w:r>
              <w:rPr>
                <w:rFonts w:ascii="Arial" w:hAnsi="Arial" w:cs="Arial"/>
                <w:sz w:val="24"/>
                <w:szCs w:val="24"/>
              </w:rPr>
              <w:t>[19</w:t>
            </w:r>
            <w:r w:rsidR="00045086" w:rsidRPr="00045086">
              <w:rPr>
                <w:rFonts w:ascii="Arial" w:hAnsi="Arial" w:cs="Arial"/>
                <w:sz w:val="24"/>
                <w:szCs w:val="24"/>
              </w:rPr>
              <w:t>]</w:t>
            </w:r>
            <w:r w:rsidR="00045086" w:rsidRPr="00045086">
              <w:rPr>
                <w:rFonts w:ascii="Arial" w:hAnsi="Arial" w:cs="Arial"/>
                <w:sz w:val="24"/>
                <w:szCs w:val="24"/>
              </w:rPr>
              <w:tab/>
              <w:t xml:space="preserve">In </w:t>
            </w:r>
            <w:proofErr w:type="spellStart"/>
            <w:r w:rsidR="00045086" w:rsidRPr="00045086">
              <w:rPr>
                <w:rFonts w:ascii="Arial" w:hAnsi="Arial" w:cs="Arial"/>
                <w:i/>
                <w:sz w:val="24"/>
                <w:szCs w:val="24"/>
              </w:rPr>
              <w:t>casu</w:t>
            </w:r>
            <w:proofErr w:type="spellEnd"/>
            <w:r w:rsidR="00045086" w:rsidRPr="00045086">
              <w:rPr>
                <w:rFonts w:ascii="Arial" w:hAnsi="Arial" w:cs="Arial"/>
                <w:sz w:val="24"/>
                <w:szCs w:val="24"/>
              </w:rPr>
              <w:t>, the applicant had ample time to bring his application prior to the closure of the state’s case though his legal representative. At this stage he cannot be heard to complain about his right to a fair trial being infringed upon.</w:t>
            </w:r>
          </w:p>
          <w:p w:rsidR="00045086" w:rsidRPr="00045086" w:rsidRDefault="00A639F5" w:rsidP="00045086">
            <w:pPr>
              <w:spacing w:line="360" w:lineRule="auto"/>
              <w:jc w:val="both"/>
              <w:rPr>
                <w:rFonts w:ascii="Arial" w:hAnsi="Arial" w:cs="Arial"/>
                <w:sz w:val="24"/>
                <w:szCs w:val="24"/>
              </w:rPr>
            </w:pPr>
            <w:r>
              <w:rPr>
                <w:rFonts w:ascii="Arial" w:hAnsi="Arial" w:cs="Arial"/>
                <w:sz w:val="24"/>
                <w:szCs w:val="24"/>
              </w:rPr>
              <w:t>[20</w:t>
            </w:r>
            <w:r w:rsidR="00045086" w:rsidRPr="00045086">
              <w:rPr>
                <w:rFonts w:ascii="Arial" w:hAnsi="Arial" w:cs="Arial"/>
                <w:sz w:val="24"/>
                <w:szCs w:val="24"/>
              </w:rPr>
              <w:t>]</w:t>
            </w:r>
            <w:r w:rsidR="00045086" w:rsidRPr="00045086">
              <w:rPr>
                <w:rFonts w:ascii="Arial" w:hAnsi="Arial" w:cs="Arial"/>
                <w:sz w:val="24"/>
                <w:szCs w:val="24"/>
              </w:rPr>
              <w:tab/>
              <w:t>The right to a fair trial should not be for the exclusive benefit of the applicant as a trial should also be fair towards alleged victims of a crime and society.</w:t>
            </w:r>
          </w:p>
          <w:p w:rsidR="00045086" w:rsidRDefault="00A639F5" w:rsidP="00045086">
            <w:pPr>
              <w:spacing w:line="360" w:lineRule="auto"/>
              <w:jc w:val="both"/>
              <w:rPr>
                <w:rFonts w:ascii="Arial" w:hAnsi="Arial" w:cs="Arial"/>
                <w:sz w:val="24"/>
                <w:szCs w:val="24"/>
              </w:rPr>
            </w:pPr>
            <w:r>
              <w:rPr>
                <w:rFonts w:ascii="Arial" w:hAnsi="Arial" w:cs="Arial"/>
                <w:sz w:val="24"/>
                <w:szCs w:val="24"/>
              </w:rPr>
              <w:t>[21</w:t>
            </w:r>
            <w:r w:rsidR="00045086" w:rsidRPr="00045086">
              <w:rPr>
                <w:rFonts w:ascii="Arial" w:hAnsi="Arial" w:cs="Arial"/>
                <w:sz w:val="24"/>
                <w:szCs w:val="24"/>
              </w:rPr>
              <w:t>]</w:t>
            </w:r>
            <w:r w:rsidR="00045086" w:rsidRPr="00045086">
              <w:rPr>
                <w:rFonts w:ascii="Arial" w:hAnsi="Arial" w:cs="Arial"/>
                <w:sz w:val="24"/>
                <w:szCs w:val="24"/>
              </w:rPr>
              <w:tab/>
              <w:t xml:space="preserve">Looking at the drawn out period this case has been ongoing, the applicant on various occasions sought several postponements which in my view has hindered the </w:t>
            </w:r>
            <w:r w:rsidR="00045086" w:rsidRPr="00045086">
              <w:rPr>
                <w:rFonts w:ascii="Arial" w:hAnsi="Arial" w:cs="Arial"/>
                <w:sz w:val="24"/>
                <w:szCs w:val="24"/>
              </w:rPr>
              <w:lastRenderedPageBreak/>
              <w:t>smooth r</w:t>
            </w:r>
            <w:r w:rsidR="00192180">
              <w:rPr>
                <w:rFonts w:ascii="Arial" w:hAnsi="Arial" w:cs="Arial"/>
                <w:sz w:val="24"/>
                <w:szCs w:val="24"/>
              </w:rPr>
              <w:t>unning of the administration of</w:t>
            </w:r>
            <w:r w:rsidR="00045086" w:rsidRPr="00045086">
              <w:rPr>
                <w:rFonts w:ascii="Arial" w:hAnsi="Arial" w:cs="Arial"/>
                <w:sz w:val="24"/>
                <w:szCs w:val="24"/>
              </w:rPr>
              <w:t xml:space="preserve"> justice. The current defence counsel is the sixth to represent the applicant herein.</w:t>
            </w:r>
          </w:p>
          <w:p w:rsidR="00045086" w:rsidRDefault="00A639F5" w:rsidP="00045086">
            <w:pPr>
              <w:spacing w:after="0" w:line="360" w:lineRule="auto"/>
              <w:jc w:val="both"/>
              <w:rPr>
                <w:rFonts w:ascii="Arial" w:hAnsi="Arial" w:cs="Arial"/>
                <w:sz w:val="24"/>
                <w:szCs w:val="24"/>
              </w:rPr>
            </w:pPr>
            <w:r>
              <w:rPr>
                <w:rFonts w:ascii="Arial" w:hAnsi="Arial" w:cs="Arial"/>
                <w:sz w:val="24"/>
                <w:szCs w:val="24"/>
              </w:rPr>
              <w:t>[22</w:t>
            </w:r>
            <w:r w:rsidR="00045086">
              <w:rPr>
                <w:rFonts w:ascii="Arial" w:hAnsi="Arial" w:cs="Arial"/>
                <w:sz w:val="24"/>
                <w:szCs w:val="24"/>
              </w:rPr>
              <w:t>]</w:t>
            </w:r>
            <w:r w:rsidR="00045086">
              <w:rPr>
                <w:rFonts w:ascii="Arial" w:hAnsi="Arial" w:cs="Arial"/>
                <w:sz w:val="24"/>
                <w:szCs w:val="24"/>
              </w:rPr>
              <w:tab/>
              <w:t xml:space="preserve">In </w:t>
            </w:r>
            <w:r w:rsidR="00045086" w:rsidRPr="00A75FAA">
              <w:rPr>
                <w:rFonts w:ascii="Arial" w:hAnsi="Arial" w:cs="Arial"/>
                <w:i/>
                <w:sz w:val="24"/>
                <w:szCs w:val="24"/>
              </w:rPr>
              <w:t>S v Van der Berg</w:t>
            </w:r>
            <w:r w:rsidR="00045086">
              <w:rPr>
                <w:rStyle w:val="FootnoteReference"/>
                <w:rFonts w:ascii="Arial" w:hAnsi="Arial" w:cs="Arial"/>
                <w:sz w:val="24"/>
                <w:szCs w:val="24"/>
              </w:rPr>
              <w:footnoteReference w:id="3"/>
            </w:r>
            <w:r w:rsidR="00045086">
              <w:rPr>
                <w:rFonts w:ascii="Arial" w:hAnsi="Arial" w:cs="Arial"/>
                <w:sz w:val="24"/>
                <w:szCs w:val="24"/>
              </w:rPr>
              <w:t xml:space="preserve"> the court had the following to say:</w:t>
            </w:r>
          </w:p>
          <w:p w:rsidR="00045086" w:rsidRDefault="00045086" w:rsidP="00045086">
            <w:pPr>
              <w:spacing w:after="0" w:line="360" w:lineRule="auto"/>
              <w:jc w:val="both"/>
              <w:rPr>
                <w:rFonts w:ascii="Arial" w:hAnsi="Arial" w:cs="Arial"/>
                <w:sz w:val="24"/>
                <w:szCs w:val="24"/>
              </w:rPr>
            </w:pPr>
          </w:p>
          <w:p w:rsidR="00045086" w:rsidRDefault="00045086" w:rsidP="00045086">
            <w:pPr>
              <w:spacing w:after="0" w:line="360" w:lineRule="auto"/>
              <w:jc w:val="both"/>
              <w:rPr>
                <w:rFonts w:ascii="Arial" w:hAnsi="Arial" w:cs="Arial"/>
              </w:rPr>
            </w:pPr>
            <w:r>
              <w:rPr>
                <w:rFonts w:ascii="Arial" w:hAnsi="Arial" w:cs="Arial"/>
                <w:sz w:val="24"/>
                <w:szCs w:val="24"/>
              </w:rPr>
              <w:tab/>
              <w:t>‘</w:t>
            </w:r>
            <w:r w:rsidRPr="007927A8">
              <w:rPr>
                <w:rFonts w:ascii="Arial" w:hAnsi="Arial" w:cs="Arial"/>
              </w:rPr>
              <w:t>The role of the court in Criminal matters and the prim</w:t>
            </w:r>
            <w:r>
              <w:rPr>
                <w:rFonts w:ascii="Arial" w:hAnsi="Arial" w:cs="Arial"/>
              </w:rPr>
              <w:t>ary aim of criminal p</w:t>
            </w:r>
            <w:r w:rsidRPr="007927A8">
              <w:rPr>
                <w:rFonts w:ascii="Arial" w:hAnsi="Arial" w:cs="Arial"/>
              </w:rPr>
              <w:t>rocedure should be to ensure that substantial justice is done.</w:t>
            </w:r>
            <w:r>
              <w:rPr>
                <w:rFonts w:ascii="Arial" w:hAnsi="Arial" w:cs="Arial"/>
              </w:rPr>
              <w:t>’</w:t>
            </w:r>
            <w:r w:rsidRPr="007927A8">
              <w:rPr>
                <w:rFonts w:ascii="Arial" w:hAnsi="Arial" w:cs="Arial"/>
              </w:rPr>
              <w:t xml:space="preserve"> </w:t>
            </w:r>
          </w:p>
          <w:p w:rsidR="00045086" w:rsidRDefault="00045086" w:rsidP="00045086">
            <w:pPr>
              <w:spacing w:after="0" w:line="360" w:lineRule="auto"/>
              <w:jc w:val="both"/>
              <w:rPr>
                <w:rFonts w:ascii="Arial" w:hAnsi="Arial" w:cs="Arial"/>
              </w:rPr>
            </w:pPr>
          </w:p>
          <w:p w:rsidR="00045086" w:rsidRDefault="00A639F5" w:rsidP="00045086">
            <w:pPr>
              <w:spacing w:after="0" w:line="360" w:lineRule="auto"/>
              <w:jc w:val="both"/>
              <w:rPr>
                <w:rFonts w:ascii="Arial" w:hAnsi="Arial" w:cs="Arial"/>
                <w:sz w:val="24"/>
                <w:szCs w:val="24"/>
              </w:rPr>
            </w:pPr>
            <w:r>
              <w:rPr>
                <w:rFonts w:ascii="Arial" w:hAnsi="Arial" w:cs="Arial"/>
                <w:sz w:val="24"/>
                <w:szCs w:val="24"/>
              </w:rPr>
              <w:t>[23</w:t>
            </w:r>
            <w:r w:rsidR="00045086">
              <w:rPr>
                <w:rFonts w:ascii="Arial" w:hAnsi="Arial" w:cs="Arial"/>
                <w:sz w:val="24"/>
                <w:szCs w:val="24"/>
              </w:rPr>
              <w:t>]</w:t>
            </w:r>
            <w:r w:rsidR="00045086">
              <w:rPr>
                <w:rFonts w:ascii="Arial" w:hAnsi="Arial" w:cs="Arial"/>
                <w:sz w:val="24"/>
                <w:szCs w:val="24"/>
              </w:rPr>
              <w:tab/>
            </w:r>
            <w:r w:rsidR="00045086" w:rsidRPr="00FF407E">
              <w:rPr>
                <w:rFonts w:ascii="Arial" w:hAnsi="Arial" w:cs="Arial"/>
                <w:sz w:val="24"/>
                <w:szCs w:val="24"/>
              </w:rPr>
              <w:t>There cannot be substantial justice when criminal proceedings are prolonged for an unreasonable period of time.</w:t>
            </w:r>
          </w:p>
          <w:p w:rsidR="00045086" w:rsidRDefault="00045086" w:rsidP="00045086">
            <w:pPr>
              <w:spacing w:after="0" w:line="360" w:lineRule="auto"/>
              <w:jc w:val="both"/>
              <w:rPr>
                <w:rFonts w:ascii="Arial" w:hAnsi="Arial" w:cs="Arial"/>
                <w:sz w:val="24"/>
                <w:szCs w:val="24"/>
              </w:rPr>
            </w:pPr>
          </w:p>
          <w:p w:rsidR="00045086" w:rsidRDefault="00A639F5" w:rsidP="00045086">
            <w:pPr>
              <w:spacing w:after="0" w:line="360" w:lineRule="auto"/>
              <w:jc w:val="both"/>
              <w:rPr>
                <w:rFonts w:ascii="Arial" w:hAnsi="Arial" w:cs="Arial"/>
                <w:sz w:val="24"/>
                <w:szCs w:val="24"/>
              </w:rPr>
            </w:pPr>
            <w:r>
              <w:rPr>
                <w:rFonts w:ascii="Arial" w:hAnsi="Arial" w:cs="Arial"/>
                <w:sz w:val="24"/>
                <w:szCs w:val="24"/>
              </w:rPr>
              <w:t>[24</w:t>
            </w:r>
            <w:r w:rsidR="00045086">
              <w:rPr>
                <w:rFonts w:ascii="Arial" w:hAnsi="Arial" w:cs="Arial"/>
                <w:sz w:val="24"/>
                <w:szCs w:val="24"/>
              </w:rPr>
              <w:t>]</w:t>
            </w:r>
            <w:r w:rsidR="00045086">
              <w:rPr>
                <w:rFonts w:ascii="Arial" w:hAnsi="Arial" w:cs="Arial"/>
                <w:sz w:val="24"/>
                <w:szCs w:val="24"/>
              </w:rPr>
              <w:tab/>
              <w:t>In the same matter, the court went on to state the following:</w:t>
            </w:r>
          </w:p>
          <w:p w:rsidR="00045086" w:rsidRDefault="00045086" w:rsidP="00045086">
            <w:pPr>
              <w:spacing w:after="0" w:line="360" w:lineRule="auto"/>
              <w:jc w:val="both"/>
              <w:rPr>
                <w:rFonts w:ascii="Arial" w:hAnsi="Arial" w:cs="Arial"/>
                <w:sz w:val="24"/>
                <w:szCs w:val="24"/>
              </w:rPr>
            </w:pPr>
          </w:p>
          <w:p w:rsidR="00045086" w:rsidRDefault="00045086" w:rsidP="00045086">
            <w:pPr>
              <w:spacing w:after="0" w:line="360" w:lineRule="auto"/>
              <w:jc w:val="both"/>
              <w:rPr>
                <w:rFonts w:ascii="Arial" w:hAnsi="Arial" w:cs="Arial"/>
                <w:sz w:val="24"/>
                <w:szCs w:val="24"/>
              </w:rPr>
            </w:pPr>
            <w:r>
              <w:rPr>
                <w:rFonts w:ascii="Arial" w:hAnsi="Arial" w:cs="Arial"/>
                <w:sz w:val="24"/>
                <w:szCs w:val="24"/>
              </w:rPr>
              <w:tab/>
              <w:t>‘</w:t>
            </w:r>
            <w:r w:rsidRPr="002E09E8">
              <w:rPr>
                <w:rFonts w:ascii="Arial" w:hAnsi="Arial" w:cs="Arial"/>
              </w:rPr>
              <w:t>A perception exists in some circles that the fundamental right to a fair trial focuses exclusively on the rights and privileges of accused persons. The rights however, be interpreted and given effects to in the context of the rights and interests of the law-abiding persons in society and particularly the persons who are victims of crime, many of whom may be unable to protect themselves on their interest because they are dead or otherwise incapacitated in the course of crimes committed against them.</w:t>
            </w:r>
            <w:r>
              <w:rPr>
                <w:rFonts w:ascii="Arial" w:hAnsi="Arial" w:cs="Arial"/>
                <w:sz w:val="24"/>
                <w:szCs w:val="24"/>
              </w:rPr>
              <w:t>’</w:t>
            </w:r>
          </w:p>
          <w:p w:rsidR="00192180" w:rsidRDefault="00192180" w:rsidP="00045086">
            <w:pPr>
              <w:spacing w:after="0" w:line="360" w:lineRule="auto"/>
              <w:jc w:val="both"/>
              <w:rPr>
                <w:rFonts w:ascii="Arial" w:hAnsi="Arial" w:cs="Arial"/>
                <w:sz w:val="24"/>
                <w:szCs w:val="24"/>
              </w:rPr>
            </w:pPr>
          </w:p>
          <w:p w:rsidR="00192180" w:rsidRDefault="00192180" w:rsidP="00045086">
            <w:pPr>
              <w:spacing w:after="0" w:line="360" w:lineRule="auto"/>
              <w:jc w:val="both"/>
              <w:rPr>
                <w:rFonts w:ascii="Arial" w:hAnsi="Arial" w:cs="Arial"/>
                <w:sz w:val="24"/>
                <w:szCs w:val="24"/>
              </w:rPr>
            </w:pPr>
            <w:r>
              <w:rPr>
                <w:rFonts w:ascii="Arial" w:hAnsi="Arial" w:cs="Arial"/>
                <w:sz w:val="24"/>
                <w:szCs w:val="24"/>
              </w:rPr>
              <w:t>[25]</w:t>
            </w:r>
            <w:r>
              <w:rPr>
                <w:rFonts w:ascii="Arial" w:hAnsi="Arial" w:cs="Arial"/>
                <w:sz w:val="24"/>
                <w:szCs w:val="24"/>
              </w:rPr>
              <w:tab/>
              <w:t>This court associate itself with the above sentiments and endorse same.</w:t>
            </w:r>
          </w:p>
          <w:p w:rsidR="00045086" w:rsidRDefault="00045086" w:rsidP="00045086">
            <w:pPr>
              <w:spacing w:after="0" w:line="360" w:lineRule="auto"/>
              <w:jc w:val="both"/>
              <w:rPr>
                <w:rFonts w:ascii="Arial" w:hAnsi="Arial" w:cs="Arial"/>
                <w:sz w:val="24"/>
                <w:szCs w:val="24"/>
              </w:rPr>
            </w:pPr>
          </w:p>
          <w:p w:rsidR="00045086" w:rsidRDefault="00192180" w:rsidP="00045086">
            <w:pPr>
              <w:spacing w:after="0" w:line="360" w:lineRule="auto"/>
              <w:jc w:val="both"/>
              <w:rPr>
                <w:rFonts w:ascii="Arial" w:hAnsi="Arial" w:cs="Arial"/>
                <w:sz w:val="24"/>
                <w:szCs w:val="24"/>
              </w:rPr>
            </w:pPr>
            <w:r>
              <w:rPr>
                <w:rFonts w:ascii="Arial" w:hAnsi="Arial" w:cs="Arial"/>
                <w:sz w:val="24"/>
                <w:szCs w:val="24"/>
              </w:rPr>
              <w:t>[26</w:t>
            </w:r>
            <w:r w:rsidR="00045086">
              <w:rPr>
                <w:rFonts w:ascii="Arial" w:hAnsi="Arial" w:cs="Arial"/>
                <w:sz w:val="24"/>
                <w:szCs w:val="24"/>
              </w:rPr>
              <w:t>]</w:t>
            </w:r>
            <w:r w:rsidR="00045086">
              <w:rPr>
                <w:rFonts w:ascii="Arial" w:hAnsi="Arial" w:cs="Arial"/>
                <w:sz w:val="24"/>
                <w:szCs w:val="24"/>
              </w:rPr>
              <w:tab/>
              <w:t>Thus in conclusion, when weighing the potential prejudice of the applicant against the interest of justice, the following order is made:</w:t>
            </w:r>
          </w:p>
          <w:p w:rsidR="00045086" w:rsidRDefault="00045086" w:rsidP="00045086">
            <w:pPr>
              <w:spacing w:after="0" w:line="360" w:lineRule="auto"/>
              <w:jc w:val="both"/>
              <w:rPr>
                <w:rFonts w:ascii="Arial" w:hAnsi="Arial" w:cs="Arial"/>
                <w:sz w:val="24"/>
                <w:szCs w:val="24"/>
              </w:rPr>
            </w:pPr>
          </w:p>
          <w:p w:rsidR="00045086" w:rsidRDefault="00045086" w:rsidP="00045086">
            <w:pPr>
              <w:spacing w:after="0" w:line="36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t>The application to have the three state witnesses re-called for cross-examination in respect of the applicant is refused.</w:t>
            </w:r>
          </w:p>
          <w:p w:rsidR="00045086" w:rsidRDefault="00045086" w:rsidP="00045086">
            <w:pPr>
              <w:spacing w:after="0" w:line="240" w:lineRule="auto"/>
              <w:jc w:val="both"/>
              <w:rPr>
                <w:rFonts w:ascii="Arial" w:hAnsi="Arial" w:cs="Arial"/>
                <w:sz w:val="24"/>
                <w:szCs w:val="24"/>
              </w:rPr>
            </w:pPr>
          </w:p>
          <w:p w:rsidR="00103C0D" w:rsidRPr="00A639F5" w:rsidRDefault="002278EB" w:rsidP="00A639F5">
            <w:pPr>
              <w:pStyle w:val="ListParagraph"/>
              <w:numPr>
                <w:ilvl w:val="0"/>
                <w:numId w:val="22"/>
              </w:numPr>
              <w:spacing w:after="0" w:line="360" w:lineRule="auto"/>
              <w:jc w:val="both"/>
              <w:rPr>
                <w:rFonts w:ascii="Arial" w:hAnsi="Arial" w:cs="Arial"/>
                <w:sz w:val="24"/>
                <w:szCs w:val="24"/>
              </w:rPr>
            </w:pPr>
            <w:r>
              <w:rPr>
                <w:rFonts w:ascii="Arial" w:hAnsi="Arial" w:cs="Arial"/>
                <w:sz w:val="24"/>
                <w:szCs w:val="24"/>
              </w:rPr>
              <w:tab/>
            </w:r>
            <w:r w:rsidR="00045086" w:rsidRPr="00A639F5">
              <w:rPr>
                <w:rFonts w:ascii="Arial" w:hAnsi="Arial" w:cs="Arial"/>
                <w:sz w:val="24"/>
                <w:szCs w:val="24"/>
              </w:rPr>
              <w:t>It is ordered that the defence case should commence forthwith.</w:t>
            </w:r>
          </w:p>
          <w:p w:rsidR="00A639F5" w:rsidRPr="00A639F5" w:rsidRDefault="00A639F5" w:rsidP="00A639F5">
            <w:pPr>
              <w:spacing w:after="0" w:line="360" w:lineRule="auto"/>
              <w:jc w:val="both"/>
              <w:rPr>
                <w:rFonts w:ascii="Arial" w:hAnsi="Arial" w:cs="Arial"/>
                <w:sz w:val="24"/>
                <w:szCs w:val="24"/>
              </w:rPr>
            </w:pPr>
          </w:p>
        </w:tc>
      </w:tr>
      <w:tr w:rsidR="00A639F5" w:rsidTr="002278EB">
        <w:trPr>
          <w:trHeight w:val="536"/>
        </w:trPr>
        <w:tc>
          <w:tcPr>
            <w:tcW w:w="4508" w:type="dxa"/>
            <w:tcBorders>
              <w:top w:val="single" w:sz="4" w:space="0" w:color="auto"/>
            </w:tcBorders>
          </w:tcPr>
          <w:p w:rsidR="00A639F5" w:rsidRDefault="00A639F5" w:rsidP="007D2FB3">
            <w:pPr>
              <w:rPr>
                <w:rFonts w:ascii="Arial" w:hAnsi="Arial" w:cs="Arial"/>
                <w:b/>
                <w:sz w:val="24"/>
                <w:szCs w:val="24"/>
              </w:rPr>
            </w:pPr>
            <w:r>
              <w:rPr>
                <w:rFonts w:ascii="Arial" w:hAnsi="Arial" w:cs="Arial"/>
                <w:b/>
                <w:sz w:val="24"/>
                <w:szCs w:val="24"/>
              </w:rPr>
              <w:lastRenderedPageBreak/>
              <w:t>Judge’s signature</w:t>
            </w:r>
          </w:p>
        </w:tc>
        <w:tc>
          <w:tcPr>
            <w:tcW w:w="4701" w:type="dxa"/>
            <w:gridSpan w:val="2"/>
            <w:tcBorders>
              <w:top w:val="single" w:sz="4" w:space="0" w:color="auto"/>
            </w:tcBorders>
          </w:tcPr>
          <w:p w:rsidR="00A639F5" w:rsidRDefault="002452E3" w:rsidP="007D2FB3">
            <w:pPr>
              <w:rPr>
                <w:rFonts w:ascii="Arial" w:hAnsi="Arial" w:cs="Arial"/>
                <w:b/>
                <w:sz w:val="24"/>
                <w:szCs w:val="24"/>
              </w:rPr>
            </w:pPr>
            <w:r>
              <w:rPr>
                <w:rFonts w:ascii="Arial" w:hAnsi="Arial" w:cs="Arial"/>
                <w:b/>
                <w:sz w:val="24"/>
                <w:szCs w:val="24"/>
              </w:rPr>
              <w:t>Note to the parties</w:t>
            </w:r>
          </w:p>
        </w:tc>
      </w:tr>
      <w:tr w:rsidR="00A639F5" w:rsidRPr="003A2AB5" w:rsidTr="007D2FB3">
        <w:trPr>
          <w:trHeight w:val="379"/>
        </w:trPr>
        <w:tc>
          <w:tcPr>
            <w:tcW w:w="4515" w:type="dxa"/>
            <w:gridSpan w:val="2"/>
            <w:tcBorders>
              <w:bottom w:val="single" w:sz="4" w:space="0" w:color="auto"/>
            </w:tcBorders>
          </w:tcPr>
          <w:p w:rsidR="00A639F5" w:rsidRDefault="00A639F5" w:rsidP="007D2FB3">
            <w:pPr>
              <w:spacing w:after="0" w:line="240" w:lineRule="auto"/>
              <w:rPr>
                <w:rFonts w:ascii="Arial" w:hAnsi="Arial" w:cs="Arial"/>
                <w:b/>
                <w:sz w:val="24"/>
                <w:szCs w:val="24"/>
              </w:rPr>
            </w:pPr>
          </w:p>
          <w:p w:rsidR="00A639F5" w:rsidRPr="003A2AB5" w:rsidRDefault="00A639F5" w:rsidP="007D2FB3">
            <w:pPr>
              <w:jc w:val="center"/>
              <w:rPr>
                <w:rFonts w:ascii="Arial" w:hAnsi="Arial" w:cs="Arial"/>
                <w:sz w:val="24"/>
                <w:szCs w:val="24"/>
              </w:rPr>
            </w:pPr>
          </w:p>
        </w:tc>
        <w:tc>
          <w:tcPr>
            <w:tcW w:w="4694" w:type="dxa"/>
            <w:tcBorders>
              <w:bottom w:val="single" w:sz="4" w:space="0" w:color="auto"/>
            </w:tcBorders>
          </w:tcPr>
          <w:p w:rsidR="00A639F5" w:rsidRDefault="00A639F5" w:rsidP="007D2FB3">
            <w:pPr>
              <w:spacing w:after="160" w:line="259" w:lineRule="auto"/>
              <w:rPr>
                <w:rFonts w:ascii="Arial" w:hAnsi="Arial" w:cs="Arial"/>
                <w:sz w:val="24"/>
                <w:szCs w:val="24"/>
              </w:rPr>
            </w:pPr>
          </w:p>
          <w:p w:rsidR="00A639F5" w:rsidRPr="003A2AB5" w:rsidRDefault="00A639F5" w:rsidP="007D2FB3">
            <w:pPr>
              <w:rPr>
                <w:rFonts w:ascii="Arial" w:hAnsi="Arial" w:cs="Arial"/>
                <w:sz w:val="24"/>
                <w:szCs w:val="24"/>
              </w:rPr>
            </w:pPr>
            <w:r>
              <w:rPr>
                <w:rFonts w:ascii="Arial" w:hAnsi="Arial" w:cs="Arial"/>
                <w:sz w:val="24"/>
                <w:szCs w:val="24"/>
              </w:rPr>
              <w:t>Not applicable</w:t>
            </w:r>
          </w:p>
        </w:tc>
      </w:tr>
      <w:tr w:rsidR="00A639F5" w:rsidTr="007D2FB3">
        <w:trPr>
          <w:trHeight w:val="675"/>
        </w:trPr>
        <w:tc>
          <w:tcPr>
            <w:tcW w:w="9209" w:type="dxa"/>
            <w:gridSpan w:val="3"/>
            <w:tcBorders>
              <w:bottom w:val="single" w:sz="4" w:space="0" w:color="auto"/>
            </w:tcBorders>
          </w:tcPr>
          <w:p w:rsidR="00A639F5" w:rsidRDefault="00A639F5" w:rsidP="007D2FB3">
            <w:pPr>
              <w:jc w:val="center"/>
              <w:rPr>
                <w:rFonts w:ascii="Arial" w:hAnsi="Arial" w:cs="Arial"/>
                <w:b/>
                <w:sz w:val="24"/>
                <w:szCs w:val="24"/>
              </w:rPr>
            </w:pPr>
            <w:r>
              <w:rPr>
                <w:rFonts w:ascii="Arial" w:hAnsi="Arial" w:cs="Arial"/>
                <w:b/>
                <w:sz w:val="24"/>
                <w:szCs w:val="24"/>
              </w:rPr>
              <w:lastRenderedPageBreak/>
              <w:t>Counsel:</w:t>
            </w:r>
          </w:p>
        </w:tc>
      </w:tr>
      <w:tr w:rsidR="00A639F5" w:rsidTr="007D2FB3">
        <w:trPr>
          <w:trHeight w:val="718"/>
        </w:trPr>
        <w:tc>
          <w:tcPr>
            <w:tcW w:w="4508" w:type="dxa"/>
          </w:tcPr>
          <w:p w:rsidR="00A639F5" w:rsidRDefault="00A639F5" w:rsidP="007D2FB3">
            <w:pPr>
              <w:jc w:val="center"/>
              <w:rPr>
                <w:rFonts w:ascii="Arial" w:hAnsi="Arial" w:cs="Arial"/>
                <w:b/>
                <w:sz w:val="24"/>
                <w:szCs w:val="24"/>
              </w:rPr>
            </w:pPr>
            <w:r>
              <w:rPr>
                <w:rFonts w:ascii="Arial" w:hAnsi="Arial" w:cs="Arial"/>
                <w:b/>
                <w:sz w:val="24"/>
                <w:szCs w:val="24"/>
              </w:rPr>
              <w:t>Applicant</w:t>
            </w:r>
          </w:p>
        </w:tc>
        <w:tc>
          <w:tcPr>
            <w:tcW w:w="4701" w:type="dxa"/>
            <w:gridSpan w:val="2"/>
          </w:tcPr>
          <w:p w:rsidR="00A639F5" w:rsidRDefault="00A639F5" w:rsidP="007D2FB3">
            <w:pPr>
              <w:jc w:val="center"/>
              <w:rPr>
                <w:rFonts w:ascii="Arial" w:hAnsi="Arial" w:cs="Arial"/>
                <w:b/>
                <w:sz w:val="24"/>
                <w:szCs w:val="24"/>
              </w:rPr>
            </w:pPr>
            <w:r>
              <w:rPr>
                <w:rFonts w:ascii="Arial" w:hAnsi="Arial" w:cs="Arial"/>
                <w:b/>
                <w:sz w:val="24"/>
                <w:szCs w:val="24"/>
              </w:rPr>
              <w:t>Respondent</w:t>
            </w:r>
          </w:p>
        </w:tc>
      </w:tr>
      <w:tr w:rsidR="00A639F5" w:rsidRPr="00F535CE" w:rsidTr="00192180">
        <w:trPr>
          <w:trHeight w:val="2262"/>
        </w:trPr>
        <w:tc>
          <w:tcPr>
            <w:tcW w:w="4508" w:type="dxa"/>
          </w:tcPr>
          <w:p w:rsidR="00A639F5" w:rsidRDefault="00A639F5" w:rsidP="007D2FB3">
            <w:pPr>
              <w:jc w:val="center"/>
              <w:rPr>
                <w:rFonts w:ascii="Arial" w:hAnsi="Arial" w:cs="Arial"/>
                <w:sz w:val="24"/>
                <w:szCs w:val="24"/>
              </w:rPr>
            </w:pPr>
          </w:p>
          <w:p w:rsidR="00A639F5" w:rsidRDefault="00A639F5" w:rsidP="007D2FB3">
            <w:pPr>
              <w:spacing w:line="360" w:lineRule="auto"/>
              <w:jc w:val="center"/>
              <w:rPr>
                <w:rFonts w:ascii="Arial" w:hAnsi="Arial" w:cs="Arial"/>
                <w:sz w:val="24"/>
                <w:szCs w:val="24"/>
              </w:rPr>
            </w:pPr>
            <w:r>
              <w:rPr>
                <w:rFonts w:ascii="Arial" w:hAnsi="Arial" w:cs="Arial"/>
                <w:sz w:val="24"/>
                <w:szCs w:val="24"/>
              </w:rPr>
              <w:t xml:space="preserve">M </w:t>
            </w:r>
            <w:proofErr w:type="spellStart"/>
            <w:r>
              <w:rPr>
                <w:rFonts w:ascii="Arial" w:hAnsi="Arial" w:cs="Arial"/>
                <w:sz w:val="24"/>
                <w:szCs w:val="24"/>
              </w:rPr>
              <w:t>Siyomunji</w:t>
            </w:r>
            <w:proofErr w:type="spellEnd"/>
          </w:p>
          <w:p w:rsidR="00A639F5" w:rsidRPr="00192180" w:rsidRDefault="00A639F5" w:rsidP="00192180">
            <w:pPr>
              <w:spacing w:line="360" w:lineRule="auto"/>
              <w:jc w:val="center"/>
              <w:rPr>
                <w:rFonts w:ascii="Arial" w:hAnsi="Arial" w:cs="Arial"/>
                <w:sz w:val="24"/>
                <w:szCs w:val="24"/>
              </w:rPr>
            </w:pPr>
            <w:r>
              <w:rPr>
                <w:rFonts w:ascii="Arial" w:hAnsi="Arial" w:cs="Arial"/>
                <w:sz w:val="24"/>
                <w:szCs w:val="24"/>
              </w:rPr>
              <w:t xml:space="preserve">Of </w:t>
            </w:r>
            <w:proofErr w:type="spellStart"/>
            <w:r>
              <w:rPr>
                <w:rFonts w:ascii="Arial" w:hAnsi="Arial" w:cs="Arial"/>
                <w:sz w:val="24"/>
                <w:szCs w:val="24"/>
              </w:rPr>
              <w:t>Siyomunji</w:t>
            </w:r>
            <w:proofErr w:type="spellEnd"/>
            <w:r>
              <w:rPr>
                <w:rFonts w:ascii="Arial" w:hAnsi="Arial" w:cs="Arial"/>
                <w:sz w:val="24"/>
                <w:szCs w:val="24"/>
              </w:rPr>
              <w:t xml:space="preserve"> Law Chambers</w:t>
            </w:r>
          </w:p>
        </w:tc>
        <w:tc>
          <w:tcPr>
            <w:tcW w:w="4701" w:type="dxa"/>
            <w:gridSpan w:val="2"/>
          </w:tcPr>
          <w:p w:rsidR="00A639F5" w:rsidRDefault="00A639F5" w:rsidP="007D2FB3">
            <w:pPr>
              <w:jc w:val="center"/>
              <w:rPr>
                <w:rFonts w:ascii="Arial" w:hAnsi="Arial" w:cs="Arial"/>
                <w:sz w:val="24"/>
                <w:szCs w:val="24"/>
              </w:rPr>
            </w:pPr>
          </w:p>
          <w:p w:rsidR="00A639F5" w:rsidRDefault="00A639F5" w:rsidP="007D2FB3">
            <w:pPr>
              <w:jc w:val="center"/>
              <w:rPr>
                <w:rFonts w:ascii="Arial" w:hAnsi="Arial" w:cs="Arial"/>
                <w:sz w:val="24"/>
                <w:szCs w:val="24"/>
              </w:rPr>
            </w:pPr>
            <w:r>
              <w:rPr>
                <w:rFonts w:ascii="Arial" w:hAnsi="Arial" w:cs="Arial"/>
                <w:sz w:val="24"/>
                <w:szCs w:val="24"/>
              </w:rPr>
              <w:t xml:space="preserve">B </w:t>
            </w:r>
            <w:proofErr w:type="spellStart"/>
            <w:r>
              <w:rPr>
                <w:rFonts w:ascii="Arial" w:hAnsi="Arial" w:cs="Arial"/>
                <w:sz w:val="24"/>
                <w:szCs w:val="24"/>
              </w:rPr>
              <w:t>Lilungwe</w:t>
            </w:r>
            <w:proofErr w:type="spellEnd"/>
          </w:p>
          <w:p w:rsidR="00A639F5" w:rsidRPr="00F535CE" w:rsidRDefault="00A639F5" w:rsidP="007D2FB3">
            <w:pPr>
              <w:spacing w:line="360" w:lineRule="auto"/>
              <w:rPr>
                <w:rFonts w:ascii="Arial" w:hAnsi="Arial" w:cs="Arial"/>
                <w:sz w:val="24"/>
                <w:szCs w:val="24"/>
              </w:rPr>
            </w:pPr>
            <w:r>
              <w:rPr>
                <w:rFonts w:ascii="Arial" w:hAnsi="Arial" w:cs="Arial"/>
                <w:sz w:val="24"/>
                <w:szCs w:val="24"/>
              </w:rPr>
              <w:tab/>
              <w:t xml:space="preserve">Of Office of the Prosecutor </w:t>
            </w:r>
            <w:r>
              <w:rPr>
                <w:rFonts w:ascii="Arial" w:hAnsi="Arial" w:cs="Arial"/>
                <w:sz w:val="24"/>
                <w:szCs w:val="24"/>
              </w:rPr>
              <w:tab/>
              <w:t>General, Windhoek</w:t>
            </w:r>
          </w:p>
        </w:tc>
      </w:tr>
    </w:tbl>
    <w:p w:rsidR="008D6A39" w:rsidRDefault="008D6A39" w:rsidP="00AB1CB4">
      <w:pPr>
        <w:spacing w:after="0" w:line="240" w:lineRule="auto"/>
        <w:jc w:val="both"/>
        <w:rPr>
          <w:rFonts w:ascii="Arial" w:hAnsi="Arial" w:cs="Arial"/>
          <w:sz w:val="24"/>
          <w:szCs w:val="24"/>
        </w:rPr>
      </w:pPr>
    </w:p>
    <w:p w:rsidR="009405BB" w:rsidRDefault="009405BB" w:rsidP="00F14730">
      <w:pPr>
        <w:spacing w:after="0" w:line="360" w:lineRule="auto"/>
        <w:jc w:val="both"/>
        <w:rPr>
          <w:rFonts w:ascii="Arial" w:hAnsi="Arial" w:cs="Arial"/>
          <w:sz w:val="24"/>
          <w:szCs w:val="24"/>
        </w:rPr>
      </w:pPr>
    </w:p>
    <w:p w:rsidR="009405BB" w:rsidRDefault="009405BB" w:rsidP="00F14730">
      <w:pPr>
        <w:spacing w:after="0" w:line="360" w:lineRule="auto"/>
        <w:jc w:val="both"/>
        <w:rPr>
          <w:rFonts w:ascii="Arial" w:hAnsi="Arial" w:cs="Arial"/>
          <w:sz w:val="24"/>
          <w:szCs w:val="24"/>
        </w:rPr>
      </w:pPr>
    </w:p>
    <w:p w:rsidR="000D2DEA" w:rsidRDefault="000D2DEA" w:rsidP="00F14730">
      <w:pPr>
        <w:spacing w:after="0" w:line="360" w:lineRule="auto"/>
        <w:jc w:val="both"/>
        <w:rPr>
          <w:rFonts w:ascii="Arial" w:hAnsi="Arial" w:cs="Arial"/>
          <w:sz w:val="24"/>
          <w:szCs w:val="24"/>
        </w:rPr>
      </w:pPr>
    </w:p>
    <w:p w:rsidR="000D2DEA" w:rsidRDefault="000D2DEA" w:rsidP="00F14730">
      <w:pPr>
        <w:spacing w:after="0" w:line="360" w:lineRule="auto"/>
        <w:jc w:val="both"/>
        <w:rPr>
          <w:rFonts w:ascii="Arial" w:hAnsi="Arial" w:cs="Arial"/>
          <w:sz w:val="24"/>
          <w:szCs w:val="24"/>
        </w:rPr>
      </w:pPr>
    </w:p>
    <w:p w:rsidR="00BA063C" w:rsidRDefault="00BA063C" w:rsidP="00F14730">
      <w:pPr>
        <w:spacing w:after="0" w:line="360" w:lineRule="auto"/>
        <w:jc w:val="both"/>
        <w:rPr>
          <w:rFonts w:ascii="Arial" w:hAnsi="Arial" w:cs="Arial"/>
          <w:sz w:val="24"/>
          <w:szCs w:val="24"/>
        </w:rPr>
      </w:pPr>
    </w:p>
    <w:p w:rsidR="00BA063C" w:rsidRDefault="00BA063C" w:rsidP="00F14730">
      <w:pPr>
        <w:spacing w:after="0" w:line="360" w:lineRule="auto"/>
        <w:jc w:val="both"/>
        <w:rPr>
          <w:rFonts w:ascii="Arial" w:hAnsi="Arial" w:cs="Arial"/>
          <w:sz w:val="24"/>
          <w:szCs w:val="24"/>
        </w:rPr>
      </w:pPr>
    </w:p>
    <w:p w:rsidR="00BA063C" w:rsidRDefault="005948EF" w:rsidP="00F14730">
      <w:pPr>
        <w:spacing w:after="0" w:line="360" w:lineRule="auto"/>
        <w:jc w:val="both"/>
        <w:rPr>
          <w:rFonts w:ascii="Arial" w:hAnsi="Arial" w:cs="Arial"/>
          <w:sz w:val="24"/>
          <w:szCs w:val="24"/>
        </w:rPr>
      </w:pPr>
      <w:r>
        <w:rPr>
          <w:rFonts w:ascii="Arial" w:hAnsi="Arial" w:cs="Arial"/>
          <w:sz w:val="24"/>
          <w:szCs w:val="24"/>
        </w:rPr>
        <w:t xml:space="preserve">. </w:t>
      </w:r>
    </w:p>
    <w:p w:rsidR="005948EF" w:rsidRDefault="005948EF" w:rsidP="00F14730">
      <w:pPr>
        <w:spacing w:after="0" w:line="360" w:lineRule="auto"/>
        <w:jc w:val="both"/>
        <w:rPr>
          <w:rFonts w:ascii="Arial" w:hAnsi="Arial" w:cs="Arial"/>
          <w:sz w:val="24"/>
          <w:szCs w:val="24"/>
        </w:rPr>
      </w:pPr>
    </w:p>
    <w:p w:rsidR="007927A8" w:rsidRDefault="007927A8" w:rsidP="00F14730">
      <w:pPr>
        <w:spacing w:after="0" w:line="360" w:lineRule="auto"/>
        <w:jc w:val="both"/>
        <w:rPr>
          <w:rFonts w:ascii="Arial" w:hAnsi="Arial" w:cs="Arial"/>
          <w:sz w:val="24"/>
          <w:szCs w:val="24"/>
        </w:rPr>
      </w:pPr>
    </w:p>
    <w:p w:rsidR="007927A8" w:rsidRDefault="007927A8" w:rsidP="00F14730">
      <w:pPr>
        <w:spacing w:after="0" w:line="360" w:lineRule="auto"/>
        <w:jc w:val="both"/>
        <w:rPr>
          <w:rFonts w:ascii="Arial" w:hAnsi="Arial" w:cs="Arial"/>
          <w:sz w:val="24"/>
          <w:szCs w:val="24"/>
        </w:rPr>
      </w:pPr>
    </w:p>
    <w:p w:rsidR="007927A8" w:rsidRDefault="007927A8" w:rsidP="00F14730">
      <w:pPr>
        <w:spacing w:after="0" w:line="360" w:lineRule="auto"/>
        <w:jc w:val="both"/>
        <w:rPr>
          <w:rFonts w:ascii="Arial" w:hAnsi="Arial" w:cs="Arial"/>
          <w:sz w:val="24"/>
          <w:szCs w:val="24"/>
        </w:rPr>
      </w:pPr>
    </w:p>
    <w:p w:rsidR="00215B3A" w:rsidRDefault="00045086" w:rsidP="00045086">
      <w:pPr>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1132D3" w:rsidRDefault="001132D3" w:rsidP="00D83A92">
      <w:pPr>
        <w:spacing w:after="0" w:line="360" w:lineRule="auto"/>
        <w:rPr>
          <w:rFonts w:ascii="Arial" w:hAnsi="Arial" w:cs="Arial"/>
          <w:sz w:val="24"/>
          <w:szCs w:val="24"/>
        </w:rPr>
      </w:pPr>
    </w:p>
    <w:sectPr w:rsidR="001132D3" w:rsidSect="00A27FD7">
      <w:headerReference w:type="default" r:id="rId9"/>
      <w:pgSz w:w="11906" w:h="16838"/>
      <w:pgMar w:top="851"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588" w:rsidRDefault="007B2588" w:rsidP="004B5350">
      <w:pPr>
        <w:spacing w:after="0" w:line="240" w:lineRule="auto"/>
      </w:pPr>
      <w:r>
        <w:separator/>
      </w:r>
    </w:p>
  </w:endnote>
  <w:endnote w:type="continuationSeparator" w:id="0">
    <w:p w:rsidR="007B2588" w:rsidRDefault="007B2588" w:rsidP="004B5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588" w:rsidRDefault="007B2588" w:rsidP="004B5350">
      <w:pPr>
        <w:spacing w:after="0" w:line="240" w:lineRule="auto"/>
      </w:pPr>
      <w:r>
        <w:separator/>
      </w:r>
    </w:p>
  </w:footnote>
  <w:footnote w:type="continuationSeparator" w:id="0">
    <w:p w:rsidR="007B2588" w:rsidRDefault="007B2588" w:rsidP="004B5350">
      <w:pPr>
        <w:spacing w:after="0" w:line="240" w:lineRule="auto"/>
      </w:pPr>
      <w:r>
        <w:continuationSeparator/>
      </w:r>
    </w:p>
  </w:footnote>
  <w:footnote w:id="1">
    <w:p w:rsidR="00103C0D" w:rsidRPr="005F3BC0" w:rsidRDefault="00103C0D" w:rsidP="00103C0D">
      <w:pPr>
        <w:pStyle w:val="FootnoteText"/>
        <w:rPr>
          <w:rFonts w:ascii="Arial" w:hAnsi="Arial" w:cs="Arial"/>
        </w:rPr>
      </w:pPr>
      <w:r w:rsidRPr="005F3BC0">
        <w:rPr>
          <w:rStyle w:val="FootnoteReference"/>
          <w:rFonts w:ascii="Arial" w:hAnsi="Arial" w:cs="Arial"/>
        </w:rPr>
        <w:footnoteRef/>
      </w:r>
      <w:r w:rsidRPr="005F3BC0">
        <w:rPr>
          <w:rFonts w:ascii="Arial" w:hAnsi="Arial" w:cs="Arial"/>
        </w:rPr>
        <w:t xml:space="preserve"> </w:t>
      </w:r>
      <w:proofErr w:type="spellStart"/>
      <w:r w:rsidRPr="005F3BC0">
        <w:rPr>
          <w:rFonts w:ascii="Arial" w:hAnsi="Arial" w:cs="Arial"/>
          <w:i/>
        </w:rPr>
        <w:t>Likoro</w:t>
      </w:r>
      <w:proofErr w:type="spellEnd"/>
      <w:r w:rsidRPr="005F3BC0">
        <w:rPr>
          <w:rFonts w:ascii="Arial" w:hAnsi="Arial" w:cs="Arial"/>
          <w:i/>
        </w:rPr>
        <w:t xml:space="preserve"> v S</w:t>
      </w:r>
      <w:r>
        <w:rPr>
          <w:rFonts w:ascii="Arial" w:hAnsi="Arial" w:cs="Arial"/>
        </w:rPr>
        <w:t xml:space="preserve"> (1) (CA 19-</w:t>
      </w:r>
      <w:r w:rsidRPr="005F3BC0">
        <w:rPr>
          <w:rFonts w:ascii="Arial" w:hAnsi="Arial" w:cs="Arial"/>
        </w:rPr>
        <w:t>2016) [2017] NAHCMD 355 (8 December 2017)</w:t>
      </w:r>
    </w:p>
  </w:footnote>
  <w:footnote w:id="2">
    <w:p w:rsidR="00045086" w:rsidRPr="00A27FD7" w:rsidRDefault="00045086" w:rsidP="00045086">
      <w:pPr>
        <w:pStyle w:val="FootnoteText"/>
        <w:rPr>
          <w:rFonts w:ascii="Arial" w:hAnsi="Arial" w:cs="Arial"/>
        </w:rPr>
      </w:pPr>
      <w:r w:rsidRPr="005F3BC0">
        <w:rPr>
          <w:rStyle w:val="FootnoteReference"/>
          <w:rFonts w:ascii="Arial" w:hAnsi="Arial" w:cs="Arial"/>
        </w:rPr>
        <w:footnoteRef/>
      </w:r>
      <w:r w:rsidRPr="005F3BC0">
        <w:rPr>
          <w:rFonts w:ascii="Arial" w:hAnsi="Arial" w:cs="Arial"/>
        </w:rPr>
        <w:t xml:space="preserve"> </w:t>
      </w:r>
      <w:r w:rsidRPr="00A27FD7">
        <w:rPr>
          <w:rFonts w:ascii="Arial" w:hAnsi="Arial" w:cs="Arial"/>
          <w:i/>
        </w:rPr>
        <w:t>Prosecutor-General of the Republic of Namibia v Gomes and Others</w:t>
      </w:r>
      <w:r>
        <w:rPr>
          <w:rFonts w:ascii="Arial" w:hAnsi="Arial" w:cs="Arial"/>
        </w:rPr>
        <w:t xml:space="preserve"> (62-</w:t>
      </w:r>
      <w:r w:rsidRPr="00A27FD7">
        <w:rPr>
          <w:rFonts w:ascii="Arial" w:hAnsi="Arial" w:cs="Arial"/>
        </w:rPr>
        <w:t>2013) [2015] NASC 19 (19 August 2015)</w:t>
      </w:r>
      <w:r>
        <w:rPr>
          <w:rFonts w:ascii="Arial" w:hAnsi="Arial" w:cs="Arial"/>
        </w:rPr>
        <w:t>.</w:t>
      </w:r>
    </w:p>
  </w:footnote>
  <w:footnote w:id="3">
    <w:p w:rsidR="00045086" w:rsidRDefault="00045086" w:rsidP="00045086">
      <w:pPr>
        <w:pStyle w:val="FootnoteText"/>
      </w:pPr>
      <w:r>
        <w:rPr>
          <w:rStyle w:val="FootnoteReference"/>
        </w:rPr>
        <w:footnoteRef/>
      </w:r>
      <w:r>
        <w:t xml:space="preserve"> </w:t>
      </w:r>
      <w:r w:rsidRPr="005F3BC0">
        <w:rPr>
          <w:rFonts w:ascii="Arial" w:hAnsi="Arial" w:cs="Arial"/>
          <w:i/>
        </w:rPr>
        <w:t xml:space="preserve">S v Van der Berg </w:t>
      </w:r>
      <w:r>
        <w:rPr>
          <w:rFonts w:ascii="Arial" w:hAnsi="Arial" w:cs="Arial"/>
        </w:rPr>
        <w:t>1996</w:t>
      </w:r>
      <w:r w:rsidRPr="00A75FAA">
        <w:rPr>
          <w:rFonts w:ascii="Arial" w:hAnsi="Arial" w:cs="Arial"/>
        </w:rPr>
        <w:t xml:space="preserve"> 1</w:t>
      </w:r>
      <w:r>
        <w:rPr>
          <w:rFonts w:ascii="Arial" w:hAnsi="Arial" w:cs="Arial"/>
        </w:rPr>
        <w:t xml:space="preserve"> </w:t>
      </w:r>
      <w:r w:rsidRPr="00A75FAA">
        <w:rPr>
          <w:rFonts w:ascii="Arial" w:hAnsi="Arial" w:cs="Arial"/>
        </w:rPr>
        <w:t>SACR 19 (NM).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2014313"/>
      <w:docPartObj>
        <w:docPartGallery w:val="Page Numbers (Top of Page)"/>
        <w:docPartUnique/>
      </w:docPartObj>
    </w:sdtPr>
    <w:sdtEndPr>
      <w:rPr>
        <w:noProof/>
      </w:rPr>
    </w:sdtEndPr>
    <w:sdtContent>
      <w:p w:rsidR="00A639F5" w:rsidRDefault="00A639F5">
        <w:pPr>
          <w:pStyle w:val="Header"/>
          <w:jc w:val="right"/>
        </w:pPr>
        <w:r>
          <w:fldChar w:fldCharType="begin"/>
        </w:r>
        <w:r>
          <w:instrText xml:space="preserve"> PAGE   \* MERGEFORMAT </w:instrText>
        </w:r>
        <w:r>
          <w:fldChar w:fldCharType="separate"/>
        </w:r>
        <w:r w:rsidR="002278EB">
          <w:rPr>
            <w:noProof/>
          </w:rPr>
          <w:t>2</w:t>
        </w:r>
        <w:r>
          <w:rPr>
            <w:noProof/>
          </w:rPr>
          <w:fldChar w:fldCharType="end"/>
        </w:r>
      </w:p>
    </w:sdtContent>
  </w:sdt>
  <w:p w:rsidR="004B5350" w:rsidRDefault="004B53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7449"/>
    <w:multiLevelType w:val="hybridMultilevel"/>
    <w:tmpl w:val="00A0798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72FED"/>
    <w:multiLevelType w:val="hybridMultilevel"/>
    <w:tmpl w:val="0C2C64D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35928A3"/>
    <w:multiLevelType w:val="hybridMultilevel"/>
    <w:tmpl w:val="AA7A9E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3BE4F10"/>
    <w:multiLevelType w:val="hybridMultilevel"/>
    <w:tmpl w:val="7CC86DE8"/>
    <w:lvl w:ilvl="0" w:tplc="A9549C4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6691D5F"/>
    <w:multiLevelType w:val="hybridMultilevel"/>
    <w:tmpl w:val="76A049B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B444EA8"/>
    <w:multiLevelType w:val="hybridMultilevel"/>
    <w:tmpl w:val="34609382"/>
    <w:lvl w:ilvl="0" w:tplc="D0CCBBC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D215B95"/>
    <w:multiLevelType w:val="hybridMultilevel"/>
    <w:tmpl w:val="452058DC"/>
    <w:lvl w:ilvl="0" w:tplc="544415F8">
      <w:start w:val="1"/>
      <w:numFmt w:val="decimal"/>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20884795"/>
    <w:multiLevelType w:val="hybridMultilevel"/>
    <w:tmpl w:val="FC5E43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4717AF"/>
    <w:multiLevelType w:val="multilevel"/>
    <w:tmpl w:val="5B982F5E"/>
    <w:lvl w:ilvl="0">
      <w:start w:val="1"/>
      <w:numFmt w:val="decimal"/>
      <w:lvlText w:val="%1."/>
      <w:lvlJc w:val="left"/>
      <w:pPr>
        <w:ind w:left="720" w:hanging="360"/>
      </w:pPr>
      <w:rPr>
        <w:rFonts w:hint="default"/>
      </w:rPr>
    </w:lvl>
    <w:lvl w:ilvl="1">
      <w:start w:val="1"/>
      <w:numFmt w:val="decimal"/>
      <w:isLgl/>
      <w:lvlText w:val="%1.%2"/>
      <w:lvlJc w:val="left"/>
      <w:pPr>
        <w:ind w:left="1437" w:hanging="870"/>
      </w:pPr>
      <w:rPr>
        <w:rFonts w:hint="default"/>
      </w:rPr>
    </w:lvl>
    <w:lvl w:ilvl="2">
      <w:start w:val="1"/>
      <w:numFmt w:val="decimal"/>
      <w:isLgl/>
      <w:lvlText w:val="%1.%2.%3"/>
      <w:lvlJc w:val="left"/>
      <w:pPr>
        <w:ind w:left="1644" w:hanging="87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9" w15:restartNumberingAfterBreak="0">
    <w:nsid w:val="250A25D6"/>
    <w:multiLevelType w:val="hybridMultilevel"/>
    <w:tmpl w:val="499AE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575DD3"/>
    <w:multiLevelType w:val="hybridMultilevel"/>
    <w:tmpl w:val="55007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422C3B"/>
    <w:multiLevelType w:val="hybridMultilevel"/>
    <w:tmpl w:val="36E0808A"/>
    <w:lvl w:ilvl="0" w:tplc="C53620DE">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7B6110D"/>
    <w:multiLevelType w:val="hybridMultilevel"/>
    <w:tmpl w:val="3D4259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EA7F72"/>
    <w:multiLevelType w:val="hybridMultilevel"/>
    <w:tmpl w:val="9CF4E572"/>
    <w:lvl w:ilvl="0" w:tplc="1D56D0F4">
      <w:start w:val="2"/>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57430F0"/>
    <w:multiLevelType w:val="hybridMultilevel"/>
    <w:tmpl w:val="B2D8BFBE"/>
    <w:lvl w:ilvl="0" w:tplc="F522D7A0">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AA012E0"/>
    <w:multiLevelType w:val="hybridMultilevel"/>
    <w:tmpl w:val="5E6606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569F5722"/>
    <w:multiLevelType w:val="hybridMultilevel"/>
    <w:tmpl w:val="8D7681F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8115BB"/>
    <w:multiLevelType w:val="hybridMultilevel"/>
    <w:tmpl w:val="8FF29D1C"/>
    <w:lvl w:ilvl="0" w:tplc="280E0FDA">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5D38698E"/>
    <w:multiLevelType w:val="hybridMultilevel"/>
    <w:tmpl w:val="F0B4E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AE326B"/>
    <w:multiLevelType w:val="hybridMultilevel"/>
    <w:tmpl w:val="FC5E43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DF11C1"/>
    <w:multiLevelType w:val="hybridMultilevel"/>
    <w:tmpl w:val="7BB2D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5836AF"/>
    <w:multiLevelType w:val="hybridMultilevel"/>
    <w:tmpl w:val="D14A91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9"/>
  </w:num>
  <w:num w:numId="3">
    <w:abstractNumId w:val="11"/>
  </w:num>
  <w:num w:numId="4">
    <w:abstractNumId w:val="5"/>
  </w:num>
  <w:num w:numId="5">
    <w:abstractNumId w:val="14"/>
  </w:num>
  <w:num w:numId="6">
    <w:abstractNumId w:val="13"/>
  </w:num>
  <w:num w:numId="7">
    <w:abstractNumId w:val="1"/>
  </w:num>
  <w:num w:numId="8">
    <w:abstractNumId w:val="16"/>
  </w:num>
  <w:num w:numId="9">
    <w:abstractNumId w:val="9"/>
  </w:num>
  <w:num w:numId="10">
    <w:abstractNumId w:val="0"/>
  </w:num>
  <w:num w:numId="11">
    <w:abstractNumId w:val="20"/>
  </w:num>
  <w:num w:numId="12">
    <w:abstractNumId w:val="18"/>
  </w:num>
  <w:num w:numId="13">
    <w:abstractNumId w:val="10"/>
  </w:num>
  <w:num w:numId="14">
    <w:abstractNumId w:val="4"/>
  </w:num>
  <w:num w:numId="15">
    <w:abstractNumId w:val="6"/>
  </w:num>
  <w:num w:numId="16">
    <w:abstractNumId w:val="15"/>
  </w:num>
  <w:num w:numId="17">
    <w:abstractNumId w:val="12"/>
  </w:num>
  <w:num w:numId="18">
    <w:abstractNumId w:val="17"/>
  </w:num>
  <w:num w:numId="19">
    <w:abstractNumId w:val="3"/>
  </w:num>
  <w:num w:numId="20">
    <w:abstractNumId w:val="8"/>
  </w:num>
  <w:num w:numId="21">
    <w:abstractNumId w:val="2"/>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A50"/>
    <w:rsid w:val="00007F0D"/>
    <w:rsid w:val="00015E7B"/>
    <w:rsid w:val="00020297"/>
    <w:rsid w:val="00020737"/>
    <w:rsid w:val="00024C52"/>
    <w:rsid w:val="000272A8"/>
    <w:rsid w:val="00033D49"/>
    <w:rsid w:val="000345FE"/>
    <w:rsid w:val="00041B92"/>
    <w:rsid w:val="00044ECF"/>
    <w:rsid w:val="00045086"/>
    <w:rsid w:val="000461C4"/>
    <w:rsid w:val="00050068"/>
    <w:rsid w:val="000544D0"/>
    <w:rsid w:val="00057194"/>
    <w:rsid w:val="000654B9"/>
    <w:rsid w:val="0006598E"/>
    <w:rsid w:val="000762D8"/>
    <w:rsid w:val="000808B7"/>
    <w:rsid w:val="00080B11"/>
    <w:rsid w:val="00085608"/>
    <w:rsid w:val="00086A6F"/>
    <w:rsid w:val="00087632"/>
    <w:rsid w:val="000908ED"/>
    <w:rsid w:val="000955F5"/>
    <w:rsid w:val="000958A7"/>
    <w:rsid w:val="0009640C"/>
    <w:rsid w:val="000A43B1"/>
    <w:rsid w:val="000A74EB"/>
    <w:rsid w:val="000B3203"/>
    <w:rsid w:val="000B54D3"/>
    <w:rsid w:val="000C1406"/>
    <w:rsid w:val="000D262D"/>
    <w:rsid w:val="000D2DEA"/>
    <w:rsid w:val="000D3708"/>
    <w:rsid w:val="000D69DC"/>
    <w:rsid w:val="000E1C47"/>
    <w:rsid w:val="000E5C12"/>
    <w:rsid w:val="000F16C3"/>
    <w:rsid w:val="000F1EFA"/>
    <w:rsid w:val="000F2CE4"/>
    <w:rsid w:val="000F5D87"/>
    <w:rsid w:val="00103C0D"/>
    <w:rsid w:val="001132D3"/>
    <w:rsid w:val="00116794"/>
    <w:rsid w:val="00117EEE"/>
    <w:rsid w:val="00121CD9"/>
    <w:rsid w:val="00130123"/>
    <w:rsid w:val="00136484"/>
    <w:rsid w:val="00150DCA"/>
    <w:rsid w:val="001623D0"/>
    <w:rsid w:val="0016658F"/>
    <w:rsid w:val="00170B0F"/>
    <w:rsid w:val="00174754"/>
    <w:rsid w:val="00182373"/>
    <w:rsid w:val="0018392F"/>
    <w:rsid w:val="00184E34"/>
    <w:rsid w:val="00191987"/>
    <w:rsid w:val="00192180"/>
    <w:rsid w:val="0019267E"/>
    <w:rsid w:val="001953EF"/>
    <w:rsid w:val="00196103"/>
    <w:rsid w:val="001966D2"/>
    <w:rsid w:val="00197724"/>
    <w:rsid w:val="001B1A5F"/>
    <w:rsid w:val="001B3EB7"/>
    <w:rsid w:val="001B4CC4"/>
    <w:rsid w:val="001B5159"/>
    <w:rsid w:val="001C5DA2"/>
    <w:rsid w:val="001D3244"/>
    <w:rsid w:val="001E0FCE"/>
    <w:rsid w:val="001E590A"/>
    <w:rsid w:val="001F14A3"/>
    <w:rsid w:val="001F233C"/>
    <w:rsid w:val="001F2873"/>
    <w:rsid w:val="001F3E80"/>
    <w:rsid w:val="001F6785"/>
    <w:rsid w:val="0020355F"/>
    <w:rsid w:val="00210922"/>
    <w:rsid w:val="002120F4"/>
    <w:rsid w:val="00214EA7"/>
    <w:rsid w:val="00215B3A"/>
    <w:rsid w:val="00217586"/>
    <w:rsid w:val="0022779A"/>
    <w:rsid w:val="002278EB"/>
    <w:rsid w:val="00230F0D"/>
    <w:rsid w:val="0023144E"/>
    <w:rsid w:val="00234200"/>
    <w:rsid w:val="0023554E"/>
    <w:rsid w:val="002452E3"/>
    <w:rsid w:val="00246BF5"/>
    <w:rsid w:val="002535B7"/>
    <w:rsid w:val="0025517B"/>
    <w:rsid w:val="00275627"/>
    <w:rsid w:val="00290820"/>
    <w:rsid w:val="00293CE5"/>
    <w:rsid w:val="00295107"/>
    <w:rsid w:val="002A1B8B"/>
    <w:rsid w:val="002A3875"/>
    <w:rsid w:val="002B01DD"/>
    <w:rsid w:val="002B1A2E"/>
    <w:rsid w:val="002B2481"/>
    <w:rsid w:val="002B2EEB"/>
    <w:rsid w:val="002B62EE"/>
    <w:rsid w:val="002C7BF0"/>
    <w:rsid w:val="002C7D18"/>
    <w:rsid w:val="002C7E8B"/>
    <w:rsid w:val="002D36D8"/>
    <w:rsid w:val="002D555E"/>
    <w:rsid w:val="002E00C6"/>
    <w:rsid w:val="002E02E2"/>
    <w:rsid w:val="002E09E8"/>
    <w:rsid w:val="002E10DC"/>
    <w:rsid w:val="002E3B61"/>
    <w:rsid w:val="002F0457"/>
    <w:rsid w:val="003002D7"/>
    <w:rsid w:val="00306764"/>
    <w:rsid w:val="00313E59"/>
    <w:rsid w:val="003146AC"/>
    <w:rsid w:val="00321D34"/>
    <w:rsid w:val="003229D8"/>
    <w:rsid w:val="00326DE1"/>
    <w:rsid w:val="00331393"/>
    <w:rsid w:val="00341CBC"/>
    <w:rsid w:val="00342704"/>
    <w:rsid w:val="00342734"/>
    <w:rsid w:val="00343EAC"/>
    <w:rsid w:val="00345DED"/>
    <w:rsid w:val="00345F09"/>
    <w:rsid w:val="0035128A"/>
    <w:rsid w:val="00354BD9"/>
    <w:rsid w:val="00355C9F"/>
    <w:rsid w:val="00355F62"/>
    <w:rsid w:val="00361772"/>
    <w:rsid w:val="003631DF"/>
    <w:rsid w:val="003644F4"/>
    <w:rsid w:val="00367268"/>
    <w:rsid w:val="003815CD"/>
    <w:rsid w:val="00384F77"/>
    <w:rsid w:val="0039179F"/>
    <w:rsid w:val="003A1A93"/>
    <w:rsid w:val="003A2B71"/>
    <w:rsid w:val="003A728A"/>
    <w:rsid w:val="003B10D9"/>
    <w:rsid w:val="003B179F"/>
    <w:rsid w:val="003B4268"/>
    <w:rsid w:val="003D1E9D"/>
    <w:rsid w:val="003E0009"/>
    <w:rsid w:val="003E09D2"/>
    <w:rsid w:val="003E17C6"/>
    <w:rsid w:val="003F1371"/>
    <w:rsid w:val="00401ED8"/>
    <w:rsid w:val="004027EB"/>
    <w:rsid w:val="004065C6"/>
    <w:rsid w:val="004114AD"/>
    <w:rsid w:val="00430E3B"/>
    <w:rsid w:val="0043563D"/>
    <w:rsid w:val="00444E12"/>
    <w:rsid w:val="00446EAD"/>
    <w:rsid w:val="0045535C"/>
    <w:rsid w:val="004557C2"/>
    <w:rsid w:val="00457700"/>
    <w:rsid w:val="004659CC"/>
    <w:rsid w:val="004757CA"/>
    <w:rsid w:val="00485132"/>
    <w:rsid w:val="00485C32"/>
    <w:rsid w:val="00494B7E"/>
    <w:rsid w:val="004A09EF"/>
    <w:rsid w:val="004A2B66"/>
    <w:rsid w:val="004A46E6"/>
    <w:rsid w:val="004B5350"/>
    <w:rsid w:val="004C1DC2"/>
    <w:rsid w:val="004D26F0"/>
    <w:rsid w:val="004E4BA8"/>
    <w:rsid w:val="004F3A40"/>
    <w:rsid w:val="004F52B9"/>
    <w:rsid w:val="004F6C69"/>
    <w:rsid w:val="004F6EDA"/>
    <w:rsid w:val="005128F7"/>
    <w:rsid w:val="00514B9C"/>
    <w:rsid w:val="005211F1"/>
    <w:rsid w:val="005214DD"/>
    <w:rsid w:val="0052275F"/>
    <w:rsid w:val="00523524"/>
    <w:rsid w:val="00525D85"/>
    <w:rsid w:val="00526A41"/>
    <w:rsid w:val="00535E68"/>
    <w:rsid w:val="005378EC"/>
    <w:rsid w:val="00542DE3"/>
    <w:rsid w:val="005433A5"/>
    <w:rsid w:val="00544FA4"/>
    <w:rsid w:val="0054606F"/>
    <w:rsid w:val="005502DD"/>
    <w:rsid w:val="00560675"/>
    <w:rsid w:val="00564317"/>
    <w:rsid w:val="0056488A"/>
    <w:rsid w:val="00566016"/>
    <w:rsid w:val="00571186"/>
    <w:rsid w:val="005713D6"/>
    <w:rsid w:val="005724E5"/>
    <w:rsid w:val="005815E0"/>
    <w:rsid w:val="00585343"/>
    <w:rsid w:val="0058720D"/>
    <w:rsid w:val="005948EF"/>
    <w:rsid w:val="005C20AD"/>
    <w:rsid w:val="005D43FF"/>
    <w:rsid w:val="005E3F8C"/>
    <w:rsid w:val="005F3BC0"/>
    <w:rsid w:val="005F4425"/>
    <w:rsid w:val="005F7950"/>
    <w:rsid w:val="005F7E3A"/>
    <w:rsid w:val="00613A8D"/>
    <w:rsid w:val="006140B2"/>
    <w:rsid w:val="00615E9B"/>
    <w:rsid w:val="006172ED"/>
    <w:rsid w:val="00617C7C"/>
    <w:rsid w:val="006221A2"/>
    <w:rsid w:val="00622FE4"/>
    <w:rsid w:val="0062304F"/>
    <w:rsid w:val="00636224"/>
    <w:rsid w:val="0064729C"/>
    <w:rsid w:val="006529B1"/>
    <w:rsid w:val="0066092F"/>
    <w:rsid w:val="00661009"/>
    <w:rsid w:val="00672B65"/>
    <w:rsid w:val="006741B2"/>
    <w:rsid w:val="00682EB8"/>
    <w:rsid w:val="00684D43"/>
    <w:rsid w:val="00686A44"/>
    <w:rsid w:val="006908FE"/>
    <w:rsid w:val="0069386C"/>
    <w:rsid w:val="00696577"/>
    <w:rsid w:val="0069666A"/>
    <w:rsid w:val="006D3969"/>
    <w:rsid w:val="006D6ADD"/>
    <w:rsid w:val="006E1034"/>
    <w:rsid w:val="006E29F1"/>
    <w:rsid w:val="006F31B4"/>
    <w:rsid w:val="006F70AB"/>
    <w:rsid w:val="007019CB"/>
    <w:rsid w:val="0070427A"/>
    <w:rsid w:val="00704474"/>
    <w:rsid w:val="007229F0"/>
    <w:rsid w:val="0072450F"/>
    <w:rsid w:val="00726FC1"/>
    <w:rsid w:val="00727FF5"/>
    <w:rsid w:val="00734F16"/>
    <w:rsid w:val="00735041"/>
    <w:rsid w:val="0073544F"/>
    <w:rsid w:val="00735D85"/>
    <w:rsid w:val="00742B0C"/>
    <w:rsid w:val="0074458A"/>
    <w:rsid w:val="007454BD"/>
    <w:rsid w:val="007522BC"/>
    <w:rsid w:val="0075318F"/>
    <w:rsid w:val="00754C0F"/>
    <w:rsid w:val="007604DC"/>
    <w:rsid w:val="00761F06"/>
    <w:rsid w:val="00761F46"/>
    <w:rsid w:val="00773F0F"/>
    <w:rsid w:val="00775EC4"/>
    <w:rsid w:val="00785AC0"/>
    <w:rsid w:val="007926B7"/>
    <w:rsid w:val="007927A8"/>
    <w:rsid w:val="007A0361"/>
    <w:rsid w:val="007A0ECD"/>
    <w:rsid w:val="007B2588"/>
    <w:rsid w:val="007B45D7"/>
    <w:rsid w:val="007C234F"/>
    <w:rsid w:val="007C2761"/>
    <w:rsid w:val="007C34B2"/>
    <w:rsid w:val="007C67BB"/>
    <w:rsid w:val="007E31B6"/>
    <w:rsid w:val="007F2974"/>
    <w:rsid w:val="007F5F1E"/>
    <w:rsid w:val="0080218C"/>
    <w:rsid w:val="008025EE"/>
    <w:rsid w:val="00803A50"/>
    <w:rsid w:val="00805883"/>
    <w:rsid w:val="00805A47"/>
    <w:rsid w:val="008072FD"/>
    <w:rsid w:val="0080778A"/>
    <w:rsid w:val="00812C56"/>
    <w:rsid w:val="008169CA"/>
    <w:rsid w:val="008244D5"/>
    <w:rsid w:val="00830A99"/>
    <w:rsid w:val="00834FB4"/>
    <w:rsid w:val="00836346"/>
    <w:rsid w:val="00836888"/>
    <w:rsid w:val="00844821"/>
    <w:rsid w:val="00850B5F"/>
    <w:rsid w:val="0085123D"/>
    <w:rsid w:val="008513E9"/>
    <w:rsid w:val="00851865"/>
    <w:rsid w:val="00856668"/>
    <w:rsid w:val="00867A74"/>
    <w:rsid w:val="0087174A"/>
    <w:rsid w:val="00871ECE"/>
    <w:rsid w:val="00873F26"/>
    <w:rsid w:val="00880EB8"/>
    <w:rsid w:val="00881BB9"/>
    <w:rsid w:val="00882EFB"/>
    <w:rsid w:val="00883AE2"/>
    <w:rsid w:val="00886351"/>
    <w:rsid w:val="00890368"/>
    <w:rsid w:val="00891DE4"/>
    <w:rsid w:val="008A4321"/>
    <w:rsid w:val="008A4C18"/>
    <w:rsid w:val="008A4F09"/>
    <w:rsid w:val="008B7AF6"/>
    <w:rsid w:val="008C0014"/>
    <w:rsid w:val="008C1384"/>
    <w:rsid w:val="008C7F20"/>
    <w:rsid w:val="008D4C3A"/>
    <w:rsid w:val="008D5C7E"/>
    <w:rsid w:val="008D6A39"/>
    <w:rsid w:val="008D6E2F"/>
    <w:rsid w:val="008E4397"/>
    <w:rsid w:val="008E6BB4"/>
    <w:rsid w:val="008E710B"/>
    <w:rsid w:val="008E7799"/>
    <w:rsid w:val="008F6540"/>
    <w:rsid w:val="008F67B0"/>
    <w:rsid w:val="00900633"/>
    <w:rsid w:val="009046C0"/>
    <w:rsid w:val="00904D96"/>
    <w:rsid w:val="00907053"/>
    <w:rsid w:val="009139A6"/>
    <w:rsid w:val="0091427E"/>
    <w:rsid w:val="009207B0"/>
    <w:rsid w:val="00922C4B"/>
    <w:rsid w:val="00927FA3"/>
    <w:rsid w:val="00931EF2"/>
    <w:rsid w:val="00933F5C"/>
    <w:rsid w:val="009405BB"/>
    <w:rsid w:val="0094228B"/>
    <w:rsid w:val="009444DA"/>
    <w:rsid w:val="00954238"/>
    <w:rsid w:val="00961A79"/>
    <w:rsid w:val="00961C1D"/>
    <w:rsid w:val="00965640"/>
    <w:rsid w:val="00965880"/>
    <w:rsid w:val="00974ECC"/>
    <w:rsid w:val="00986DB9"/>
    <w:rsid w:val="009A02CD"/>
    <w:rsid w:val="009A1B31"/>
    <w:rsid w:val="009A2B68"/>
    <w:rsid w:val="009A682B"/>
    <w:rsid w:val="009B1E8D"/>
    <w:rsid w:val="009C5202"/>
    <w:rsid w:val="009C5241"/>
    <w:rsid w:val="009D4ED5"/>
    <w:rsid w:val="009D78C3"/>
    <w:rsid w:val="009E0D78"/>
    <w:rsid w:val="009E2D3E"/>
    <w:rsid w:val="009E5537"/>
    <w:rsid w:val="009F20AA"/>
    <w:rsid w:val="009F32D6"/>
    <w:rsid w:val="009F5D60"/>
    <w:rsid w:val="009F604A"/>
    <w:rsid w:val="00A00438"/>
    <w:rsid w:val="00A00B64"/>
    <w:rsid w:val="00A03E58"/>
    <w:rsid w:val="00A1730A"/>
    <w:rsid w:val="00A22205"/>
    <w:rsid w:val="00A229D9"/>
    <w:rsid w:val="00A25B83"/>
    <w:rsid w:val="00A266AC"/>
    <w:rsid w:val="00A2682C"/>
    <w:rsid w:val="00A26848"/>
    <w:rsid w:val="00A27FD7"/>
    <w:rsid w:val="00A34870"/>
    <w:rsid w:val="00A35591"/>
    <w:rsid w:val="00A37587"/>
    <w:rsid w:val="00A376F0"/>
    <w:rsid w:val="00A43E45"/>
    <w:rsid w:val="00A520B9"/>
    <w:rsid w:val="00A54597"/>
    <w:rsid w:val="00A639F5"/>
    <w:rsid w:val="00A709BC"/>
    <w:rsid w:val="00A72D26"/>
    <w:rsid w:val="00A7465B"/>
    <w:rsid w:val="00A75FAA"/>
    <w:rsid w:val="00A97420"/>
    <w:rsid w:val="00AA0CAB"/>
    <w:rsid w:val="00AA470A"/>
    <w:rsid w:val="00AA6CF6"/>
    <w:rsid w:val="00AB1CB4"/>
    <w:rsid w:val="00AB23BC"/>
    <w:rsid w:val="00AB5D85"/>
    <w:rsid w:val="00AB6288"/>
    <w:rsid w:val="00AD067A"/>
    <w:rsid w:val="00AD28D2"/>
    <w:rsid w:val="00AD562A"/>
    <w:rsid w:val="00AE26E7"/>
    <w:rsid w:val="00AF0442"/>
    <w:rsid w:val="00AF2D40"/>
    <w:rsid w:val="00AF5891"/>
    <w:rsid w:val="00B07EB8"/>
    <w:rsid w:val="00B11A72"/>
    <w:rsid w:val="00B15843"/>
    <w:rsid w:val="00B229A8"/>
    <w:rsid w:val="00B22FAE"/>
    <w:rsid w:val="00B2790C"/>
    <w:rsid w:val="00B34416"/>
    <w:rsid w:val="00B42A22"/>
    <w:rsid w:val="00B43901"/>
    <w:rsid w:val="00B43C81"/>
    <w:rsid w:val="00B44CA9"/>
    <w:rsid w:val="00B53125"/>
    <w:rsid w:val="00B54262"/>
    <w:rsid w:val="00B64F30"/>
    <w:rsid w:val="00B75381"/>
    <w:rsid w:val="00B83442"/>
    <w:rsid w:val="00B83A84"/>
    <w:rsid w:val="00B84BF6"/>
    <w:rsid w:val="00B92131"/>
    <w:rsid w:val="00B92D71"/>
    <w:rsid w:val="00B94153"/>
    <w:rsid w:val="00B95471"/>
    <w:rsid w:val="00B95607"/>
    <w:rsid w:val="00BA063C"/>
    <w:rsid w:val="00BA401E"/>
    <w:rsid w:val="00BA6B40"/>
    <w:rsid w:val="00BB10D0"/>
    <w:rsid w:val="00BB22D4"/>
    <w:rsid w:val="00BC17E6"/>
    <w:rsid w:val="00BC3341"/>
    <w:rsid w:val="00BC4757"/>
    <w:rsid w:val="00BC72A7"/>
    <w:rsid w:val="00BD5BE7"/>
    <w:rsid w:val="00BD5F8F"/>
    <w:rsid w:val="00BD7C66"/>
    <w:rsid w:val="00BE2066"/>
    <w:rsid w:val="00BE2574"/>
    <w:rsid w:val="00BF22FE"/>
    <w:rsid w:val="00C055BC"/>
    <w:rsid w:val="00C058EE"/>
    <w:rsid w:val="00C071EF"/>
    <w:rsid w:val="00C072BF"/>
    <w:rsid w:val="00C07534"/>
    <w:rsid w:val="00C13194"/>
    <w:rsid w:val="00C1536D"/>
    <w:rsid w:val="00C2017E"/>
    <w:rsid w:val="00C2238B"/>
    <w:rsid w:val="00C264DF"/>
    <w:rsid w:val="00C26B3D"/>
    <w:rsid w:val="00C33415"/>
    <w:rsid w:val="00C366A5"/>
    <w:rsid w:val="00C37E96"/>
    <w:rsid w:val="00C4038A"/>
    <w:rsid w:val="00C429C9"/>
    <w:rsid w:val="00C4730D"/>
    <w:rsid w:val="00C51C56"/>
    <w:rsid w:val="00C568FA"/>
    <w:rsid w:val="00C6100F"/>
    <w:rsid w:val="00C618F0"/>
    <w:rsid w:val="00C63102"/>
    <w:rsid w:val="00C67356"/>
    <w:rsid w:val="00C736F7"/>
    <w:rsid w:val="00C754D2"/>
    <w:rsid w:val="00C76715"/>
    <w:rsid w:val="00C77598"/>
    <w:rsid w:val="00C83946"/>
    <w:rsid w:val="00C842E8"/>
    <w:rsid w:val="00C854D4"/>
    <w:rsid w:val="00C91C07"/>
    <w:rsid w:val="00C93053"/>
    <w:rsid w:val="00C94E1A"/>
    <w:rsid w:val="00C95903"/>
    <w:rsid w:val="00CA1A67"/>
    <w:rsid w:val="00CA5DDA"/>
    <w:rsid w:val="00CB5377"/>
    <w:rsid w:val="00CB5691"/>
    <w:rsid w:val="00CC615E"/>
    <w:rsid w:val="00CC61AD"/>
    <w:rsid w:val="00CD0818"/>
    <w:rsid w:val="00CD2667"/>
    <w:rsid w:val="00CE5303"/>
    <w:rsid w:val="00CF3393"/>
    <w:rsid w:val="00CF7498"/>
    <w:rsid w:val="00CF76EA"/>
    <w:rsid w:val="00D01BB5"/>
    <w:rsid w:val="00D04DA4"/>
    <w:rsid w:val="00D06C8C"/>
    <w:rsid w:val="00D165E9"/>
    <w:rsid w:val="00D222BF"/>
    <w:rsid w:val="00D2435E"/>
    <w:rsid w:val="00D26523"/>
    <w:rsid w:val="00D303C3"/>
    <w:rsid w:val="00D31352"/>
    <w:rsid w:val="00D33031"/>
    <w:rsid w:val="00D44976"/>
    <w:rsid w:val="00D57408"/>
    <w:rsid w:val="00D62E0E"/>
    <w:rsid w:val="00D63D88"/>
    <w:rsid w:val="00D65169"/>
    <w:rsid w:val="00D7686F"/>
    <w:rsid w:val="00D83A92"/>
    <w:rsid w:val="00D86D1D"/>
    <w:rsid w:val="00D871B1"/>
    <w:rsid w:val="00D90332"/>
    <w:rsid w:val="00D90793"/>
    <w:rsid w:val="00D90BBF"/>
    <w:rsid w:val="00D90BF0"/>
    <w:rsid w:val="00D91D00"/>
    <w:rsid w:val="00DA12B5"/>
    <w:rsid w:val="00DA3C45"/>
    <w:rsid w:val="00DB0949"/>
    <w:rsid w:val="00DB2B0F"/>
    <w:rsid w:val="00DB5AF5"/>
    <w:rsid w:val="00DB68E6"/>
    <w:rsid w:val="00DB6FB4"/>
    <w:rsid w:val="00DC2AED"/>
    <w:rsid w:val="00DC3EBF"/>
    <w:rsid w:val="00DD6CB2"/>
    <w:rsid w:val="00DE2623"/>
    <w:rsid w:val="00DE27C3"/>
    <w:rsid w:val="00DE6FF6"/>
    <w:rsid w:val="00DE7551"/>
    <w:rsid w:val="00DF08EC"/>
    <w:rsid w:val="00DF2070"/>
    <w:rsid w:val="00E00ADF"/>
    <w:rsid w:val="00E0336B"/>
    <w:rsid w:val="00E043A1"/>
    <w:rsid w:val="00E06E57"/>
    <w:rsid w:val="00E07F2A"/>
    <w:rsid w:val="00E11ECB"/>
    <w:rsid w:val="00E157EE"/>
    <w:rsid w:val="00E17963"/>
    <w:rsid w:val="00E211CA"/>
    <w:rsid w:val="00E26C29"/>
    <w:rsid w:val="00E27A9E"/>
    <w:rsid w:val="00E332F7"/>
    <w:rsid w:val="00E338EF"/>
    <w:rsid w:val="00E41692"/>
    <w:rsid w:val="00E41DAF"/>
    <w:rsid w:val="00E42BA0"/>
    <w:rsid w:val="00E46EA0"/>
    <w:rsid w:val="00E562EE"/>
    <w:rsid w:val="00E62AC2"/>
    <w:rsid w:val="00E70065"/>
    <w:rsid w:val="00E711BE"/>
    <w:rsid w:val="00E72489"/>
    <w:rsid w:val="00E73B2C"/>
    <w:rsid w:val="00E74BCB"/>
    <w:rsid w:val="00E750A3"/>
    <w:rsid w:val="00E75740"/>
    <w:rsid w:val="00E75EF5"/>
    <w:rsid w:val="00E760A7"/>
    <w:rsid w:val="00E81192"/>
    <w:rsid w:val="00E812A7"/>
    <w:rsid w:val="00E81E31"/>
    <w:rsid w:val="00E83936"/>
    <w:rsid w:val="00E94968"/>
    <w:rsid w:val="00EA11EB"/>
    <w:rsid w:val="00EA18A9"/>
    <w:rsid w:val="00EA424B"/>
    <w:rsid w:val="00EA777C"/>
    <w:rsid w:val="00EB14AB"/>
    <w:rsid w:val="00EC4AFA"/>
    <w:rsid w:val="00EC4DEF"/>
    <w:rsid w:val="00EC60FD"/>
    <w:rsid w:val="00EC67FB"/>
    <w:rsid w:val="00EC68B9"/>
    <w:rsid w:val="00ED0FD0"/>
    <w:rsid w:val="00ED38AB"/>
    <w:rsid w:val="00ED3E39"/>
    <w:rsid w:val="00EE164E"/>
    <w:rsid w:val="00EE381A"/>
    <w:rsid w:val="00EF5FC9"/>
    <w:rsid w:val="00F00B99"/>
    <w:rsid w:val="00F00BD7"/>
    <w:rsid w:val="00F02194"/>
    <w:rsid w:val="00F03B35"/>
    <w:rsid w:val="00F10592"/>
    <w:rsid w:val="00F14730"/>
    <w:rsid w:val="00F16610"/>
    <w:rsid w:val="00F2133C"/>
    <w:rsid w:val="00F21BBD"/>
    <w:rsid w:val="00F22AE6"/>
    <w:rsid w:val="00F231EF"/>
    <w:rsid w:val="00F2457E"/>
    <w:rsid w:val="00F2666C"/>
    <w:rsid w:val="00F31B71"/>
    <w:rsid w:val="00F32792"/>
    <w:rsid w:val="00F338A4"/>
    <w:rsid w:val="00F35FB3"/>
    <w:rsid w:val="00F365F7"/>
    <w:rsid w:val="00F42308"/>
    <w:rsid w:val="00F518AC"/>
    <w:rsid w:val="00F54AFC"/>
    <w:rsid w:val="00F56667"/>
    <w:rsid w:val="00F56BF5"/>
    <w:rsid w:val="00F61DEF"/>
    <w:rsid w:val="00F70EDB"/>
    <w:rsid w:val="00F73D15"/>
    <w:rsid w:val="00F74E91"/>
    <w:rsid w:val="00F763A7"/>
    <w:rsid w:val="00F82C07"/>
    <w:rsid w:val="00F8339B"/>
    <w:rsid w:val="00F872CB"/>
    <w:rsid w:val="00F87841"/>
    <w:rsid w:val="00F92E19"/>
    <w:rsid w:val="00F93E64"/>
    <w:rsid w:val="00FA043E"/>
    <w:rsid w:val="00FA2FD1"/>
    <w:rsid w:val="00FA7214"/>
    <w:rsid w:val="00FB3089"/>
    <w:rsid w:val="00FB392E"/>
    <w:rsid w:val="00FB4E40"/>
    <w:rsid w:val="00FB76A4"/>
    <w:rsid w:val="00FC31FA"/>
    <w:rsid w:val="00FC5896"/>
    <w:rsid w:val="00FC5E19"/>
    <w:rsid w:val="00FC63DC"/>
    <w:rsid w:val="00FC728A"/>
    <w:rsid w:val="00FD2763"/>
    <w:rsid w:val="00FD7E06"/>
    <w:rsid w:val="00FF407E"/>
    <w:rsid w:val="00FF411B"/>
    <w:rsid w:val="00FF41E0"/>
    <w:rsid w:val="00FF70E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DC153A-BE04-499E-AA40-59190E1F2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C0D"/>
    <w:pPr>
      <w:spacing w:after="200" w:line="276" w:lineRule="auto"/>
    </w:pPr>
  </w:style>
  <w:style w:type="paragraph" w:styleId="Heading1">
    <w:name w:val="heading 1"/>
    <w:basedOn w:val="Normal"/>
    <w:next w:val="Normal"/>
    <w:link w:val="Heading1Char"/>
    <w:uiPriority w:val="9"/>
    <w:qFormat/>
    <w:rsid w:val="005F3B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53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350"/>
  </w:style>
  <w:style w:type="paragraph" w:styleId="Footer">
    <w:name w:val="footer"/>
    <w:basedOn w:val="Normal"/>
    <w:link w:val="FooterChar"/>
    <w:uiPriority w:val="99"/>
    <w:unhideWhenUsed/>
    <w:rsid w:val="004B53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350"/>
  </w:style>
  <w:style w:type="paragraph" w:styleId="BalloonText">
    <w:name w:val="Balloon Text"/>
    <w:basedOn w:val="Normal"/>
    <w:link w:val="BalloonTextChar"/>
    <w:uiPriority w:val="99"/>
    <w:semiHidden/>
    <w:unhideWhenUsed/>
    <w:rsid w:val="00F213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33C"/>
    <w:rPr>
      <w:rFonts w:ascii="Segoe UI" w:hAnsi="Segoe UI" w:cs="Segoe UI"/>
      <w:sz w:val="18"/>
      <w:szCs w:val="18"/>
    </w:rPr>
  </w:style>
  <w:style w:type="paragraph" w:styleId="ListParagraph">
    <w:name w:val="List Paragraph"/>
    <w:basedOn w:val="Normal"/>
    <w:uiPriority w:val="34"/>
    <w:qFormat/>
    <w:rsid w:val="009A682B"/>
    <w:pPr>
      <w:ind w:left="720"/>
      <w:contextualSpacing/>
    </w:pPr>
  </w:style>
  <w:style w:type="paragraph" w:styleId="FootnoteText">
    <w:name w:val="footnote text"/>
    <w:basedOn w:val="Normal"/>
    <w:link w:val="FootnoteTextChar"/>
    <w:uiPriority w:val="99"/>
    <w:semiHidden/>
    <w:unhideWhenUsed/>
    <w:rsid w:val="00CF76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76EA"/>
    <w:rPr>
      <w:sz w:val="20"/>
      <w:szCs w:val="20"/>
    </w:rPr>
  </w:style>
  <w:style w:type="character" w:styleId="FootnoteReference">
    <w:name w:val="footnote reference"/>
    <w:basedOn w:val="DefaultParagraphFont"/>
    <w:uiPriority w:val="99"/>
    <w:unhideWhenUsed/>
    <w:rsid w:val="00CF76EA"/>
    <w:rPr>
      <w:vertAlign w:val="superscript"/>
    </w:rPr>
  </w:style>
  <w:style w:type="character" w:customStyle="1" w:styleId="Heading1Char">
    <w:name w:val="Heading 1 Char"/>
    <w:basedOn w:val="DefaultParagraphFont"/>
    <w:link w:val="Heading1"/>
    <w:uiPriority w:val="9"/>
    <w:rsid w:val="005F3BC0"/>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0F2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316157">
      <w:bodyDiv w:val="1"/>
      <w:marLeft w:val="0"/>
      <w:marRight w:val="0"/>
      <w:marTop w:val="0"/>
      <w:marBottom w:val="0"/>
      <w:divBdr>
        <w:top w:val="none" w:sz="0" w:space="0" w:color="auto"/>
        <w:left w:val="none" w:sz="0" w:space="0" w:color="auto"/>
        <w:bottom w:val="none" w:sz="0" w:space="0" w:color="auto"/>
        <w:right w:val="none" w:sz="0" w:space="0" w:color="auto"/>
      </w:divBdr>
    </w:div>
    <w:div w:id="928730470">
      <w:bodyDiv w:val="1"/>
      <w:marLeft w:val="0"/>
      <w:marRight w:val="0"/>
      <w:marTop w:val="0"/>
      <w:marBottom w:val="0"/>
      <w:divBdr>
        <w:top w:val="none" w:sz="0" w:space="0" w:color="auto"/>
        <w:left w:val="none" w:sz="0" w:space="0" w:color="auto"/>
        <w:bottom w:val="none" w:sz="0" w:space="0" w:color="auto"/>
        <w:right w:val="none" w:sz="0" w:space="0" w:color="auto"/>
      </w:divBdr>
    </w:div>
    <w:div w:id="981616779">
      <w:bodyDiv w:val="1"/>
      <w:marLeft w:val="0"/>
      <w:marRight w:val="0"/>
      <w:marTop w:val="0"/>
      <w:marBottom w:val="0"/>
      <w:divBdr>
        <w:top w:val="none" w:sz="0" w:space="0" w:color="auto"/>
        <w:left w:val="none" w:sz="0" w:space="0" w:color="auto"/>
        <w:bottom w:val="none" w:sz="0" w:space="0" w:color="auto"/>
        <w:right w:val="none" w:sz="0" w:space="0" w:color="auto"/>
      </w:divBdr>
    </w:div>
    <w:div w:id="212788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2023</Year>
    <Judgment_x0020_Date xmlns="17a0f4bd-1162-49ac-b85f-dfe96a90bc01">2023-07-04T18:30:00+00:00</Judgment_x0020_Date>
  </documentManagement>
</p:properties>
</file>

<file path=customXml/itemProps1.xml><?xml version="1.0" encoding="utf-8"?>
<ds:datastoreItem xmlns:ds="http://schemas.openxmlformats.org/officeDocument/2006/customXml" ds:itemID="{2BE752AB-8C9E-43E0-A32F-BAFADE067413}"/>
</file>

<file path=customXml/itemProps2.xml><?xml version="1.0" encoding="utf-8"?>
<ds:datastoreItem xmlns:ds="http://schemas.openxmlformats.org/officeDocument/2006/customXml" ds:itemID="{73803DE2-1013-417B-8D0F-763AE1FB40EE}"/>
</file>

<file path=customXml/itemProps3.xml><?xml version="1.0" encoding="utf-8"?>
<ds:datastoreItem xmlns:ds="http://schemas.openxmlformats.org/officeDocument/2006/customXml" ds:itemID="{3B961F1B-510D-40AE-8E46-DDF7D2BF12E3}"/>
</file>

<file path=customXml/itemProps4.xml><?xml version="1.0" encoding="utf-8"?>
<ds:datastoreItem xmlns:ds="http://schemas.openxmlformats.org/officeDocument/2006/customXml" ds:itemID="{07DAA14E-D55D-46BA-A222-A42BFD679C20}"/>
</file>

<file path=docProps/app.xml><?xml version="1.0" encoding="utf-8"?>
<Properties xmlns="http://schemas.openxmlformats.org/officeDocument/2006/extended-properties" xmlns:vt="http://schemas.openxmlformats.org/officeDocument/2006/docPropsVTypes">
  <Template>Normal</Template>
  <TotalTime>274</TotalTime>
  <Pages>7</Pages>
  <Words>1637</Words>
  <Characters>9333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Panduleni v S  (CC 10 - 2017) [2023] NAHCMD 379 ( 5 July 2023)</dc:title>
  <dc:subject/>
  <dc:creator>vsem</dc:creator>
  <cp:keywords/>
  <dc:description/>
  <cp:lastModifiedBy>Emilia Mulunga</cp:lastModifiedBy>
  <cp:revision>4</cp:revision>
  <cp:lastPrinted>2023-07-05T07:59:00Z</cp:lastPrinted>
  <dcterms:created xsi:type="dcterms:W3CDTF">2023-07-05T06:37:00Z</dcterms:created>
  <dcterms:modified xsi:type="dcterms:W3CDTF">2023-07-05T14:05:00Z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