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D10" w:rsidRPr="00892556" w:rsidRDefault="00184D10" w:rsidP="00184D10">
      <w:pPr>
        <w:spacing w:after="0" w:line="240" w:lineRule="auto"/>
        <w:jc w:val="center"/>
        <w:rPr>
          <w:rFonts w:ascii="Arial" w:eastAsia="Times New Roman" w:hAnsi="Arial" w:cs="Arial"/>
          <w:sz w:val="24"/>
          <w:szCs w:val="24"/>
          <w:lang w:val="en-GB"/>
        </w:rPr>
      </w:pPr>
    </w:p>
    <w:p w:rsidR="00184D10" w:rsidRPr="00892556" w:rsidRDefault="00184D10" w:rsidP="00184D10">
      <w:pPr>
        <w:spacing w:after="0" w:line="240" w:lineRule="auto"/>
        <w:jc w:val="center"/>
        <w:rPr>
          <w:rFonts w:ascii="Arial" w:eastAsia="Times New Roman" w:hAnsi="Arial" w:cs="Arial"/>
          <w:b/>
          <w:sz w:val="24"/>
          <w:szCs w:val="24"/>
          <w:lang w:val="en-GB"/>
        </w:rPr>
      </w:pPr>
      <w:r w:rsidRPr="00892556">
        <w:rPr>
          <w:rFonts w:ascii="Arial" w:eastAsia="Times New Roman" w:hAnsi="Arial" w:cs="Arial"/>
          <w:b/>
          <w:sz w:val="24"/>
          <w:szCs w:val="24"/>
          <w:lang w:val="en-GB"/>
        </w:rPr>
        <w:t>REPUBLIC OF NAMIBIA</w:t>
      </w:r>
    </w:p>
    <w:p w:rsidR="00184D10" w:rsidRPr="00892556" w:rsidRDefault="00184D10" w:rsidP="00184D10">
      <w:pPr>
        <w:spacing w:after="0" w:line="240" w:lineRule="auto"/>
        <w:jc w:val="center"/>
        <w:rPr>
          <w:rFonts w:ascii="Arial" w:eastAsia="Times New Roman" w:hAnsi="Arial" w:cs="Arial"/>
          <w:sz w:val="24"/>
          <w:szCs w:val="24"/>
          <w:lang w:val="en-GB"/>
        </w:rPr>
      </w:pPr>
      <w:r w:rsidRPr="00892556">
        <w:rPr>
          <w:rFonts w:ascii="Arial" w:eastAsia="Times New Roman" w:hAnsi="Arial" w:cs="Arial"/>
          <w:noProof/>
          <w:sz w:val="24"/>
          <w:szCs w:val="24"/>
          <w:lang w:val="en-GB" w:eastAsia="en-GB"/>
        </w:rPr>
        <w:drawing>
          <wp:inline distT="0" distB="0" distL="0" distR="0" wp14:anchorId="187DF111" wp14:editId="3295E35B">
            <wp:extent cx="809625" cy="819150"/>
            <wp:effectExtent l="0" t="0" r="9525" b="0"/>
            <wp:docPr id="2" name="Picture 2"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p w:rsidR="00184D10" w:rsidRPr="00892556" w:rsidRDefault="00184D10" w:rsidP="00184D10">
      <w:pPr>
        <w:spacing w:after="0" w:line="240" w:lineRule="auto"/>
        <w:jc w:val="center"/>
        <w:rPr>
          <w:rFonts w:ascii="Arial" w:eastAsia="Times New Roman" w:hAnsi="Arial" w:cs="Arial"/>
          <w:sz w:val="24"/>
          <w:szCs w:val="24"/>
          <w:lang w:val="en-GB"/>
        </w:rPr>
      </w:pPr>
    </w:p>
    <w:p w:rsidR="00184D10" w:rsidRPr="00892556" w:rsidRDefault="00184D10" w:rsidP="00184D10">
      <w:pPr>
        <w:spacing w:after="0" w:line="360" w:lineRule="auto"/>
        <w:jc w:val="center"/>
        <w:rPr>
          <w:rFonts w:ascii="Arial" w:eastAsia="Times New Roman" w:hAnsi="Arial" w:cs="Arial"/>
          <w:b/>
          <w:sz w:val="24"/>
          <w:szCs w:val="24"/>
          <w:lang w:val="en-GB"/>
        </w:rPr>
      </w:pPr>
      <w:r w:rsidRPr="00892556">
        <w:rPr>
          <w:rFonts w:ascii="Arial" w:eastAsia="Times New Roman" w:hAnsi="Arial" w:cs="Arial"/>
          <w:b/>
          <w:sz w:val="24"/>
          <w:szCs w:val="24"/>
          <w:lang w:val="en-GB"/>
        </w:rPr>
        <w:t>IN THE HIGH COURT OF NAMIBIA, MAIN DIVISION, WINDHOEK</w:t>
      </w:r>
    </w:p>
    <w:p w:rsidR="000C3C29" w:rsidRPr="00892556" w:rsidRDefault="000C3C29" w:rsidP="00184D10">
      <w:pPr>
        <w:spacing w:after="0" w:line="360" w:lineRule="auto"/>
        <w:jc w:val="center"/>
        <w:rPr>
          <w:rFonts w:ascii="Arial" w:eastAsia="Times New Roman" w:hAnsi="Arial" w:cs="Arial"/>
          <w:b/>
          <w:sz w:val="24"/>
          <w:szCs w:val="24"/>
          <w:lang w:val="en-GB"/>
        </w:rPr>
      </w:pPr>
    </w:p>
    <w:p w:rsidR="00184D10" w:rsidRPr="00892556" w:rsidRDefault="00184D10" w:rsidP="00184D10">
      <w:pPr>
        <w:spacing w:after="0" w:line="360" w:lineRule="auto"/>
        <w:jc w:val="center"/>
        <w:rPr>
          <w:rFonts w:ascii="Arial" w:eastAsia="Times New Roman" w:hAnsi="Arial" w:cs="Arial"/>
          <w:b/>
          <w:sz w:val="24"/>
          <w:szCs w:val="24"/>
          <w:lang w:val="en-GB"/>
        </w:rPr>
      </w:pPr>
      <w:r w:rsidRPr="00892556">
        <w:rPr>
          <w:rFonts w:ascii="Arial" w:eastAsia="Times New Roman" w:hAnsi="Arial" w:cs="Arial"/>
          <w:b/>
          <w:sz w:val="24"/>
          <w:szCs w:val="24"/>
          <w:lang w:val="en-GB"/>
        </w:rPr>
        <w:t>REVIEW JUDGMENT</w:t>
      </w:r>
    </w:p>
    <w:p w:rsidR="000C3C29" w:rsidRPr="00892556" w:rsidRDefault="000C3C29" w:rsidP="00184D10">
      <w:pPr>
        <w:spacing w:after="0" w:line="360" w:lineRule="auto"/>
        <w:jc w:val="center"/>
        <w:rPr>
          <w:rFonts w:ascii="Arial" w:eastAsia="Times New Roman" w:hAnsi="Arial" w:cs="Arial"/>
          <w:b/>
          <w:sz w:val="24"/>
          <w:szCs w:val="24"/>
          <w:lang w:val="en-GB"/>
        </w:rPr>
      </w:pPr>
    </w:p>
    <w:tbl>
      <w:tblPr>
        <w:tblStyle w:val="TableGrid"/>
        <w:tblW w:w="9630" w:type="dxa"/>
        <w:tblInd w:w="-275" w:type="dxa"/>
        <w:tblLook w:val="04A0" w:firstRow="1" w:lastRow="0" w:firstColumn="1" w:lastColumn="0" w:noHBand="0" w:noVBand="1"/>
      </w:tblPr>
      <w:tblGrid>
        <w:gridCol w:w="4770"/>
        <w:gridCol w:w="627"/>
        <w:gridCol w:w="4233"/>
      </w:tblGrid>
      <w:tr w:rsidR="00184D10" w:rsidRPr="00892556" w:rsidTr="001A058D">
        <w:trPr>
          <w:trHeight w:val="744"/>
        </w:trPr>
        <w:tc>
          <w:tcPr>
            <w:tcW w:w="5397" w:type="dxa"/>
            <w:gridSpan w:val="2"/>
          </w:tcPr>
          <w:p w:rsidR="00184D10" w:rsidRPr="00892556" w:rsidRDefault="00184D10" w:rsidP="002573BB">
            <w:pPr>
              <w:spacing w:line="360" w:lineRule="auto"/>
              <w:jc w:val="both"/>
              <w:rPr>
                <w:rFonts w:ascii="Arial" w:hAnsi="Arial" w:cs="Arial"/>
                <w:sz w:val="24"/>
                <w:szCs w:val="24"/>
              </w:rPr>
            </w:pPr>
            <w:r w:rsidRPr="00892556">
              <w:rPr>
                <w:rFonts w:ascii="Arial" w:hAnsi="Arial" w:cs="Arial"/>
                <w:b/>
                <w:sz w:val="24"/>
                <w:szCs w:val="24"/>
              </w:rPr>
              <w:t>Case Title:</w:t>
            </w:r>
          </w:p>
          <w:p w:rsidR="00184D10" w:rsidRPr="00892556" w:rsidRDefault="00184D10" w:rsidP="00F926EB">
            <w:pPr>
              <w:spacing w:line="360" w:lineRule="auto"/>
              <w:jc w:val="both"/>
              <w:rPr>
                <w:rFonts w:ascii="Arial" w:hAnsi="Arial" w:cs="Arial"/>
                <w:sz w:val="24"/>
                <w:szCs w:val="24"/>
              </w:rPr>
            </w:pPr>
            <w:r w:rsidRPr="00892556">
              <w:rPr>
                <w:rFonts w:ascii="Arial" w:hAnsi="Arial" w:cs="Arial"/>
                <w:sz w:val="24"/>
                <w:szCs w:val="24"/>
              </w:rPr>
              <w:t xml:space="preserve">S v </w:t>
            </w:r>
            <w:r w:rsidR="00F926EB" w:rsidRPr="00892556">
              <w:rPr>
                <w:rFonts w:ascii="Arial" w:hAnsi="Arial" w:cs="Arial"/>
                <w:sz w:val="24"/>
                <w:szCs w:val="24"/>
              </w:rPr>
              <w:t xml:space="preserve"> Rodney </w:t>
            </w:r>
            <w:proofErr w:type="spellStart"/>
            <w:r w:rsidR="00F926EB" w:rsidRPr="00892556">
              <w:rPr>
                <w:rFonts w:ascii="Arial" w:hAnsi="Arial" w:cs="Arial"/>
                <w:sz w:val="24"/>
                <w:szCs w:val="24"/>
              </w:rPr>
              <w:t>Kahuika</w:t>
            </w:r>
            <w:proofErr w:type="spellEnd"/>
          </w:p>
        </w:tc>
        <w:tc>
          <w:tcPr>
            <w:tcW w:w="4233" w:type="dxa"/>
          </w:tcPr>
          <w:p w:rsidR="00184D10" w:rsidRPr="00892556" w:rsidRDefault="00184D10" w:rsidP="002573BB">
            <w:pPr>
              <w:spacing w:line="360" w:lineRule="auto"/>
              <w:jc w:val="both"/>
              <w:rPr>
                <w:rFonts w:ascii="Arial" w:hAnsi="Arial" w:cs="Arial"/>
                <w:b/>
                <w:sz w:val="24"/>
                <w:szCs w:val="24"/>
              </w:rPr>
            </w:pPr>
            <w:r w:rsidRPr="00892556">
              <w:rPr>
                <w:rFonts w:ascii="Arial" w:hAnsi="Arial" w:cs="Arial"/>
                <w:b/>
                <w:sz w:val="24"/>
                <w:szCs w:val="24"/>
              </w:rPr>
              <w:t>Case No:</w:t>
            </w:r>
          </w:p>
          <w:p w:rsidR="00184D10" w:rsidRPr="00892556" w:rsidRDefault="0064665E" w:rsidP="00A72996">
            <w:pPr>
              <w:spacing w:line="360" w:lineRule="auto"/>
              <w:jc w:val="both"/>
              <w:rPr>
                <w:rFonts w:ascii="Arial" w:hAnsi="Arial" w:cs="Arial"/>
                <w:sz w:val="24"/>
                <w:szCs w:val="24"/>
              </w:rPr>
            </w:pPr>
            <w:r w:rsidRPr="00892556">
              <w:rPr>
                <w:rFonts w:ascii="Arial" w:hAnsi="Arial" w:cs="Arial"/>
                <w:sz w:val="24"/>
                <w:szCs w:val="24"/>
              </w:rPr>
              <w:t xml:space="preserve">CR </w:t>
            </w:r>
            <w:r w:rsidR="00D63BDD">
              <w:rPr>
                <w:rFonts w:ascii="Arial" w:hAnsi="Arial" w:cs="Arial"/>
                <w:sz w:val="24"/>
                <w:szCs w:val="24"/>
              </w:rPr>
              <w:t>75/2023</w:t>
            </w:r>
          </w:p>
        </w:tc>
      </w:tr>
      <w:tr w:rsidR="00184D10" w:rsidRPr="00892556" w:rsidTr="001A058D">
        <w:trPr>
          <w:trHeight w:val="844"/>
        </w:trPr>
        <w:tc>
          <w:tcPr>
            <w:tcW w:w="5397" w:type="dxa"/>
            <w:gridSpan w:val="2"/>
          </w:tcPr>
          <w:p w:rsidR="00184D10" w:rsidRPr="00892556" w:rsidRDefault="00184D10" w:rsidP="002573BB">
            <w:pPr>
              <w:spacing w:line="360" w:lineRule="auto"/>
              <w:jc w:val="both"/>
              <w:rPr>
                <w:rFonts w:ascii="Arial" w:hAnsi="Arial" w:cs="Arial"/>
                <w:b/>
                <w:sz w:val="24"/>
                <w:szCs w:val="24"/>
              </w:rPr>
            </w:pPr>
            <w:r w:rsidRPr="00892556">
              <w:rPr>
                <w:rFonts w:ascii="Arial" w:hAnsi="Arial" w:cs="Arial"/>
                <w:b/>
                <w:sz w:val="24"/>
                <w:szCs w:val="24"/>
              </w:rPr>
              <w:t>High Court MD Review No:</w:t>
            </w:r>
          </w:p>
          <w:p w:rsidR="00184D10" w:rsidRPr="00892556" w:rsidRDefault="00F20951" w:rsidP="00967269">
            <w:pPr>
              <w:spacing w:line="360" w:lineRule="auto"/>
              <w:jc w:val="both"/>
              <w:rPr>
                <w:rFonts w:ascii="Arial" w:hAnsi="Arial" w:cs="Arial"/>
                <w:sz w:val="24"/>
                <w:szCs w:val="24"/>
              </w:rPr>
            </w:pPr>
            <w:r>
              <w:rPr>
                <w:rFonts w:ascii="Arial" w:hAnsi="Arial" w:cs="Arial"/>
                <w:sz w:val="24"/>
                <w:szCs w:val="24"/>
              </w:rPr>
              <w:t>263/2023</w:t>
            </w:r>
          </w:p>
        </w:tc>
        <w:tc>
          <w:tcPr>
            <w:tcW w:w="4233" w:type="dxa"/>
          </w:tcPr>
          <w:p w:rsidR="00184D10" w:rsidRPr="00892556" w:rsidRDefault="00184D10" w:rsidP="002573BB">
            <w:pPr>
              <w:spacing w:line="360" w:lineRule="auto"/>
              <w:jc w:val="both"/>
              <w:rPr>
                <w:rFonts w:ascii="Arial" w:hAnsi="Arial" w:cs="Arial"/>
                <w:sz w:val="24"/>
                <w:szCs w:val="24"/>
              </w:rPr>
            </w:pPr>
            <w:r w:rsidRPr="00892556">
              <w:rPr>
                <w:rFonts w:ascii="Arial" w:hAnsi="Arial" w:cs="Arial"/>
                <w:b/>
                <w:sz w:val="24"/>
                <w:szCs w:val="24"/>
              </w:rPr>
              <w:t>Division of Court:</w:t>
            </w:r>
          </w:p>
          <w:p w:rsidR="00184D10" w:rsidRPr="00892556" w:rsidRDefault="00184D10" w:rsidP="002573BB">
            <w:pPr>
              <w:spacing w:line="360" w:lineRule="auto"/>
              <w:jc w:val="both"/>
              <w:rPr>
                <w:rFonts w:ascii="Arial" w:hAnsi="Arial" w:cs="Arial"/>
                <w:sz w:val="24"/>
                <w:szCs w:val="24"/>
              </w:rPr>
            </w:pPr>
            <w:r w:rsidRPr="00892556">
              <w:rPr>
                <w:rFonts w:ascii="Arial" w:hAnsi="Arial" w:cs="Arial"/>
                <w:sz w:val="24"/>
                <w:szCs w:val="24"/>
              </w:rPr>
              <w:t>Main Division</w:t>
            </w:r>
          </w:p>
        </w:tc>
      </w:tr>
      <w:tr w:rsidR="00184D10" w:rsidRPr="00892556" w:rsidTr="001A058D">
        <w:trPr>
          <w:trHeight w:val="1187"/>
        </w:trPr>
        <w:tc>
          <w:tcPr>
            <w:tcW w:w="5397" w:type="dxa"/>
            <w:gridSpan w:val="2"/>
          </w:tcPr>
          <w:p w:rsidR="00184D10" w:rsidRPr="00892556" w:rsidRDefault="00184D10" w:rsidP="002573BB">
            <w:pPr>
              <w:spacing w:line="360" w:lineRule="auto"/>
              <w:jc w:val="both"/>
              <w:rPr>
                <w:rFonts w:ascii="Arial" w:hAnsi="Arial" w:cs="Arial"/>
                <w:b/>
                <w:sz w:val="24"/>
                <w:szCs w:val="24"/>
              </w:rPr>
            </w:pPr>
            <w:r w:rsidRPr="00892556">
              <w:rPr>
                <w:rFonts w:ascii="Arial" w:hAnsi="Arial" w:cs="Arial"/>
                <w:b/>
                <w:sz w:val="24"/>
                <w:szCs w:val="24"/>
              </w:rPr>
              <w:t>Heard before:</w:t>
            </w:r>
          </w:p>
          <w:p w:rsidR="00967269" w:rsidRPr="00892556" w:rsidRDefault="00967269" w:rsidP="002573BB">
            <w:pPr>
              <w:spacing w:line="360" w:lineRule="auto"/>
              <w:jc w:val="both"/>
              <w:rPr>
                <w:rFonts w:ascii="Arial" w:hAnsi="Arial" w:cs="Arial"/>
                <w:sz w:val="24"/>
                <w:szCs w:val="24"/>
              </w:rPr>
            </w:pPr>
            <w:proofErr w:type="spellStart"/>
            <w:r w:rsidRPr="00892556">
              <w:rPr>
                <w:rFonts w:ascii="Arial" w:hAnsi="Arial" w:cs="Arial"/>
                <w:sz w:val="24"/>
                <w:szCs w:val="24"/>
              </w:rPr>
              <w:t>Claasen</w:t>
            </w:r>
            <w:proofErr w:type="spellEnd"/>
            <w:r w:rsidRPr="00892556">
              <w:rPr>
                <w:rFonts w:ascii="Arial" w:hAnsi="Arial" w:cs="Arial"/>
                <w:sz w:val="24"/>
                <w:szCs w:val="24"/>
              </w:rPr>
              <w:t xml:space="preserve">  J et</w:t>
            </w:r>
          </w:p>
          <w:p w:rsidR="00184D10" w:rsidRPr="00892556" w:rsidRDefault="00B31626" w:rsidP="002573BB">
            <w:pPr>
              <w:spacing w:line="360" w:lineRule="auto"/>
              <w:jc w:val="both"/>
              <w:rPr>
                <w:rFonts w:ascii="Arial" w:hAnsi="Arial" w:cs="Arial"/>
                <w:i/>
                <w:sz w:val="24"/>
                <w:szCs w:val="24"/>
              </w:rPr>
            </w:pPr>
            <w:r w:rsidRPr="00892556">
              <w:rPr>
                <w:rFonts w:ascii="Arial" w:hAnsi="Arial" w:cs="Arial"/>
                <w:sz w:val="24"/>
                <w:szCs w:val="24"/>
              </w:rPr>
              <w:t>Christiaan</w:t>
            </w:r>
            <w:r w:rsidR="00967269" w:rsidRPr="00892556">
              <w:rPr>
                <w:rFonts w:ascii="Arial" w:hAnsi="Arial" w:cs="Arial"/>
                <w:sz w:val="24"/>
                <w:szCs w:val="24"/>
              </w:rPr>
              <w:t xml:space="preserve"> AJ</w:t>
            </w:r>
          </w:p>
          <w:p w:rsidR="00184D10" w:rsidRPr="00892556" w:rsidRDefault="00184D10" w:rsidP="002573BB">
            <w:pPr>
              <w:spacing w:line="360" w:lineRule="auto"/>
              <w:jc w:val="both"/>
              <w:rPr>
                <w:rFonts w:ascii="Arial" w:hAnsi="Arial" w:cs="Arial"/>
                <w:sz w:val="24"/>
                <w:szCs w:val="24"/>
              </w:rPr>
            </w:pPr>
          </w:p>
        </w:tc>
        <w:tc>
          <w:tcPr>
            <w:tcW w:w="4233" w:type="dxa"/>
          </w:tcPr>
          <w:p w:rsidR="00184D10" w:rsidRPr="00892556" w:rsidRDefault="00184D10" w:rsidP="002573BB">
            <w:pPr>
              <w:spacing w:line="360" w:lineRule="auto"/>
              <w:jc w:val="both"/>
              <w:rPr>
                <w:rFonts w:ascii="Arial" w:hAnsi="Arial" w:cs="Arial"/>
                <w:b/>
                <w:sz w:val="24"/>
                <w:szCs w:val="24"/>
              </w:rPr>
            </w:pPr>
            <w:r w:rsidRPr="00892556">
              <w:rPr>
                <w:rFonts w:ascii="Arial" w:hAnsi="Arial" w:cs="Arial"/>
                <w:b/>
                <w:sz w:val="24"/>
                <w:szCs w:val="24"/>
              </w:rPr>
              <w:t>Delivered on:</w:t>
            </w:r>
          </w:p>
          <w:p w:rsidR="00184D10" w:rsidRPr="00892556" w:rsidRDefault="00D63BDD" w:rsidP="00967269">
            <w:pPr>
              <w:spacing w:line="360" w:lineRule="auto"/>
              <w:jc w:val="both"/>
              <w:rPr>
                <w:rFonts w:ascii="Arial" w:hAnsi="Arial" w:cs="Arial"/>
                <w:sz w:val="24"/>
                <w:szCs w:val="24"/>
              </w:rPr>
            </w:pPr>
            <w:r>
              <w:rPr>
                <w:rFonts w:ascii="Arial" w:hAnsi="Arial" w:cs="Arial"/>
                <w:sz w:val="24"/>
                <w:szCs w:val="24"/>
              </w:rPr>
              <w:t>07 July</w:t>
            </w:r>
            <w:r w:rsidR="00967269" w:rsidRPr="00892556">
              <w:rPr>
                <w:rFonts w:ascii="Arial" w:hAnsi="Arial" w:cs="Arial"/>
                <w:sz w:val="24"/>
                <w:szCs w:val="24"/>
              </w:rPr>
              <w:t xml:space="preserve"> </w:t>
            </w:r>
            <w:r w:rsidR="00184D10" w:rsidRPr="00892556">
              <w:rPr>
                <w:rFonts w:ascii="Arial" w:hAnsi="Arial" w:cs="Arial"/>
                <w:sz w:val="24"/>
                <w:szCs w:val="24"/>
              </w:rPr>
              <w:t>2023</w:t>
            </w:r>
          </w:p>
        </w:tc>
      </w:tr>
      <w:tr w:rsidR="00184D10" w:rsidRPr="00892556" w:rsidTr="001A058D">
        <w:tc>
          <w:tcPr>
            <w:tcW w:w="9630" w:type="dxa"/>
            <w:gridSpan w:val="3"/>
          </w:tcPr>
          <w:p w:rsidR="00184D10" w:rsidRPr="00892556" w:rsidRDefault="00184D10" w:rsidP="002573BB">
            <w:pPr>
              <w:spacing w:line="360" w:lineRule="auto"/>
              <w:jc w:val="both"/>
              <w:rPr>
                <w:rFonts w:ascii="Arial" w:hAnsi="Arial" w:cs="Arial"/>
                <w:b/>
                <w:sz w:val="24"/>
                <w:szCs w:val="24"/>
              </w:rPr>
            </w:pPr>
          </w:p>
          <w:p w:rsidR="00184D10" w:rsidRPr="00892556" w:rsidRDefault="00184D10" w:rsidP="002573BB">
            <w:pPr>
              <w:spacing w:line="360" w:lineRule="auto"/>
              <w:jc w:val="both"/>
              <w:rPr>
                <w:rFonts w:ascii="Arial" w:hAnsi="Arial" w:cs="Arial"/>
                <w:sz w:val="24"/>
                <w:szCs w:val="24"/>
              </w:rPr>
            </w:pPr>
            <w:r w:rsidRPr="00892556">
              <w:rPr>
                <w:rFonts w:ascii="Arial" w:hAnsi="Arial" w:cs="Arial"/>
                <w:b/>
                <w:sz w:val="24"/>
                <w:szCs w:val="24"/>
              </w:rPr>
              <w:t xml:space="preserve">Neutral citation: </w:t>
            </w:r>
            <w:bookmarkStart w:id="0" w:name="_GoBack"/>
            <w:r w:rsidR="00945D91" w:rsidRPr="00945D91">
              <w:rPr>
                <w:rFonts w:ascii="Arial" w:hAnsi="Arial" w:cs="Arial"/>
                <w:i/>
                <w:sz w:val="24"/>
                <w:szCs w:val="24"/>
              </w:rPr>
              <w:t xml:space="preserve">S v </w:t>
            </w:r>
            <w:proofErr w:type="spellStart"/>
            <w:r w:rsidR="00945D91" w:rsidRPr="00945D91">
              <w:rPr>
                <w:rFonts w:ascii="Arial" w:hAnsi="Arial" w:cs="Arial"/>
                <w:i/>
                <w:sz w:val="24"/>
                <w:szCs w:val="24"/>
              </w:rPr>
              <w:t>Kahuika</w:t>
            </w:r>
            <w:proofErr w:type="spellEnd"/>
            <w:r w:rsidR="00945D91" w:rsidRPr="00892556">
              <w:rPr>
                <w:rFonts w:ascii="Arial" w:hAnsi="Arial" w:cs="Arial"/>
                <w:sz w:val="24"/>
                <w:szCs w:val="24"/>
              </w:rPr>
              <w:t xml:space="preserve"> </w:t>
            </w:r>
            <w:r w:rsidRPr="00892556">
              <w:rPr>
                <w:rFonts w:ascii="Arial" w:hAnsi="Arial" w:cs="Arial"/>
                <w:sz w:val="24"/>
                <w:szCs w:val="24"/>
              </w:rPr>
              <w:t>(CR</w:t>
            </w:r>
            <w:r w:rsidR="0064665E" w:rsidRPr="00892556">
              <w:rPr>
                <w:rFonts w:ascii="Arial" w:hAnsi="Arial" w:cs="Arial"/>
                <w:sz w:val="24"/>
                <w:szCs w:val="24"/>
              </w:rPr>
              <w:t xml:space="preserve"> </w:t>
            </w:r>
            <w:r w:rsidR="00D63BDD">
              <w:rPr>
                <w:rFonts w:ascii="Arial" w:hAnsi="Arial" w:cs="Arial"/>
                <w:sz w:val="24"/>
                <w:szCs w:val="24"/>
              </w:rPr>
              <w:t>75</w:t>
            </w:r>
            <w:r w:rsidRPr="00892556">
              <w:rPr>
                <w:rFonts w:ascii="Arial" w:hAnsi="Arial" w:cs="Arial"/>
                <w:sz w:val="24"/>
                <w:szCs w:val="24"/>
              </w:rPr>
              <w:t>/2023) [2023</w:t>
            </w:r>
            <w:r w:rsidR="000C3C29" w:rsidRPr="00892556">
              <w:rPr>
                <w:rFonts w:ascii="Arial" w:hAnsi="Arial" w:cs="Arial"/>
                <w:sz w:val="24"/>
                <w:szCs w:val="24"/>
              </w:rPr>
              <w:t>] NAHCMD</w:t>
            </w:r>
            <w:r w:rsidR="00D63BDD">
              <w:rPr>
                <w:rFonts w:ascii="Arial" w:hAnsi="Arial" w:cs="Arial"/>
                <w:sz w:val="24"/>
                <w:szCs w:val="24"/>
              </w:rPr>
              <w:t xml:space="preserve"> 385</w:t>
            </w:r>
            <w:r w:rsidR="000C3C29" w:rsidRPr="00892556">
              <w:rPr>
                <w:rFonts w:ascii="Arial" w:hAnsi="Arial" w:cs="Arial"/>
                <w:sz w:val="24"/>
                <w:szCs w:val="24"/>
              </w:rPr>
              <w:t xml:space="preserve"> (</w:t>
            </w:r>
            <w:r w:rsidR="00D63BDD">
              <w:rPr>
                <w:rFonts w:ascii="Arial" w:hAnsi="Arial" w:cs="Arial"/>
                <w:sz w:val="24"/>
                <w:szCs w:val="24"/>
              </w:rPr>
              <w:t>07 July</w:t>
            </w:r>
            <w:r w:rsidRPr="00892556">
              <w:rPr>
                <w:rFonts w:ascii="Arial" w:hAnsi="Arial" w:cs="Arial"/>
                <w:sz w:val="24"/>
                <w:szCs w:val="24"/>
              </w:rPr>
              <w:t>2023)</w:t>
            </w:r>
            <w:bookmarkEnd w:id="0"/>
          </w:p>
          <w:p w:rsidR="00184D10" w:rsidRPr="00892556" w:rsidRDefault="00184D10" w:rsidP="002573BB">
            <w:pPr>
              <w:spacing w:line="360" w:lineRule="auto"/>
              <w:jc w:val="both"/>
              <w:rPr>
                <w:rFonts w:ascii="Arial" w:hAnsi="Arial" w:cs="Arial"/>
                <w:b/>
                <w:sz w:val="24"/>
                <w:szCs w:val="24"/>
              </w:rPr>
            </w:pPr>
          </w:p>
        </w:tc>
      </w:tr>
      <w:tr w:rsidR="00184D10" w:rsidRPr="00892556" w:rsidTr="001A058D">
        <w:tc>
          <w:tcPr>
            <w:tcW w:w="9630" w:type="dxa"/>
            <w:gridSpan w:val="3"/>
          </w:tcPr>
          <w:p w:rsidR="00184D10" w:rsidRPr="00892556" w:rsidRDefault="00184D10" w:rsidP="002573BB">
            <w:pPr>
              <w:spacing w:line="360" w:lineRule="auto"/>
              <w:jc w:val="both"/>
              <w:rPr>
                <w:rFonts w:ascii="Arial" w:hAnsi="Arial" w:cs="Arial"/>
                <w:b/>
                <w:sz w:val="24"/>
                <w:szCs w:val="24"/>
              </w:rPr>
            </w:pPr>
            <w:r w:rsidRPr="00892556">
              <w:rPr>
                <w:rFonts w:ascii="Arial" w:hAnsi="Arial" w:cs="Arial"/>
                <w:b/>
                <w:sz w:val="24"/>
                <w:szCs w:val="24"/>
              </w:rPr>
              <w:t>The order:</w:t>
            </w:r>
          </w:p>
          <w:p w:rsidR="00F926EB" w:rsidRPr="00892556" w:rsidRDefault="00881D1F" w:rsidP="00967269">
            <w:pPr>
              <w:pStyle w:val="ListParagraph"/>
              <w:numPr>
                <w:ilvl w:val="0"/>
                <w:numId w:val="5"/>
              </w:numPr>
              <w:spacing w:before="240" w:after="3" w:line="360" w:lineRule="auto"/>
              <w:ind w:left="342" w:hanging="270"/>
              <w:jc w:val="both"/>
              <w:rPr>
                <w:rFonts w:ascii="Arial" w:hAnsi="Arial" w:cs="Arial"/>
                <w:sz w:val="24"/>
                <w:szCs w:val="24"/>
              </w:rPr>
            </w:pPr>
            <w:r>
              <w:rPr>
                <w:rFonts w:ascii="Arial" w:hAnsi="Arial" w:cs="Arial"/>
                <w:sz w:val="24"/>
                <w:szCs w:val="24"/>
              </w:rPr>
              <w:t>The discharge in terms of s 174 in respect of count 1 and count 2 is confirmed.</w:t>
            </w:r>
          </w:p>
          <w:p w:rsidR="00184D10" w:rsidRPr="00892556" w:rsidRDefault="00F926EB" w:rsidP="00967269">
            <w:pPr>
              <w:pStyle w:val="ListParagraph"/>
              <w:numPr>
                <w:ilvl w:val="0"/>
                <w:numId w:val="5"/>
              </w:numPr>
              <w:spacing w:before="240" w:after="3" w:line="360" w:lineRule="auto"/>
              <w:ind w:left="342" w:hanging="270"/>
              <w:jc w:val="both"/>
              <w:rPr>
                <w:rFonts w:ascii="Arial" w:hAnsi="Arial" w:cs="Arial"/>
                <w:sz w:val="24"/>
                <w:szCs w:val="24"/>
              </w:rPr>
            </w:pPr>
            <w:r w:rsidRPr="00892556">
              <w:rPr>
                <w:rFonts w:ascii="Arial" w:hAnsi="Arial" w:cs="Arial"/>
                <w:sz w:val="24"/>
                <w:szCs w:val="24"/>
              </w:rPr>
              <w:t xml:space="preserve">The </w:t>
            </w:r>
            <w:r w:rsidR="00881D1F">
              <w:rPr>
                <w:rFonts w:ascii="Arial" w:hAnsi="Arial" w:cs="Arial"/>
                <w:sz w:val="24"/>
                <w:szCs w:val="24"/>
              </w:rPr>
              <w:t xml:space="preserve">conviction on count 3 is confirmed but the sentence on count 3 is set aside. The court </w:t>
            </w:r>
            <w:r w:rsidR="00881D1F" w:rsidRPr="00945D91">
              <w:rPr>
                <w:rFonts w:ascii="Arial" w:hAnsi="Arial" w:cs="Arial"/>
                <w:i/>
                <w:sz w:val="24"/>
                <w:szCs w:val="24"/>
              </w:rPr>
              <w:t>a quo</w:t>
            </w:r>
            <w:r w:rsidR="00881D1F">
              <w:rPr>
                <w:rFonts w:ascii="Arial" w:hAnsi="Arial" w:cs="Arial"/>
                <w:sz w:val="24"/>
                <w:szCs w:val="24"/>
              </w:rPr>
              <w:t xml:space="preserve"> is to consider the period of imprisonment that the accused has served on </w:t>
            </w:r>
            <w:r w:rsidR="00945D91">
              <w:rPr>
                <w:rFonts w:ascii="Arial" w:hAnsi="Arial" w:cs="Arial"/>
                <w:sz w:val="24"/>
                <w:szCs w:val="24"/>
              </w:rPr>
              <w:t>count 3</w:t>
            </w:r>
            <w:r w:rsidR="00881D1F">
              <w:rPr>
                <w:rFonts w:ascii="Arial" w:hAnsi="Arial" w:cs="Arial"/>
                <w:sz w:val="24"/>
                <w:szCs w:val="24"/>
              </w:rPr>
              <w:t xml:space="preserve">, in considering an appropriate sentence.  </w:t>
            </w:r>
          </w:p>
          <w:p w:rsidR="008B3E53" w:rsidRPr="00892556" w:rsidRDefault="00F926EB" w:rsidP="008A1337">
            <w:pPr>
              <w:pStyle w:val="ListParagraph"/>
              <w:numPr>
                <w:ilvl w:val="0"/>
                <w:numId w:val="5"/>
              </w:numPr>
              <w:spacing w:before="240" w:after="3" w:line="360" w:lineRule="auto"/>
              <w:ind w:left="342" w:hanging="270"/>
              <w:jc w:val="both"/>
              <w:rPr>
                <w:rFonts w:ascii="Arial" w:hAnsi="Arial" w:cs="Arial"/>
                <w:sz w:val="24"/>
                <w:szCs w:val="24"/>
              </w:rPr>
            </w:pPr>
            <w:r w:rsidRPr="00892556">
              <w:rPr>
                <w:rFonts w:ascii="Arial" w:hAnsi="Arial" w:cs="Arial"/>
                <w:sz w:val="24"/>
                <w:szCs w:val="24"/>
              </w:rPr>
              <w:t xml:space="preserve">The </w:t>
            </w:r>
            <w:r w:rsidR="00881D1F">
              <w:rPr>
                <w:rFonts w:ascii="Arial" w:hAnsi="Arial" w:cs="Arial"/>
                <w:sz w:val="24"/>
                <w:szCs w:val="24"/>
              </w:rPr>
              <w:t xml:space="preserve">conviction and sentence on count 4 is set aside. The matter is remitted to the court </w:t>
            </w:r>
            <w:r w:rsidR="00881D1F" w:rsidRPr="00945D91">
              <w:rPr>
                <w:rFonts w:ascii="Arial" w:hAnsi="Arial" w:cs="Arial"/>
                <w:i/>
                <w:sz w:val="24"/>
                <w:szCs w:val="24"/>
              </w:rPr>
              <w:t>a quo</w:t>
            </w:r>
            <w:r w:rsidR="00881D1F">
              <w:rPr>
                <w:rFonts w:ascii="Arial" w:hAnsi="Arial" w:cs="Arial"/>
                <w:sz w:val="24"/>
                <w:szCs w:val="24"/>
              </w:rPr>
              <w:t xml:space="preserve"> for the magistrate to start afresh from the stage of plea</w:t>
            </w:r>
            <w:r w:rsidR="007C4CBE">
              <w:rPr>
                <w:rFonts w:ascii="Arial" w:hAnsi="Arial" w:cs="Arial"/>
                <w:sz w:val="24"/>
                <w:szCs w:val="24"/>
              </w:rPr>
              <w:t>. In the</w:t>
            </w:r>
            <w:r w:rsidR="00881D1F">
              <w:rPr>
                <w:rFonts w:ascii="Arial" w:hAnsi="Arial" w:cs="Arial"/>
                <w:sz w:val="24"/>
                <w:szCs w:val="24"/>
              </w:rPr>
              <w:t xml:space="preserve"> event of a conviction, that the sentence served on this count,</w:t>
            </w:r>
            <w:r w:rsidR="00945D91">
              <w:rPr>
                <w:rFonts w:ascii="Arial" w:hAnsi="Arial" w:cs="Arial"/>
                <w:sz w:val="24"/>
                <w:szCs w:val="24"/>
              </w:rPr>
              <w:t xml:space="preserve"> </w:t>
            </w:r>
            <w:r w:rsidR="00881D1F">
              <w:rPr>
                <w:rFonts w:ascii="Arial" w:hAnsi="Arial" w:cs="Arial"/>
                <w:sz w:val="24"/>
                <w:szCs w:val="24"/>
              </w:rPr>
              <w:t xml:space="preserve">(if any) </w:t>
            </w:r>
            <w:r w:rsidR="008A1337">
              <w:rPr>
                <w:rFonts w:ascii="Arial" w:hAnsi="Arial" w:cs="Arial"/>
                <w:sz w:val="24"/>
                <w:szCs w:val="24"/>
              </w:rPr>
              <w:t xml:space="preserve">is </w:t>
            </w:r>
            <w:r w:rsidR="00881D1F">
              <w:rPr>
                <w:rFonts w:ascii="Arial" w:hAnsi="Arial" w:cs="Arial"/>
                <w:sz w:val="24"/>
                <w:szCs w:val="24"/>
              </w:rPr>
              <w:t>be taken into consideration.</w:t>
            </w:r>
          </w:p>
        </w:tc>
      </w:tr>
      <w:tr w:rsidR="00184D10" w:rsidRPr="00892556" w:rsidTr="001A058D">
        <w:tc>
          <w:tcPr>
            <w:tcW w:w="9630" w:type="dxa"/>
            <w:gridSpan w:val="3"/>
          </w:tcPr>
          <w:p w:rsidR="00184D10" w:rsidRPr="00892556" w:rsidRDefault="00184D10" w:rsidP="002573BB">
            <w:pPr>
              <w:spacing w:line="360" w:lineRule="auto"/>
              <w:jc w:val="both"/>
              <w:rPr>
                <w:rFonts w:ascii="Arial" w:hAnsi="Arial" w:cs="Arial"/>
                <w:sz w:val="24"/>
                <w:szCs w:val="24"/>
              </w:rPr>
            </w:pPr>
            <w:r w:rsidRPr="00892556">
              <w:rPr>
                <w:rFonts w:ascii="Arial" w:hAnsi="Arial" w:cs="Arial"/>
                <w:b/>
                <w:sz w:val="24"/>
                <w:szCs w:val="24"/>
              </w:rPr>
              <w:t>Reasons for order:</w:t>
            </w:r>
            <w:r w:rsidRPr="00892556">
              <w:rPr>
                <w:rFonts w:ascii="Arial" w:hAnsi="Arial" w:cs="Arial"/>
                <w:sz w:val="24"/>
                <w:szCs w:val="24"/>
              </w:rPr>
              <w:t xml:space="preserve"> </w:t>
            </w:r>
          </w:p>
          <w:p w:rsidR="00384FEE" w:rsidRPr="00892556" w:rsidRDefault="00384FEE" w:rsidP="002573BB">
            <w:pPr>
              <w:spacing w:line="360" w:lineRule="auto"/>
              <w:jc w:val="both"/>
              <w:rPr>
                <w:rFonts w:ascii="Arial" w:hAnsi="Arial" w:cs="Arial"/>
                <w:sz w:val="24"/>
                <w:szCs w:val="24"/>
              </w:rPr>
            </w:pPr>
          </w:p>
          <w:p w:rsidR="00184D10" w:rsidRPr="00892556" w:rsidRDefault="000C3C29" w:rsidP="002573BB">
            <w:pPr>
              <w:spacing w:line="360" w:lineRule="auto"/>
              <w:jc w:val="both"/>
              <w:rPr>
                <w:rFonts w:ascii="Arial" w:hAnsi="Arial" w:cs="Arial"/>
                <w:b/>
                <w:sz w:val="24"/>
                <w:szCs w:val="24"/>
              </w:rPr>
            </w:pPr>
            <w:r w:rsidRPr="00892556">
              <w:rPr>
                <w:rFonts w:ascii="Arial" w:hAnsi="Arial" w:cs="Arial"/>
                <w:sz w:val="24"/>
                <w:szCs w:val="24"/>
              </w:rPr>
              <w:t xml:space="preserve">CLAASEN J (CONCURRING </w:t>
            </w:r>
            <w:r w:rsidR="00DC38AD">
              <w:rPr>
                <w:rFonts w:ascii="Arial" w:hAnsi="Arial" w:cs="Arial"/>
                <w:sz w:val="24"/>
                <w:szCs w:val="24"/>
              </w:rPr>
              <w:t>CHRISTIAAN</w:t>
            </w:r>
            <w:r w:rsidR="00967269" w:rsidRPr="00892556">
              <w:rPr>
                <w:rFonts w:ascii="Arial" w:hAnsi="Arial" w:cs="Arial"/>
                <w:sz w:val="24"/>
                <w:szCs w:val="24"/>
              </w:rPr>
              <w:t xml:space="preserve"> </w:t>
            </w:r>
            <w:r w:rsidR="008E7D93" w:rsidRPr="00892556">
              <w:rPr>
                <w:rFonts w:ascii="Arial" w:hAnsi="Arial" w:cs="Arial"/>
                <w:sz w:val="24"/>
                <w:szCs w:val="24"/>
              </w:rPr>
              <w:t>A</w:t>
            </w:r>
            <w:r w:rsidRPr="00892556">
              <w:rPr>
                <w:rFonts w:ascii="Arial" w:hAnsi="Arial" w:cs="Arial"/>
                <w:sz w:val="24"/>
                <w:szCs w:val="24"/>
              </w:rPr>
              <w:t>J)</w:t>
            </w:r>
            <w:r w:rsidR="00DC38AD">
              <w:rPr>
                <w:rFonts w:ascii="Arial" w:hAnsi="Arial" w:cs="Arial"/>
                <w:sz w:val="24"/>
                <w:szCs w:val="24"/>
              </w:rPr>
              <w:t>:</w:t>
            </w:r>
          </w:p>
          <w:p w:rsidR="00184D10" w:rsidRPr="00892556" w:rsidRDefault="00184D10" w:rsidP="002573BB">
            <w:pPr>
              <w:spacing w:line="360" w:lineRule="auto"/>
              <w:jc w:val="both"/>
              <w:rPr>
                <w:rFonts w:ascii="Arial" w:hAnsi="Arial" w:cs="Arial"/>
                <w:b/>
                <w:sz w:val="24"/>
                <w:szCs w:val="24"/>
              </w:rPr>
            </w:pPr>
          </w:p>
          <w:p w:rsidR="008E7D93" w:rsidRDefault="0064665E" w:rsidP="0067299A">
            <w:pPr>
              <w:numPr>
                <w:ilvl w:val="0"/>
                <w:numId w:val="1"/>
              </w:numPr>
              <w:spacing w:after="3" w:line="360" w:lineRule="auto"/>
              <w:ind w:left="0"/>
              <w:jc w:val="both"/>
              <w:rPr>
                <w:rFonts w:ascii="Arial" w:hAnsi="Arial" w:cs="Arial"/>
                <w:sz w:val="24"/>
                <w:szCs w:val="24"/>
              </w:rPr>
            </w:pPr>
            <w:r w:rsidRPr="000C6E69">
              <w:rPr>
                <w:rFonts w:ascii="Arial" w:hAnsi="Arial" w:cs="Arial"/>
                <w:sz w:val="24"/>
                <w:szCs w:val="24"/>
              </w:rPr>
              <w:t>Th</w:t>
            </w:r>
            <w:r w:rsidR="008E7D93" w:rsidRPr="000C6E69">
              <w:rPr>
                <w:rFonts w:ascii="Arial" w:hAnsi="Arial" w:cs="Arial"/>
                <w:sz w:val="24"/>
                <w:szCs w:val="24"/>
              </w:rPr>
              <w:t>is is a criminal review matter submitted under s 302 of the Criminal Procedure Act 51 of 1977 as amended (the CPA). Th</w:t>
            </w:r>
            <w:r w:rsidRPr="000C6E69">
              <w:rPr>
                <w:rFonts w:ascii="Arial" w:hAnsi="Arial" w:cs="Arial"/>
                <w:sz w:val="24"/>
                <w:szCs w:val="24"/>
              </w:rPr>
              <w:t xml:space="preserve">e </w:t>
            </w:r>
            <w:r w:rsidR="002D72FB" w:rsidRPr="000C6E69">
              <w:rPr>
                <w:rFonts w:ascii="Arial" w:hAnsi="Arial" w:cs="Arial"/>
                <w:sz w:val="24"/>
                <w:szCs w:val="24"/>
              </w:rPr>
              <w:t xml:space="preserve">accused </w:t>
            </w:r>
            <w:r w:rsidR="00F926EB" w:rsidRPr="000C6E69">
              <w:rPr>
                <w:rFonts w:ascii="Arial" w:hAnsi="Arial" w:cs="Arial"/>
                <w:sz w:val="24"/>
                <w:szCs w:val="24"/>
              </w:rPr>
              <w:t xml:space="preserve">was charged with four charges in the District court of </w:t>
            </w:r>
            <w:proofErr w:type="spellStart"/>
            <w:r w:rsidR="00F926EB" w:rsidRPr="000C6E69">
              <w:rPr>
                <w:rFonts w:ascii="Arial" w:hAnsi="Arial" w:cs="Arial"/>
                <w:sz w:val="24"/>
                <w:szCs w:val="24"/>
              </w:rPr>
              <w:t>Keetmanshoop</w:t>
            </w:r>
            <w:proofErr w:type="spellEnd"/>
            <w:r w:rsidR="000C6E69" w:rsidRPr="000C6E69">
              <w:rPr>
                <w:rFonts w:ascii="Arial" w:hAnsi="Arial" w:cs="Arial"/>
                <w:sz w:val="24"/>
                <w:szCs w:val="24"/>
              </w:rPr>
              <w:t xml:space="preserve">. No issues arose in respect of </w:t>
            </w:r>
            <w:r w:rsidR="00892556" w:rsidRPr="000C6E69">
              <w:rPr>
                <w:rFonts w:ascii="Arial" w:hAnsi="Arial" w:cs="Arial"/>
                <w:sz w:val="24"/>
                <w:szCs w:val="24"/>
              </w:rPr>
              <w:t xml:space="preserve">counts 1 and count 2 and </w:t>
            </w:r>
            <w:r w:rsidR="000C6E69" w:rsidRPr="000C6E69">
              <w:rPr>
                <w:rFonts w:ascii="Arial" w:hAnsi="Arial" w:cs="Arial"/>
                <w:sz w:val="24"/>
                <w:szCs w:val="24"/>
              </w:rPr>
              <w:t xml:space="preserve">no further reference will be made to them. </w:t>
            </w:r>
          </w:p>
          <w:p w:rsidR="007614FB" w:rsidRDefault="007614FB" w:rsidP="007614FB">
            <w:pPr>
              <w:spacing w:after="3" w:line="360" w:lineRule="auto"/>
              <w:jc w:val="both"/>
              <w:rPr>
                <w:rFonts w:ascii="Arial" w:hAnsi="Arial" w:cs="Arial"/>
                <w:sz w:val="24"/>
                <w:szCs w:val="24"/>
              </w:rPr>
            </w:pPr>
          </w:p>
          <w:p w:rsidR="00752FF1" w:rsidRPr="007614FB" w:rsidRDefault="000C6E69" w:rsidP="00475911">
            <w:pPr>
              <w:numPr>
                <w:ilvl w:val="0"/>
                <w:numId w:val="1"/>
              </w:numPr>
              <w:spacing w:after="3" w:line="360" w:lineRule="auto"/>
              <w:ind w:left="0"/>
              <w:jc w:val="both"/>
              <w:rPr>
                <w:rFonts w:ascii="Arial" w:hAnsi="Arial" w:cs="Arial"/>
                <w:sz w:val="24"/>
                <w:szCs w:val="24"/>
              </w:rPr>
            </w:pPr>
            <w:r w:rsidRPr="007614FB">
              <w:rPr>
                <w:rFonts w:ascii="Arial" w:hAnsi="Arial" w:cs="Arial"/>
                <w:sz w:val="24"/>
                <w:szCs w:val="24"/>
              </w:rPr>
              <w:t>Count 3 is a count of common assault and count 4 is a</w:t>
            </w:r>
            <w:r w:rsidR="00945D91">
              <w:rPr>
                <w:rFonts w:ascii="Arial" w:hAnsi="Arial" w:cs="Arial"/>
                <w:sz w:val="24"/>
                <w:szCs w:val="24"/>
              </w:rPr>
              <w:t xml:space="preserve"> count of theft of a cell phone</w:t>
            </w:r>
            <w:r w:rsidR="00DC38AD">
              <w:rPr>
                <w:rFonts w:ascii="Arial" w:hAnsi="Arial" w:cs="Arial"/>
                <w:sz w:val="24"/>
                <w:szCs w:val="24"/>
              </w:rPr>
              <w:t>. T</w:t>
            </w:r>
            <w:r w:rsidRPr="007614FB">
              <w:rPr>
                <w:rFonts w:ascii="Arial" w:hAnsi="Arial" w:cs="Arial"/>
                <w:sz w:val="24"/>
                <w:szCs w:val="24"/>
              </w:rPr>
              <w:t xml:space="preserve">he accused was </w:t>
            </w:r>
            <w:r w:rsidR="008E7D93" w:rsidRPr="007614FB">
              <w:rPr>
                <w:rFonts w:ascii="Arial" w:hAnsi="Arial" w:cs="Arial"/>
                <w:sz w:val="24"/>
                <w:szCs w:val="24"/>
              </w:rPr>
              <w:t xml:space="preserve">convicted on </w:t>
            </w:r>
            <w:r w:rsidRPr="007614FB">
              <w:rPr>
                <w:rFonts w:ascii="Arial" w:hAnsi="Arial" w:cs="Arial"/>
                <w:sz w:val="24"/>
                <w:szCs w:val="24"/>
              </w:rPr>
              <w:t xml:space="preserve">these charges </w:t>
            </w:r>
            <w:r w:rsidR="00DC38AD">
              <w:rPr>
                <w:rFonts w:ascii="Arial" w:hAnsi="Arial" w:cs="Arial"/>
                <w:sz w:val="24"/>
                <w:szCs w:val="24"/>
              </w:rPr>
              <w:t xml:space="preserve">on </w:t>
            </w:r>
            <w:r w:rsidR="008E7D93" w:rsidRPr="007614FB">
              <w:rPr>
                <w:rFonts w:ascii="Arial" w:hAnsi="Arial" w:cs="Arial"/>
                <w:sz w:val="24"/>
                <w:szCs w:val="24"/>
              </w:rPr>
              <w:t>his own plea</w:t>
            </w:r>
            <w:r w:rsidR="003238C1" w:rsidRPr="007614FB">
              <w:rPr>
                <w:rFonts w:ascii="Arial" w:hAnsi="Arial" w:cs="Arial"/>
                <w:sz w:val="24"/>
                <w:szCs w:val="24"/>
              </w:rPr>
              <w:t>s</w:t>
            </w:r>
            <w:r w:rsidR="008E7D93" w:rsidRPr="007614FB">
              <w:rPr>
                <w:rFonts w:ascii="Arial" w:hAnsi="Arial" w:cs="Arial"/>
                <w:sz w:val="24"/>
                <w:szCs w:val="24"/>
              </w:rPr>
              <w:t xml:space="preserve"> of guilt, and </w:t>
            </w:r>
            <w:r w:rsidR="00DC38AD">
              <w:rPr>
                <w:rFonts w:ascii="Arial" w:hAnsi="Arial" w:cs="Arial"/>
                <w:sz w:val="24"/>
                <w:szCs w:val="24"/>
              </w:rPr>
              <w:t xml:space="preserve">was </w:t>
            </w:r>
            <w:r w:rsidR="008E7D93" w:rsidRPr="007614FB">
              <w:rPr>
                <w:rFonts w:ascii="Arial" w:hAnsi="Arial" w:cs="Arial"/>
                <w:sz w:val="24"/>
                <w:szCs w:val="24"/>
              </w:rPr>
              <w:t xml:space="preserve">sentenced to pay a fine </w:t>
            </w:r>
            <w:r w:rsidR="00F926EB" w:rsidRPr="007614FB">
              <w:rPr>
                <w:rFonts w:ascii="Arial" w:hAnsi="Arial" w:cs="Arial"/>
                <w:sz w:val="24"/>
                <w:szCs w:val="24"/>
              </w:rPr>
              <w:t>of N$</w:t>
            </w:r>
            <w:r w:rsidR="008E7D93" w:rsidRPr="007614FB">
              <w:rPr>
                <w:rFonts w:ascii="Arial" w:hAnsi="Arial" w:cs="Arial"/>
                <w:sz w:val="24"/>
                <w:szCs w:val="24"/>
              </w:rPr>
              <w:t xml:space="preserve">2000 or 10 months’ imprisonment on each of the charges. </w:t>
            </w:r>
            <w:r w:rsidR="00752FF1" w:rsidRPr="007614FB">
              <w:rPr>
                <w:rFonts w:ascii="Arial" w:hAnsi="Arial" w:cs="Arial"/>
                <w:sz w:val="24"/>
                <w:szCs w:val="24"/>
              </w:rPr>
              <w:t>The review court addressed a qu</w:t>
            </w:r>
            <w:r w:rsidR="00241221" w:rsidRPr="007614FB">
              <w:rPr>
                <w:rFonts w:ascii="Arial" w:hAnsi="Arial" w:cs="Arial"/>
                <w:sz w:val="24"/>
                <w:szCs w:val="24"/>
              </w:rPr>
              <w:t>ery to the magistrate on count 4</w:t>
            </w:r>
            <w:r w:rsidR="00752FF1" w:rsidRPr="007614FB">
              <w:rPr>
                <w:rFonts w:ascii="Arial" w:hAnsi="Arial" w:cs="Arial"/>
                <w:sz w:val="24"/>
                <w:szCs w:val="24"/>
              </w:rPr>
              <w:t>, namely whether it was appropriate to have disposed of the matter in terms of s 112(1</w:t>
            </w:r>
            <w:proofErr w:type="gramStart"/>
            <w:r w:rsidR="00752FF1" w:rsidRPr="007614FB">
              <w:rPr>
                <w:rFonts w:ascii="Arial" w:hAnsi="Arial" w:cs="Arial"/>
                <w:sz w:val="24"/>
                <w:szCs w:val="24"/>
              </w:rPr>
              <w:t>)(</w:t>
            </w:r>
            <w:proofErr w:type="gramEnd"/>
            <w:r w:rsidR="00752FF1" w:rsidRPr="00945D91">
              <w:rPr>
                <w:rFonts w:ascii="Arial" w:hAnsi="Arial" w:cs="Arial"/>
                <w:i/>
                <w:sz w:val="24"/>
                <w:szCs w:val="24"/>
              </w:rPr>
              <w:t>a</w:t>
            </w:r>
            <w:r w:rsidR="00752FF1" w:rsidRPr="007614FB">
              <w:rPr>
                <w:rFonts w:ascii="Arial" w:hAnsi="Arial" w:cs="Arial"/>
                <w:sz w:val="24"/>
                <w:szCs w:val="24"/>
              </w:rPr>
              <w:t xml:space="preserve">) of the CPA </w:t>
            </w:r>
            <w:r w:rsidR="00B365A4" w:rsidRPr="007614FB">
              <w:rPr>
                <w:rFonts w:ascii="Arial" w:hAnsi="Arial" w:cs="Arial"/>
                <w:sz w:val="24"/>
                <w:szCs w:val="24"/>
              </w:rPr>
              <w:t xml:space="preserve">and </w:t>
            </w:r>
            <w:r w:rsidR="00892556" w:rsidRPr="007614FB">
              <w:rPr>
                <w:rFonts w:ascii="Arial" w:hAnsi="Arial" w:cs="Arial"/>
                <w:sz w:val="24"/>
                <w:szCs w:val="24"/>
              </w:rPr>
              <w:t>secondly</w:t>
            </w:r>
            <w:r w:rsidR="00B365A4" w:rsidRPr="007614FB">
              <w:rPr>
                <w:rFonts w:ascii="Arial" w:hAnsi="Arial" w:cs="Arial"/>
                <w:sz w:val="24"/>
                <w:szCs w:val="24"/>
              </w:rPr>
              <w:t>,</w:t>
            </w:r>
            <w:r w:rsidR="00892556" w:rsidRPr="007614FB">
              <w:rPr>
                <w:rFonts w:ascii="Arial" w:hAnsi="Arial" w:cs="Arial"/>
                <w:sz w:val="24"/>
                <w:szCs w:val="24"/>
              </w:rPr>
              <w:t xml:space="preserve"> wh</w:t>
            </w:r>
            <w:r w:rsidR="00752FF1" w:rsidRPr="007614FB">
              <w:rPr>
                <w:rFonts w:ascii="Arial" w:hAnsi="Arial" w:cs="Arial"/>
                <w:sz w:val="24"/>
                <w:szCs w:val="24"/>
              </w:rPr>
              <w:t>ether the ratio between the fine and imprisonment was proportional to each other.</w:t>
            </w:r>
          </w:p>
          <w:p w:rsidR="008B52A4" w:rsidRPr="00892556" w:rsidRDefault="00752FF1" w:rsidP="002D72FB">
            <w:pPr>
              <w:spacing w:after="3" w:line="360" w:lineRule="auto"/>
              <w:jc w:val="both"/>
              <w:rPr>
                <w:rFonts w:ascii="Arial" w:hAnsi="Arial" w:cs="Arial"/>
                <w:sz w:val="24"/>
                <w:szCs w:val="24"/>
              </w:rPr>
            </w:pPr>
            <w:r w:rsidRPr="00892556">
              <w:rPr>
                <w:rFonts w:ascii="Arial" w:hAnsi="Arial" w:cs="Arial"/>
                <w:sz w:val="24"/>
                <w:szCs w:val="24"/>
              </w:rPr>
              <w:t xml:space="preserve"> </w:t>
            </w:r>
          </w:p>
          <w:p w:rsidR="00FD4BE4" w:rsidRDefault="008B52A4" w:rsidP="00FD4BE4">
            <w:pPr>
              <w:spacing w:after="3" w:line="360" w:lineRule="auto"/>
              <w:jc w:val="both"/>
              <w:rPr>
                <w:rFonts w:ascii="Arial" w:hAnsi="Arial" w:cs="Arial"/>
                <w:sz w:val="24"/>
                <w:szCs w:val="24"/>
              </w:rPr>
            </w:pPr>
            <w:r w:rsidRPr="00892556">
              <w:rPr>
                <w:rFonts w:ascii="Arial" w:hAnsi="Arial" w:cs="Arial"/>
                <w:sz w:val="24"/>
                <w:szCs w:val="24"/>
              </w:rPr>
              <w:t>[3]</w:t>
            </w:r>
            <w:r w:rsidRPr="00892556">
              <w:rPr>
                <w:rFonts w:ascii="Arial" w:hAnsi="Arial" w:cs="Arial"/>
                <w:sz w:val="24"/>
                <w:szCs w:val="24"/>
              </w:rPr>
              <w:tab/>
            </w:r>
            <w:r w:rsidR="007614FB">
              <w:rPr>
                <w:rFonts w:ascii="Arial" w:hAnsi="Arial" w:cs="Arial"/>
                <w:sz w:val="24"/>
                <w:szCs w:val="24"/>
              </w:rPr>
              <w:t>In reply</w:t>
            </w:r>
            <w:r w:rsidR="00945D91">
              <w:rPr>
                <w:rFonts w:ascii="Arial" w:hAnsi="Arial" w:cs="Arial"/>
                <w:sz w:val="24"/>
                <w:szCs w:val="24"/>
              </w:rPr>
              <w:t>,</w:t>
            </w:r>
            <w:r w:rsidR="007614FB">
              <w:rPr>
                <w:rFonts w:ascii="Arial" w:hAnsi="Arial" w:cs="Arial"/>
                <w:sz w:val="24"/>
                <w:szCs w:val="24"/>
              </w:rPr>
              <w:t xml:space="preserve"> t</w:t>
            </w:r>
            <w:r w:rsidR="00752FF1" w:rsidRPr="00892556">
              <w:rPr>
                <w:rFonts w:ascii="Arial" w:hAnsi="Arial" w:cs="Arial"/>
                <w:sz w:val="24"/>
                <w:szCs w:val="24"/>
              </w:rPr>
              <w:t xml:space="preserve">he court </w:t>
            </w:r>
            <w:r w:rsidR="00752FF1" w:rsidRPr="00945D91">
              <w:rPr>
                <w:rFonts w:ascii="Arial" w:hAnsi="Arial" w:cs="Arial"/>
                <w:i/>
                <w:sz w:val="24"/>
                <w:szCs w:val="24"/>
              </w:rPr>
              <w:t>a quo</w:t>
            </w:r>
            <w:r w:rsidR="00752FF1" w:rsidRPr="00892556">
              <w:rPr>
                <w:rFonts w:ascii="Arial" w:hAnsi="Arial" w:cs="Arial"/>
                <w:sz w:val="24"/>
                <w:szCs w:val="24"/>
              </w:rPr>
              <w:t xml:space="preserve"> </w:t>
            </w:r>
            <w:r w:rsidR="00FD4BE4">
              <w:rPr>
                <w:rFonts w:ascii="Arial" w:hAnsi="Arial" w:cs="Arial"/>
                <w:sz w:val="24"/>
                <w:szCs w:val="24"/>
              </w:rPr>
              <w:t xml:space="preserve">motivated her stance as to why </w:t>
            </w:r>
            <w:r w:rsidR="00945D91">
              <w:rPr>
                <w:rFonts w:ascii="Arial" w:hAnsi="Arial" w:cs="Arial"/>
                <w:sz w:val="24"/>
                <w:szCs w:val="24"/>
              </w:rPr>
              <w:t xml:space="preserve">she regarded count 4 </w:t>
            </w:r>
            <w:r w:rsidR="007614FB">
              <w:rPr>
                <w:rFonts w:ascii="Arial" w:hAnsi="Arial" w:cs="Arial"/>
                <w:sz w:val="24"/>
                <w:szCs w:val="24"/>
              </w:rPr>
              <w:t>as suitable to be dealt with in ter</w:t>
            </w:r>
            <w:r w:rsidR="00FD4BE4">
              <w:rPr>
                <w:rFonts w:ascii="Arial" w:hAnsi="Arial" w:cs="Arial"/>
                <w:sz w:val="24"/>
                <w:szCs w:val="24"/>
              </w:rPr>
              <w:t>ms of s 112(1)(</w:t>
            </w:r>
            <w:r w:rsidR="00FD4BE4" w:rsidRPr="00945D91">
              <w:rPr>
                <w:rFonts w:ascii="Arial" w:hAnsi="Arial" w:cs="Arial"/>
                <w:i/>
                <w:sz w:val="24"/>
                <w:szCs w:val="24"/>
              </w:rPr>
              <w:t>a</w:t>
            </w:r>
            <w:r w:rsidR="00FD4BE4">
              <w:rPr>
                <w:rFonts w:ascii="Arial" w:hAnsi="Arial" w:cs="Arial"/>
                <w:sz w:val="24"/>
                <w:szCs w:val="24"/>
              </w:rPr>
              <w:t xml:space="preserve">) of the CPA. She gave a rather lengthy explanation but the crux thereof is set out below: </w:t>
            </w:r>
          </w:p>
          <w:p w:rsidR="00945D91" w:rsidRPr="00892556" w:rsidRDefault="00945D91" w:rsidP="00FD4BE4">
            <w:pPr>
              <w:spacing w:after="3" w:line="360" w:lineRule="auto"/>
              <w:jc w:val="both"/>
              <w:rPr>
                <w:rFonts w:ascii="Arial" w:hAnsi="Arial" w:cs="Arial"/>
                <w:sz w:val="24"/>
                <w:szCs w:val="24"/>
              </w:rPr>
            </w:pPr>
          </w:p>
          <w:p w:rsidR="00D211D2" w:rsidRPr="00FD4BE4" w:rsidRDefault="00FD4BE4" w:rsidP="008B52A4">
            <w:pPr>
              <w:spacing w:after="3" w:line="360" w:lineRule="auto"/>
              <w:jc w:val="both"/>
              <w:rPr>
                <w:rFonts w:ascii="Arial" w:hAnsi="Arial" w:cs="Arial"/>
              </w:rPr>
            </w:pPr>
            <w:r>
              <w:rPr>
                <w:rFonts w:ascii="Arial" w:hAnsi="Arial" w:cs="Arial"/>
                <w:sz w:val="24"/>
                <w:szCs w:val="24"/>
              </w:rPr>
              <w:tab/>
            </w:r>
            <w:r w:rsidRPr="00FD4BE4">
              <w:rPr>
                <w:rFonts w:ascii="Arial" w:hAnsi="Arial" w:cs="Arial"/>
              </w:rPr>
              <w:t>‘</w:t>
            </w:r>
            <w:r w:rsidR="00B365A4">
              <w:rPr>
                <w:rFonts w:ascii="Arial" w:hAnsi="Arial" w:cs="Arial"/>
              </w:rPr>
              <w:t>…</w:t>
            </w:r>
            <w:r w:rsidR="00D211D2" w:rsidRPr="00FD4BE4">
              <w:rPr>
                <w:rFonts w:ascii="Arial" w:hAnsi="Arial" w:cs="Arial"/>
              </w:rPr>
              <w:t xml:space="preserve"> I normally look at the item stolen and its value to be indicative of whether or not I might apply section 112(1</w:t>
            </w:r>
            <w:proofErr w:type="gramStart"/>
            <w:r w:rsidR="00D211D2" w:rsidRPr="00FD4BE4">
              <w:rPr>
                <w:rFonts w:ascii="Arial" w:hAnsi="Arial" w:cs="Arial"/>
              </w:rPr>
              <w:t>)(</w:t>
            </w:r>
            <w:proofErr w:type="gramEnd"/>
            <w:r w:rsidR="00D211D2" w:rsidRPr="00945D91">
              <w:rPr>
                <w:rFonts w:ascii="Arial" w:hAnsi="Arial" w:cs="Arial"/>
                <w:i/>
              </w:rPr>
              <w:t>a</w:t>
            </w:r>
            <w:r w:rsidR="00D211D2" w:rsidRPr="00FD4BE4">
              <w:rPr>
                <w:rFonts w:ascii="Arial" w:hAnsi="Arial" w:cs="Arial"/>
              </w:rPr>
              <w:t>) or (</w:t>
            </w:r>
            <w:r w:rsidR="00D211D2" w:rsidRPr="00945D91">
              <w:rPr>
                <w:rFonts w:ascii="Arial" w:hAnsi="Arial" w:cs="Arial"/>
                <w:i/>
              </w:rPr>
              <w:t>b</w:t>
            </w:r>
            <w:r w:rsidR="00D211D2" w:rsidRPr="00FD4BE4">
              <w:rPr>
                <w:rFonts w:ascii="Arial" w:hAnsi="Arial" w:cs="Arial"/>
              </w:rPr>
              <w:t>).</w:t>
            </w:r>
            <w:r w:rsidR="006C591E" w:rsidRPr="00FD4BE4">
              <w:rPr>
                <w:rFonts w:ascii="Arial" w:hAnsi="Arial" w:cs="Arial"/>
              </w:rPr>
              <w:t xml:space="preserve"> Hence </w:t>
            </w:r>
            <w:r w:rsidR="006C591E" w:rsidRPr="00FD4BE4">
              <w:rPr>
                <w:rFonts w:ascii="Arial" w:hAnsi="Arial" w:cs="Arial"/>
                <w:i/>
              </w:rPr>
              <w:t xml:space="preserve">in </w:t>
            </w:r>
            <w:proofErr w:type="spellStart"/>
            <w:r w:rsidR="006C591E" w:rsidRPr="00FD4BE4">
              <w:rPr>
                <w:rFonts w:ascii="Arial" w:hAnsi="Arial" w:cs="Arial"/>
                <w:i/>
              </w:rPr>
              <w:t>casu</w:t>
            </w:r>
            <w:proofErr w:type="spellEnd"/>
            <w:r w:rsidR="006C591E" w:rsidRPr="00FD4BE4">
              <w:rPr>
                <w:rFonts w:ascii="Arial" w:hAnsi="Arial" w:cs="Arial"/>
              </w:rPr>
              <w:t xml:space="preserve"> the offence is one of theft of a </w:t>
            </w:r>
            <w:proofErr w:type="spellStart"/>
            <w:r w:rsidR="006C591E" w:rsidRPr="00FD4BE4">
              <w:rPr>
                <w:rFonts w:ascii="Arial" w:hAnsi="Arial" w:cs="Arial"/>
              </w:rPr>
              <w:t>cellphone</w:t>
            </w:r>
            <w:proofErr w:type="spellEnd"/>
            <w:r w:rsidR="006C591E" w:rsidRPr="00FD4BE4">
              <w:rPr>
                <w:rFonts w:ascii="Arial" w:hAnsi="Arial" w:cs="Arial"/>
              </w:rPr>
              <w:t xml:space="preserve"> valued at N$ 399 which to me appears trivial because I would not impose a sentence in excess of N$ 6 000</w:t>
            </w:r>
            <w:r w:rsidRPr="00FD4BE4">
              <w:rPr>
                <w:rFonts w:ascii="Arial" w:hAnsi="Arial" w:cs="Arial"/>
              </w:rPr>
              <w:t xml:space="preserve"> </w:t>
            </w:r>
            <w:r w:rsidR="006C591E" w:rsidRPr="00FD4BE4">
              <w:rPr>
                <w:rFonts w:ascii="Arial" w:hAnsi="Arial" w:cs="Arial"/>
              </w:rPr>
              <w:t>in this matter and thus the value of the item and the specific item trivialises the offence, so much so that the envisioned sentence appeared to be within the sentencing limitation of section 112(1</w:t>
            </w:r>
            <w:proofErr w:type="gramStart"/>
            <w:r w:rsidR="006C591E" w:rsidRPr="00FD4BE4">
              <w:rPr>
                <w:rFonts w:ascii="Arial" w:hAnsi="Arial" w:cs="Arial"/>
              </w:rPr>
              <w:t>)(</w:t>
            </w:r>
            <w:proofErr w:type="gramEnd"/>
            <w:r w:rsidR="006C591E" w:rsidRPr="00945D91">
              <w:rPr>
                <w:rFonts w:ascii="Arial" w:hAnsi="Arial" w:cs="Arial"/>
                <w:i/>
              </w:rPr>
              <w:t>a</w:t>
            </w:r>
            <w:r w:rsidR="006C591E" w:rsidRPr="00FD4BE4">
              <w:rPr>
                <w:rFonts w:ascii="Arial" w:hAnsi="Arial" w:cs="Arial"/>
              </w:rPr>
              <w:t>) of the Criminal Procedure A</w:t>
            </w:r>
            <w:r w:rsidR="009E0193" w:rsidRPr="00FD4BE4">
              <w:rPr>
                <w:rFonts w:ascii="Arial" w:hAnsi="Arial" w:cs="Arial"/>
              </w:rPr>
              <w:t xml:space="preserve">ct in my mind.’ (sic) </w:t>
            </w:r>
          </w:p>
          <w:p w:rsidR="00D211D2" w:rsidRPr="00892556" w:rsidRDefault="00D211D2" w:rsidP="008B52A4">
            <w:pPr>
              <w:spacing w:after="3" w:line="360" w:lineRule="auto"/>
              <w:jc w:val="both"/>
              <w:rPr>
                <w:rFonts w:ascii="Arial" w:hAnsi="Arial" w:cs="Arial"/>
                <w:sz w:val="24"/>
                <w:szCs w:val="24"/>
              </w:rPr>
            </w:pPr>
          </w:p>
          <w:p w:rsidR="00D40038" w:rsidRDefault="00FD4BE4" w:rsidP="00FD4BE4">
            <w:pPr>
              <w:spacing w:after="3"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Since it was done without questioning in terms of s 112(1</w:t>
            </w:r>
            <w:proofErr w:type="gramStart"/>
            <w:r>
              <w:rPr>
                <w:rFonts w:ascii="Arial" w:hAnsi="Arial" w:cs="Arial"/>
                <w:sz w:val="24"/>
                <w:szCs w:val="24"/>
              </w:rPr>
              <w:t>)(</w:t>
            </w:r>
            <w:proofErr w:type="gramEnd"/>
            <w:r w:rsidRPr="00945D91">
              <w:rPr>
                <w:rFonts w:ascii="Arial" w:hAnsi="Arial" w:cs="Arial"/>
                <w:i/>
                <w:sz w:val="24"/>
                <w:szCs w:val="24"/>
              </w:rPr>
              <w:t>b</w:t>
            </w:r>
            <w:r>
              <w:rPr>
                <w:rFonts w:ascii="Arial" w:hAnsi="Arial" w:cs="Arial"/>
                <w:sz w:val="24"/>
                <w:szCs w:val="24"/>
              </w:rPr>
              <w:t xml:space="preserve">) of the CPA, there </w:t>
            </w:r>
            <w:r w:rsidR="00DC38AD">
              <w:rPr>
                <w:rFonts w:ascii="Arial" w:hAnsi="Arial" w:cs="Arial"/>
                <w:sz w:val="24"/>
                <w:szCs w:val="24"/>
              </w:rPr>
              <w:t>are</w:t>
            </w:r>
            <w:r>
              <w:rPr>
                <w:rFonts w:ascii="Arial" w:hAnsi="Arial" w:cs="Arial"/>
                <w:sz w:val="24"/>
                <w:szCs w:val="24"/>
              </w:rPr>
              <w:t xml:space="preserve"> no details as to the circumstances or methodology used to steal the </w:t>
            </w:r>
            <w:proofErr w:type="spellStart"/>
            <w:r>
              <w:rPr>
                <w:rFonts w:ascii="Arial" w:hAnsi="Arial" w:cs="Arial"/>
                <w:sz w:val="24"/>
                <w:szCs w:val="24"/>
              </w:rPr>
              <w:t>cellphone</w:t>
            </w:r>
            <w:proofErr w:type="spellEnd"/>
            <w:r>
              <w:rPr>
                <w:rFonts w:ascii="Arial" w:hAnsi="Arial" w:cs="Arial"/>
                <w:sz w:val="24"/>
                <w:szCs w:val="24"/>
              </w:rPr>
              <w:t xml:space="preserve">. The response by the magistrate shows that she was swayed by the </w:t>
            </w:r>
            <w:r w:rsidR="00A17C7D">
              <w:rPr>
                <w:rFonts w:ascii="Arial" w:hAnsi="Arial" w:cs="Arial"/>
                <w:sz w:val="24"/>
                <w:szCs w:val="24"/>
              </w:rPr>
              <w:t>penalty clause of s 112 (1</w:t>
            </w:r>
            <w:proofErr w:type="gramStart"/>
            <w:r w:rsidR="00A17C7D">
              <w:rPr>
                <w:rFonts w:ascii="Arial" w:hAnsi="Arial" w:cs="Arial"/>
                <w:sz w:val="24"/>
                <w:szCs w:val="24"/>
              </w:rPr>
              <w:t>)(</w:t>
            </w:r>
            <w:proofErr w:type="gramEnd"/>
            <w:r w:rsidR="00A17C7D" w:rsidRPr="00945D91">
              <w:rPr>
                <w:rFonts w:ascii="Arial" w:hAnsi="Arial" w:cs="Arial"/>
                <w:i/>
                <w:sz w:val="24"/>
                <w:szCs w:val="24"/>
              </w:rPr>
              <w:t>a</w:t>
            </w:r>
            <w:r w:rsidR="00A17C7D">
              <w:rPr>
                <w:rFonts w:ascii="Arial" w:hAnsi="Arial" w:cs="Arial"/>
                <w:sz w:val="24"/>
                <w:szCs w:val="24"/>
              </w:rPr>
              <w:t xml:space="preserve">) of the CPA and the price of the cell </w:t>
            </w:r>
            <w:r>
              <w:rPr>
                <w:rFonts w:ascii="Arial" w:hAnsi="Arial" w:cs="Arial"/>
                <w:sz w:val="24"/>
                <w:szCs w:val="24"/>
              </w:rPr>
              <w:t>phone</w:t>
            </w:r>
            <w:r w:rsidR="00A17C7D">
              <w:rPr>
                <w:rFonts w:ascii="Arial" w:hAnsi="Arial" w:cs="Arial"/>
                <w:sz w:val="24"/>
                <w:szCs w:val="24"/>
              </w:rPr>
              <w:t xml:space="preserve"> which</w:t>
            </w:r>
            <w:r>
              <w:rPr>
                <w:rFonts w:ascii="Arial" w:hAnsi="Arial" w:cs="Arial"/>
                <w:sz w:val="24"/>
                <w:szCs w:val="24"/>
              </w:rPr>
              <w:t xml:space="preserve"> </w:t>
            </w:r>
            <w:r w:rsidR="00A17C7D">
              <w:rPr>
                <w:rFonts w:ascii="Arial" w:hAnsi="Arial" w:cs="Arial"/>
                <w:sz w:val="24"/>
                <w:szCs w:val="24"/>
              </w:rPr>
              <w:t xml:space="preserve">is why she </w:t>
            </w:r>
            <w:r>
              <w:rPr>
                <w:rFonts w:ascii="Arial" w:hAnsi="Arial" w:cs="Arial"/>
                <w:sz w:val="24"/>
                <w:szCs w:val="24"/>
              </w:rPr>
              <w:t>regard</w:t>
            </w:r>
            <w:r w:rsidR="00A17C7D">
              <w:rPr>
                <w:rFonts w:ascii="Arial" w:hAnsi="Arial" w:cs="Arial"/>
                <w:sz w:val="24"/>
                <w:szCs w:val="24"/>
              </w:rPr>
              <w:t>ed</w:t>
            </w:r>
            <w:r w:rsidR="00DC38AD">
              <w:rPr>
                <w:rFonts w:ascii="Arial" w:hAnsi="Arial" w:cs="Arial"/>
                <w:sz w:val="24"/>
                <w:szCs w:val="24"/>
              </w:rPr>
              <w:t xml:space="preserve"> it as a minor offenc</w:t>
            </w:r>
            <w:r>
              <w:rPr>
                <w:rFonts w:ascii="Arial" w:hAnsi="Arial" w:cs="Arial"/>
                <w:sz w:val="24"/>
                <w:szCs w:val="24"/>
              </w:rPr>
              <w:t>e. W</w:t>
            </w:r>
            <w:r w:rsidR="00D40038">
              <w:rPr>
                <w:rFonts w:ascii="Arial" w:hAnsi="Arial" w:cs="Arial"/>
                <w:sz w:val="24"/>
                <w:szCs w:val="24"/>
              </w:rPr>
              <w:t xml:space="preserve">e pause </w:t>
            </w:r>
            <w:r w:rsidR="00A17C7D">
              <w:rPr>
                <w:rFonts w:ascii="Arial" w:hAnsi="Arial" w:cs="Arial"/>
                <w:sz w:val="24"/>
                <w:szCs w:val="24"/>
              </w:rPr>
              <w:t xml:space="preserve">for a moment </w:t>
            </w:r>
            <w:r w:rsidR="00D40038">
              <w:rPr>
                <w:rFonts w:ascii="Arial" w:hAnsi="Arial" w:cs="Arial"/>
                <w:sz w:val="24"/>
                <w:szCs w:val="24"/>
              </w:rPr>
              <w:t>to consider</w:t>
            </w:r>
            <w:r>
              <w:rPr>
                <w:rFonts w:ascii="Arial" w:hAnsi="Arial" w:cs="Arial"/>
                <w:sz w:val="24"/>
                <w:szCs w:val="24"/>
              </w:rPr>
              <w:t xml:space="preserve"> the sentence imposed, </w:t>
            </w:r>
            <w:r w:rsidR="00D40038">
              <w:rPr>
                <w:rFonts w:ascii="Arial" w:hAnsi="Arial" w:cs="Arial"/>
                <w:sz w:val="24"/>
                <w:szCs w:val="24"/>
              </w:rPr>
              <w:t>wh</w:t>
            </w:r>
            <w:r w:rsidR="00A17C7D">
              <w:rPr>
                <w:rFonts w:ascii="Arial" w:hAnsi="Arial" w:cs="Arial"/>
                <w:sz w:val="24"/>
                <w:szCs w:val="24"/>
              </w:rPr>
              <w:t>ich has an alternative of a whopping 10 months</w:t>
            </w:r>
            <w:r w:rsidR="00945D91">
              <w:rPr>
                <w:rFonts w:ascii="Arial" w:hAnsi="Arial" w:cs="Arial"/>
                <w:sz w:val="24"/>
                <w:szCs w:val="24"/>
              </w:rPr>
              <w:t>'</w:t>
            </w:r>
            <w:r w:rsidR="00A17C7D">
              <w:rPr>
                <w:rFonts w:ascii="Arial" w:hAnsi="Arial" w:cs="Arial"/>
                <w:sz w:val="24"/>
                <w:szCs w:val="24"/>
              </w:rPr>
              <w:t xml:space="preserve"> imprisonment. </w:t>
            </w:r>
            <w:r w:rsidR="00945D91">
              <w:rPr>
                <w:rFonts w:ascii="Arial" w:hAnsi="Arial" w:cs="Arial"/>
                <w:sz w:val="24"/>
                <w:szCs w:val="24"/>
              </w:rPr>
              <w:t xml:space="preserve">This </w:t>
            </w:r>
            <w:r w:rsidR="00A17C7D">
              <w:rPr>
                <w:rFonts w:ascii="Arial" w:hAnsi="Arial" w:cs="Arial"/>
                <w:sz w:val="24"/>
                <w:szCs w:val="24"/>
              </w:rPr>
              <w:t>disproves the contention by the magistrate that she regarded it as a minor offence</w:t>
            </w:r>
            <w:r w:rsidR="00E515E7">
              <w:rPr>
                <w:rFonts w:ascii="Arial" w:hAnsi="Arial" w:cs="Arial"/>
                <w:sz w:val="24"/>
                <w:szCs w:val="24"/>
              </w:rPr>
              <w:t>.</w:t>
            </w:r>
            <w:r w:rsidR="00A17C7D">
              <w:rPr>
                <w:rFonts w:ascii="Arial" w:hAnsi="Arial" w:cs="Arial"/>
                <w:sz w:val="24"/>
                <w:szCs w:val="24"/>
              </w:rPr>
              <w:t xml:space="preserve"> </w:t>
            </w:r>
            <w:r w:rsidR="00D40038">
              <w:rPr>
                <w:rFonts w:ascii="Arial" w:hAnsi="Arial" w:cs="Arial"/>
                <w:sz w:val="24"/>
                <w:szCs w:val="24"/>
              </w:rPr>
              <w:t>T</w:t>
            </w:r>
            <w:r w:rsidR="001F58A0">
              <w:rPr>
                <w:rFonts w:ascii="Arial" w:hAnsi="Arial" w:cs="Arial"/>
                <w:sz w:val="24"/>
                <w:szCs w:val="24"/>
              </w:rPr>
              <w:t xml:space="preserve">hat </w:t>
            </w:r>
            <w:r w:rsidR="00A17C7D">
              <w:rPr>
                <w:rFonts w:ascii="Arial" w:hAnsi="Arial" w:cs="Arial"/>
                <w:sz w:val="24"/>
                <w:szCs w:val="24"/>
              </w:rPr>
              <w:t>in our view, disprove</w:t>
            </w:r>
            <w:r w:rsidR="00DC38AD">
              <w:rPr>
                <w:rFonts w:ascii="Arial" w:hAnsi="Arial" w:cs="Arial"/>
                <w:sz w:val="24"/>
                <w:szCs w:val="24"/>
              </w:rPr>
              <w:t>s</w:t>
            </w:r>
            <w:r w:rsidR="00A17C7D">
              <w:rPr>
                <w:rFonts w:ascii="Arial" w:hAnsi="Arial" w:cs="Arial"/>
                <w:sz w:val="24"/>
                <w:szCs w:val="24"/>
              </w:rPr>
              <w:t xml:space="preserve"> the contention of this being a minor offence. The same is evident from the considerations in sentence as per her explanation to the revi</w:t>
            </w:r>
            <w:r w:rsidR="00DC38AD">
              <w:rPr>
                <w:rFonts w:ascii="Arial" w:hAnsi="Arial" w:cs="Arial"/>
                <w:sz w:val="24"/>
                <w:szCs w:val="24"/>
              </w:rPr>
              <w:t>ew query. She inter alia stated that,</w:t>
            </w:r>
            <w:r w:rsidR="00A17C7D">
              <w:rPr>
                <w:rFonts w:ascii="Arial" w:hAnsi="Arial" w:cs="Arial"/>
                <w:sz w:val="24"/>
                <w:szCs w:val="24"/>
              </w:rPr>
              <w:t xml:space="preserve"> </w:t>
            </w:r>
            <w:r w:rsidR="00D40038" w:rsidRPr="00E515E7">
              <w:rPr>
                <w:rFonts w:ascii="Arial" w:hAnsi="Arial" w:cs="Arial"/>
                <w:sz w:val="24"/>
                <w:szCs w:val="24"/>
              </w:rPr>
              <w:t xml:space="preserve">‘The </w:t>
            </w:r>
            <w:r w:rsidR="00D40038" w:rsidRPr="00E515E7">
              <w:rPr>
                <w:rFonts w:ascii="Arial" w:hAnsi="Arial" w:cs="Arial"/>
                <w:sz w:val="24"/>
                <w:szCs w:val="24"/>
              </w:rPr>
              <w:lastRenderedPageBreak/>
              <w:t xml:space="preserve">accused stole the </w:t>
            </w:r>
            <w:proofErr w:type="spellStart"/>
            <w:r w:rsidR="00D40038" w:rsidRPr="00E515E7">
              <w:rPr>
                <w:rFonts w:ascii="Arial" w:hAnsi="Arial" w:cs="Arial"/>
                <w:sz w:val="24"/>
                <w:szCs w:val="24"/>
              </w:rPr>
              <w:t>cellphone</w:t>
            </w:r>
            <w:proofErr w:type="spellEnd"/>
            <w:r w:rsidR="00D40038" w:rsidRPr="00E515E7">
              <w:rPr>
                <w:rFonts w:ascii="Arial" w:hAnsi="Arial" w:cs="Arial"/>
                <w:sz w:val="24"/>
                <w:szCs w:val="24"/>
              </w:rPr>
              <w:t>, knowing that it is not his, and it was returned to the complainant at no effort by the accused whilst also violating the constitutional ri</w:t>
            </w:r>
            <w:r w:rsidR="00DC38AD">
              <w:rPr>
                <w:rFonts w:ascii="Arial" w:hAnsi="Arial" w:cs="Arial"/>
                <w:sz w:val="24"/>
                <w:szCs w:val="24"/>
              </w:rPr>
              <w:t>ght to property of the victim. . .</w:t>
            </w:r>
            <w:r w:rsidR="00D40038" w:rsidRPr="00E515E7">
              <w:rPr>
                <w:rFonts w:ascii="Arial" w:hAnsi="Arial" w:cs="Arial"/>
                <w:sz w:val="24"/>
                <w:szCs w:val="24"/>
              </w:rPr>
              <w:t xml:space="preserve">’ </w:t>
            </w:r>
          </w:p>
          <w:p w:rsidR="00B365A4" w:rsidRDefault="00B365A4" w:rsidP="00FD4BE4">
            <w:pPr>
              <w:spacing w:after="3" w:line="360" w:lineRule="auto"/>
              <w:jc w:val="both"/>
              <w:rPr>
                <w:rFonts w:ascii="Arial" w:hAnsi="Arial" w:cs="Arial"/>
                <w:sz w:val="24"/>
                <w:szCs w:val="24"/>
              </w:rPr>
            </w:pPr>
          </w:p>
          <w:p w:rsidR="00FD4BE4" w:rsidRDefault="00934193" w:rsidP="00FD4BE4">
            <w:pPr>
              <w:spacing w:after="3"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501D55" w:rsidRPr="00892556">
              <w:rPr>
                <w:rFonts w:ascii="Arial" w:hAnsi="Arial" w:cs="Arial"/>
                <w:sz w:val="24"/>
                <w:szCs w:val="24"/>
              </w:rPr>
              <w:t xml:space="preserve">While we accept that there may be factors that may mitigate or aggravate </w:t>
            </w:r>
            <w:r w:rsidR="00B365A4">
              <w:rPr>
                <w:rFonts w:ascii="Arial" w:hAnsi="Arial" w:cs="Arial"/>
                <w:sz w:val="24"/>
                <w:szCs w:val="24"/>
              </w:rPr>
              <w:t xml:space="preserve">theft in a given case, </w:t>
            </w:r>
            <w:r w:rsidR="00501D55" w:rsidRPr="00892556">
              <w:rPr>
                <w:rFonts w:ascii="Arial" w:hAnsi="Arial" w:cs="Arial"/>
                <w:sz w:val="24"/>
                <w:szCs w:val="24"/>
              </w:rPr>
              <w:t>w</w:t>
            </w:r>
            <w:r w:rsidR="00D211D2" w:rsidRPr="00892556">
              <w:rPr>
                <w:rFonts w:ascii="Arial" w:hAnsi="Arial" w:cs="Arial"/>
                <w:sz w:val="24"/>
                <w:szCs w:val="24"/>
              </w:rPr>
              <w:t xml:space="preserve">e </w:t>
            </w:r>
            <w:r w:rsidR="008B4B6B" w:rsidRPr="00892556">
              <w:rPr>
                <w:rFonts w:ascii="Arial" w:hAnsi="Arial" w:cs="Arial"/>
                <w:sz w:val="24"/>
                <w:szCs w:val="24"/>
              </w:rPr>
              <w:t xml:space="preserve">are </w:t>
            </w:r>
            <w:r w:rsidR="00D211D2" w:rsidRPr="00892556">
              <w:rPr>
                <w:rFonts w:ascii="Arial" w:hAnsi="Arial" w:cs="Arial"/>
                <w:sz w:val="24"/>
                <w:szCs w:val="24"/>
              </w:rPr>
              <w:t xml:space="preserve">hard pressed to </w:t>
            </w:r>
            <w:r w:rsidR="00B365A4">
              <w:rPr>
                <w:rFonts w:ascii="Arial" w:hAnsi="Arial" w:cs="Arial"/>
                <w:sz w:val="24"/>
                <w:szCs w:val="24"/>
              </w:rPr>
              <w:t>find theft of this cell</w:t>
            </w:r>
            <w:r>
              <w:rPr>
                <w:rFonts w:ascii="Arial" w:hAnsi="Arial" w:cs="Arial"/>
                <w:sz w:val="24"/>
                <w:szCs w:val="24"/>
              </w:rPr>
              <w:t xml:space="preserve"> </w:t>
            </w:r>
            <w:r w:rsidR="00B365A4">
              <w:rPr>
                <w:rFonts w:ascii="Arial" w:hAnsi="Arial" w:cs="Arial"/>
                <w:sz w:val="24"/>
                <w:szCs w:val="24"/>
              </w:rPr>
              <w:t>phone as a trivial offense. In modern day living it has become indispensable for most people, thus it can hardly be regarded</w:t>
            </w:r>
            <w:r w:rsidR="00F118CD">
              <w:rPr>
                <w:rFonts w:ascii="Arial" w:hAnsi="Arial" w:cs="Arial"/>
                <w:sz w:val="24"/>
                <w:szCs w:val="24"/>
              </w:rPr>
              <w:t xml:space="preserve"> as an item of no</w:t>
            </w:r>
            <w:r>
              <w:rPr>
                <w:rFonts w:ascii="Arial" w:hAnsi="Arial" w:cs="Arial"/>
                <w:sz w:val="24"/>
                <w:szCs w:val="24"/>
              </w:rPr>
              <w:t xml:space="preserve"> or low</w:t>
            </w:r>
            <w:r w:rsidR="00F118CD">
              <w:rPr>
                <w:rFonts w:ascii="Arial" w:hAnsi="Arial" w:cs="Arial"/>
                <w:sz w:val="24"/>
                <w:szCs w:val="24"/>
              </w:rPr>
              <w:t xml:space="preserve"> significance. This corresponds to the sentiments expressed by January J in </w:t>
            </w:r>
            <w:r w:rsidR="00F118CD" w:rsidRPr="00934193">
              <w:rPr>
                <w:rFonts w:ascii="Arial" w:hAnsi="Arial" w:cs="Arial"/>
                <w:i/>
                <w:sz w:val="24"/>
                <w:szCs w:val="24"/>
              </w:rPr>
              <w:t xml:space="preserve">S v </w:t>
            </w:r>
            <w:proofErr w:type="spellStart"/>
            <w:r w:rsidR="00F118CD" w:rsidRPr="00934193">
              <w:rPr>
                <w:rFonts w:ascii="Arial" w:hAnsi="Arial" w:cs="Arial"/>
                <w:i/>
                <w:sz w:val="24"/>
                <w:szCs w:val="24"/>
              </w:rPr>
              <w:t>Friedrick</w:t>
            </w:r>
            <w:proofErr w:type="spellEnd"/>
            <w:r w:rsidR="00F118CD">
              <w:rPr>
                <w:rStyle w:val="FootnoteReference"/>
                <w:rFonts w:ascii="Arial" w:hAnsi="Arial" w:cs="Arial"/>
                <w:sz w:val="24"/>
                <w:szCs w:val="24"/>
              </w:rPr>
              <w:footnoteReference w:id="1"/>
            </w:r>
            <w:r w:rsidR="00B365A4">
              <w:rPr>
                <w:rFonts w:ascii="Arial" w:hAnsi="Arial" w:cs="Arial"/>
                <w:sz w:val="24"/>
                <w:szCs w:val="24"/>
              </w:rPr>
              <w:t xml:space="preserve"> </w:t>
            </w:r>
            <w:r>
              <w:rPr>
                <w:rFonts w:ascii="Arial" w:hAnsi="Arial" w:cs="Arial"/>
                <w:sz w:val="24"/>
                <w:szCs w:val="24"/>
              </w:rPr>
              <w:t>at para 5:</w:t>
            </w:r>
          </w:p>
          <w:p w:rsidR="00E515E7" w:rsidRDefault="00E515E7" w:rsidP="00FD4BE4">
            <w:pPr>
              <w:spacing w:after="3" w:line="360" w:lineRule="auto"/>
              <w:jc w:val="both"/>
              <w:rPr>
                <w:rFonts w:ascii="Arial" w:hAnsi="Arial" w:cs="Arial"/>
                <w:sz w:val="24"/>
                <w:szCs w:val="24"/>
              </w:rPr>
            </w:pPr>
          </w:p>
          <w:p w:rsidR="00934193" w:rsidRDefault="00934193" w:rsidP="00FD4BE4">
            <w:pPr>
              <w:spacing w:after="3" w:line="360" w:lineRule="auto"/>
              <w:jc w:val="both"/>
              <w:rPr>
                <w:rFonts w:ascii="Arial" w:hAnsi="Arial" w:cs="Arial"/>
              </w:rPr>
            </w:pPr>
            <w:r w:rsidRPr="00C82791">
              <w:rPr>
                <w:rFonts w:ascii="Arial" w:hAnsi="Arial" w:cs="Arial"/>
              </w:rPr>
              <w:tab/>
            </w:r>
            <w:r w:rsidR="00C82791" w:rsidRPr="00C82791">
              <w:rPr>
                <w:rFonts w:ascii="Arial" w:hAnsi="Arial" w:cs="Arial"/>
              </w:rPr>
              <w:t>‘</w:t>
            </w:r>
            <w:r w:rsidRPr="00C82791">
              <w:rPr>
                <w:rFonts w:ascii="Arial" w:hAnsi="Arial" w:cs="Arial"/>
              </w:rPr>
              <w:t>This case is another example where the magistrate applied section 112(1</w:t>
            </w:r>
            <w:proofErr w:type="gramStart"/>
            <w:r w:rsidRPr="00C82791">
              <w:rPr>
                <w:rFonts w:ascii="Arial" w:hAnsi="Arial" w:cs="Arial"/>
              </w:rPr>
              <w:t>)(</w:t>
            </w:r>
            <w:proofErr w:type="gramEnd"/>
            <w:r w:rsidRPr="00C82791">
              <w:rPr>
                <w:rFonts w:ascii="Arial" w:hAnsi="Arial" w:cs="Arial"/>
              </w:rPr>
              <w:t>a) of the Criminal Procedure Act in a matter where she undoubtedly had doubt to the seriousness of the relevant charge. Theft of a cell phone is not a “minor” or “trivial” offence. In my view proper questioning would in all</w:t>
            </w:r>
            <w:r w:rsidR="00DC38AD">
              <w:rPr>
                <w:rFonts w:ascii="Arial" w:hAnsi="Arial" w:cs="Arial"/>
              </w:rPr>
              <w:t xml:space="preserve"> probability have put any doub</w:t>
            </w:r>
            <w:r w:rsidRPr="00C82791">
              <w:rPr>
                <w:rFonts w:ascii="Arial" w:hAnsi="Arial" w:cs="Arial"/>
              </w:rPr>
              <w:t>t rest especially where the cell phone was stolen.</w:t>
            </w:r>
            <w:r w:rsidR="00C82791" w:rsidRPr="00C82791">
              <w:rPr>
                <w:rFonts w:ascii="Arial" w:hAnsi="Arial" w:cs="Arial"/>
              </w:rPr>
              <w:t>’</w:t>
            </w:r>
          </w:p>
          <w:p w:rsidR="00D65547" w:rsidRDefault="00D65547" w:rsidP="00FD4BE4">
            <w:pPr>
              <w:spacing w:after="3" w:line="360" w:lineRule="auto"/>
              <w:jc w:val="both"/>
              <w:rPr>
                <w:rFonts w:ascii="Arial" w:hAnsi="Arial" w:cs="Arial"/>
              </w:rPr>
            </w:pPr>
          </w:p>
          <w:p w:rsidR="00D65547" w:rsidRPr="00D65547" w:rsidRDefault="00D65547" w:rsidP="00FD4BE4">
            <w:pPr>
              <w:spacing w:after="3" w:line="360" w:lineRule="auto"/>
              <w:jc w:val="both"/>
              <w:rPr>
                <w:rFonts w:ascii="Arial" w:hAnsi="Arial" w:cs="Arial"/>
                <w:sz w:val="24"/>
                <w:szCs w:val="24"/>
              </w:rPr>
            </w:pPr>
            <w:r w:rsidRPr="00D65547">
              <w:rPr>
                <w:rFonts w:ascii="Arial" w:hAnsi="Arial" w:cs="Arial"/>
                <w:sz w:val="24"/>
                <w:szCs w:val="24"/>
              </w:rPr>
              <w:t>[6]</w:t>
            </w:r>
            <w:r w:rsidRPr="00D65547">
              <w:rPr>
                <w:rFonts w:ascii="Arial" w:hAnsi="Arial" w:cs="Arial"/>
                <w:sz w:val="24"/>
                <w:szCs w:val="24"/>
              </w:rPr>
              <w:tab/>
            </w:r>
            <w:r w:rsidR="004F2BB5">
              <w:rPr>
                <w:rFonts w:ascii="Arial" w:hAnsi="Arial" w:cs="Arial"/>
                <w:sz w:val="24"/>
                <w:szCs w:val="24"/>
              </w:rPr>
              <w:t xml:space="preserve"> </w:t>
            </w:r>
            <w:r w:rsidR="00241221">
              <w:rPr>
                <w:rFonts w:ascii="Arial" w:hAnsi="Arial" w:cs="Arial"/>
                <w:sz w:val="24"/>
                <w:szCs w:val="24"/>
              </w:rPr>
              <w:t xml:space="preserve">In the matter herein, the court </w:t>
            </w:r>
            <w:r w:rsidR="00241221" w:rsidRPr="00E515E7">
              <w:rPr>
                <w:rFonts w:ascii="Arial" w:hAnsi="Arial" w:cs="Arial"/>
                <w:i/>
                <w:sz w:val="24"/>
                <w:szCs w:val="24"/>
              </w:rPr>
              <w:t>a quo</w:t>
            </w:r>
            <w:r w:rsidR="00241221">
              <w:rPr>
                <w:rFonts w:ascii="Arial" w:hAnsi="Arial" w:cs="Arial"/>
                <w:sz w:val="24"/>
                <w:szCs w:val="24"/>
              </w:rPr>
              <w:t xml:space="preserve"> did not exercise her discretion to use s 112(1</w:t>
            </w:r>
            <w:proofErr w:type="gramStart"/>
            <w:r w:rsidR="00241221">
              <w:rPr>
                <w:rFonts w:ascii="Arial" w:hAnsi="Arial" w:cs="Arial"/>
                <w:sz w:val="24"/>
                <w:szCs w:val="24"/>
              </w:rPr>
              <w:t>)(</w:t>
            </w:r>
            <w:proofErr w:type="gramEnd"/>
            <w:r w:rsidR="00241221" w:rsidRPr="00E515E7">
              <w:rPr>
                <w:rFonts w:ascii="Arial" w:hAnsi="Arial" w:cs="Arial"/>
                <w:i/>
                <w:sz w:val="24"/>
                <w:szCs w:val="24"/>
              </w:rPr>
              <w:t>a</w:t>
            </w:r>
            <w:r w:rsidR="00241221">
              <w:rPr>
                <w:rFonts w:ascii="Arial" w:hAnsi="Arial" w:cs="Arial"/>
                <w:sz w:val="24"/>
                <w:szCs w:val="24"/>
              </w:rPr>
              <w:t xml:space="preserve">) of the CPA  judiciously, and the conviction </w:t>
            </w:r>
            <w:r w:rsidR="002A4D08">
              <w:rPr>
                <w:rFonts w:ascii="Arial" w:hAnsi="Arial" w:cs="Arial"/>
                <w:sz w:val="24"/>
                <w:szCs w:val="24"/>
              </w:rPr>
              <w:t xml:space="preserve">on count 4 </w:t>
            </w:r>
            <w:r w:rsidR="00241221">
              <w:rPr>
                <w:rFonts w:ascii="Arial" w:hAnsi="Arial" w:cs="Arial"/>
                <w:sz w:val="24"/>
                <w:szCs w:val="24"/>
              </w:rPr>
              <w:t xml:space="preserve">will be set aside on account </w:t>
            </w:r>
            <w:r w:rsidR="00DC38AD">
              <w:rPr>
                <w:rFonts w:ascii="Arial" w:hAnsi="Arial" w:cs="Arial"/>
                <w:sz w:val="24"/>
                <w:szCs w:val="24"/>
              </w:rPr>
              <w:t>of</w:t>
            </w:r>
            <w:r w:rsidR="00241221">
              <w:rPr>
                <w:rFonts w:ascii="Arial" w:hAnsi="Arial" w:cs="Arial"/>
                <w:sz w:val="24"/>
                <w:szCs w:val="24"/>
              </w:rPr>
              <w:t xml:space="preserve"> that.  </w:t>
            </w:r>
          </w:p>
          <w:p w:rsidR="004C52F8" w:rsidRDefault="00241221" w:rsidP="002D72FB">
            <w:pPr>
              <w:spacing w:before="240" w:after="3"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In turning to the qualm raised in respect of the sentencing on count 4, the review court did not address a query as to the sentence on count 3,</w:t>
            </w:r>
            <w:r w:rsidR="002A4D08">
              <w:rPr>
                <w:rFonts w:ascii="Arial" w:hAnsi="Arial" w:cs="Arial"/>
                <w:sz w:val="24"/>
                <w:szCs w:val="24"/>
              </w:rPr>
              <w:t xml:space="preserve"> this court will </w:t>
            </w:r>
            <w:r w:rsidR="004F2BB5">
              <w:rPr>
                <w:rFonts w:ascii="Arial" w:hAnsi="Arial" w:cs="Arial"/>
                <w:sz w:val="24"/>
                <w:szCs w:val="24"/>
              </w:rPr>
              <w:t xml:space="preserve">nevertheless </w:t>
            </w:r>
            <w:r w:rsidR="002A4D08">
              <w:rPr>
                <w:rFonts w:ascii="Arial" w:hAnsi="Arial" w:cs="Arial"/>
                <w:sz w:val="24"/>
                <w:szCs w:val="24"/>
              </w:rPr>
              <w:t>address it in this judgment</w:t>
            </w:r>
            <w:r w:rsidR="00DC38AD">
              <w:rPr>
                <w:rFonts w:ascii="Arial" w:hAnsi="Arial" w:cs="Arial"/>
                <w:sz w:val="24"/>
                <w:szCs w:val="24"/>
              </w:rPr>
              <w:t>,</w:t>
            </w:r>
            <w:r>
              <w:rPr>
                <w:rFonts w:ascii="Arial" w:hAnsi="Arial" w:cs="Arial"/>
                <w:sz w:val="24"/>
                <w:szCs w:val="24"/>
              </w:rPr>
              <w:t xml:space="preserve"> </w:t>
            </w:r>
            <w:r w:rsidR="002A4D08">
              <w:rPr>
                <w:rFonts w:ascii="Arial" w:hAnsi="Arial" w:cs="Arial"/>
                <w:sz w:val="24"/>
                <w:szCs w:val="24"/>
              </w:rPr>
              <w:t>because it suffers from a similar disproportional ratio between the fine and the imprisonment. Whilst there is no qualm that the magistrate utilised s 112(1</w:t>
            </w:r>
            <w:proofErr w:type="gramStart"/>
            <w:r w:rsidR="002A4D08">
              <w:rPr>
                <w:rFonts w:ascii="Arial" w:hAnsi="Arial" w:cs="Arial"/>
                <w:sz w:val="24"/>
                <w:szCs w:val="24"/>
              </w:rPr>
              <w:t>)(</w:t>
            </w:r>
            <w:proofErr w:type="gramEnd"/>
            <w:r w:rsidR="002A4D08" w:rsidRPr="00AD3024">
              <w:rPr>
                <w:rFonts w:ascii="Arial" w:hAnsi="Arial" w:cs="Arial"/>
                <w:i/>
                <w:sz w:val="24"/>
                <w:szCs w:val="24"/>
              </w:rPr>
              <w:t>a</w:t>
            </w:r>
            <w:r w:rsidR="002A4D08">
              <w:rPr>
                <w:rFonts w:ascii="Arial" w:hAnsi="Arial" w:cs="Arial"/>
                <w:sz w:val="24"/>
                <w:szCs w:val="24"/>
              </w:rPr>
              <w:t xml:space="preserve">)of the CPA for the offence of common assault, the sentence imposed is a different matter. </w:t>
            </w:r>
            <w:r w:rsidR="000748F9">
              <w:rPr>
                <w:rFonts w:ascii="Arial" w:hAnsi="Arial" w:cs="Arial"/>
                <w:sz w:val="24"/>
                <w:szCs w:val="24"/>
              </w:rPr>
              <w:t>In S</w:t>
            </w:r>
            <w:r w:rsidR="004C52F8">
              <w:rPr>
                <w:rFonts w:ascii="Arial" w:hAnsi="Arial" w:cs="Arial"/>
                <w:sz w:val="24"/>
                <w:szCs w:val="24"/>
              </w:rPr>
              <w:t xml:space="preserve"> </w:t>
            </w:r>
            <w:r w:rsidR="004C52F8" w:rsidRPr="00892556">
              <w:rPr>
                <w:rFonts w:ascii="Arial" w:hAnsi="Arial" w:cs="Arial"/>
                <w:i/>
                <w:sz w:val="24"/>
                <w:szCs w:val="24"/>
              </w:rPr>
              <w:t xml:space="preserve">v </w:t>
            </w:r>
            <w:proofErr w:type="spellStart"/>
            <w:r w:rsidR="004C52F8" w:rsidRPr="00892556">
              <w:rPr>
                <w:rFonts w:ascii="Arial" w:hAnsi="Arial" w:cs="Arial"/>
                <w:i/>
                <w:sz w:val="24"/>
                <w:szCs w:val="24"/>
              </w:rPr>
              <w:t>Nyumba</w:t>
            </w:r>
            <w:proofErr w:type="spellEnd"/>
            <w:r w:rsidR="004C52F8" w:rsidRPr="00892556">
              <w:rPr>
                <w:rStyle w:val="FootnoteReference"/>
                <w:rFonts w:ascii="Arial" w:hAnsi="Arial" w:cs="Arial"/>
                <w:sz w:val="24"/>
                <w:szCs w:val="24"/>
              </w:rPr>
              <w:footnoteReference w:id="2"/>
            </w:r>
            <w:r w:rsidR="004C52F8" w:rsidRPr="00892556">
              <w:rPr>
                <w:rFonts w:ascii="Arial" w:hAnsi="Arial" w:cs="Arial"/>
                <w:sz w:val="24"/>
                <w:szCs w:val="24"/>
              </w:rPr>
              <w:t xml:space="preserve"> </w:t>
            </w:r>
            <w:r w:rsidR="004C52F8">
              <w:rPr>
                <w:rFonts w:ascii="Arial" w:hAnsi="Arial" w:cs="Arial"/>
                <w:sz w:val="24"/>
                <w:szCs w:val="24"/>
              </w:rPr>
              <w:t xml:space="preserve">it was underscored that </w:t>
            </w:r>
            <w:r w:rsidR="004C52F8" w:rsidRPr="00892556">
              <w:rPr>
                <w:rFonts w:ascii="Arial" w:hAnsi="Arial" w:cs="Arial"/>
                <w:sz w:val="24"/>
                <w:szCs w:val="24"/>
              </w:rPr>
              <w:t>s 112(1</w:t>
            </w:r>
            <w:proofErr w:type="gramStart"/>
            <w:r w:rsidR="004C52F8" w:rsidRPr="00892556">
              <w:rPr>
                <w:rFonts w:ascii="Arial" w:hAnsi="Arial" w:cs="Arial"/>
                <w:sz w:val="24"/>
                <w:szCs w:val="24"/>
              </w:rPr>
              <w:t>)(</w:t>
            </w:r>
            <w:proofErr w:type="gramEnd"/>
            <w:r w:rsidR="004C52F8" w:rsidRPr="00AD3024">
              <w:rPr>
                <w:rFonts w:ascii="Arial" w:hAnsi="Arial" w:cs="Arial"/>
                <w:i/>
                <w:sz w:val="24"/>
                <w:szCs w:val="24"/>
              </w:rPr>
              <w:t>a</w:t>
            </w:r>
            <w:r w:rsidR="004C52F8" w:rsidRPr="00892556">
              <w:rPr>
                <w:rFonts w:ascii="Arial" w:hAnsi="Arial" w:cs="Arial"/>
                <w:sz w:val="24"/>
                <w:szCs w:val="24"/>
              </w:rPr>
              <w:t xml:space="preserve">) deals with matters that are not of </w:t>
            </w:r>
            <w:r w:rsidR="00DC38AD">
              <w:rPr>
                <w:rFonts w:ascii="Arial" w:hAnsi="Arial" w:cs="Arial"/>
                <w:sz w:val="24"/>
                <w:szCs w:val="24"/>
              </w:rPr>
              <w:t xml:space="preserve">a </w:t>
            </w:r>
            <w:r w:rsidR="004C52F8" w:rsidRPr="00892556">
              <w:rPr>
                <w:rFonts w:ascii="Arial" w:hAnsi="Arial" w:cs="Arial"/>
                <w:sz w:val="24"/>
                <w:szCs w:val="24"/>
              </w:rPr>
              <w:t>serious nature where a presiding officer is of the view that a reasonably minor punishment will be imposed whereas s 112(1)(</w:t>
            </w:r>
            <w:r w:rsidR="004C52F8" w:rsidRPr="00AD3024">
              <w:rPr>
                <w:rFonts w:ascii="Arial" w:hAnsi="Arial" w:cs="Arial"/>
                <w:i/>
                <w:sz w:val="24"/>
                <w:szCs w:val="24"/>
              </w:rPr>
              <w:t>b</w:t>
            </w:r>
            <w:r w:rsidR="004C52F8" w:rsidRPr="00892556">
              <w:rPr>
                <w:rFonts w:ascii="Arial" w:hAnsi="Arial" w:cs="Arial"/>
                <w:sz w:val="24"/>
                <w:szCs w:val="24"/>
              </w:rPr>
              <w:t>) is invoked where a more heavier sentence is likely to follow</w:t>
            </w:r>
            <w:r w:rsidR="004C52F8">
              <w:rPr>
                <w:rFonts w:ascii="Arial" w:hAnsi="Arial" w:cs="Arial"/>
                <w:sz w:val="24"/>
                <w:szCs w:val="24"/>
              </w:rPr>
              <w:t xml:space="preserve">. In a similar vein, it was held in </w:t>
            </w:r>
            <w:r w:rsidR="004C52F8" w:rsidRPr="004C52F8">
              <w:rPr>
                <w:rFonts w:ascii="Arial" w:hAnsi="Arial" w:cs="Arial"/>
                <w:i/>
                <w:sz w:val="24"/>
                <w:szCs w:val="24"/>
              </w:rPr>
              <w:t xml:space="preserve">S v </w:t>
            </w:r>
            <w:proofErr w:type="spellStart"/>
            <w:r w:rsidR="004C52F8" w:rsidRPr="004C52F8">
              <w:rPr>
                <w:rFonts w:ascii="Arial" w:hAnsi="Arial" w:cs="Arial"/>
                <w:i/>
                <w:sz w:val="24"/>
                <w:szCs w:val="24"/>
              </w:rPr>
              <w:t>Zauisomwe</w:t>
            </w:r>
            <w:proofErr w:type="spellEnd"/>
            <w:r w:rsidR="004C52F8">
              <w:rPr>
                <w:rStyle w:val="FootnoteReference"/>
                <w:rFonts w:ascii="Arial" w:hAnsi="Arial" w:cs="Arial"/>
                <w:sz w:val="24"/>
                <w:szCs w:val="24"/>
              </w:rPr>
              <w:footnoteReference w:id="3"/>
            </w:r>
            <w:r w:rsidR="00DC38AD">
              <w:rPr>
                <w:rFonts w:ascii="Arial" w:hAnsi="Arial" w:cs="Arial"/>
                <w:sz w:val="24"/>
                <w:szCs w:val="24"/>
              </w:rPr>
              <w:t xml:space="preserve"> that it is implicit in s</w:t>
            </w:r>
            <w:r w:rsidR="004C52F8">
              <w:rPr>
                <w:rFonts w:ascii="Arial" w:hAnsi="Arial" w:cs="Arial"/>
                <w:sz w:val="24"/>
                <w:szCs w:val="24"/>
              </w:rPr>
              <w:t xml:space="preserve"> 112(1</w:t>
            </w:r>
            <w:proofErr w:type="gramStart"/>
            <w:r w:rsidR="004C52F8">
              <w:rPr>
                <w:rFonts w:ascii="Arial" w:hAnsi="Arial" w:cs="Arial"/>
                <w:sz w:val="24"/>
                <w:szCs w:val="24"/>
              </w:rPr>
              <w:t>)(</w:t>
            </w:r>
            <w:proofErr w:type="gramEnd"/>
            <w:r w:rsidR="004C52F8" w:rsidRPr="00AD3024">
              <w:rPr>
                <w:rFonts w:ascii="Arial" w:hAnsi="Arial" w:cs="Arial"/>
                <w:i/>
                <w:sz w:val="24"/>
                <w:szCs w:val="24"/>
              </w:rPr>
              <w:t>a</w:t>
            </w:r>
            <w:r w:rsidR="004C52F8">
              <w:rPr>
                <w:rFonts w:ascii="Arial" w:hAnsi="Arial" w:cs="Arial"/>
                <w:sz w:val="24"/>
                <w:szCs w:val="24"/>
              </w:rPr>
              <w:t>) of the CPA that the sentence to be imposed must be commensurate to a minor offense and that a lengthy term of imprisonment is irreconcilable with the nature of the provision.</w:t>
            </w:r>
            <w:r w:rsidR="00C8253F">
              <w:rPr>
                <w:rFonts w:ascii="Arial" w:hAnsi="Arial" w:cs="Arial"/>
                <w:sz w:val="24"/>
                <w:szCs w:val="24"/>
              </w:rPr>
              <w:t xml:space="preserve"> </w:t>
            </w:r>
            <w:r w:rsidR="004C52F8">
              <w:rPr>
                <w:rFonts w:ascii="Arial" w:hAnsi="Arial" w:cs="Arial"/>
                <w:sz w:val="24"/>
                <w:szCs w:val="24"/>
              </w:rPr>
              <w:t xml:space="preserve">This matter was sent on review, which means the convicted person could </w:t>
            </w:r>
            <w:r w:rsidR="004C52F8">
              <w:rPr>
                <w:rFonts w:ascii="Arial" w:hAnsi="Arial" w:cs="Arial"/>
                <w:sz w:val="24"/>
                <w:szCs w:val="24"/>
              </w:rPr>
              <w:lastRenderedPageBreak/>
              <w:t>not pay the fine. That also means that the alternative sentence came into operation. A period of 10 months</w:t>
            </w:r>
            <w:r w:rsidR="00DC38AD">
              <w:rPr>
                <w:rFonts w:ascii="Arial" w:hAnsi="Arial" w:cs="Arial"/>
                <w:sz w:val="24"/>
                <w:szCs w:val="24"/>
              </w:rPr>
              <w:t>’</w:t>
            </w:r>
            <w:r w:rsidR="004C52F8">
              <w:rPr>
                <w:rFonts w:ascii="Arial" w:hAnsi="Arial" w:cs="Arial"/>
                <w:sz w:val="24"/>
                <w:szCs w:val="24"/>
              </w:rPr>
              <w:t xml:space="preserve"> imprisonment, is shockingly inappropriate for slapping a person, which is the particulars alleged herein. As such the sentence on</w:t>
            </w:r>
            <w:r w:rsidR="004F2BB5">
              <w:rPr>
                <w:rFonts w:ascii="Arial" w:hAnsi="Arial" w:cs="Arial"/>
                <w:sz w:val="24"/>
                <w:szCs w:val="24"/>
              </w:rPr>
              <w:t xml:space="preserve"> count 3 stands to be set aside and is to be adjusted in accordance with the fine.</w:t>
            </w:r>
            <w:r w:rsidR="004C52F8">
              <w:rPr>
                <w:rFonts w:ascii="Arial" w:hAnsi="Arial" w:cs="Arial"/>
                <w:sz w:val="24"/>
                <w:szCs w:val="24"/>
              </w:rPr>
              <w:t xml:space="preserve"> </w:t>
            </w:r>
          </w:p>
          <w:p w:rsidR="00AD3024" w:rsidRDefault="00AD3024" w:rsidP="00AD3024">
            <w:pPr>
              <w:spacing w:after="3" w:line="360" w:lineRule="auto"/>
              <w:jc w:val="both"/>
              <w:rPr>
                <w:rFonts w:ascii="Arial" w:hAnsi="Arial" w:cs="Arial"/>
                <w:sz w:val="24"/>
                <w:szCs w:val="24"/>
              </w:rPr>
            </w:pPr>
          </w:p>
          <w:p w:rsidR="001A058D" w:rsidRDefault="00E724B5" w:rsidP="001A058D">
            <w:pPr>
              <w:spacing w:line="360" w:lineRule="auto"/>
              <w:jc w:val="both"/>
              <w:rPr>
                <w:rFonts w:ascii="Arial Narrow" w:hAnsi="Arial Narrow" w:cs="Arial"/>
                <w:color w:val="404040" w:themeColor="text1" w:themeTint="BF"/>
                <w:sz w:val="24"/>
                <w:szCs w:val="24"/>
              </w:rPr>
            </w:pPr>
            <w:r w:rsidRPr="00892556">
              <w:rPr>
                <w:rFonts w:ascii="Arial" w:hAnsi="Arial" w:cs="Arial"/>
                <w:sz w:val="24"/>
                <w:szCs w:val="24"/>
              </w:rPr>
              <w:t xml:space="preserve"> </w:t>
            </w:r>
            <w:r w:rsidR="001A058D">
              <w:rPr>
                <w:rFonts w:ascii="Arial" w:hAnsi="Arial" w:cs="Arial"/>
                <w:sz w:val="24"/>
                <w:szCs w:val="24"/>
              </w:rPr>
              <w:t>[8]</w:t>
            </w:r>
            <w:r w:rsidR="001A058D">
              <w:rPr>
                <w:rFonts w:ascii="Arial" w:hAnsi="Arial" w:cs="Arial"/>
                <w:sz w:val="24"/>
                <w:szCs w:val="24"/>
              </w:rPr>
              <w:tab/>
            </w:r>
            <w:r w:rsidR="00DC38AD">
              <w:rPr>
                <w:rFonts w:ascii="Arial" w:hAnsi="Arial" w:cs="Arial"/>
                <w:sz w:val="24"/>
                <w:szCs w:val="24"/>
              </w:rPr>
              <w:t xml:space="preserve">I now turn to the </w:t>
            </w:r>
            <w:r w:rsidR="00FA3193">
              <w:rPr>
                <w:rFonts w:ascii="Arial" w:hAnsi="Arial" w:cs="Arial"/>
                <w:sz w:val="24"/>
                <w:szCs w:val="24"/>
              </w:rPr>
              <w:t>issue of finalising cases in terms of s 112(1</w:t>
            </w:r>
            <w:proofErr w:type="gramStart"/>
            <w:r w:rsidR="00FA3193">
              <w:rPr>
                <w:rFonts w:ascii="Arial" w:hAnsi="Arial" w:cs="Arial"/>
                <w:sz w:val="24"/>
                <w:szCs w:val="24"/>
              </w:rPr>
              <w:t>)(</w:t>
            </w:r>
            <w:proofErr w:type="gramEnd"/>
            <w:r w:rsidR="00FA3193" w:rsidRPr="00AD3024">
              <w:rPr>
                <w:rFonts w:ascii="Arial" w:hAnsi="Arial" w:cs="Arial"/>
                <w:i/>
                <w:sz w:val="24"/>
                <w:szCs w:val="24"/>
              </w:rPr>
              <w:t>a</w:t>
            </w:r>
            <w:r w:rsidR="00FA3193">
              <w:rPr>
                <w:rFonts w:ascii="Arial" w:hAnsi="Arial" w:cs="Arial"/>
                <w:sz w:val="24"/>
                <w:szCs w:val="24"/>
              </w:rPr>
              <w:t>) of the CPA and then sla</w:t>
            </w:r>
            <w:r w:rsidR="00E71B2B">
              <w:rPr>
                <w:rFonts w:ascii="Arial" w:hAnsi="Arial" w:cs="Arial"/>
                <w:sz w:val="24"/>
                <w:szCs w:val="24"/>
              </w:rPr>
              <w:t xml:space="preserve">pping the accused with a heavy custodial sentence </w:t>
            </w:r>
            <w:r w:rsidR="00FB4C2E">
              <w:rPr>
                <w:rFonts w:ascii="Arial" w:hAnsi="Arial" w:cs="Arial"/>
                <w:sz w:val="24"/>
                <w:szCs w:val="24"/>
              </w:rPr>
              <w:t xml:space="preserve">as an alternative. </w:t>
            </w:r>
            <w:r w:rsidR="001A058D" w:rsidRPr="00FB4C2E">
              <w:rPr>
                <w:rFonts w:ascii="Arial" w:hAnsi="Arial" w:cs="Arial"/>
                <w:i/>
                <w:sz w:val="24"/>
                <w:szCs w:val="24"/>
              </w:rPr>
              <w:t xml:space="preserve">S v </w:t>
            </w:r>
            <w:proofErr w:type="spellStart"/>
            <w:r w:rsidR="001A058D" w:rsidRPr="00FB4C2E">
              <w:rPr>
                <w:rFonts w:ascii="Arial" w:hAnsi="Arial" w:cs="Arial"/>
                <w:i/>
                <w:sz w:val="24"/>
                <w:szCs w:val="24"/>
              </w:rPr>
              <w:t>Plaatjie</w:t>
            </w:r>
            <w:proofErr w:type="spellEnd"/>
            <w:r w:rsidR="001A058D">
              <w:rPr>
                <w:rStyle w:val="FootnoteReference"/>
                <w:rFonts w:ascii="Arial" w:hAnsi="Arial" w:cs="Arial"/>
                <w:sz w:val="24"/>
                <w:szCs w:val="24"/>
              </w:rPr>
              <w:footnoteReference w:id="4"/>
            </w:r>
            <w:r w:rsidR="001A058D">
              <w:rPr>
                <w:rFonts w:ascii="Arial" w:hAnsi="Arial" w:cs="Arial"/>
                <w:sz w:val="24"/>
                <w:szCs w:val="24"/>
              </w:rPr>
              <w:t xml:space="preserve"> concerns two criminal review matters done by this specific magistrate and the sentences were set a</w:t>
            </w:r>
            <w:r w:rsidR="00FB4C2E">
              <w:rPr>
                <w:rFonts w:ascii="Arial" w:hAnsi="Arial" w:cs="Arial"/>
                <w:sz w:val="24"/>
                <w:szCs w:val="24"/>
              </w:rPr>
              <w:t xml:space="preserve">side on exactly the </w:t>
            </w:r>
            <w:r w:rsidR="00E71B2B">
              <w:rPr>
                <w:rFonts w:ascii="Arial" w:hAnsi="Arial" w:cs="Arial"/>
                <w:sz w:val="24"/>
                <w:szCs w:val="24"/>
              </w:rPr>
              <w:t>same p</w:t>
            </w:r>
            <w:r w:rsidR="00FB4C2E">
              <w:rPr>
                <w:rFonts w:ascii="Arial" w:hAnsi="Arial" w:cs="Arial"/>
                <w:sz w:val="24"/>
                <w:szCs w:val="24"/>
              </w:rPr>
              <w:t xml:space="preserve">rinciple. </w:t>
            </w:r>
            <w:r w:rsidR="00E71B2B">
              <w:rPr>
                <w:rFonts w:ascii="Arial" w:hAnsi="Arial" w:cs="Arial"/>
                <w:sz w:val="24"/>
                <w:szCs w:val="24"/>
              </w:rPr>
              <w:t xml:space="preserve">Despite being informed of that in 2020, this magistrate continues to disregard an established principle in sentencing, namely that </w:t>
            </w:r>
            <w:r w:rsidR="00FB4C2E">
              <w:rPr>
                <w:rFonts w:ascii="Arial" w:hAnsi="Arial" w:cs="Arial"/>
                <w:sz w:val="24"/>
                <w:szCs w:val="24"/>
              </w:rPr>
              <w:t xml:space="preserve">when imprisonment is imposed as an alternative to a fine, the ratio between the two should be proportional to each other. </w:t>
            </w:r>
            <w:r w:rsidR="00E71B2B">
              <w:rPr>
                <w:rFonts w:ascii="Arial" w:hAnsi="Arial" w:cs="Arial"/>
                <w:sz w:val="24"/>
                <w:szCs w:val="24"/>
              </w:rPr>
              <w:t xml:space="preserve">Furthermore that severe imprisonment is </w:t>
            </w:r>
            <w:r w:rsidR="00DC38AD">
              <w:rPr>
                <w:rFonts w:ascii="Arial" w:hAnsi="Arial" w:cs="Arial"/>
                <w:sz w:val="24"/>
                <w:szCs w:val="24"/>
              </w:rPr>
              <w:t>not suitable for minor offences</w:t>
            </w:r>
            <w:r w:rsidR="00E71B2B">
              <w:rPr>
                <w:rFonts w:ascii="Arial" w:hAnsi="Arial" w:cs="Arial"/>
                <w:sz w:val="24"/>
                <w:szCs w:val="24"/>
              </w:rPr>
              <w:t xml:space="preserve"> done in terms of s 112(1</w:t>
            </w:r>
            <w:proofErr w:type="gramStart"/>
            <w:r w:rsidR="00E71B2B">
              <w:rPr>
                <w:rFonts w:ascii="Arial" w:hAnsi="Arial" w:cs="Arial"/>
                <w:sz w:val="24"/>
                <w:szCs w:val="24"/>
              </w:rPr>
              <w:t>)(</w:t>
            </w:r>
            <w:proofErr w:type="gramEnd"/>
            <w:r w:rsidR="00E71B2B" w:rsidRPr="00AD3024">
              <w:rPr>
                <w:rFonts w:ascii="Arial" w:hAnsi="Arial" w:cs="Arial"/>
                <w:i/>
                <w:sz w:val="24"/>
                <w:szCs w:val="24"/>
              </w:rPr>
              <w:t>a</w:t>
            </w:r>
            <w:r w:rsidR="00E71B2B">
              <w:rPr>
                <w:rFonts w:ascii="Arial" w:hAnsi="Arial" w:cs="Arial"/>
                <w:sz w:val="24"/>
                <w:szCs w:val="24"/>
              </w:rPr>
              <w:t xml:space="preserve">) of the CPA. </w:t>
            </w:r>
            <w:r w:rsidR="001A058D">
              <w:rPr>
                <w:rFonts w:ascii="Arial" w:hAnsi="Arial" w:cs="Arial"/>
                <w:sz w:val="24"/>
                <w:szCs w:val="24"/>
              </w:rPr>
              <w:t xml:space="preserve">It puts unnecessary pressure on the review system </w:t>
            </w:r>
            <w:r w:rsidR="00E71B2B">
              <w:rPr>
                <w:rFonts w:ascii="Arial" w:hAnsi="Arial" w:cs="Arial"/>
                <w:sz w:val="24"/>
                <w:szCs w:val="24"/>
              </w:rPr>
              <w:t xml:space="preserve">when it has to be set aside and the cause for that has been explained repeatedly. Thus, it has become necessary to inform the Magistrates Commission to ensure that magistrates’ attend to these recurrent problems. </w:t>
            </w:r>
          </w:p>
          <w:p w:rsidR="002D72FB" w:rsidRDefault="007C4CBE" w:rsidP="002D72FB">
            <w:pPr>
              <w:spacing w:before="240" w:after="3"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2D72FB" w:rsidRPr="00892556">
              <w:rPr>
                <w:rFonts w:ascii="Arial" w:hAnsi="Arial" w:cs="Arial"/>
                <w:sz w:val="24"/>
                <w:szCs w:val="24"/>
              </w:rPr>
              <w:t>In the result, the following order is made:</w:t>
            </w:r>
          </w:p>
          <w:p w:rsidR="003702EA" w:rsidRPr="00892556" w:rsidRDefault="003702EA" w:rsidP="007C4CBE">
            <w:pPr>
              <w:pStyle w:val="ListParagraph"/>
              <w:numPr>
                <w:ilvl w:val="0"/>
                <w:numId w:val="11"/>
              </w:numPr>
              <w:spacing w:before="240" w:after="3" w:line="360" w:lineRule="auto"/>
              <w:jc w:val="both"/>
              <w:rPr>
                <w:rFonts w:ascii="Arial" w:hAnsi="Arial" w:cs="Arial"/>
                <w:sz w:val="24"/>
                <w:szCs w:val="24"/>
              </w:rPr>
            </w:pPr>
            <w:r>
              <w:rPr>
                <w:rFonts w:ascii="Arial" w:hAnsi="Arial" w:cs="Arial"/>
                <w:sz w:val="24"/>
                <w:szCs w:val="24"/>
              </w:rPr>
              <w:t>The discharge in terms of s 174 in respect of co</w:t>
            </w:r>
            <w:r w:rsidR="007C4CBE">
              <w:rPr>
                <w:rFonts w:ascii="Arial" w:hAnsi="Arial" w:cs="Arial"/>
                <w:sz w:val="24"/>
                <w:szCs w:val="24"/>
              </w:rPr>
              <w:t xml:space="preserve">unt 1 and count 2 is confirmed </w:t>
            </w:r>
          </w:p>
          <w:p w:rsidR="003702EA" w:rsidRPr="00892556" w:rsidRDefault="003702EA" w:rsidP="007C4CBE">
            <w:pPr>
              <w:pStyle w:val="ListParagraph"/>
              <w:numPr>
                <w:ilvl w:val="0"/>
                <w:numId w:val="11"/>
              </w:numPr>
              <w:spacing w:before="240" w:after="3" w:line="360" w:lineRule="auto"/>
              <w:jc w:val="both"/>
              <w:rPr>
                <w:rFonts w:ascii="Arial" w:hAnsi="Arial" w:cs="Arial"/>
                <w:sz w:val="24"/>
                <w:szCs w:val="24"/>
              </w:rPr>
            </w:pPr>
            <w:r w:rsidRPr="00892556">
              <w:rPr>
                <w:rFonts w:ascii="Arial" w:hAnsi="Arial" w:cs="Arial"/>
                <w:sz w:val="24"/>
                <w:szCs w:val="24"/>
              </w:rPr>
              <w:t xml:space="preserve">The </w:t>
            </w:r>
            <w:r>
              <w:rPr>
                <w:rFonts w:ascii="Arial" w:hAnsi="Arial" w:cs="Arial"/>
                <w:sz w:val="24"/>
                <w:szCs w:val="24"/>
              </w:rPr>
              <w:t xml:space="preserve">conviction on count 3 is confirmed but the sentence on count 3 is set aside. The court </w:t>
            </w:r>
            <w:r w:rsidRPr="00AD3024">
              <w:rPr>
                <w:rFonts w:ascii="Arial" w:hAnsi="Arial" w:cs="Arial"/>
                <w:i/>
                <w:sz w:val="24"/>
                <w:szCs w:val="24"/>
              </w:rPr>
              <w:t xml:space="preserve">a quo </w:t>
            </w:r>
            <w:r>
              <w:rPr>
                <w:rFonts w:ascii="Arial" w:hAnsi="Arial" w:cs="Arial"/>
                <w:sz w:val="24"/>
                <w:szCs w:val="24"/>
              </w:rPr>
              <w:t xml:space="preserve">is to consider the period of imprisonment that the accused has served on </w:t>
            </w:r>
            <w:r w:rsidR="00AD3024">
              <w:rPr>
                <w:rFonts w:ascii="Arial" w:hAnsi="Arial" w:cs="Arial"/>
                <w:sz w:val="24"/>
                <w:szCs w:val="24"/>
              </w:rPr>
              <w:t>count 3</w:t>
            </w:r>
            <w:r>
              <w:rPr>
                <w:rFonts w:ascii="Arial" w:hAnsi="Arial" w:cs="Arial"/>
                <w:sz w:val="24"/>
                <w:szCs w:val="24"/>
              </w:rPr>
              <w:t xml:space="preserve">, in considering an appropriate sentence.  </w:t>
            </w:r>
          </w:p>
          <w:p w:rsidR="008B3E53" w:rsidRPr="007C4CBE" w:rsidRDefault="003702EA" w:rsidP="007C4CBE">
            <w:pPr>
              <w:pStyle w:val="ListParagraph"/>
              <w:numPr>
                <w:ilvl w:val="0"/>
                <w:numId w:val="11"/>
              </w:numPr>
              <w:spacing w:before="240" w:after="3" w:line="360" w:lineRule="auto"/>
              <w:jc w:val="both"/>
              <w:rPr>
                <w:rFonts w:ascii="Arial" w:hAnsi="Arial" w:cs="Arial"/>
                <w:b/>
                <w:sz w:val="24"/>
                <w:szCs w:val="24"/>
              </w:rPr>
            </w:pPr>
            <w:r w:rsidRPr="007C4CBE">
              <w:rPr>
                <w:rFonts w:ascii="Arial" w:hAnsi="Arial" w:cs="Arial"/>
                <w:sz w:val="24"/>
                <w:szCs w:val="24"/>
              </w:rPr>
              <w:t xml:space="preserve">The conviction and sentence on count 4 is set aside. The matter is remitted to the court </w:t>
            </w:r>
            <w:r w:rsidRPr="00AD3024">
              <w:rPr>
                <w:rFonts w:ascii="Arial" w:hAnsi="Arial" w:cs="Arial"/>
                <w:i/>
                <w:sz w:val="24"/>
                <w:szCs w:val="24"/>
              </w:rPr>
              <w:t xml:space="preserve">a quo </w:t>
            </w:r>
            <w:r w:rsidRPr="007C4CBE">
              <w:rPr>
                <w:rFonts w:ascii="Arial" w:hAnsi="Arial" w:cs="Arial"/>
                <w:sz w:val="24"/>
                <w:szCs w:val="24"/>
              </w:rPr>
              <w:t xml:space="preserve">for the magistrate to start </w:t>
            </w:r>
            <w:r w:rsidR="007C4CBE">
              <w:rPr>
                <w:rFonts w:ascii="Arial" w:hAnsi="Arial" w:cs="Arial"/>
                <w:sz w:val="24"/>
                <w:szCs w:val="24"/>
              </w:rPr>
              <w:t>afresh from the stage of plea. In</w:t>
            </w:r>
            <w:r w:rsidRPr="007C4CBE">
              <w:rPr>
                <w:rFonts w:ascii="Arial" w:hAnsi="Arial" w:cs="Arial"/>
                <w:sz w:val="24"/>
                <w:szCs w:val="24"/>
              </w:rPr>
              <w:t xml:space="preserve"> </w:t>
            </w:r>
            <w:r w:rsidR="007C4CBE">
              <w:rPr>
                <w:rFonts w:ascii="Arial" w:hAnsi="Arial" w:cs="Arial"/>
                <w:sz w:val="24"/>
                <w:szCs w:val="24"/>
              </w:rPr>
              <w:t xml:space="preserve">the event </w:t>
            </w:r>
            <w:r w:rsidRPr="007C4CBE">
              <w:rPr>
                <w:rFonts w:ascii="Arial" w:hAnsi="Arial" w:cs="Arial"/>
                <w:sz w:val="24"/>
                <w:szCs w:val="24"/>
              </w:rPr>
              <w:t>of a conviction, that th</w:t>
            </w:r>
            <w:r w:rsidR="00AD3024">
              <w:rPr>
                <w:rFonts w:ascii="Arial" w:hAnsi="Arial" w:cs="Arial"/>
                <w:sz w:val="24"/>
                <w:szCs w:val="24"/>
              </w:rPr>
              <w:t xml:space="preserve">e sentence served on this </w:t>
            </w:r>
            <w:proofErr w:type="gramStart"/>
            <w:r w:rsidR="00AD3024">
              <w:rPr>
                <w:rFonts w:ascii="Arial" w:hAnsi="Arial" w:cs="Arial"/>
                <w:sz w:val="24"/>
                <w:szCs w:val="24"/>
              </w:rPr>
              <w:t>count</w:t>
            </w:r>
            <w:r w:rsidRPr="007C4CBE">
              <w:rPr>
                <w:rFonts w:ascii="Arial" w:hAnsi="Arial" w:cs="Arial"/>
                <w:sz w:val="24"/>
                <w:szCs w:val="24"/>
              </w:rPr>
              <w:t>(</w:t>
            </w:r>
            <w:proofErr w:type="gramEnd"/>
            <w:r w:rsidRPr="007C4CBE">
              <w:rPr>
                <w:rFonts w:ascii="Arial" w:hAnsi="Arial" w:cs="Arial"/>
                <w:sz w:val="24"/>
                <w:szCs w:val="24"/>
              </w:rPr>
              <w:t xml:space="preserve"> if any) </w:t>
            </w:r>
            <w:r w:rsidR="007C4CBE">
              <w:rPr>
                <w:rFonts w:ascii="Arial" w:hAnsi="Arial" w:cs="Arial"/>
                <w:sz w:val="24"/>
                <w:szCs w:val="24"/>
              </w:rPr>
              <w:t xml:space="preserve">is to </w:t>
            </w:r>
            <w:r w:rsidRPr="007C4CBE">
              <w:rPr>
                <w:rFonts w:ascii="Arial" w:hAnsi="Arial" w:cs="Arial"/>
                <w:sz w:val="24"/>
                <w:szCs w:val="24"/>
              </w:rPr>
              <w:t>be taken into consideration.</w:t>
            </w:r>
          </w:p>
        </w:tc>
      </w:tr>
      <w:tr w:rsidR="00184D10" w:rsidRPr="00892556" w:rsidTr="001A058D">
        <w:tc>
          <w:tcPr>
            <w:tcW w:w="4770" w:type="dxa"/>
          </w:tcPr>
          <w:p w:rsidR="00184D10" w:rsidRPr="00892556" w:rsidRDefault="00184D10" w:rsidP="002573BB">
            <w:pPr>
              <w:spacing w:line="360" w:lineRule="auto"/>
              <w:rPr>
                <w:rFonts w:ascii="Arial" w:hAnsi="Arial" w:cs="Arial"/>
                <w:b/>
                <w:sz w:val="24"/>
                <w:szCs w:val="24"/>
              </w:rPr>
            </w:pPr>
          </w:p>
          <w:p w:rsidR="00184D10" w:rsidRPr="00892556" w:rsidRDefault="00184D10" w:rsidP="002573BB">
            <w:pPr>
              <w:spacing w:line="360" w:lineRule="auto"/>
              <w:rPr>
                <w:rFonts w:ascii="Arial" w:hAnsi="Arial" w:cs="Arial"/>
                <w:b/>
                <w:sz w:val="24"/>
                <w:szCs w:val="24"/>
              </w:rPr>
            </w:pPr>
          </w:p>
          <w:p w:rsidR="00184D10" w:rsidRPr="00892556" w:rsidRDefault="00184D10" w:rsidP="002573BB">
            <w:pPr>
              <w:spacing w:line="360" w:lineRule="auto"/>
              <w:rPr>
                <w:rFonts w:ascii="Arial" w:hAnsi="Arial" w:cs="Arial"/>
                <w:b/>
                <w:sz w:val="24"/>
                <w:szCs w:val="24"/>
              </w:rPr>
            </w:pPr>
          </w:p>
        </w:tc>
        <w:tc>
          <w:tcPr>
            <w:tcW w:w="4860" w:type="dxa"/>
            <w:gridSpan w:val="2"/>
          </w:tcPr>
          <w:p w:rsidR="00184D10" w:rsidRPr="00892556" w:rsidRDefault="00184D10" w:rsidP="002573BB">
            <w:pPr>
              <w:spacing w:line="360" w:lineRule="auto"/>
              <w:rPr>
                <w:rFonts w:ascii="Arial" w:hAnsi="Arial" w:cs="Arial"/>
                <w:b/>
                <w:sz w:val="24"/>
                <w:szCs w:val="24"/>
              </w:rPr>
            </w:pPr>
          </w:p>
        </w:tc>
      </w:tr>
      <w:tr w:rsidR="00184D10" w:rsidRPr="00892556" w:rsidTr="001A058D">
        <w:trPr>
          <w:trHeight w:val="827"/>
        </w:trPr>
        <w:tc>
          <w:tcPr>
            <w:tcW w:w="4770" w:type="dxa"/>
          </w:tcPr>
          <w:p w:rsidR="00184D10" w:rsidRPr="00892556" w:rsidRDefault="00184D10" w:rsidP="002573BB">
            <w:pPr>
              <w:spacing w:line="360" w:lineRule="auto"/>
              <w:jc w:val="center"/>
              <w:rPr>
                <w:rFonts w:ascii="Arial" w:hAnsi="Arial" w:cs="Arial"/>
                <w:b/>
                <w:sz w:val="24"/>
                <w:szCs w:val="24"/>
              </w:rPr>
            </w:pPr>
            <w:r w:rsidRPr="00892556">
              <w:rPr>
                <w:rFonts w:ascii="Arial" w:hAnsi="Arial" w:cs="Arial"/>
                <w:b/>
                <w:sz w:val="24"/>
                <w:szCs w:val="24"/>
              </w:rPr>
              <w:t>C CLAASEN</w:t>
            </w:r>
          </w:p>
          <w:p w:rsidR="00184D10" w:rsidRPr="00892556" w:rsidRDefault="00184D10" w:rsidP="002573BB">
            <w:pPr>
              <w:spacing w:line="360" w:lineRule="auto"/>
              <w:jc w:val="center"/>
              <w:rPr>
                <w:rFonts w:ascii="Arial" w:hAnsi="Arial" w:cs="Arial"/>
                <w:b/>
                <w:sz w:val="24"/>
                <w:szCs w:val="24"/>
              </w:rPr>
            </w:pPr>
            <w:r w:rsidRPr="00892556">
              <w:rPr>
                <w:rFonts w:ascii="Arial" w:hAnsi="Arial" w:cs="Arial"/>
                <w:b/>
                <w:sz w:val="24"/>
                <w:szCs w:val="24"/>
              </w:rPr>
              <w:t>JUDGE</w:t>
            </w:r>
          </w:p>
        </w:tc>
        <w:tc>
          <w:tcPr>
            <w:tcW w:w="4860" w:type="dxa"/>
            <w:gridSpan w:val="2"/>
          </w:tcPr>
          <w:p w:rsidR="00B31626" w:rsidRPr="00892556" w:rsidRDefault="00B31626" w:rsidP="00B31626">
            <w:pPr>
              <w:spacing w:line="360" w:lineRule="auto"/>
              <w:jc w:val="center"/>
              <w:rPr>
                <w:rFonts w:ascii="Arial" w:hAnsi="Arial" w:cs="Arial"/>
                <w:b/>
                <w:i/>
                <w:sz w:val="24"/>
                <w:szCs w:val="24"/>
              </w:rPr>
            </w:pPr>
            <w:r w:rsidRPr="00892556">
              <w:rPr>
                <w:rFonts w:ascii="Arial" w:hAnsi="Arial" w:cs="Arial"/>
                <w:b/>
                <w:sz w:val="24"/>
                <w:szCs w:val="24"/>
              </w:rPr>
              <w:t>CHRISTIAAN P</w:t>
            </w:r>
          </w:p>
          <w:p w:rsidR="00184D10" w:rsidRPr="00892556" w:rsidRDefault="00B31626" w:rsidP="002573BB">
            <w:pPr>
              <w:spacing w:line="360" w:lineRule="auto"/>
              <w:jc w:val="center"/>
              <w:rPr>
                <w:rFonts w:ascii="Arial" w:hAnsi="Arial" w:cs="Arial"/>
                <w:sz w:val="24"/>
                <w:szCs w:val="24"/>
              </w:rPr>
            </w:pPr>
            <w:r w:rsidRPr="00892556">
              <w:rPr>
                <w:rFonts w:ascii="Arial" w:hAnsi="Arial" w:cs="Arial"/>
                <w:b/>
                <w:sz w:val="24"/>
                <w:szCs w:val="24"/>
              </w:rPr>
              <w:t xml:space="preserve">ACTING </w:t>
            </w:r>
            <w:r w:rsidR="00184D10" w:rsidRPr="00892556">
              <w:rPr>
                <w:rFonts w:ascii="Arial" w:hAnsi="Arial" w:cs="Arial"/>
                <w:b/>
                <w:sz w:val="24"/>
                <w:szCs w:val="24"/>
              </w:rPr>
              <w:t>JUDGE</w:t>
            </w:r>
          </w:p>
        </w:tc>
      </w:tr>
    </w:tbl>
    <w:p w:rsidR="00184D10" w:rsidRPr="00892556" w:rsidRDefault="00184D10" w:rsidP="00184D10">
      <w:pPr>
        <w:rPr>
          <w:rFonts w:ascii="Arial" w:hAnsi="Arial" w:cs="Arial"/>
          <w:sz w:val="24"/>
          <w:szCs w:val="24"/>
        </w:rPr>
      </w:pPr>
    </w:p>
    <w:p w:rsidR="002D14AD" w:rsidRPr="00892556" w:rsidRDefault="002D14AD" w:rsidP="00184D10">
      <w:pPr>
        <w:rPr>
          <w:rFonts w:ascii="Arial" w:hAnsi="Arial" w:cs="Arial"/>
          <w:sz w:val="24"/>
          <w:szCs w:val="24"/>
        </w:rPr>
      </w:pPr>
    </w:p>
    <w:sectPr w:rsidR="002D14AD" w:rsidRPr="00892556" w:rsidSect="00C4143B">
      <w:headerReference w:type="default" r:id="rId9"/>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C5E" w:rsidRDefault="00B63C5E" w:rsidP="00CA04B0">
      <w:pPr>
        <w:spacing w:after="0" w:line="240" w:lineRule="auto"/>
      </w:pPr>
      <w:r>
        <w:separator/>
      </w:r>
    </w:p>
  </w:endnote>
  <w:endnote w:type="continuationSeparator" w:id="0">
    <w:p w:rsidR="00B63C5E" w:rsidRDefault="00B63C5E" w:rsidP="00CA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C5E" w:rsidRDefault="00B63C5E" w:rsidP="00CA04B0">
      <w:pPr>
        <w:spacing w:after="0" w:line="240" w:lineRule="auto"/>
      </w:pPr>
      <w:r>
        <w:separator/>
      </w:r>
    </w:p>
  </w:footnote>
  <w:footnote w:type="continuationSeparator" w:id="0">
    <w:p w:rsidR="00B63C5E" w:rsidRDefault="00B63C5E" w:rsidP="00CA04B0">
      <w:pPr>
        <w:spacing w:after="0" w:line="240" w:lineRule="auto"/>
      </w:pPr>
      <w:r>
        <w:continuationSeparator/>
      </w:r>
    </w:p>
  </w:footnote>
  <w:footnote w:id="1">
    <w:p w:rsidR="00F118CD" w:rsidRPr="00DC38AD" w:rsidRDefault="00F118CD">
      <w:pPr>
        <w:pStyle w:val="FootnoteText"/>
        <w:rPr>
          <w:rFonts w:ascii="Arial" w:hAnsi="Arial" w:cs="Arial"/>
        </w:rPr>
      </w:pPr>
      <w:r w:rsidRPr="00DC38AD">
        <w:rPr>
          <w:rStyle w:val="FootnoteReference"/>
          <w:rFonts w:ascii="Arial" w:hAnsi="Arial" w:cs="Arial"/>
        </w:rPr>
        <w:footnoteRef/>
      </w:r>
      <w:r w:rsidRPr="00DC38AD">
        <w:rPr>
          <w:rFonts w:ascii="Arial" w:hAnsi="Arial" w:cs="Arial"/>
        </w:rPr>
        <w:t xml:space="preserve"> </w:t>
      </w:r>
      <w:r w:rsidRPr="00DC38AD">
        <w:rPr>
          <w:rFonts w:ascii="Arial" w:hAnsi="Arial" w:cs="Arial"/>
          <w:i/>
        </w:rPr>
        <w:t xml:space="preserve">S v </w:t>
      </w:r>
      <w:proofErr w:type="spellStart"/>
      <w:r w:rsidRPr="00DC38AD">
        <w:rPr>
          <w:rFonts w:ascii="Arial" w:hAnsi="Arial" w:cs="Arial"/>
          <w:i/>
        </w:rPr>
        <w:t>Friedrick</w:t>
      </w:r>
      <w:proofErr w:type="spellEnd"/>
      <w:r w:rsidR="00DC38AD" w:rsidRPr="00DC38AD">
        <w:rPr>
          <w:rFonts w:ascii="Arial" w:hAnsi="Arial" w:cs="Arial"/>
        </w:rPr>
        <w:t xml:space="preserve"> (</w:t>
      </w:r>
      <w:r w:rsidRPr="00DC38AD">
        <w:rPr>
          <w:rFonts w:ascii="Arial" w:hAnsi="Arial" w:cs="Arial"/>
        </w:rPr>
        <w:t xml:space="preserve">CR 14/2019) [2019] NAHCNLD 23 </w:t>
      </w:r>
      <w:proofErr w:type="gramStart"/>
      <w:r w:rsidRPr="00DC38AD">
        <w:rPr>
          <w:rFonts w:ascii="Arial" w:hAnsi="Arial" w:cs="Arial"/>
        </w:rPr>
        <w:t>( 28</w:t>
      </w:r>
      <w:proofErr w:type="gramEnd"/>
      <w:r w:rsidRPr="00DC38AD">
        <w:rPr>
          <w:rFonts w:ascii="Arial" w:hAnsi="Arial" w:cs="Arial"/>
        </w:rPr>
        <w:t xml:space="preserve"> February 2019)</w:t>
      </w:r>
      <w:r w:rsidR="00AD3024" w:rsidRPr="00DC38AD">
        <w:rPr>
          <w:rFonts w:ascii="Arial" w:hAnsi="Arial" w:cs="Arial"/>
        </w:rPr>
        <w:t>.</w:t>
      </w:r>
    </w:p>
  </w:footnote>
  <w:footnote w:id="2">
    <w:p w:rsidR="004C52F8" w:rsidRPr="00DC38AD" w:rsidRDefault="004C52F8" w:rsidP="004C52F8">
      <w:pPr>
        <w:pStyle w:val="FootnoteText"/>
        <w:rPr>
          <w:rFonts w:ascii="Arial" w:hAnsi="Arial" w:cs="Arial"/>
        </w:rPr>
      </w:pPr>
      <w:r w:rsidRPr="00DC38AD">
        <w:rPr>
          <w:rStyle w:val="FootnoteReference"/>
          <w:rFonts w:ascii="Arial" w:hAnsi="Arial" w:cs="Arial"/>
        </w:rPr>
        <w:footnoteRef/>
      </w:r>
      <w:r w:rsidRPr="00DC38AD">
        <w:rPr>
          <w:rFonts w:ascii="Arial" w:hAnsi="Arial" w:cs="Arial"/>
        </w:rPr>
        <w:t xml:space="preserve"> </w:t>
      </w:r>
      <w:r w:rsidRPr="00DC38AD">
        <w:rPr>
          <w:rFonts w:ascii="Arial" w:hAnsi="Arial" w:cs="Arial"/>
          <w:i/>
        </w:rPr>
        <w:t xml:space="preserve">S v </w:t>
      </w:r>
      <w:proofErr w:type="spellStart"/>
      <w:r w:rsidRPr="00DC38AD">
        <w:rPr>
          <w:rFonts w:ascii="Arial" w:hAnsi="Arial" w:cs="Arial"/>
          <w:i/>
        </w:rPr>
        <w:t>Nyumba</w:t>
      </w:r>
      <w:proofErr w:type="spellEnd"/>
      <w:r w:rsidRPr="00DC38AD">
        <w:rPr>
          <w:rFonts w:ascii="Arial" w:hAnsi="Arial" w:cs="Arial"/>
        </w:rPr>
        <w:t xml:space="preserve"> (CR 31/2019) [2</w:t>
      </w:r>
      <w:r w:rsidR="00491091" w:rsidRPr="00DC38AD">
        <w:rPr>
          <w:rFonts w:ascii="Arial" w:hAnsi="Arial" w:cs="Arial"/>
        </w:rPr>
        <w:t>019] NAHCMD 97 (12 April 2019).</w:t>
      </w:r>
    </w:p>
  </w:footnote>
  <w:footnote w:id="3">
    <w:p w:rsidR="004C52F8" w:rsidRPr="00DC38AD" w:rsidRDefault="004C52F8">
      <w:pPr>
        <w:pStyle w:val="FootnoteText"/>
        <w:rPr>
          <w:rFonts w:ascii="Arial" w:hAnsi="Arial" w:cs="Arial"/>
        </w:rPr>
      </w:pPr>
      <w:r w:rsidRPr="00DC38AD">
        <w:rPr>
          <w:rStyle w:val="FootnoteReference"/>
          <w:rFonts w:ascii="Arial" w:hAnsi="Arial" w:cs="Arial"/>
        </w:rPr>
        <w:footnoteRef/>
      </w:r>
      <w:r w:rsidRPr="00DC38AD">
        <w:rPr>
          <w:rFonts w:ascii="Arial" w:hAnsi="Arial" w:cs="Arial"/>
        </w:rPr>
        <w:t xml:space="preserve"> </w:t>
      </w:r>
      <w:r w:rsidRPr="00DC38AD">
        <w:rPr>
          <w:rFonts w:ascii="Arial" w:hAnsi="Arial" w:cs="Arial"/>
          <w:i/>
        </w:rPr>
        <w:t xml:space="preserve">S v </w:t>
      </w:r>
      <w:proofErr w:type="spellStart"/>
      <w:r w:rsidRPr="00DC38AD">
        <w:rPr>
          <w:rFonts w:ascii="Arial" w:hAnsi="Arial" w:cs="Arial"/>
          <w:i/>
        </w:rPr>
        <w:t>Zauisomwe</w:t>
      </w:r>
      <w:proofErr w:type="spellEnd"/>
      <w:r w:rsidRPr="00DC38AD">
        <w:rPr>
          <w:rFonts w:ascii="Arial" w:hAnsi="Arial" w:cs="Arial"/>
        </w:rPr>
        <w:t xml:space="preserve"> (CR 10/2020) [2020] NAHCMD 44 (11 February 2020).</w:t>
      </w:r>
    </w:p>
  </w:footnote>
  <w:footnote w:id="4">
    <w:p w:rsidR="001A058D" w:rsidRPr="00DC38AD" w:rsidRDefault="001A058D" w:rsidP="001A058D">
      <w:pPr>
        <w:spacing w:line="360" w:lineRule="auto"/>
        <w:jc w:val="both"/>
        <w:rPr>
          <w:rFonts w:ascii="Arial" w:hAnsi="Arial" w:cs="Arial"/>
          <w:color w:val="0D0D0D" w:themeColor="text1" w:themeTint="F2"/>
          <w:sz w:val="20"/>
          <w:szCs w:val="20"/>
        </w:rPr>
      </w:pPr>
      <w:r w:rsidRPr="00DC38AD">
        <w:rPr>
          <w:rStyle w:val="FootnoteReference"/>
          <w:rFonts w:ascii="Arial" w:hAnsi="Arial" w:cs="Arial"/>
          <w:color w:val="0D0D0D" w:themeColor="text1" w:themeTint="F2"/>
          <w:sz w:val="20"/>
          <w:szCs w:val="20"/>
        </w:rPr>
        <w:footnoteRef/>
      </w:r>
      <w:r w:rsidRPr="00DC38AD">
        <w:rPr>
          <w:rFonts w:ascii="Arial" w:hAnsi="Arial" w:cs="Arial"/>
          <w:color w:val="0D0D0D" w:themeColor="text1" w:themeTint="F2"/>
          <w:sz w:val="20"/>
          <w:szCs w:val="20"/>
        </w:rPr>
        <w:t xml:space="preserve"> </w:t>
      </w:r>
      <w:r w:rsidRPr="00DC38AD">
        <w:rPr>
          <w:rFonts w:ascii="Arial" w:hAnsi="Arial" w:cs="Arial"/>
          <w:i/>
          <w:color w:val="0D0D0D" w:themeColor="text1" w:themeTint="F2"/>
          <w:sz w:val="20"/>
          <w:szCs w:val="20"/>
        </w:rPr>
        <w:t xml:space="preserve">S v </w:t>
      </w:r>
      <w:proofErr w:type="spellStart"/>
      <w:r w:rsidRPr="00DC38AD">
        <w:rPr>
          <w:rFonts w:ascii="Arial" w:hAnsi="Arial" w:cs="Arial"/>
          <w:i/>
          <w:color w:val="0D0D0D" w:themeColor="text1" w:themeTint="F2"/>
          <w:sz w:val="20"/>
          <w:szCs w:val="20"/>
        </w:rPr>
        <w:t>Plaaitjie</w:t>
      </w:r>
      <w:proofErr w:type="spellEnd"/>
      <w:r w:rsidRPr="00DC38AD">
        <w:rPr>
          <w:rFonts w:ascii="Arial" w:hAnsi="Arial" w:cs="Arial"/>
          <w:i/>
          <w:color w:val="0D0D0D" w:themeColor="text1" w:themeTint="F2"/>
          <w:sz w:val="20"/>
          <w:szCs w:val="20"/>
        </w:rPr>
        <w:t xml:space="preserve"> </w:t>
      </w:r>
      <w:r w:rsidRPr="00DC38AD">
        <w:rPr>
          <w:rFonts w:ascii="Arial" w:hAnsi="Arial" w:cs="Arial"/>
          <w:color w:val="0D0D0D" w:themeColor="text1" w:themeTint="F2"/>
          <w:sz w:val="20"/>
          <w:szCs w:val="20"/>
        </w:rPr>
        <w:t>(CR 58/2020) [2020] NAHCMD 362 (18 August 2020)</w:t>
      </w:r>
      <w:r w:rsidR="00AD3024" w:rsidRPr="00DC38AD">
        <w:rPr>
          <w:rFonts w:ascii="Arial" w:hAnsi="Arial" w:cs="Arial"/>
          <w:color w:val="0D0D0D" w:themeColor="text1" w:themeTint="F2"/>
          <w:sz w:val="20"/>
          <w:szCs w:val="20"/>
        </w:rPr>
        <w:t>.</w:t>
      </w:r>
    </w:p>
    <w:p w:rsidR="001A058D" w:rsidRPr="00DC38AD" w:rsidRDefault="001A058D">
      <w:pPr>
        <w:pStyle w:val="FootnoteText"/>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590510"/>
      <w:docPartObj>
        <w:docPartGallery w:val="Page Numbers (Top of Page)"/>
        <w:docPartUnique/>
      </w:docPartObj>
    </w:sdtPr>
    <w:sdtEndPr>
      <w:rPr>
        <w:noProof/>
      </w:rPr>
    </w:sdtEndPr>
    <w:sdtContent>
      <w:p w:rsidR="00C4143B" w:rsidRDefault="00C4143B">
        <w:pPr>
          <w:pStyle w:val="Header"/>
          <w:jc w:val="right"/>
        </w:pPr>
        <w:r>
          <w:fldChar w:fldCharType="begin"/>
        </w:r>
        <w:r>
          <w:instrText xml:space="preserve"> PAGE   \* MERGEFORMAT </w:instrText>
        </w:r>
        <w:r>
          <w:fldChar w:fldCharType="separate"/>
        </w:r>
        <w:r w:rsidR="00A00A1E">
          <w:rPr>
            <w:noProof/>
          </w:rPr>
          <w:t>5</w:t>
        </w:r>
        <w:r>
          <w:rPr>
            <w:noProof/>
          </w:rPr>
          <w:fldChar w:fldCharType="end"/>
        </w:r>
      </w:p>
    </w:sdtContent>
  </w:sdt>
  <w:p w:rsidR="00C4143B" w:rsidRDefault="00C414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A6A3C"/>
    <w:multiLevelType w:val="hybridMultilevel"/>
    <w:tmpl w:val="5D5C2982"/>
    <w:lvl w:ilvl="0" w:tplc="C5CE2D10">
      <w:start w:val="1"/>
      <w:numFmt w:val="decimal"/>
      <w:lvlText w:val="%1."/>
      <w:lvlJc w:val="left"/>
      <w:pPr>
        <w:ind w:left="936" w:hanging="360"/>
      </w:pPr>
      <w:rPr>
        <w:rFonts w:ascii="Arial" w:eastAsiaTheme="minorHAnsi" w:hAnsi="Arial" w:cs="Arial"/>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
    <w:nsid w:val="1777589D"/>
    <w:multiLevelType w:val="hybridMultilevel"/>
    <w:tmpl w:val="B2EEE31A"/>
    <w:lvl w:ilvl="0" w:tplc="C5CE2D10">
      <w:start w:val="1"/>
      <w:numFmt w:val="decimal"/>
      <w:lvlText w:val="%1."/>
      <w:lvlJc w:val="left"/>
      <w:pPr>
        <w:ind w:left="936" w:hanging="360"/>
      </w:pPr>
      <w:rPr>
        <w:rFonts w:ascii="Arial" w:eastAsiaTheme="minorHAnsi" w:hAnsi="Arial" w:cs="Arial"/>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
    <w:nsid w:val="362F6D05"/>
    <w:multiLevelType w:val="hybridMultilevel"/>
    <w:tmpl w:val="AE64C4D4"/>
    <w:lvl w:ilvl="0" w:tplc="A7E211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67C7DB5"/>
    <w:multiLevelType w:val="hybridMultilevel"/>
    <w:tmpl w:val="4AD2B056"/>
    <w:lvl w:ilvl="0" w:tplc="719AA04E">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
    <w:nsid w:val="37296C14"/>
    <w:multiLevelType w:val="hybridMultilevel"/>
    <w:tmpl w:val="15B89432"/>
    <w:lvl w:ilvl="0" w:tplc="4AFC0F16">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nsid w:val="3FAC73DE"/>
    <w:multiLevelType w:val="hybridMultilevel"/>
    <w:tmpl w:val="80C6BD5E"/>
    <w:lvl w:ilvl="0" w:tplc="6A3E5886">
      <w:start w:val="1"/>
      <w:numFmt w:val="lowerLetter"/>
      <w:lvlText w:val="%1)"/>
      <w:lvlJc w:val="left"/>
      <w:pPr>
        <w:ind w:left="720" w:hanging="360"/>
      </w:pPr>
      <w:rPr>
        <w:rFonts w:ascii="Arial Narrow" w:eastAsiaTheme="minorHAnsi" w:hAnsi="Arial Narrow"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544A82"/>
    <w:multiLevelType w:val="hybridMultilevel"/>
    <w:tmpl w:val="D9F0835C"/>
    <w:lvl w:ilvl="0" w:tplc="FE64CA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B4E44E1"/>
    <w:multiLevelType w:val="hybridMultilevel"/>
    <w:tmpl w:val="DC8C7D34"/>
    <w:lvl w:ilvl="0" w:tplc="C5CE2D10">
      <w:start w:val="1"/>
      <w:numFmt w:val="decimal"/>
      <w:lvlText w:val="%1."/>
      <w:lvlJc w:val="left"/>
      <w:pPr>
        <w:ind w:left="936" w:hanging="360"/>
      </w:pPr>
      <w:rPr>
        <w:rFonts w:ascii="Arial" w:eastAsiaTheme="minorHAnsi" w:hAnsi="Arial" w:cs="Arial"/>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8">
    <w:nsid w:val="4E5F4BF5"/>
    <w:multiLevelType w:val="hybridMultilevel"/>
    <w:tmpl w:val="6C1CE8EC"/>
    <w:lvl w:ilvl="0" w:tplc="989C1044">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nsid w:val="65B4720C"/>
    <w:multiLevelType w:val="hybridMultilevel"/>
    <w:tmpl w:val="6DDCF790"/>
    <w:lvl w:ilvl="0" w:tplc="7C1A6D8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731A7ACB"/>
    <w:multiLevelType w:val="hybridMultilevel"/>
    <w:tmpl w:val="AFFA79E4"/>
    <w:lvl w:ilvl="0" w:tplc="97700D3C">
      <w:start w:val="1"/>
      <w:numFmt w:val="decimal"/>
      <w:lvlText w:val="[%1]"/>
      <w:lvlJc w:val="left"/>
      <w:pPr>
        <w:ind w:left="576"/>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C5DC3B8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5CE65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F43D8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60F52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1AAAD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15CDE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BC02A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3299B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6"/>
  </w:num>
  <w:num w:numId="3">
    <w:abstractNumId w:val="5"/>
  </w:num>
  <w:num w:numId="4">
    <w:abstractNumId w:val="2"/>
  </w:num>
  <w:num w:numId="5">
    <w:abstractNumId w:val="1"/>
  </w:num>
  <w:num w:numId="6">
    <w:abstractNumId w:val="4"/>
  </w:num>
  <w:num w:numId="7">
    <w:abstractNumId w:val="3"/>
  </w:num>
  <w:num w:numId="8">
    <w:abstractNumId w:val="7"/>
  </w:num>
  <w:num w:numId="9">
    <w:abstractNumId w:val="9"/>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4B0"/>
    <w:rsid w:val="00025045"/>
    <w:rsid w:val="000279C1"/>
    <w:rsid w:val="000726D5"/>
    <w:rsid w:val="000748F9"/>
    <w:rsid w:val="00081C66"/>
    <w:rsid w:val="00085688"/>
    <w:rsid w:val="00092517"/>
    <w:rsid w:val="000A2AB9"/>
    <w:rsid w:val="000C3C29"/>
    <w:rsid w:val="000C6E69"/>
    <w:rsid w:val="000C72FB"/>
    <w:rsid w:val="000D3618"/>
    <w:rsid w:val="000D642F"/>
    <w:rsid w:val="001020C3"/>
    <w:rsid w:val="00142BFE"/>
    <w:rsid w:val="00154A06"/>
    <w:rsid w:val="0016091A"/>
    <w:rsid w:val="00184D10"/>
    <w:rsid w:val="001858F1"/>
    <w:rsid w:val="001A058D"/>
    <w:rsid w:val="001F58A0"/>
    <w:rsid w:val="0020546C"/>
    <w:rsid w:val="00241221"/>
    <w:rsid w:val="00267F02"/>
    <w:rsid w:val="0027728E"/>
    <w:rsid w:val="002A4D08"/>
    <w:rsid w:val="002B0741"/>
    <w:rsid w:val="002D14AD"/>
    <w:rsid w:val="002D72FB"/>
    <w:rsid w:val="002E4AD7"/>
    <w:rsid w:val="00312257"/>
    <w:rsid w:val="003128EE"/>
    <w:rsid w:val="003238C1"/>
    <w:rsid w:val="003636B0"/>
    <w:rsid w:val="0036741C"/>
    <w:rsid w:val="003702EA"/>
    <w:rsid w:val="00373849"/>
    <w:rsid w:val="00377D25"/>
    <w:rsid w:val="00381901"/>
    <w:rsid w:val="00384474"/>
    <w:rsid w:val="00384FEE"/>
    <w:rsid w:val="003E4436"/>
    <w:rsid w:val="00400C53"/>
    <w:rsid w:val="00411D03"/>
    <w:rsid w:val="004471D0"/>
    <w:rsid w:val="00447C60"/>
    <w:rsid w:val="00480AEB"/>
    <w:rsid w:val="0048480E"/>
    <w:rsid w:val="00491091"/>
    <w:rsid w:val="004C52F8"/>
    <w:rsid w:val="004F2BB5"/>
    <w:rsid w:val="00501D55"/>
    <w:rsid w:val="00543E1E"/>
    <w:rsid w:val="00577B7D"/>
    <w:rsid w:val="00593DFB"/>
    <w:rsid w:val="005C6396"/>
    <w:rsid w:val="005F4FAA"/>
    <w:rsid w:val="0064665E"/>
    <w:rsid w:val="00650AEF"/>
    <w:rsid w:val="00656D05"/>
    <w:rsid w:val="00685C4B"/>
    <w:rsid w:val="00697BB8"/>
    <w:rsid w:val="006A345A"/>
    <w:rsid w:val="006C591E"/>
    <w:rsid w:val="006C6B03"/>
    <w:rsid w:val="006D3B6C"/>
    <w:rsid w:val="007124C6"/>
    <w:rsid w:val="0072433C"/>
    <w:rsid w:val="00752FF1"/>
    <w:rsid w:val="007614FB"/>
    <w:rsid w:val="00773BAD"/>
    <w:rsid w:val="007C4CBE"/>
    <w:rsid w:val="007F0965"/>
    <w:rsid w:val="00803A49"/>
    <w:rsid w:val="008137E8"/>
    <w:rsid w:val="008234B8"/>
    <w:rsid w:val="008412EA"/>
    <w:rsid w:val="008463B5"/>
    <w:rsid w:val="008520F5"/>
    <w:rsid w:val="008565FA"/>
    <w:rsid w:val="00873219"/>
    <w:rsid w:val="00873560"/>
    <w:rsid w:val="00876966"/>
    <w:rsid w:val="00877085"/>
    <w:rsid w:val="00881D1F"/>
    <w:rsid w:val="00892556"/>
    <w:rsid w:val="008A1337"/>
    <w:rsid w:val="008B3E53"/>
    <w:rsid w:val="008B4B6B"/>
    <w:rsid w:val="008B52A4"/>
    <w:rsid w:val="008D48D0"/>
    <w:rsid w:val="008E4DFD"/>
    <w:rsid w:val="008E7D93"/>
    <w:rsid w:val="00923E4D"/>
    <w:rsid w:val="00934193"/>
    <w:rsid w:val="00945D91"/>
    <w:rsid w:val="00967269"/>
    <w:rsid w:val="009A7E1B"/>
    <w:rsid w:val="009B1596"/>
    <w:rsid w:val="009C3308"/>
    <w:rsid w:val="009E0193"/>
    <w:rsid w:val="00A00A1E"/>
    <w:rsid w:val="00A10E45"/>
    <w:rsid w:val="00A17C7D"/>
    <w:rsid w:val="00A370C7"/>
    <w:rsid w:val="00A62C3D"/>
    <w:rsid w:val="00A72996"/>
    <w:rsid w:val="00A80FEC"/>
    <w:rsid w:val="00AD3024"/>
    <w:rsid w:val="00AD6980"/>
    <w:rsid w:val="00B31626"/>
    <w:rsid w:val="00B34815"/>
    <w:rsid w:val="00B365A4"/>
    <w:rsid w:val="00B45070"/>
    <w:rsid w:val="00B57CE9"/>
    <w:rsid w:val="00B63C5E"/>
    <w:rsid w:val="00B74999"/>
    <w:rsid w:val="00B95466"/>
    <w:rsid w:val="00BC0AFF"/>
    <w:rsid w:val="00BE2A8B"/>
    <w:rsid w:val="00BF4A1C"/>
    <w:rsid w:val="00C4131E"/>
    <w:rsid w:val="00C4143B"/>
    <w:rsid w:val="00C41D8A"/>
    <w:rsid w:val="00C740D7"/>
    <w:rsid w:val="00C8253F"/>
    <w:rsid w:val="00C82791"/>
    <w:rsid w:val="00CA04B0"/>
    <w:rsid w:val="00CD18B6"/>
    <w:rsid w:val="00D20A92"/>
    <w:rsid w:val="00D211D2"/>
    <w:rsid w:val="00D324E4"/>
    <w:rsid w:val="00D40038"/>
    <w:rsid w:val="00D43465"/>
    <w:rsid w:val="00D63BDD"/>
    <w:rsid w:val="00D65547"/>
    <w:rsid w:val="00D65623"/>
    <w:rsid w:val="00D7429B"/>
    <w:rsid w:val="00DB4CEF"/>
    <w:rsid w:val="00DC2553"/>
    <w:rsid w:val="00DC38AD"/>
    <w:rsid w:val="00DD0676"/>
    <w:rsid w:val="00DE6D42"/>
    <w:rsid w:val="00DF5D1B"/>
    <w:rsid w:val="00E22FA4"/>
    <w:rsid w:val="00E31D8B"/>
    <w:rsid w:val="00E515E7"/>
    <w:rsid w:val="00E71B2B"/>
    <w:rsid w:val="00E724B5"/>
    <w:rsid w:val="00EB1D0C"/>
    <w:rsid w:val="00ED17A4"/>
    <w:rsid w:val="00F118CD"/>
    <w:rsid w:val="00F20951"/>
    <w:rsid w:val="00F279D6"/>
    <w:rsid w:val="00F66A59"/>
    <w:rsid w:val="00F926EB"/>
    <w:rsid w:val="00FA3193"/>
    <w:rsid w:val="00FB4316"/>
    <w:rsid w:val="00FB4C2E"/>
    <w:rsid w:val="00FC2179"/>
    <w:rsid w:val="00FC4C80"/>
    <w:rsid w:val="00FD12DF"/>
    <w:rsid w:val="00FD4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73825C-AA64-4F89-B0F0-57B2772A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D10"/>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04B0"/>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A04B0"/>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CA04B0"/>
    <w:rPr>
      <w:sz w:val="20"/>
      <w:szCs w:val="20"/>
      <w:lang w:val="en-US"/>
    </w:rPr>
  </w:style>
  <w:style w:type="character" w:styleId="FootnoteReference">
    <w:name w:val="footnote reference"/>
    <w:basedOn w:val="DefaultParagraphFont"/>
    <w:uiPriority w:val="99"/>
    <w:semiHidden/>
    <w:unhideWhenUsed/>
    <w:rsid w:val="00CA04B0"/>
    <w:rPr>
      <w:vertAlign w:val="superscript"/>
    </w:rPr>
  </w:style>
  <w:style w:type="paragraph" w:styleId="ListParagraph">
    <w:name w:val="List Paragraph"/>
    <w:basedOn w:val="Normal"/>
    <w:uiPriority w:val="34"/>
    <w:qFormat/>
    <w:rsid w:val="00184D10"/>
    <w:pPr>
      <w:ind w:left="720"/>
      <w:contextualSpacing/>
    </w:pPr>
  </w:style>
  <w:style w:type="paragraph" w:styleId="BalloonText">
    <w:name w:val="Balloon Text"/>
    <w:basedOn w:val="Normal"/>
    <w:link w:val="BalloonTextChar"/>
    <w:uiPriority w:val="99"/>
    <w:semiHidden/>
    <w:unhideWhenUsed/>
    <w:rsid w:val="00B348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815"/>
    <w:rPr>
      <w:rFonts w:ascii="Segoe UI" w:hAnsi="Segoe UI" w:cs="Segoe UI"/>
      <w:sz w:val="18"/>
      <w:szCs w:val="18"/>
      <w:lang w:val="en-ZA"/>
    </w:rPr>
  </w:style>
  <w:style w:type="paragraph" w:styleId="Header">
    <w:name w:val="header"/>
    <w:basedOn w:val="Normal"/>
    <w:link w:val="HeaderChar"/>
    <w:uiPriority w:val="99"/>
    <w:unhideWhenUsed/>
    <w:rsid w:val="00C41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43B"/>
    <w:rPr>
      <w:lang w:val="en-ZA"/>
    </w:rPr>
  </w:style>
  <w:style w:type="paragraph" w:styleId="Footer">
    <w:name w:val="footer"/>
    <w:basedOn w:val="Normal"/>
    <w:link w:val="FooterChar"/>
    <w:uiPriority w:val="99"/>
    <w:unhideWhenUsed/>
    <w:rsid w:val="00C41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43B"/>
    <w:rPr>
      <w:lang w:val="en-ZA"/>
    </w:rPr>
  </w:style>
  <w:style w:type="character" w:styleId="CommentReference">
    <w:name w:val="annotation reference"/>
    <w:basedOn w:val="DefaultParagraphFont"/>
    <w:uiPriority w:val="99"/>
    <w:semiHidden/>
    <w:unhideWhenUsed/>
    <w:rsid w:val="00373849"/>
    <w:rPr>
      <w:sz w:val="16"/>
      <w:szCs w:val="16"/>
    </w:rPr>
  </w:style>
  <w:style w:type="paragraph" w:styleId="CommentText">
    <w:name w:val="annotation text"/>
    <w:basedOn w:val="Normal"/>
    <w:link w:val="CommentTextChar"/>
    <w:uiPriority w:val="99"/>
    <w:semiHidden/>
    <w:unhideWhenUsed/>
    <w:rsid w:val="00373849"/>
    <w:pPr>
      <w:spacing w:line="240" w:lineRule="auto"/>
    </w:pPr>
    <w:rPr>
      <w:sz w:val="20"/>
      <w:szCs w:val="20"/>
    </w:rPr>
  </w:style>
  <w:style w:type="character" w:customStyle="1" w:styleId="CommentTextChar">
    <w:name w:val="Comment Text Char"/>
    <w:basedOn w:val="DefaultParagraphFont"/>
    <w:link w:val="CommentText"/>
    <w:uiPriority w:val="99"/>
    <w:semiHidden/>
    <w:rsid w:val="00373849"/>
    <w:rPr>
      <w:sz w:val="20"/>
      <w:szCs w:val="20"/>
      <w:lang w:val="en-ZA"/>
    </w:rPr>
  </w:style>
  <w:style w:type="paragraph" w:styleId="CommentSubject">
    <w:name w:val="annotation subject"/>
    <w:basedOn w:val="CommentText"/>
    <w:next w:val="CommentText"/>
    <w:link w:val="CommentSubjectChar"/>
    <w:uiPriority w:val="99"/>
    <w:semiHidden/>
    <w:unhideWhenUsed/>
    <w:rsid w:val="00373849"/>
    <w:rPr>
      <w:b/>
      <w:bCs/>
    </w:rPr>
  </w:style>
  <w:style w:type="character" w:customStyle="1" w:styleId="CommentSubjectChar">
    <w:name w:val="Comment Subject Char"/>
    <w:basedOn w:val="CommentTextChar"/>
    <w:link w:val="CommentSubject"/>
    <w:uiPriority w:val="99"/>
    <w:semiHidden/>
    <w:rsid w:val="00373849"/>
    <w:rPr>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253446">
      <w:bodyDiv w:val="1"/>
      <w:marLeft w:val="0"/>
      <w:marRight w:val="0"/>
      <w:marTop w:val="0"/>
      <w:marBottom w:val="0"/>
      <w:divBdr>
        <w:top w:val="none" w:sz="0" w:space="0" w:color="auto"/>
        <w:left w:val="none" w:sz="0" w:space="0" w:color="auto"/>
        <w:bottom w:val="none" w:sz="0" w:space="0" w:color="auto"/>
        <w:right w:val="none" w:sz="0" w:space="0" w:color="auto"/>
      </w:divBdr>
    </w:div>
    <w:div w:id="776490271">
      <w:bodyDiv w:val="1"/>
      <w:marLeft w:val="0"/>
      <w:marRight w:val="0"/>
      <w:marTop w:val="0"/>
      <w:marBottom w:val="0"/>
      <w:divBdr>
        <w:top w:val="none" w:sz="0" w:space="0" w:color="auto"/>
        <w:left w:val="none" w:sz="0" w:space="0" w:color="auto"/>
        <w:bottom w:val="none" w:sz="0" w:space="0" w:color="auto"/>
        <w:right w:val="none" w:sz="0" w:space="0" w:color="auto"/>
      </w:divBdr>
    </w:div>
    <w:div w:id="187973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2023-07-06T18:30:00+00:00</Judgment_x0020_Date>
  </documentManagement>
</p:properties>
</file>

<file path=customXml/itemProps1.xml><?xml version="1.0" encoding="utf-8"?>
<ds:datastoreItem xmlns:ds="http://schemas.openxmlformats.org/officeDocument/2006/customXml" ds:itemID="{BC8CBB8D-AC4D-406F-A439-9E23B4E8C641}"/>
</file>

<file path=customXml/itemProps2.xml><?xml version="1.0" encoding="utf-8"?>
<ds:datastoreItem xmlns:ds="http://schemas.openxmlformats.org/officeDocument/2006/customXml" ds:itemID="{521E139C-CE1F-454D-A377-A1A6C148913E}"/>
</file>

<file path=customXml/itemProps3.xml><?xml version="1.0" encoding="utf-8"?>
<ds:datastoreItem xmlns:ds="http://schemas.openxmlformats.org/officeDocument/2006/customXml" ds:itemID="{BDF7591C-7311-4B08-80F0-3A7A1BCA569D}"/>
</file>

<file path=customXml/itemProps4.xml><?xml version="1.0" encoding="utf-8"?>
<ds:datastoreItem xmlns:ds="http://schemas.openxmlformats.org/officeDocument/2006/customXml" ds:itemID="{DCD5892C-FE9B-4088-93FA-DECD7634681C}"/>
</file>

<file path=docProps/app.xml><?xml version="1.0" encoding="utf-8"?>
<Properties xmlns="http://schemas.openxmlformats.org/officeDocument/2006/extended-properties" xmlns:vt="http://schemas.openxmlformats.org/officeDocument/2006/docPropsVTypes">
  <Template>Normal</Template>
  <TotalTime>1</TotalTime>
  <Pages>5</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Kahuika (CR 75-2023) [2023] NAHCMD 385 (07 July2023)</dc:title>
  <dc:subject/>
  <dc:creator>Ernestine N. Jansen</dc:creator>
  <cp:keywords/>
  <dc:description/>
  <cp:lastModifiedBy>Ernestine N. Jansen</cp:lastModifiedBy>
  <cp:revision>2</cp:revision>
  <cp:lastPrinted>2023-07-07T09:28:00Z</cp:lastPrinted>
  <dcterms:created xsi:type="dcterms:W3CDTF">2023-07-07T09:48:00Z</dcterms:created>
  <dcterms:modified xsi:type="dcterms:W3CDTF">2023-07-07T09:48:00Z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