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9E31" w14:textId="77777777" w:rsidR="00771731" w:rsidRPr="00BF4BA0" w:rsidRDefault="00771731" w:rsidP="00771731">
      <w:pPr>
        <w:spacing w:after="0" w:line="360" w:lineRule="auto"/>
        <w:jc w:val="center"/>
        <w:rPr>
          <w:rFonts w:ascii="Arial" w:hAnsi="Arial" w:cs="Arial"/>
          <w:b/>
          <w:noProof/>
          <w:sz w:val="24"/>
        </w:rPr>
      </w:pPr>
      <w:r w:rsidRPr="00BF4BA0">
        <w:rPr>
          <w:rFonts w:ascii="Arial" w:hAnsi="Arial" w:cs="Arial"/>
          <w:b/>
          <w:noProof/>
          <w:sz w:val="24"/>
        </w:rPr>
        <w:t>REPUBLIC OF NAMIBIA</w:t>
      </w:r>
    </w:p>
    <w:p w14:paraId="0E93970B" w14:textId="77777777" w:rsidR="00771731" w:rsidRPr="00BF4BA0" w:rsidRDefault="00771731" w:rsidP="00771731">
      <w:pPr>
        <w:spacing w:after="0"/>
        <w:jc w:val="center"/>
      </w:pPr>
      <w:r w:rsidRPr="00BF4BA0">
        <w:rPr>
          <w:rFonts w:ascii="Bookman Old Style" w:hAnsi="Bookman Old Style"/>
          <w:noProof/>
          <w:lang w:eastAsia="en-ZA"/>
        </w:rPr>
        <w:drawing>
          <wp:inline distT="0" distB="0" distL="0" distR="0" wp14:anchorId="6B2D064A" wp14:editId="395733B4">
            <wp:extent cx="1429829"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209" cy="1298462"/>
                    </a:xfrm>
                    <a:prstGeom prst="rect">
                      <a:avLst/>
                    </a:prstGeom>
                    <a:noFill/>
                    <a:ln>
                      <a:noFill/>
                    </a:ln>
                  </pic:spPr>
                </pic:pic>
              </a:graphicData>
            </a:graphic>
          </wp:inline>
        </w:drawing>
      </w:r>
    </w:p>
    <w:p w14:paraId="4F164149" w14:textId="77777777" w:rsidR="00771731" w:rsidRPr="00BF4BA0" w:rsidRDefault="00771731" w:rsidP="00771731">
      <w:pPr>
        <w:spacing w:after="0"/>
        <w:jc w:val="center"/>
      </w:pPr>
    </w:p>
    <w:p w14:paraId="23D36184" w14:textId="77777777" w:rsidR="00771731" w:rsidRPr="00BF4BA0" w:rsidRDefault="00771731" w:rsidP="00771731">
      <w:pPr>
        <w:spacing w:after="0" w:line="360" w:lineRule="auto"/>
        <w:jc w:val="center"/>
        <w:rPr>
          <w:rFonts w:ascii="Arial" w:hAnsi="Arial" w:cs="Arial"/>
          <w:b/>
          <w:sz w:val="24"/>
        </w:rPr>
      </w:pPr>
      <w:r w:rsidRPr="00BF4BA0">
        <w:rPr>
          <w:rFonts w:ascii="Arial" w:hAnsi="Arial" w:cs="Arial"/>
          <w:b/>
          <w:sz w:val="24"/>
        </w:rPr>
        <w:t>HIGH COURT OF NAMIBIA MAIN DIVISION, WINDHOEK</w:t>
      </w:r>
    </w:p>
    <w:p w14:paraId="7F50D02D" w14:textId="77777777" w:rsidR="00771731" w:rsidRPr="00BF4BA0" w:rsidRDefault="00771731" w:rsidP="00771731">
      <w:pPr>
        <w:spacing w:after="0" w:line="360" w:lineRule="auto"/>
        <w:jc w:val="center"/>
        <w:rPr>
          <w:rFonts w:ascii="Arial" w:hAnsi="Arial" w:cs="Arial"/>
          <w:b/>
          <w:sz w:val="24"/>
        </w:rPr>
      </w:pPr>
    </w:p>
    <w:p w14:paraId="5A4F5CA3" w14:textId="77777777" w:rsidR="00771731" w:rsidRPr="00BF4BA0" w:rsidRDefault="00771731" w:rsidP="00771731">
      <w:pPr>
        <w:spacing w:after="0" w:line="360" w:lineRule="auto"/>
        <w:jc w:val="center"/>
        <w:rPr>
          <w:rFonts w:ascii="Arial" w:hAnsi="Arial" w:cs="Arial"/>
          <w:b/>
          <w:sz w:val="24"/>
        </w:rPr>
      </w:pPr>
      <w:r w:rsidRPr="00BF4BA0">
        <w:rPr>
          <w:rFonts w:ascii="Arial" w:hAnsi="Arial" w:cs="Arial"/>
          <w:b/>
          <w:sz w:val="24"/>
        </w:rPr>
        <w:t>JUDGMENT</w:t>
      </w:r>
    </w:p>
    <w:p w14:paraId="31A1B0A8" w14:textId="77777777" w:rsidR="00771731" w:rsidRPr="00BF4BA0" w:rsidRDefault="00771731" w:rsidP="00771731">
      <w:pPr>
        <w:spacing w:after="0" w:line="360" w:lineRule="auto"/>
        <w:jc w:val="right"/>
        <w:rPr>
          <w:rFonts w:ascii="Arial" w:hAnsi="Arial" w:cs="Arial"/>
          <w:sz w:val="24"/>
          <w:szCs w:val="24"/>
        </w:rPr>
      </w:pPr>
    </w:p>
    <w:p w14:paraId="2302F5E6" w14:textId="77777777" w:rsidR="00771731" w:rsidRPr="00BF4BA0" w:rsidRDefault="00771731" w:rsidP="00771731">
      <w:pPr>
        <w:spacing w:after="0" w:line="360" w:lineRule="auto"/>
        <w:jc w:val="right"/>
        <w:rPr>
          <w:rFonts w:ascii="Arial" w:hAnsi="Arial" w:cs="Arial"/>
          <w:sz w:val="24"/>
          <w:szCs w:val="24"/>
          <w:shd w:val="clear" w:color="auto" w:fill="FFFFFF"/>
        </w:rPr>
      </w:pPr>
      <w:r w:rsidRPr="00BF4BA0">
        <w:rPr>
          <w:rFonts w:ascii="Arial" w:hAnsi="Arial" w:cs="Arial"/>
          <w:sz w:val="24"/>
          <w:szCs w:val="24"/>
        </w:rPr>
        <w:t xml:space="preserve">Case no.: </w:t>
      </w:r>
      <w:r w:rsidRPr="00BF4BA0">
        <w:rPr>
          <w:rFonts w:ascii="Arial" w:hAnsi="Arial" w:cs="Arial"/>
          <w:sz w:val="24"/>
          <w:szCs w:val="24"/>
          <w:shd w:val="clear" w:color="auto" w:fill="FFFFFF"/>
        </w:rPr>
        <w:t>HC-MD-CIV-ACT-CON-2019/05085</w:t>
      </w:r>
    </w:p>
    <w:p w14:paraId="43A03C5D"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sz w:val="24"/>
          <w:szCs w:val="24"/>
          <w:shd w:val="clear" w:color="auto" w:fill="FFFFFF"/>
        </w:rPr>
        <w:t>In the matter between:</w:t>
      </w:r>
    </w:p>
    <w:p w14:paraId="7538A462" w14:textId="77777777" w:rsidR="00771731" w:rsidRPr="00BF4BA0" w:rsidRDefault="00771731" w:rsidP="00771731">
      <w:pPr>
        <w:spacing w:after="0" w:line="360" w:lineRule="auto"/>
        <w:jc w:val="both"/>
        <w:rPr>
          <w:rFonts w:ascii="Arial" w:hAnsi="Arial" w:cs="Arial"/>
          <w:b/>
          <w:sz w:val="24"/>
          <w:szCs w:val="24"/>
          <w:shd w:val="clear" w:color="auto" w:fill="FFFFFF"/>
        </w:rPr>
      </w:pPr>
    </w:p>
    <w:p w14:paraId="19073353" w14:textId="77777777" w:rsidR="00771731" w:rsidRPr="00BF4BA0" w:rsidRDefault="00771731" w:rsidP="00771731">
      <w:pPr>
        <w:spacing w:after="100" w:line="360" w:lineRule="auto"/>
        <w:jc w:val="both"/>
        <w:rPr>
          <w:rFonts w:ascii="Arial" w:hAnsi="Arial" w:cs="Arial"/>
          <w:b/>
          <w:sz w:val="24"/>
          <w:szCs w:val="24"/>
          <w:shd w:val="clear" w:color="auto" w:fill="FFFFFF"/>
        </w:rPr>
      </w:pPr>
      <w:r w:rsidRPr="00BF4BA0">
        <w:rPr>
          <w:rFonts w:ascii="Arial" w:hAnsi="Arial" w:cs="Arial"/>
          <w:b/>
          <w:sz w:val="24"/>
          <w:szCs w:val="24"/>
          <w:shd w:val="clear" w:color="auto" w:fill="FFFFFF"/>
        </w:rPr>
        <w:t>STANDARD BANK NAMIBIA</w:t>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t xml:space="preserve"> APPLICANT</w:t>
      </w:r>
    </w:p>
    <w:p w14:paraId="4448A409" w14:textId="77777777" w:rsidR="00771731" w:rsidRPr="00BF4BA0" w:rsidRDefault="00771731" w:rsidP="00771731">
      <w:pPr>
        <w:spacing w:after="0" w:line="360" w:lineRule="auto"/>
        <w:jc w:val="both"/>
        <w:rPr>
          <w:rFonts w:ascii="Arial" w:hAnsi="Arial" w:cs="Arial"/>
          <w:sz w:val="24"/>
          <w:szCs w:val="24"/>
          <w:shd w:val="clear" w:color="auto" w:fill="FFFFFF"/>
        </w:rPr>
      </w:pPr>
    </w:p>
    <w:p w14:paraId="31C9BF8B"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sz w:val="24"/>
          <w:szCs w:val="24"/>
          <w:shd w:val="clear" w:color="auto" w:fill="FFFFFF"/>
        </w:rPr>
        <w:t>and</w:t>
      </w:r>
    </w:p>
    <w:p w14:paraId="23C5FBE8" w14:textId="77777777" w:rsidR="00771731" w:rsidRPr="00BF4BA0" w:rsidRDefault="00771731" w:rsidP="00771731">
      <w:pPr>
        <w:spacing w:after="0" w:line="360" w:lineRule="auto"/>
        <w:jc w:val="both"/>
        <w:rPr>
          <w:rFonts w:ascii="Arial" w:hAnsi="Arial" w:cs="Arial"/>
          <w:b/>
          <w:sz w:val="24"/>
          <w:szCs w:val="24"/>
          <w:shd w:val="clear" w:color="auto" w:fill="FFFFFF"/>
        </w:rPr>
      </w:pPr>
    </w:p>
    <w:p w14:paraId="7D5DC6E6" w14:textId="77777777" w:rsidR="00771731" w:rsidRPr="00BF4BA0" w:rsidRDefault="00771731" w:rsidP="00771731">
      <w:pPr>
        <w:spacing w:after="0" w:line="360" w:lineRule="auto"/>
        <w:jc w:val="both"/>
        <w:rPr>
          <w:rFonts w:ascii="Arial" w:hAnsi="Arial" w:cs="Arial"/>
          <w:b/>
          <w:sz w:val="24"/>
          <w:szCs w:val="24"/>
          <w:shd w:val="clear" w:color="auto" w:fill="FFFFFF"/>
        </w:rPr>
      </w:pPr>
      <w:r w:rsidRPr="00BF4BA0">
        <w:rPr>
          <w:rFonts w:ascii="Arial" w:hAnsi="Arial" w:cs="Arial"/>
          <w:b/>
          <w:sz w:val="24"/>
          <w:szCs w:val="24"/>
          <w:shd w:val="clear" w:color="auto" w:fill="FFFFFF"/>
        </w:rPr>
        <w:t>DANNE RODNEY SHANINGUA</w:t>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t xml:space="preserve">      FIRST RESPONDENT</w:t>
      </w:r>
    </w:p>
    <w:p w14:paraId="11A45AAC" w14:textId="77777777" w:rsidR="00771731" w:rsidRPr="00BF4BA0" w:rsidRDefault="00771731" w:rsidP="00771731">
      <w:pPr>
        <w:spacing w:after="0" w:line="360" w:lineRule="auto"/>
        <w:jc w:val="both"/>
        <w:rPr>
          <w:rFonts w:ascii="Arial" w:hAnsi="Arial" w:cs="Arial"/>
          <w:b/>
          <w:sz w:val="24"/>
          <w:szCs w:val="24"/>
          <w:shd w:val="clear" w:color="auto" w:fill="FFFFFF"/>
        </w:rPr>
      </w:pPr>
      <w:r w:rsidRPr="00BF4BA0">
        <w:rPr>
          <w:rFonts w:ascii="Arial" w:hAnsi="Arial" w:cs="Arial"/>
          <w:b/>
          <w:sz w:val="24"/>
          <w:szCs w:val="24"/>
          <w:shd w:val="clear" w:color="auto" w:fill="FFFFFF"/>
        </w:rPr>
        <w:t>NAOMI NADIA SHANINGUA</w:t>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r>
      <w:r w:rsidRPr="00BF4BA0">
        <w:rPr>
          <w:rFonts w:ascii="Arial" w:hAnsi="Arial" w:cs="Arial"/>
          <w:b/>
          <w:sz w:val="24"/>
          <w:szCs w:val="24"/>
          <w:shd w:val="clear" w:color="auto" w:fill="FFFFFF"/>
        </w:rPr>
        <w:tab/>
        <w:t xml:space="preserve"> SECOND RESPONDENT</w:t>
      </w:r>
    </w:p>
    <w:p w14:paraId="6937285D" w14:textId="77777777" w:rsidR="00771731" w:rsidRPr="00BF4BA0" w:rsidRDefault="00771731" w:rsidP="00771731">
      <w:pPr>
        <w:spacing w:after="0" w:line="360" w:lineRule="auto"/>
        <w:jc w:val="both"/>
        <w:rPr>
          <w:rFonts w:ascii="Arial" w:hAnsi="Arial" w:cs="Arial"/>
          <w:b/>
          <w:sz w:val="24"/>
          <w:szCs w:val="24"/>
          <w:shd w:val="clear" w:color="auto" w:fill="FFFFFF"/>
        </w:rPr>
      </w:pPr>
      <w:r w:rsidRPr="00BF4BA0">
        <w:rPr>
          <w:rFonts w:ascii="Arial" w:hAnsi="Arial" w:cs="Arial"/>
          <w:b/>
          <w:sz w:val="24"/>
          <w:szCs w:val="24"/>
          <w:shd w:val="clear" w:color="auto" w:fill="FFFFFF"/>
        </w:rPr>
        <w:tab/>
      </w:r>
    </w:p>
    <w:p w14:paraId="04145440" w14:textId="77777777" w:rsidR="00771731" w:rsidRPr="00BF4BA0" w:rsidRDefault="00771731" w:rsidP="00771731">
      <w:pPr>
        <w:spacing w:after="0" w:line="360" w:lineRule="auto"/>
        <w:ind w:left="2160" w:hanging="2160"/>
        <w:jc w:val="both"/>
        <w:rPr>
          <w:rFonts w:ascii="Arial" w:hAnsi="Arial" w:cs="Arial"/>
          <w:sz w:val="24"/>
          <w:szCs w:val="24"/>
          <w:shd w:val="clear" w:color="auto" w:fill="FFFFFF"/>
        </w:rPr>
      </w:pPr>
      <w:r w:rsidRPr="00BF4BA0">
        <w:rPr>
          <w:rFonts w:ascii="Arial" w:hAnsi="Arial" w:cs="Arial"/>
          <w:b/>
          <w:sz w:val="24"/>
          <w:szCs w:val="24"/>
          <w:shd w:val="clear" w:color="auto" w:fill="FFFFFF"/>
        </w:rPr>
        <w:t>Neutral citation:</w:t>
      </w:r>
      <w:r w:rsidRPr="00BF4BA0">
        <w:rPr>
          <w:rFonts w:ascii="Arial" w:hAnsi="Arial" w:cs="Arial"/>
          <w:b/>
          <w:sz w:val="24"/>
          <w:szCs w:val="24"/>
          <w:shd w:val="clear" w:color="auto" w:fill="FFFFFF"/>
        </w:rPr>
        <w:tab/>
      </w:r>
      <w:r w:rsidRPr="00BF4BA0">
        <w:rPr>
          <w:rFonts w:ascii="Arial" w:hAnsi="Arial" w:cs="Arial"/>
          <w:i/>
          <w:sz w:val="24"/>
          <w:szCs w:val="24"/>
          <w:shd w:val="clear" w:color="auto" w:fill="FFFFFF"/>
        </w:rPr>
        <w:t>Standard Bank Namibia v Shaningua</w:t>
      </w:r>
      <w:r w:rsidRPr="00BF4BA0">
        <w:rPr>
          <w:rFonts w:ascii="Arial" w:hAnsi="Arial" w:cs="Arial"/>
          <w:sz w:val="24"/>
          <w:szCs w:val="24"/>
          <w:shd w:val="clear" w:color="auto" w:fill="FFFFFF"/>
        </w:rPr>
        <w:t xml:space="preserve"> (HC-MD-CIV-ACT-CON-2019/05085) [2023] NAHCMD </w:t>
      </w:r>
      <w:r w:rsidR="00BD471F">
        <w:rPr>
          <w:rFonts w:ascii="Arial" w:hAnsi="Arial" w:cs="Arial"/>
          <w:sz w:val="24"/>
          <w:szCs w:val="24"/>
          <w:shd w:val="clear" w:color="auto" w:fill="FFFFFF"/>
        </w:rPr>
        <w:t>388</w:t>
      </w:r>
      <w:r w:rsidRPr="00BF4BA0">
        <w:rPr>
          <w:rFonts w:ascii="Arial" w:hAnsi="Arial" w:cs="Arial"/>
          <w:sz w:val="24"/>
          <w:szCs w:val="24"/>
          <w:shd w:val="clear" w:color="auto" w:fill="FFFFFF"/>
        </w:rPr>
        <w:t xml:space="preserve"> (7 July 2023)</w:t>
      </w:r>
    </w:p>
    <w:p w14:paraId="1AF0D446" w14:textId="77777777" w:rsidR="00771731" w:rsidRPr="00BF4BA0" w:rsidRDefault="00771731" w:rsidP="00771731">
      <w:pPr>
        <w:spacing w:after="0" w:line="360" w:lineRule="auto"/>
        <w:ind w:left="2160" w:hanging="2160"/>
        <w:jc w:val="both"/>
        <w:rPr>
          <w:rFonts w:ascii="Arial" w:hAnsi="Arial" w:cs="Arial"/>
          <w:sz w:val="24"/>
          <w:szCs w:val="24"/>
        </w:rPr>
      </w:pPr>
    </w:p>
    <w:p w14:paraId="240C3DAD"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Coram:</w:t>
      </w:r>
      <w:r w:rsidRPr="00BF4BA0">
        <w:rPr>
          <w:rFonts w:ascii="Arial" w:hAnsi="Arial" w:cs="Arial"/>
          <w:b/>
          <w:sz w:val="24"/>
          <w:szCs w:val="24"/>
          <w:shd w:val="clear" w:color="auto" w:fill="FFFFFF"/>
        </w:rPr>
        <w:tab/>
      </w:r>
      <w:r w:rsidRPr="00BF4BA0">
        <w:rPr>
          <w:rFonts w:ascii="Arial" w:hAnsi="Arial" w:cs="Arial"/>
          <w:sz w:val="24"/>
          <w:szCs w:val="24"/>
          <w:shd w:val="clear" w:color="auto" w:fill="FFFFFF"/>
        </w:rPr>
        <w:t>Christiaan AJ</w:t>
      </w:r>
    </w:p>
    <w:p w14:paraId="04A6CAD3"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Heard:</w:t>
      </w:r>
      <w:r w:rsidRPr="00BF4BA0">
        <w:rPr>
          <w:rFonts w:ascii="Arial" w:hAnsi="Arial" w:cs="Arial"/>
          <w:b/>
          <w:sz w:val="24"/>
          <w:szCs w:val="24"/>
          <w:shd w:val="clear" w:color="auto" w:fill="FFFFFF"/>
        </w:rPr>
        <w:tab/>
        <w:t>26 May 2023</w:t>
      </w:r>
    </w:p>
    <w:p w14:paraId="0DBFC43E" w14:textId="77777777" w:rsidR="00771731" w:rsidRPr="00BF4BA0" w:rsidRDefault="00771731" w:rsidP="00771731">
      <w:pPr>
        <w:spacing w:after="0" w:line="360" w:lineRule="auto"/>
        <w:jc w:val="both"/>
        <w:rPr>
          <w:rFonts w:ascii="Arial" w:hAnsi="Arial" w:cs="Arial"/>
          <w:sz w:val="24"/>
          <w:szCs w:val="24"/>
          <w:shd w:val="clear" w:color="auto" w:fill="FFFFFF"/>
        </w:rPr>
      </w:pPr>
      <w:r w:rsidRPr="00BF4BA0">
        <w:rPr>
          <w:rFonts w:ascii="Arial" w:hAnsi="Arial" w:cs="Arial"/>
          <w:b/>
          <w:sz w:val="24"/>
          <w:szCs w:val="24"/>
          <w:shd w:val="clear" w:color="auto" w:fill="FFFFFF"/>
        </w:rPr>
        <w:t>Delivered:</w:t>
      </w:r>
      <w:r w:rsidRPr="00BF4BA0">
        <w:rPr>
          <w:rFonts w:ascii="Arial" w:hAnsi="Arial" w:cs="Arial"/>
          <w:b/>
          <w:sz w:val="24"/>
          <w:szCs w:val="24"/>
          <w:shd w:val="clear" w:color="auto" w:fill="FFFFFF"/>
        </w:rPr>
        <w:tab/>
        <w:t>7 July 2023</w:t>
      </w:r>
    </w:p>
    <w:p w14:paraId="10D82BDC" w14:textId="77777777" w:rsidR="00771731" w:rsidRPr="00BF4BA0" w:rsidRDefault="00771731" w:rsidP="00771731">
      <w:pPr>
        <w:spacing w:after="0" w:line="360" w:lineRule="auto"/>
        <w:ind w:left="2160" w:hanging="2160"/>
        <w:jc w:val="both"/>
        <w:rPr>
          <w:rFonts w:ascii="Arial" w:hAnsi="Arial" w:cs="Arial"/>
          <w:sz w:val="24"/>
          <w:szCs w:val="24"/>
        </w:rPr>
      </w:pPr>
    </w:p>
    <w:p w14:paraId="50174647" w14:textId="77777777" w:rsidR="00771731" w:rsidRPr="00BF4BA0" w:rsidRDefault="00771731" w:rsidP="00771731">
      <w:pPr>
        <w:spacing w:line="360" w:lineRule="auto"/>
        <w:jc w:val="both"/>
        <w:rPr>
          <w:rFonts w:ascii="Arial" w:hAnsi="Arial" w:cs="Arial"/>
          <w:b/>
          <w:sz w:val="24"/>
        </w:rPr>
      </w:pPr>
      <w:r w:rsidRPr="00BF4BA0">
        <w:rPr>
          <w:rFonts w:ascii="Arial" w:hAnsi="Arial" w:cs="Arial"/>
          <w:b/>
          <w:sz w:val="24"/>
          <w:szCs w:val="24"/>
        </w:rPr>
        <w:t>Flynote:</w:t>
      </w:r>
      <w:r w:rsidRPr="00BF4BA0">
        <w:t xml:space="preserve"> </w:t>
      </w:r>
      <w:r w:rsidRPr="00BF4BA0">
        <w:tab/>
      </w:r>
      <w:r w:rsidRPr="00BF4BA0">
        <w:rPr>
          <w:rFonts w:ascii="Arial" w:hAnsi="Arial" w:cs="Arial"/>
          <w:sz w:val="24"/>
        </w:rPr>
        <w:t>Execution</w:t>
      </w:r>
      <w:r w:rsidRPr="00BF4BA0">
        <w:rPr>
          <w:rFonts w:ascii="Arial" w:hAnsi="Arial" w:cs="Arial"/>
          <w:b/>
          <w:sz w:val="24"/>
        </w:rPr>
        <w:t xml:space="preserve"> </w:t>
      </w:r>
      <w:r w:rsidRPr="00BF4BA0">
        <w:rPr>
          <w:rFonts w:ascii="Arial" w:hAnsi="Arial" w:cs="Arial"/>
          <w:bCs/>
          <w:sz w:val="24"/>
        </w:rPr>
        <w:t xml:space="preserve">– Sale in execution – Immovable property – Application to declare immovable property specially executable in terms of rule 108 of the rules of court – To declare immovable property specially executable not merely for the asking –  </w:t>
      </w:r>
      <w:r w:rsidR="00575F55" w:rsidRPr="00BF4BA0">
        <w:rPr>
          <w:rFonts w:ascii="Arial" w:hAnsi="Arial" w:cs="Arial"/>
          <w:bCs/>
          <w:sz w:val="24"/>
        </w:rPr>
        <w:lastRenderedPageBreak/>
        <w:t>Respondents failed to factually prove that less drastic measure</w:t>
      </w:r>
      <w:r w:rsidR="00BF4BA0" w:rsidRPr="00BF4BA0">
        <w:rPr>
          <w:rFonts w:ascii="Arial" w:hAnsi="Arial" w:cs="Arial"/>
          <w:bCs/>
          <w:sz w:val="24"/>
        </w:rPr>
        <w:t>s</w:t>
      </w:r>
      <w:r w:rsidR="00575F55" w:rsidRPr="00BF4BA0">
        <w:rPr>
          <w:rFonts w:ascii="Arial" w:hAnsi="Arial" w:cs="Arial"/>
          <w:bCs/>
          <w:sz w:val="24"/>
        </w:rPr>
        <w:t xml:space="preserve"> exist – Discretion exercise</w:t>
      </w:r>
      <w:r w:rsidR="00BF4BA0" w:rsidRPr="00BF4BA0">
        <w:rPr>
          <w:rFonts w:ascii="Arial" w:hAnsi="Arial" w:cs="Arial"/>
          <w:bCs/>
          <w:sz w:val="24"/>
        </w:rPr>
        <w:t>d</w:t>
      </w:r>
      <w:r w:rsidR="00575F55" w:rsidRPr="00BF4BA0">
        <w:rPr>
          <w:rFonts w:ascii="Arial" w:hAnsi="Arial" w:cs="Arial"/>
          <w:bCs/>
          <w:sz w:val="24"/>
        </w:rPr>
        <w:t xml:space="preserve"> in favour of applicant.</w:t>
      </w:r>
    </w:p>
    <w:p w14:paraId="27EFE3D7" w14:textId="77777777" w:rsidR="00771731" w:rsidRPr="00BF4BA0" w:rsidRDefault="00771731" w:rsidP="00771731">
      <w:pPr>
        <w:spacing w:line="360" w:lineRule="auto"/>
        <w:jc w:val="both"/>
        <w:rPr>
          <w:rFonts w:ascii="Arial" w:hAnsi="Arial" w:cs="Arial"/>
          <w:bCs/>
          <w:sz w:val="24"/>
        </w:rPr>
      </w:pPr>
      <w:r w:rsidRPr="00BF4BA0">
        <w:rPr>
          <w:rFonts w:ascii="Arial" w:hAnsi="Arial" w:cs="Arial"/>
          <w:sz w:val="24"/>
        </w:rPr>
        <w:t xml:space="preserve">Practice </w:t>
      </w:r>
      <w:r w:rsidRPr="00BF4BA0">
        <w:rPr>
          <w:rFonts w:ascii="Arial" w:hAnsi="Arial" w:cs="Arial"/>
          <w:bCs/>
          <w:sz w:val="24"/>
        </w:rPr>
        <w:t>–</w:t>
      </w:r>
      <w:r w:rsidRPr="00BF4BA0">
        <w:rPr>
          <w:rFonts w:ascii="Arial" w:hAnsi="Arial" w:cs="Arial"/>
          <w:b/>
          <w:sz w:val="24"/>
        </w:rPr>
        <w:t xml:space="preserve"> </w:t>
      </w:r>
      <w:r w:rsidRPr="00BF4BA0">
        <w:rPr>
          <w:rFonts w:ascii="Arial" w:hAnsi="Arial" w:cs="Arial"/>
          <w:bCs/>
          <w:sz w:val="24"/>
        </w:rPr>
        <w:t>Rules of the High Court – Rule 108 – In exercising judicial oversight, court must consider all relevant circumstances including 'less drastic meas</w:t>
      </w:r>
      <w:r w:rsidR="000C21E4" w:rsidRPr="00BF4BA0">
        <w:rPr>
          <w:rFonts w:ascii="Arial" w:hAnsi="Arial" w:cs="Arial"/>
          <w:bCs/>
          <w:sz w:val="24"/>
        </w:rPr>
        <w:t>ures than a sale in execution'</w:t>
      </w:r>
      <w:r w:rsidR="00BF4BA0" w:rsidRPr="00BF4BA0">
        <w:rPr>
          <w:rFonts w:ascii="Arial" w:hAnsi="Arial" w:cs="Arial"/>
          <w:bCs/>
          <w:sz w:val="24"/>
        </w:rPr>
        <w:t>.</w:t>
      </w:r>
    </w:p>
    <w:p w14:paraId="390484F9" w14:textId="77777777" w:rsidR="000C21E4" w:rsidRPr="00BF4BA0" w:rsidRDefault="00771731" w:rsidP="000C21E4">
      <w:pPr>
        <w:spacing w:line="360" w:lineRule="auto"/>
        <w:jc w:val="both"/>
        <w:rPr>
          <w:rFonts w:ascii="Arial" w:hAnsi="Arial" w:cs="Arial"/>
          <w:sz w:val="24"/>
        </w:rPr>
      </w:pPr>
      <w:r w:rsidRPr="00BF4BA0">
        <w:rPr>
          <w:rFonts w:ascii="Arial" w:hAnsi="Arial" w:cs="Arial"/>
          <w:b/>
          <w:sz w:val="24"/>
          <w:szCs w:val="24"/>
        </w:rPr>
        <w:t>Summary:</w:t>
      </w:r>
      <w:r w:rsidR="000C21E4" w:rsidRPr="00BF4BA0">
        <w:rPr>
          <w:rFonts w:ascii="Arial" w:hAnsi="Arial" w:cs="Arial"/>
          <w:b/>
          <w:sz w:val="24"/>
          <w:szCs w:val="24"/>
        </w:rPr>
        <w:t xml:space="preserve"> </w:t>
      </w:r>
      <w:r w:rsidR="000C21E4" w:rsidRPr="00BF4BA0">
        <w:rPr>
          <w:rFonts w:ascii="Arial" w:hAnsi="Arial" w:cs="Arial"/>
          <w:sz w:val="24"/>
        </w:rPr>
        <w:t>This is an application to declare the respondents’ immovable property specially executable under rule 108. On 10 September 2020, default judgment was granted in the sum of N$1 731 786,81 together with interest at the rate</w:t>
      </w:r>
      <w:r w:rsidR="00E53C85">
        <w:rPr>
          <w:rFonts w:ascii="Arial" w:hAnsi="Arial" w:cs="Arial"/>
          <w:sz w:val="24"/>
        </w:rPr>
        <w:t xml:space="preserve"> of 11,50 per</w:t>
      </w:r>
      <w:r w:rsidR="000C21E4" w:rsidRPr="00BF4BA0">
        <w:rPr>
          <w:rFonts w:ascii="Arial" w:hAnsi="Arial" w:cs="Arial"/>
          <w:sz w:val="24"/>
        </w:rPr>
        <w:t>cent per annum as of 20 July 2018 until date of final payment, plus costs of suit on an attorney and client scale, jointly and severally, against the respondents.</w:t>
      </w:r>
    </w:p>
    <w:p w14:paraId="7D6E2470" w14:textId="77777777" w:rsidR="000C21E4" w:rsidRPr="00BF4BA0" w:rsidRDefault="000C21E4" w:rsidP="000C21E4">
      <w:pPr>
        <w:spacing w:line="360" w:lineRule="auto"/>
        <w:jc w:val="both"/>
        <w:rPr>
          <w:rFonts w:ascii="Arial" w:hAnsi="Arial" w:cs="Arial"/>
          <w:sz w:val="24"/>
        </w:rPr>
      </w:pPr>
      <w:r w:rsidRPr="00BF4BA0">
        <w:rPr>
          <w:rFonts w:ascii="Arial" w:hAnsi="Arial" w:cs="Arial"/>
          <w:sz w:val="24"/>
        </w:rPr>
        <w:t>On 12 July 2022, the applicant applied for the immovable property to be declared specially executable under rule 108 of the rules of court, which was formally opposed by the respondents on 29 September 2022. The parties exchanged affidavits and filed heads of arguments. Thereafter, the matter was set down for hearing of the rule 108 application.</w:t>
      </w:r>
    </w:p>
    <w:p w14:paraId="0578D0AE" w14:textId="77777777" w:rsidR="000C21E4" w:rsidRPr="00BF4BA0" w:rsidRDefault="000C21E4" w:rsidP="000C21E4">
      <w:pPr>
        <w:spacing w:line="360" w:lineRule="auto"/>
        <w:jc w:val="both"/>
        <w:rPr>
          <w:rFonts w:ascii="Arial" w:hAnsi="Arial" w:cs="Arial"/>
          <w:sz w:val="24"/>
        </w:rPr>
      </w:pPr>
      <w:r w:rsidRPr="00BF4BA0">
        <w:rPr>
          <w:rFonts w:ascii="Arial" w:hAnsi="Arial" w:cs="Arial"/>
          <w:sz w:val="24"/>
        </w:rPr>
        <w:t>The applicant contended that the arrears was at an amount of N$243 197,83 at the time of handing over the instructions to its legal practitioner</w:t>
      </w:r>
      <w:r w:rsidR="00E53C85">
        <w:rPr>
          <w:rFonts w:ascii="Arial" w:hAnsi="Arial" w:cs="Arial"/>
          <w:sz w:val="24"/>
        </w:rPr>
        <w:t>,</w:t>
      </w:r>
      <w:r w:rsidRPr="00BF4BA0">
        <w:rPr>
          <w:rFonts w:ascii="Arial" w:hAnsi="Arial" w:cs="Arial"/>
          <w:sz w:val="24"/>
        </w:rPr>
        <w:t xml:space="preserve"> being 19 July 2018. It is further contended that the respondents failed to make regular instalment</w:t>
      </w:r>
      <w:r w:rsidR="00E53C85">
        <w:rPr>
          <w:rFonts w:ascii="Arial" w:hAnsi="Arial" w:cs="Arial"/>
          <w:sz w:val="24"/>
        </w:rPr>
        <w:t>s on the bond and no</w:t>
      </w:r>
      <w:r w:rsidRPr="00BF4BA0">
        <w:rPr>
          <w:rFonts w:ascii="Arial" w:hAnsi="Arial" w:cs="Arial"/>
          <w:sz w:val="24"/>
        </w:rPr>
        <w:t xml:space="preserve"> effort was made by the respondents to settle the debt. The applicant contended that the judgment debt substantially increased since </w:t>
      </w:r>
      <w:r w:rsidR="00E53C85">
        <w:rPr>
          <w:rFonts w:ascii="Arial" w:hAnsi="Arial" w:cs="Arial"/>
          <w:sz w:val="24"/>
        </w:rPr>
        <w:t>date of judgment. As a result</w:t>
      </w:r>
      <w:r w:rsidRPr="00BF4BA0">
        <w:rPr>
          <w:rFonts w:ascii="Arial" w:hAnsi="Arial" w:cs="Arial"/>
          <w:sz w:val="24"/>
        </w:rPr>
        <w:t>, the respondents are unable to service the bond.</w:t>
      </w:r>
    </w:p>
    <w:p w14:paraId="06EA5D95" w14:textId="77777777" w:rsidR="000C21E4" w:rsidRPr="00BF4BA0" w:rsidRDefault="000C21E4" w:rsidP="000C21E4">
      <w:pPr>
        <w:spacing w:line="360" w:lineRule="auto"/>
        <w:jc w:val="both"/>
        <w:rPr>
          <w:rFonts w:ascii="Arial" w:hAnsi="Arial" w:cs="Arial"/>
          <w:sz w:val="24"/>
        </w:rPr>
      </w:pPr>
      <w:r w:rsidRPr="00BF4BA0">
        <w:rPr>
          <w:rFonts w:ascii="Arial" w:hAnsi="Arial" w:cs="Arial"/>
          <w:sz w:val="24"/>
        </w:rPr>
        <w:t>The first respondent contended that as a result of his incarceration, he was unaware that the bond was not being serviced by the tenant, and as a result, he was unable to take legal action against the tenant. The first respondent further proposed to make payment of N$25 000 monthly as a minimum</w:t>
      </w:r>
      <w:r w:rsidR="00E53C85">
        <w:rPr>
          <w:rFonts w:ascii="Arial" w:hAnsi="Arial" w:cs="Arial"/>
          <w:sz w:val="24"/>
        </w:rPr>
        <w:t xml:space="preserve"> payment and undertakes to pay</w:t>
      </w:r>
      <w:r w:rsidRPr="00BF4BA0">
        <w:rPr>
          <w:rFonts w:ascii="Arial" w:hAnsi="Arial" w:cs="Arial"/>
          <w:sz w:val="24"/>
        </w:rPr>
        <w:t xml:space="preserve"> lump sum amounts to supplement the proposed monthly payment.</w:t>
      </w:r>
    </w:p>
    <w:p w14:paraId="6814E3B6" w14:textId="77777777" w:rsidR="000C21E4" w:rsidRPr="00BF4BA0" w:rsidRDefault="000C21E4" w:rsidP="000C21E4">
      <w:pPr>
        <w:spacing w:line="360" w:lineRule="auto"/>
        <w:jc w:val="both"/>
        <w:rPr>
          <w:rFonts w:ascii="Arial" w:hAnsi="Arial" w:cs="Arial"/>
          <w:sz w:val="24"/>
        </w:rPr>
      </w:pPr>
      <w:r w:rsidRPr="00BF4BA0">
        <w:rPr>
          <w:rFonts w:ascii="Arial" w:hAnsi="Arial" w:cs="Arial"/>
          <w:sz w:val="24"/>
        </w:rPr>
        <w:t>The parties conceded that payments were made in 2018 and 2019 in the respective amounts of N$30 000 by the respondents. However, no further payments have been made. The a</w:t>
      </w:r>
      <w:r w:rsidR="00E53C85">
        <w:rPr>
          <w:rFonts w:ascii="Arial" w:hAnsi="Arial" w:cs="Arial"/>
          <w:sz w:val="24"/>
        </w:rPr>
        <w:t>pplicant argued that the arrear amount is substantial being</w:t>
      </w:r>
      <w:r w:rsidRPr="00BF4BA0">
        <w:rPr>
          <w:rFonts w:ascii="Arial" w:hAnsi="Arial" w:cs="Arial"/>
          <w:sz w:val="24"/>
        </w:rPr>
        <w:t xml:space="preserve"> the sum of N$1 </w:t>
      </w:r>
      <w:r w:rsidRPr="00BF4BA0">
        <w:rPr>
          <w:rFonts w:ascii="Arial" w:hAnsi="Arial" w:cs="Arial"/>
          <w:sz w:val="24"/>
        </w:rPr>
        <w:lastRenderedPageBreak/>
        <w:t xml:space="preserve">412 150,95. The applicant </w:t>
      </w:r>
      <w:r w:rsidR="00E53C85">
        <w:rPr>
          <w:rFonts w:ascii="Arial" w:hAnsi="Arial" w:cs="Arial"/>
          <w:sz w:val="24"/>
        </w:rPr>
        <w:t xml:space="preserve">further </w:t>
      </w:r>
      <w:r w:rsidRPr="00BF4BA0">
        <w:rPr>
          <w:rFonts w:ascii="Arial" w:hAnsi="Arial" w:cs="Arial"/>
          <w:sz w:val="24"/>
        </w:rPr>
        <w:t>argued that the proposal to make monthly payments of N$25 000 is unreasonable and inadequate.</w:t>
      </w:r>
    </w:p>
    <w:p w14:paraId="04709B02" w14:textId="77777777" w:rsidR="000C21E4" w:rsidRPr="00BF4BA0" w:rsidRDefault="000C21E4" w:rsidP="000C21E4">
      <w:pPr>
        <w:spacing w:line="360" w:lineRule="auto"/>
        <w:jc w:val="both"/>
        <w:rPr>
          <w:rFonts w:ascii="Arial" w:hAnsi="Arial" w:cs="Arial"/>
          <w:sz w:val="24"/>
        </w:rPr>
      </w:pPr>
      <w:r w:rsidRPr="00BF4BA0">
        <w:rPr>
          <w:rFonts w:ascii="Arial" w:hAnsi="Arial" w:cs="Arial"/>
          <w:i/>
          <w:sz w:val="24"/>
        </w:rPr>
        <w:t>Held that</w:t>
      </w:r>
      <w:r w:rsidRPr="00BF4BA0">
        <w:rPr>
          <w:rFonts w:ascii="Arial" w:hAnsi="Arial" w:cs="Arial"/>
          <w:sz w:val="24"/>
        </w:rPr>
        <w:t>, when determining an application to declare a debtor’s immovable property specially executable under rule 108 of the rules of court, the court must exercise judicial oversight.</w:t>
      </w:r>
    </w:p>
    <w:p w14:paraId="6EF73FB1" w14:textId="77777777" w:rsidR="000C21E4" w:rsidRPr="00BF4BA0" w:rsidRDefault="000C21E4" w:rsidP="000C21E4">
      <w:pPr>
        <w:spacing w:line="360" w:lineRule="auto"/>
        <w:jc w:val="both"/>
        <w:rPr>
          <w:rFonts w:ascii="Arial" w:hAnsi="Arial" w:cs="Arial"/>
          <w:sz w:val="24"/>
        </w:rPr>
      </w:pPr>
      <w:r w:rsidRPr="00BF4BA0">
        <w:rPr>
          <w:rFonts w:ascii="Arial" w:hAnsi="Arial" w:cs="Arial"/>
          <w:i/>
          <w:sz w:val="24"/>
        </w:rPr>
        <w:t>Held further that</w:t>
      </w:r>
      <w:r w:rsidRPr="00BF4BA0">
        <w:rPr>
          <w:rFonts w:ascii="Arial" w:hAnsi="Arial" w:cs="Arial"/>
          <w:sz w:val="24"/>
        </w:rPr>
        <w:t>, the proposal made by the first respondent for payment of N$25 000 in monthly ins</w:t>
      </w:r>
      <w:r w:rsidR="00E53C85">
        <w:rPr>
          <w:rFonts w:ascii="Arial" w:hAnsi="Arial" w:cs="Arial"/>
          <w:sz w:val="24"/>
        </w:rPr>
        <w:t>talments was made abruptly</w:t>
      </w:r>
      <w:r w:rsidRPr="00BF4BA0">
        <w:rPr>
          <w:rFonts w:ascii="Arial" w:hAnsi="Arial" w:cs="Arial"/>
          <w:sz w:val="24"/>
        </w:rPr>
        <w:t xml:space="preserve"> and no further explanation is made regarding the said proposal.</w:t>
      </w:r>
    </w:p>
    <w:p w14:paraId="1E534A56" w14:textId="77777777" w:rsidR="000C21E4" w:rsidRPr="00BF4BA0" w:rsidRDefault="000C21E4" w:rsidP="000C21E4">
      <w:pPr>
        <w:spacing w:line="360" w:lineRule="auto"/>
        <w:jc w:val="both"/>
        <w:rPr>
          <w:rFonts w:ascii="Arial" w:hAnsi="Arial" w:cs="Arial"/>
          <w:sz w:val="24"/>
        </w:rPr>
      </w:pPr>
      <w:r w:rsidRPr="00BF4BA0">
        <w:rPr>
          <w:rFonts w:ascii="Arial" w:hAnsi="Arial" w:cs="Arial"/>
          <w:i/>
          <w:sz w:val="24"/>
        </w:rPr>
        <w:t>Held further that,</w:t>
      </w:r>
      <w:r w:rsidRPr="00BF4BA0">
        <w:rPr>
          <w:rFonts w:ascii="Arial" w:hAnsi="Arial" w:cs="Arial"/>
          <w:sz w:val="24"/>
        </w:rPr>
        <w:t xml:space="preserve"> the first respondent fails to factually prove that he is able to make the payment of N$25 000 </w:t>
      </w:r>
      <w:r w:rsidR="00684EC0">
        <w:rPr>
          <w:rFonts w:ascii="Arial" w:hAnsi="Arial" w:cs="Arial"/>
          <w:sz w:val="24"/>
        </w:rPr>
        <w:t>as</w:t>
      </w:r>
      <w:r w:rsidRPr="00BF4BA0">
        <w:rPr>
          <w:rFonts w:ascii="Arial" w:hAnsi="Arial" w:cs="Arial"/>
          <w:sz w:val="24"/>
        </w:rPr>
        <w:t xml:space="preserve"> proposed by him. No evidence is placed before the court to show that the respondents are able to make payment of N$25 000 </w:t>
      </w:r>
      <w:r w:rsidR="00684EC0">
        <w:rPr>
          <w:rFonts w:ascii="Arial" w:hAnsi="Arial" w:cs="Arial"/>
          <w:sz w:val="24"/>
        </w:rPr>
        <w:t>as</w:t>
      </w:r>
      <w:r w:rsidRPr="00BF4BA0">
        <w:rPr>
          <w:rFonts w:ascii="Arial" w:hAnsi="Arial" w:cs="Arial"/>
          <w:sz w:val="24"/>
        </w:rPr>
        <w:t xml:space="preserve"> proposed by the first respondent.</w:t>
      </w:r>
    </w:p>
    <w:p w14:paraId="7C578168" w14:textId="77777777" w:rsidR="00771731" w:rsidRPr="00BF4BA0" w:rsidRDefault="000C21E4" w:rsidP="000C21E4">
      <w:pPr>
        <w:spacing w:line="360" w:lineRule="auto"/>
        <w:jc w:val="both"/>
        <w:rPr>
          <w:rFonts w:ascii="Arial" w:hAnsi="Arial" w:cs="Arial"/>
          <w:sz w:val="24"/>
        </w:rPr>
      </w:pPr>
      <w:r w:rsidRPr="00BF4BA0">
        <w:rPr>
          <w:rFonts w:ascii="Arial" w:hAnsi="Arial" w:cs="Arial"/>
          <w:i/>
          <w:sz w:val="24"/>
        </w:rPr>
        <w:t>Held further that,</w:t>
      </w:r>
      <w:r w:rsidRPr="00BF4BA0">
        <w:rPr>
          <w:rFonts w:ascii="Arial" w:hAnsi="Arial" w:cs="Arial"/>
          <w:sz w:val="24"/>
        </w:rPr>
        <w:t xml:space="preserve"> the court exercises its discretion in favour of the applicant.</w:t>
      </w:r>
    </w:p>
    <w:p w14:paraId="440C6D84"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61674CBE">
          <v:rect id="_x0000_i1025" style="width:468pt;height:1.5pt" o:hralign="center" o:hrstd="t" o:hr="t" fillcolor="#a0a0a0" stroked="f"/>
        </w:pict>
      </w:r>
    </w:p>
    <w:p w14:paraId="2BD228D0" w14:textId="77777777" w:rsidR="00771731" w:rsidRPr="00BF4BA0" w:rsidRDefault="00771731" w:rsidP="00771731">
      <w:pPr>
        <w:spacing w:after="0" w:line="360" w:lineRule="auto"/>
        <w:jc w:val="center"/>
        <w:rPr>
          <w:rFonts w:ascii="Arial" w:eastAsia="Calibri" w:hAnsi="Arial" w:cs="Arial"/>
          <w:b/>
          <w:bCs/>
          <w:sz w:val="24"/>
          <w:szCs w:val="24"/>
        </w:rPr>
      </w:pPr>
      <w:r w:rsidRPr="00BF4BA0">
        <w:rPr>
          <w:rFonts w:ascii="Arial" w:eastAsia="Calibri" w:hAnsi="Arial" w:cs="Arial"/>
          <w:b/>
          <w:bCs/>
          <w:sz w:val="24"/>
          <w:szCs w:val="24"/>
        </w:rPr>
        <w:t>ORDER</w:t>
      </w:r>
    </w:p>
    <w:p w14:paraId="38746E75"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52F7F262">
          <v:rect id="_x0000_i1026" style="width:468pt;height:1.5pt" o:hralign="center" o:hrstd="t" o:hr="t" fillcolor="#a0a0a0" stroked="f"/>
        </w:pict>
      </w:r>
    </w:p>
    <w:p w14:paraId="65BE4F80"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50FCC8E6" w14:textId="5D5316F7" w:rsidR="008676FB" w:rsidRPr="00477182" w:rsidRDefault="00477182" w:rsidP="00477182">
      <w:pPr>
        <w:spacing w:after="0" w:line="360" w:lineRule="auto"/>
        <w:ind w:left="1276" w:hanging="567"/>
        <w:jc w:val="both"/>
        <w:rPr>
          <w:rFonts w:ascii="Arial" w:hAnsi="Arial" w:cs="Arial"/>
          <w:sz w:val="24"/>
          <w:szCs w:val="24"/>
          <w:shd w:val="clear" w:color="auto" w:fill="FFFFFF"/>
        </w:rPr>
      </w:pPr>
      <w:r w:rsidRPr="00BF4BA0">
        <w:rPr>
          <w:rFonts w:ascii="Arial" w:hAnsi="Arial" w:cs="Arial"/>
          <w:sz w:val="24"/>
          <w:szCs w:val="24"/>
        </w:rPr>
        <w:t>1.</w:t>
      </w:r>
      <w:r w:rsidRPr="00BF4BA0">
        <w:rPr>
          <w:rFonts w:ascii="Arial" w:hAnsi="Arial" w:cs="Arial"/>
          <w:sz w:val="24"/>
          <w:szCs w:val="24"/>
        </w:rPr>
        <w:tab/>
      </w:r>
      <w:r w:rsidR="008676FB" w:rsidRPr="00477182">
        <w:rPr>
          <w:rFonts w:ascii="Arial" w:hAnsi="Arial" w:cs="Arial"/>
          <w:sz w:val="24"/>
          <w:szCs w:val="24"/>
          <w:shd w:val="clear" w:color="auto" w:fill="FFFFFF"/>
        </w:rPr>
        <w:t>The following property is hereby declared specially executable, to wit:</w:t>
      </w:r>
    </w:p>
    <w:p w14:paraId="0CB412DF"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7344BD64"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CERTAIN:</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ERF NO. 1227, (A PORTION OF ERF NO. 1479)</w:t>
      </w:r>
    </w:p>
    <w:p w14:paraId="2F229100"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HOCHLANDPARK</w:t>
      </w:r>
    </w:p>
    <w:p w14:paraId="5C218796"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0D5B767D"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SITUATE:</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in the Municipality of WINDHOEK</w:t>
      </w:r>
    </w:p>
    <w:p w14:paraId="08DD4998"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Registration Division “K”</w:t>
      </w:r>
    </w:p>
    <w:p w14:paraId="2C5CF7D4"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KHOMAS Region</w:t>
      </w:r>
    </w:p>
    <w:p w14:paraId="059C4EEB"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588C4B1C"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MEASURING:</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468 (FOUR SIX EIGHT) Square Meters</w:t>
      </w:r>
    </w:p>
    <w:p w14:paraId="192A64CA"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0A695747"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HELD:</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Deed of Transfer No T 5443/2000</w:t>
      </w:r>
    </w:p>
    <w:p w14:paraId="0645F39F" w14:textId="77777777" w:rsidR="00301DC3" w:rsidRPr="00BF4BA0" w:rsidRDefault="00301DC3" w:rsidP="00301DC3">
      <w:pPr>
        <w:spacing w:after="0" w:line="360" w:lineRule="auto"/>
        <w:jc w:val="both"/>
        <w:rPr>
          <w:rFonts w:ascii="Arial" w:hAnsi="Arial" w:cs="Arial"/>
          <w:sz w:val="24"/>
          <w:szCs w:val="24"/>
          <w:shd w:val="clear" w:color="auto" w:fill="FFFFFF"/>
        </w:rPr>
      </w:pPr>
    </w:p>
    <w:p w14:paraId="449FD069"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SUBJECT:</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To all the Conditions Contained therein</w:t>
      </w:r>
    </w:p>
    <w:p w14:paraId="420B2815"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410D8299" w14:textId="615687E4" w:rsidR="008676FB" w:rsidRPr="00477182" w:rsidRDefault="00477182" w:rsidP="00477182">
      <w:pPr>
        <w:spacing w:after="0" w:line="360" w:lineRule="auto"/>
        <w:ind w:left="1276" w:hanging="567"/>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E53C85" w:rsidRPr="00477182">
        <w:rPr>
          <w:rFonts w:ascii="Arial" w:hAnsi="Arial" w:cs="Arial"/>
          <w:sz w:val="24"/>
          <w:szCs w:val="24"/>
          <w:shd w:val="clear" w:color="auto" w:fill="FFFFFF"/>
        </w:rPr>
        <w:t>The respondents must, jointly and severally, pay the applicant’s c</w:t>
      </w:r>
      <w:r w:rsidR="00586DD9" w:rsidRPr="00477182">
        <w:rPr>
          <w:rFonts w:ascii="Arial" w:hAnsi="Arial" w:cs="Arial"/>
          <w:sz w:val="24"/>
          <w:szCs w:val="24"/>
          <w:shd w:val="clear" w:color="auto" w:fill="FFFFFF"/>
        </w:rPr>
        <w:t>osts of suit.</w:t>
      </w:r>
    </w:p>
    <w:p w14:paraId="3E5800AC" w14:textId="77777777" w:rsidR="00586DD9" w:rsidRPr="00586DD9" w:rsidRDefault="00586DD9" w:rsidP="00586DD9">
      <w:pPr>
        <w:pStyle w:val="ListParagraph"/>
        <w:spacing w:after="0" w:line="360" w:lineRule="auto"/>
        <w:ind w:left="1276"/>
        <w:jc w:val="both"/>
        <w:rPr>
          <w:rFonts w:ascii="Arial" w:hAnsi="Arial" w:cs="Arial"/>
          <w:sz w:val="24"/>
          <w:szCs w:val="24"/>
          <w:shd w:val="clear" w:color="auto" w:fill="FFFFFF"/>
        </w:rPr>
      </w:pPr>
    </w:p>
    <w:p w14:paraId="511E9F33" w14:textId="555BB9A5" w:rsidR="008676FB" w:rsidRPr="00477182" w:rsidRDefault="00477182" w:rsidP="00477182">
      <w:pPr>
        <w:spacing w:after="0" w:line="360" w:lineRule="auto"/>
        <w:ind w:left="1276" w:hanging="567"/>
        <w:jc w:val="both"/>
        <w:rPr>
          <w:rFonts w:ascii="Arial" w:hAnsi="Arial" w:cs="Arial"/>
          <w:sz w:val="24"/>
          <w:szCs w:val="24"/>
          <w:shd w:val="clear" w:color="auto" w:fill="FFFFFF"/>
        </w:rPr>
      </w:pPr>
      <w:r w:rsidRPr="00BF4BA0">
        <w:rPr>
          <w:rFonts w:ascii="Arial" w:hAnsi="Arial" w:cs="Arial"/>
          <w:sz w:val="24"/>
          <w:szCs w:val="24"/>
        </w:rPr>
        <w:t>3.</w:t>
      </w:r>
      <w:r w:rsidRPr="00BF4BA0">
        <w:rPr>
          <w:rFonts w:ascii="Arial" w:hAnsi="Arial" w:cs="Arial"/>
          <w:sz w:val="24"/>
          <w:szCs w:val="24"/>
        </w:rPr>
        <w:tab/>
      </w:r>
      <w:r w:rsidR="008676FB" w:rsidRPr="00477182">
        <w:rPr>
          <w:rFonts w:ascii="Arial" w:hAnsi="Arial" w:cs="Arial"/>
          <w:sz w:val="24"/>
          <w:szCs w:val="24"/>
          <w:shd w:val="clear" w:color="auto" w:fill="FFFFFF"/>
        </w:rPr>
        <w:t>The matter is removed from the roll and regarded as finalised.</w:t>
      </w:r>
    </w:p>
    <w:p w14:paraId="1ECE43C4" w14:textId="77777777" w:rsidR="00771731" w:rsidRPr="00BF4BA0" w:rsidRDefault="00771731" w:rsidP="00771731">
      <w:pPr>
        <w:spacing w:after="0" w:line="360" w:lineRule="auto"/>
        <w:jc w:val="both"/>
        <w:rPr>
          <w:rFonts w:ascii="Arial" w:eastAsia="Calibri" w:hAnsi="Arial" w:cs="Arial"/>
          <w:sz w:val="24"/>
          <w:szCs w:val="24"/>
        </w:rPr>
      </w:pPr>
    </w:p>
    <w:p w14:paraId="6A0A80AE" w14:textId="77777777" w:rsidR="00771731" w:rsidRPr="00BF4BA0" w:rsidRDefault="00000000" w:rsidP="00771731">
      <w:pPr>
        <w:spacing w:after="0" w:line="360" w:lineRule="auto"/>
        <w:jc w:val="center"/>
        <w:rPr>
          <w:rFonts w:ascii="Arial" w:eastAsia="Calibri" w:hAnsi="Arial" w:cs="Arial"/>
          <w:bCs/>
          <w:sz w:val="24"/>
          <w:szCs w:val="24"/>
        </w:rPr>
      </w:pPr>
      <w:r>
        <w:rPr>
          <w:rFonts w:ascii="Arial" w:eastAsia="Calibri" w:hAnsi="Arial" w:cs="Arial"/>
          <w:bCs/>
          <w:sz w:val="24"/>
          <w:szCs w:val="24"/>
        </w:rPr>
        <w:pict w14:anchorId="0D1A7FE2">
          <v:rect id="_x0000_i1027" style="width:468pt;height:1.5pt" o:hralign="center" o:hrstd="t" o:hr="t" fillcolor="#a0a0a0" stroked="f"/>
        </w:pict>
      </w:r>
    </w:p>
    <w:p w14:paraId="2FF7822E" w14:textId="77777777" w:rsidR="00771731" w:rsidRPr="00BF4BA0" w:rsidRDefault="00771731" w:rsidP="00771731">
      <w:pPr>
        <w:spacing w:after="0" w:line="360" w:lineRule="auto"/>
        <w:jc w:val="center"/>
        <w:rPr>
          <w:rFonts w:ascii="Arial" w:eastAsia="Calibri" w:hAnsi="Arial" w:cs="Arial"/>
          <w:b/>
          <w:bCs/>
          <w:sz w:val="24"/>
          <w:szCs w:val="24"/>
        </w:rPr>
      </w:pPr>
      <w:r w:rsidRPr="00BF4BA0">
        <w:rPr>
          <w:rFonts w:ascii="Arial" w:eastAsia="Calibri" w:hAnsi="Arial" w:cs="Arial"/>
          <w:b/>
          <w:bCs/>
          <w:sz w:val="24"/>
          <w:szCs w:val="24"/>
        </w:rPr>
        <w:t>JUDGMENT</w:t>
      </w:r>
    </w:p>
    <w:p w14:paraId="4549F8ED" w14:textId="77777777" w:rsidR="00771731" w:rsidRPr="00BF4BA0" w:rsidRDefault="00000000" w:rsidP="00771731">
      <w:pPr>
        <w:spacing w:after="0" w:line="360" w:lineRule="auto"/>
        <w:jc w:val="both"/>
        <w:rPr>
          <w:rFonts w:ascii="Arial" w:hAnsi="Arial" w:cs="Arial"/>
          <w:sz w:val="24"/>
        </w:rPr>
      </w:pPr>
      <w:r>
        <w:rPr>
          <w:rFonts w:ascii="Arial" w:eastAsia="Calibri" w:hAnsi="Arial" w:cs="Arial"/>
          <w:bCs/>
          <w:sz w:val="24"/>
          <w:szCs w:val="24"/>
        </w:rPr>
        <w:pict w14:anchorId="4CA8B241">
          <v:rect id="_x0000_i1028" style="width:468pt;height:1.5pt" o:hralign="center" o:hrstd="t" o:hr="t" fillcolor="#a0a0a0" stroked="f"/>
        </w:pict>
      </w:r>
    </w:p>
    <w:p w14:paraId="41DF6A40"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32FBDE09"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r w:rsidRPr="00BF4BA0">
        <w:rPr>
          <w:rFonts w:ascii="Arial" w:hAnsi="Arial" w:cs="Arial"/>
          <w:sz w:val="24"/>
          <w:szCs w:val="24"/>
          <w:shd w:val="clear" w:color="auto" w:fill="FFFFFF"/>
        </w:rPr>
        <w:t>CHRISTIAAN AJ:</w:t>
      </w:r>
    </w:p>
    <w:p w14:paraId="0381CF5F"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25FD29A8" w14:textId="77777777" w:rsidR="00502281" w:rsidRPr="00BF4BA0" w:rsidRDefault="00771731" w:rsidP="00771731">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Introduction</w:t>
      </w:r>
    </w:p>
    <w:p w14:paraId="7C33EA12" w14:textId="77777777" w:rsidR="00771731" w:rsidRPr="00BF4BA0" w:rsidRDefault="00771731" w:rsidP="00771731">
      <w:pPr>
        <w:pStyle w:val="ListParagraph"/>
        <w:spacing w:after="0" w:line="360" w:lineRule="auto"/>
        <w:ind w:left="0"/>
        <w:jc w:val="both"/>
        <w:rPr>
          <w:rFonts w:ascii="Arial" w:hAnsi="Arial" w:cs="Arial"/>
          <w:sz w:val="24"/>
          <w:szCs w:val="24"/>
          <w:u w:val="single"/>
          <w:shd w:val="clear" w:color="auto" w:fill="FFFFFF"/>
        </w:rPr>
      </w:pPr>
    </w:p>
    <w:p w14:paraId="6EA79EC9" w14:textId="2BEA8407"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w:t>
      </w:r>
      <w:r w:rsidRPr="00BF4BA0">
        <w:rPr>
          <w:rFonts w:ascii="Arial" w:hAnsi="Arial" w:cs="Arial"/>
          <w:sz w:val="24"/>
          <w:szCs w:val="24"/>
        </w:rPr>
        <w:tab/>
      </w:r>
      <w:r w:rsidR="00771731" w:rsidRPr="00477182">
        <w:rPr>
          <w:rFonts w:ascii="Arial" w:hAnsi="Arial" w:cs="Arial"/>
          <w:sz w:val="24"/>
          <w:szCs w:val="24"/>
          <w:shd w:val="clear" w:color="auto" w:fill="FFFFFF"/>
        </w:rPr>
        <w:t>Serving before this court is an application to declare the respondents’ immovable property specially executable under rule 108 of the rules of court.</w:t>
      </w:r>
    </w:p>
    <w:p w14:paraId="2F8374BD"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612249E7" w14:textId="36F49F80"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w:t>
      </w:r>
      <w:r w:rsidRPr="00BF4BA0">
        <w:rPr>
          <w:rFonts w:ascii="Arial" w:hAnsi="Arial" w:cs="Arial"/>
          <w:sz w:val="24"/>
          <w:szCs w:val="24"/>
        </w:rPr>
        <w:tab/>
      </w:r>
      <w:r w:rsidR="00771731" w:rsidRPr="00477182">
        <w:rPr>
          <w:rFonts w:ascii="Arial" w:hAnsi="Arial" w:cs="Arial"/>
          <w:sz w:val="24"/>
          <w:szCs w:val="24"/>
          <w:shd w:val="clear" w:color="auto" w:fill="FFFFFF"/>
        </w:rPr>
        <w:t>Damaseb JP</w:t>
      </w:r>
      <w:r w:rsidR="00771731" w:rsidRPr="00BF4BA0">
        <w:rPr>
          <w:rStyle w:val="FootnoteReference"/>
          <w:rFonts w:ascii="Arial" w:hAnsi="Arial" w:cs="Arial"/>
          <w:sz w:val="24"/>
          <w:szCs w:val="24"/>
          <w:shd w:val="clear" w:color="auto" w:fill="FFFFFF"/>
        </w:rPr>
        <w:footnoteReference w:id="1"/>
      </w:r>
      <w:r w:rsidR="00771731" w:rsidRPr="00477182">
        <w:rPr>
          <w:rFonts w:ascii="Arial" w:hAnsi="Arial" w:cs="Arial"/>
          <w:sz w:val="24"/>
          <w:szCs w:val="24"/>
          <w:shd w:val="clear" w:color="auto" w:fill="FFFFFF"/>
        </w:rPr>
        <w:t xml:space="preserve"> in discussing the execution on hypothecated immovable property, and which was later endorsed in </w:t>
      </w:r>
      <w:r w:rsidR="00771731" w:rsidRPr="00477182">
        <w:rPr>
          <w:rFonts w:ascii="Arial" w:hAnsi="Arial" w:cs="Arial"/>
          <w:i/>
          <w:sz w:val="24"/>
          <w:szCs w:val="24"/>
          <w:shd w:val="clear" w:color="auto" w:fill="FFFFFF"/>
        </w:rPr>
        <w:t>Bank Windhoek Namibia Ltd v Mokasa Trading Enterprises CC</w:t>
      </w:r>
      <w:r w:rsidR="00771731" w:rsidRPr="00BF4BA0">
        <w:rPr>
          <w:rStyle w:val="FootnoteReference"/>
          <w:rFonts w:ascii="Arial" w:hAnsi="Arial" w:cs="Arial"/>
          <w:sz w:val="24"/>
          <w:szCs w:val="24"/>
          <w:shd w:val="clear" w:color="auto" w:fill="FFFFFF"/>
        </w:rPr>
        <w:footnoteReference w:id="2"/>
      </w:r>
      <w:r w:rsidR="00771731" w:rsidRPr="00477182">
        <w:rPr>
          <w:rFonts w:ascii="Arial" w:hAnsi="Arial" w:cs="Arial"/>
          <w:sz w:val="24"/>
          <w:szCs w:val="24"/>
          <w:shd w:val="clear" w:color="auto" w:fill="FFFFFF"/>
        </w:rPr>
        <w:t>, had the following to say:</w:t>
      </w:r>
    </w:p>
    <w:p w14:paraId="7B7A1B8D" w14:textId="77777777" w:rsidR="00771731" w:rsidRPr="00BF4BA0" w:rsidRDefault="00771731" w:rsidP="00771731">
      <w:pPr>
        <w:pStyle w:val="ListParagraph"/>
        <w:rPr>
          <w:rFonts w:ascii="Arial" w:hAnsi="Arial" w:cs="Arial"/>
          <w:sz w:val="24"/>
          <w:szCs w:val="24"/>
          <w:shd w:val="clear" w:color="auto" w:fill="FFFFFF"/>
        </w:rPr>
      </w:pPr>
    </w:p>
    <w:p w14:paraId="167FDB00" w14:textId="77777777" w:rsidR="00771731" w:rsidRPr="00BF4BA0" w:rsidRDefault="00771731" w:rsidP="00771731">
      <w:pPr>
        <w:pStyle w:val="ListParagraph"/>
        <w:spacing w:line="360" w:lineRule="auto"/>
        <w:ind w:left="0" w:firstLine="720"/>
        <w:jc w:val="both"/>
        <w:rPr>
          <w:rFonts w:ascii="Arial" w:eastAsia="Cambria" w:hAnsi="Arial" w:cs="Arial"/>
        </w:rPr>
      </w:pPr>
      <w:r w:rsidRPr="00BF4BA0">
        <w:rPr>
          <w:rFonts w:ascii="Arial" w:eastAsia="Cambria" w:hAnsi="Arial" w:cs="Arial"/>
        </w:rPr>
        <w:t>‘The rule must not become the means by which to frustrate the legitimate commercial interests of a creditor to seek satisfaction of a judgment debt. It should be borne in mind that the judgment creditor is limited to only two opportunities to have a primary home declared specially executable. On the other hand, an execution debtor who offers a viable alternative that would reasonably satisfy the debt of the execution creditor must not be left homeless where doing so does not meet the legitimate interest of modern-day commerce and the country’s overall financial system, which rely on credit extension to the majority of the population.’</w:t>
      </w:r>
    </w:p>
    <w:p w14:paraId="42013C55" w14:textId="77777777" w:rsidR="00771731" w:rsidRPr="00BF4BA0" w:rsidRDefault="00771731" w:rsidP="00771731">
      <w:pPr>
        <w:pStyle w:val="ListParagraph"/>
        <w:rPr>
          <w:rFonts w:ascii="Arial" w:hAnsi="Arial" w:cs="Arial"/>
          <w:sz w:val="24"/>
          <w:szCs w:val="24"/>
          <w:shd w:val="clear" w:color="auto" w:fill="FFFFFF"/>
        </w:rPr>
      </w:pPr>
    </w:p>
    <w:p w14:paraId="44745E99" w14:textId="67CB3CD4"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w:t>
      </w:r>
      <w:r w:rsidRPr="00BF4BA0">
        <w:rPr>
          <w:rFonts w:ascii="Arial" w:hAnsi="Arial" w:cs="Arial"/>
          <w:sz w:val="24"/>
          <w:szCs w:val="24"/>
        </w:rPr>
        <w:tab/>
      </w:r>
      <w:r w:rsidR="00771731" w:rsidRPr="00477182">
        <w:rPr>
          <w:rFonts w:ascii="Arial" w:hAnsi="Arial" w:cs="Arial"/>
          <w:sz w:val="24"/>
          <w:szCs w:val="24"/>
          <w:shd w:val="clear" w:color="auto" w:fill="FFFFFF"/>
        </w:rPr>
        <w:t xml:space="preserve">The Supreme Court in </w:t>
      </w:r>
      <w:r w:rsidR="00771731" w:rsidRPr="00477182">
        <w:rPr>
          <w:rFonts w:ascii="Arial" w:hAnsi="Arial" w:cs="Arial"/>
          <w:i/>
          <w:sz w:val="24"/>
        </w:rPr>
        <w:t>Kisilipile and Another v First National Bank of Namibia Limited</w:t>
      </w:r>
      <w:r w:rsidR="00771731" w:rsidRPr="00BF4BA0">
        <w:rPr>
          <w:rStyle w:val="FootnoteReference"/>
          <w:rFonts w:ascii="Arial" w:hAnsi="Arial" w:cs="Arial"/>
          <w:i/>
          <w:sz w:val="24"/>
        </w:rPr>
        <w:footnoteReference w:id="3"/>
      </w:r>
      <w:r w:rsidR="00771731" w:rsidRPr="00477182">
        <w:rPr>
          <w:rFonts w:ascii="Arial" w:hAnsi="Arial" w:cs="Arial"/>
          <w:sz w:val="24"/>
        </w:rPr>
        <w:t xml:space="preserve"> set the rationale of judicial oversight as follows:</w:t>
      </w:r>
    </w:p>
    <w:p w14:paraId="3F5DE5A1" w14:textId="77777777" w:rsidR="00771731" w:rsidRPr="00BF4BA0" w:rsidRDefault="00771731" w:rsidP="00771731">
      <w:pPr>
        <w:pStyle w:val="ListParagraph"/>
        <w:spacing w:after="0" w:line="360" w:lineRule="auto"/>
        <w:ind w:left="0"/>
        <w:jc w:val="both"/>
        <w:rPr>
          <w:rFonts w:ascii="Arial" w:hAnsi="Arial" w:cs="Arial"/>
          <w:sz w:val="24"/>
        </w:rPr>
      </w:pPr>
    </w:p>
    <w:p w14:paraId="103F275C" w14:textId="77777777" w:rsidR="00771731" w:rsidRPr="00BF4BA0" w:rsidRDefault="00771731" w:rsidP="00771731">
      <w:pPr>
        <w:spacing w:line="360" w:lineRule="auto"/>
        <w:ind w:firstLine="720"/>
        <w:contextualSpacing/>
        <w:jc w:val="both"/>
        <w:rPr>
          <w:rFonts w:ascii="Arial" w:eastAsia="Calibri" w:hAnsi="Arial" w:cs="Arial"/>
          <w:shd w:val="clear" w:color="auto" w:fill="FFFFFF"/>
        </w:rPr>
      </w:pPr>
      <w:r w:rsidRPr="00BF4BA0">
        <w:rPr>
          <w:rFonts w:ascii="Arial" w:eastAsia="Calibri" w:hAnsi="Arial" w:cs="Arial"/>
          <w:shd w:val="clear" w:color="auto" w:fill="FFFFFF"/>
        </w:rPr>
        <w:t>‘[18]</w:t>
      </w:r>
      <w:r w:rsidRPr="00BF4BA0">
        <w:rPr>
          <w:rFonts w:ascii="Arial" w:eastAsia="Calibri" w:hAnsi="Arial" w:cs="Arial"/>
          <w:shd w:val="clear" w:color="auto" w:fill="FFFFFF"/>
        </w:rPr>
        <w:tab/>
        <w:t>In Namibia, judicial oversight takes the following form when it comes to declaring a primary home specially executable. If a property is a primary home, the court must be satisfied that there are no less drastic alternatives to a sale in execution. The judgment debtor bears the evidential burden. He or she should preferably lay the relevant information before court on affidavit especially if assisted by a legal practitioner, either in resisting default judgment or summary judgment. The failure to do so however does not relieve the court of its obligation to inquire into the availability of less drastic alternatives.</w:t>
      </w:r>
    </w:p>
    <w:p w14:paraId="61D5AE0A" w14:textId="77777777" w:rsidR="00771731" w:rsidRPr="00BF4BA0" w:rsidRDefault="00771731" w:rsidP="00771731">
      <w:pPr>
        <w:spacing w:line="360" w:lineRule="auto"/>
        <w:contextualSpacing/>
        <w:jc w:val="both"/>
        <w:rPr>
          <w:rFonts w:ascii="Arial" w:eastAsia="Calibri" w:hAnsi="Arial" w:cs="Arial"/>
          <w:shd w:val="clear" w:color="auto" w:fill="FFFFFF"/>
        </w:rPr>
      </w:pPr>
    </w:p>
    <w:p w14:paraId="5D82A99F" w14:textId="77777777" w:rsidR="00771731" w:rsidRPr="00BF4BA0" w:rsidRDefault="00771731" w:rsidP="00771731">
      <w:pPr>
        <w:spacing w:line="360" w:lineRule="auto"/>
        <w:contextualSpacing/>
        <w:jc w:val="both"/>
        <w:rPr>
          <w:rFonts w:ascii="Arial" w:eastAsia="Calibri" w:hAnsi="Arial" w:cs="Arial"/>
          <w:shd w:val="clear" w:color="auto" w:fill="FFFFFF"/>
        </w:rPr>
      </w:pPr>
      <w:r w:rsidRPr="00BF4BA0">
        <w:rPr>
          <w:rFonts w:ascii="Arial" w:eastAsia="Calibri" w:hAnsi="Arial" w:cs="Arial"/>
          <w:shd w:val="clear" w:color="auto" w:fill="FFFFFF"/>
        </w:rPr>
        <w:t>[19] The debtor must be invited to present alternatives that the court should consider to avoid a sale in execution but bearing in mind that the credit giver has a right to satisfaction of the bargain. The alternatives must be viable in that it must not amount to defeating the commercial interest of the creditor by in effect amounting to non-payment and stringing the creditor along until someday the debtor has the means to pay the debt. Should the circumstances justify, the court must stand the matter down or postpone to a date suitable to itself and the parties to conduct the inquiry. A failure to conduct the inquiry is a reversible misdirection…’</w:t>
      </w:r>
    </w:p>
    <w:p w14:paraId="78B2197E"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6388E3B8" w14:textId="5FDF7816"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w:t>
      </w:r>
      <w:r w:rsidRPr="00BF4BA0">
        <w:rPr>
          <w:rFonts w:ascii="Arial" w:hAnsi="Arial" w:cs="Arial"/>
          <w:sz w:val="24"/>
          <w:szCs w:val="24"/>
        </w:rPr>
        <w:tab/>
      </w:r>
      <w:r w:rsidR="00771731" w:rsidRPr="00477182">
        <w:rPr>
          <w:rFonts w:ascii="Arial" w:hAnsi="Arial" w:cs="Arial"/>
          <w:sz w:val="24"/>
          <w:szCs w:val="24"/>
          <w:shd w:val="clear" w:color="auto" w:fill="FFFFFF"/>
        </w:rPr>
        <w:t xml:space="preserve">In para 20 of </w:t>
      </w:r>
      <w:r w:rsidR="00771731" w:rsidRPr="00477182">
        <w:rPr>
          <w:rFonts w:ascii="Arial" w:hAnsi="Arial" w:cs="Arial"/>
          <w:i/>
          <w:sz w:val="24"/>
          <w:szCs w:val="24"/>
          <w:shd w:val="clear" w:color="auto" w:fill="FFFFFF"/>
        </w:rPr>
        <w:t>Kisilipile supra</w:t>
      </w:r>
      <w:r w:rsidR="00771731" w:rsidRPr="00477182">
        <w:rPr>
          <w:rFonts w:ascii="Arial" w:hAnsi="Arial" w:cs="Arial"/>
          <w:sz w:val="24"/>
          <w:szCs w:val="24"/>
          <w:shd w:val="clear" w:color="auto" w:fill="FFFFFF"/>
        </w:rPr>
        <w:t>, th</w:t>
      </w:r>
      <w:r w:rsidR="00E53C85" w:rsidRPr="00477182">
        <w:rPr>
          <w:rFonts w:ascii="Arial" w:hAnsi="Arial" w:cs="Arial"/>
          <w:sz w:val="24"/>
          <w:szCs w:val="24"/>
          <w:shd w:val="clear" w:color="auto" w:fill="FFFFFF"/>
        </w:rPr>
        <w:t>e Supreme Court further expounds</w:t>
      </w:r>
      <w:r w:rsidR="00771731" w:rsidRPr="00477182">
        <w:rPr>
          <w:rFonts w:ascii="Arial" w:hAnsi="Arial" w:cs="Arial"/>
          <w:sz w:val="24"/>
          <w:szCs w:val="24"/>
          <w:shd w:val="clear" w:color="auto" w:fill="FFFFFF"/>
        </w:rPr>
        <w:t xml:space="preserve"> on the rationale of judicial oversight, as follows:</w:t>
      </w:r>
    </w:p>
    <w:p w14:paraId="1594E7E2"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0C907B02" w14:textId="77777777" w:rsidR="00771731" w:rsidRDefault="00771731" w:rsidP="00684EC0">
      <w:pPr>
        <w:spacing w:line="360" w:lineRule="auto"/>
        <w:ind w:firstLine="720"/>
        <w:contextualSpacing/>
        <w:jc w:val="both"/>
        <w:rPr>
          <w:rFonts w:ascii="Arial" w:eastAsia="Calibri" w:hAnsi="Arial" w:cs="Arial"/>
          <w:sz w:val="24"/>
          <w:shd w:val="clear" w:color="auto" w:fill="FFFFFF"/>
        </w:rPr>
      </w:pPr>
      <w:r w:rsidRPr="00BF4BA0">
        <w:rPr>
          <w:rFonts w:ascii="Arial" w:eastAsia="Calibri" w:hAnsi="Arial" w:cs="Arial"/>
          <w:shd w:val="clear" w:color="auto" w:fill="FFFFFF"/>
        </w:rPr>
        <w:t xml:space="preserve">‘Judicial oversight exists to ensure that debtors are not made homeless unnecessarily and that the sale in execution of a primary home is a last resort. </w:t>
      </w:r>
      <w:r w:rsidRPr="00BF4BA0">
        <w:rPr>
          <w:rFonts w:ascii="Arial" w:eastAsia="Calibri" w:hAnsi="Arial" w:cs="Arial"/>
          <w:u w:val="single"/>
          <w:shd w:val="clear" w:color="auto" w:fill="FFFFFF"/>
        </w:rPr>
        <w:t>The court is required to take into account “all the relevant circumstances”.</w:t>
      </w:r>
      <w:r w:rsidRPr="00BF4BA0">
        <w:rPr>
          <w:rFonts w:ascii="Arial" w:eastAsia="Calibri" w:hAnsi="Arial" w:cs="Arial"/>
          <w:shd w:val="clear" w:color="auto" w:fill="FFFFFF"/>
        </w:rPr>
        <w:t xml:space="preserve"> When exercising the discretion under rule 108 the court should bear in mind that a sale in execution of a primary home does not necessarily extinguish the debt. The reality is often the contrary. In other words, the debtor remains indebted to the credit giver for the balance of the debt, considering that under the current rule framework the property is to be sold to the highest bidder for not less than 75% of either the local authority council or regional council valuation or in the absence of that, at not less than 75% of a sworn valuation. </w:t>
      </w:r>
      <w:r w:rsidRPr="00BF4BA0">
        <w:rPr>
          <w:rFonts w:ascii="Arial" w:eastAsia="Calibri" w:hAnsi="Arial" w:cs="Arial"/>
          <w:shd w:val="clear" w:color="auto" w:fill="FFFFFF"/>
        </w:rPr>
        <w:lastRenderedPageBreak/>
        <w:t xml:space="preserve">There is no requirement that the highest bid be not less than the actual indebtedness of the judgment debtor to the credit giver.’ </w:t>
      </w:r>
      <w:r w:rsidR="00E53C85">
        <w:rPr>
          <w:rFonts w:ascii="Arial" w:eastAsia="Calibri" w:hAnsi="Arial" w:cs="Arial"/>
          <w:sz w:val="24"/>
          <w:shd w:val="clear" w:color="auto" w:fill="FFFFFF"/>
        </w:rPr>
        <w:t>(Underlining is my emphasis)</w:t>
      </w:r>
    </w:p>
    <w:p w14:paraId="1DCBAE28" w14:textId="77777777" w:rsidR="00684EC0" w:rsidRPr="00BF4BA0" w:rsidRDefault="00684EC0" w:rsidP="00684EC0">
      <w:pPr>
        <w:spacing w:line="360" w:lineRule="auto"/>
        <w:ind w:firstLine="720"/>
        <w:contextualSpacing/>
        <w:jc w:val="both"/>
        <w:rPr>
          <w:rFonts w:ascii="Arial" w:eastAsia="Calibri" w:hAnsi="Arial" w:cs="Arial"/>
          <w:sz w:val="24"/>
          <w:shd w:val="clear" w:color="auto" w:fill="FFFFFF"/>
        </w:rPr>
      </w:pPr>
    </w:p>
    <w:p w14:paraId="29E4F160" w14:textId="3E619396" w:rsidR="00711738" w:rsidRPr="00477182" w:rsidRDefault="00477182" w:rsidP="00477182">
      <w:pPr>
        <w:spacing w:after="0" w:line="360" w:lineRule="auto"/>
        <w:jc w:val="both"/>
        <w:rPr>
          <w:rFonts w:ascii="Arial" w:hAnsi="Arial" w:cs="Arial"/>
          <w:sz w:val="24"/>
          <w:szCs w:val="24"/>
          <w:shd w:val="clear" w:color="auto" w:fill="FFFFFF"/>
        </w:rPr>
      </w:pPr>
      <w:r>
        <w:rPr>
          <w:rFonts w:ascii="Arial" w:hAnsi="Arial" w:cs="Arial"/>
          <w:sz w:val="24"/>
          <w:szCs w:val="24"/>
        </w:rPr>
        <w:t>[5]</w:t>
      </w:r>
      <w:r>
        <w:rPr>
          <w:rFonts w:ascii="Arial" w:hAnsi="Arial" w:cs="Arial"/>
          <w:sz w:val="24"/>
          <w:szCs w:val="24"/>
        </w:rPr>
        <w:tab/>
      </w:r>
      <w:r w:rsidR="00711738" w:rsidRPr="00477182">
        <w:rPr>
          <w:rFonts w:ascii="Arial" w:hAnsi="Arial" w:cs="Arial"/>
          <w:sz w:val="24"/>
          <w:szCs w:val="24"/>
          <w:shd w:val="clear" w:color="auto" w:fill="FFFFFF"/>
        </w:rPr>
        <w:t xml:space="preserve">In considering the approach of rule 108, the Supreme Court in </w:t>
      </w:r>
      <w:r w:rsidR="00711738" w:rsidRPr="00477182">
        <w:rPr>
          <w:rFonts w:ascii="Arial" w:hAnsi="Arial" w:cs="Arial"/>
          <w:i/>
          <w:sz w:val="24"/>
          <w:szCs w:val="24"/>
          <w:shd w:val="clear" w:color="auto" w:fill="FFFFFF"/>
        </w:rPr>
        <w:t>Standard Bank Namibia Limited v Shipila</w:t>
      </w:r>
      <w:r w:rsidR="00711738">
        <w:rPr>
          <w:rStyle w:val="FootnoteReference"/>
          <w:rFonts w:ascii="Arial" w:hAnsi="Arial" w:cs="Arial"/>
          <w:i/>
          <w:sz w:val="24"/>
          <w:szCs w:val="24"/>
          <w:shd w:val="clear" w:color="auto" w:fill="FFFFFF"/>
        </w:rPr>
        <w:footnoteReference w:id="4"/>
      </w:r>
      <w:r w:rsidR="00711738" w:rsidRPr="00477182">
        <w:rPr>
          <w:rFonts w:ascii="Arial" w:hAnsi="Arial" w:cs="Arial"/>
          <w:sz w:val="24"/>
          <w:szCs w:val="24"/>
          <w:shd w:val="clear" w:color="auto" w:fill="FFFFFF"/>
        </w:rPr>
        <w:t xml:space="preserve"> held as follows:</w:t>
      </w:r>
    </w:p>
    <w:p w14:paraId="4F0CB63B" w14:textId="77777777" w:rsidR="00711738" w:rsidRDefault="00711738" w:rsidP="00711738">
      <w:pPr>
        <w:pStyle w:val="ListParagraph"/>
        <w:spacing w:after="0" w:line="360" w:lineRule="auto"/>
        <w:ind w:left="0"/>
        <w:jc w:val="both"/>
        <w:rPr>
          <w:rFonts w:ascii="Arial" w:hAnsi="Arial" w:cs="Arial"/>
          <w:sz w:val="24"/>
          <w:szCs w:val="24"/>
          <w:shd w:val="clear" w:color="auto" w:fill="FFFFFF"/>
        </w:rPr>
      </w:pPr>
    </w:p>
    <w:p w14:paraId="35B7E4C7" w14:textId="77777777" w:rsidR="00711738" w:rsidRPr="00711738" w:rsidRDefault="00711738" w:rsidP="00711738">
      <w:pPr>
        <w:pStyle w:val="ListParagraph"/>
        <w:spacing w:after="0" w:line="360" w:lineRule="auto"/>
        <w:ind w:left="0" w:firstLine="720"/>
        <w:jc w:val="both"/>
        <w:rPr>
          <w:rFonts w:ascii="Arial" w:hAnsi="Arial" w:cs="Arial"/>
          <w:szCs w:val="24"/>
          <w:shd w:val="clear" w:color="auto" w:fill="FFFFFF"/>
        </w:rPr>
      </w:pPr>
      <w:r>
        <w:rPr>
          <w:rFonts w:ascii="Arial" w:hAnsi="Arial" w:cs="Arial"/>
          <w:szCs w:val="24"/>
          <w:shd w:val="clear" w:color="auto" w:fill="FFFFFF"/>
        </w:rPr>
        <w:t xml:space="preserve">‘[…] In my view the primary objective of this rule 108(2)(a) is to inform a judgment debtor that an application will be made for an order declaring the property executable and giving the judgment debtor an opportunity to oppose such an application if such judgment debtor be inclined to do so. </w:t>
      </w:r>
      <w:r w:rsidRPr="00711738">
        <w:rPr>
          <w:rFonts w:ascii="Arial" w:hAnsi="Arial" w:cs="Arial"/>
          <w:szCs w:val="24"/>
          <w:shd w:val="clear" w:color="auto" w:fill="FFFFFF"/>
        </w:rPr>
        <w:t>In my view there is sufficient notice if there is substantial compliance with Form 24.</w:t>
      </w:r>
      <w:r>
        <w:rPr>
          <w:rFonts w:ascii="Arial" w:hAnsi="Arial" w:cs="Arial"/>
          <w:szCs w:val="24"/>
          <w:shd w:val="clear" w:color="auto" w:fill="FFFFFF"/>
        </w:rPr>
        <w:t>’</w:t>
      </w:r>
    </w:p>
    <w:p w14:paraId="6AD07CFC" w14:textId="77777777" w:rsidR="00711738" w:rsidRDefault="00711738" w:rsidP="00711738">
      <w:pPr>
        <w:pStyle w:val="ListParagraph"/>
        <w:spacing w:after="0" w:line="360" w:lineRule="auto"/>
        <w:ind w:left="0"/>
        <w:jc w:val="both"/>
        <w:rPr>
          <w:rFonts w:ascii="Arial" w:hAnsi="Arial" w:cs="Arial"/>
          <w:sz w:val="24"/>
          <w:szCs w:val="24"/>
          <w:shd w:val="clear" w:color="auto" w:fill="FFFFFF"/>
        </w:rPr>
      </w:pPr>
    </w:p>
    <w:p w14:paraId="5B57AF74" w14:textId="50F95635"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[6]</w:t>
      </w:r>
      <w:r w:rsidRPr="00BF4BA0">
        <w:rPr>
          <w:rFonts w:ascii="Arial" w:hAnsi="Arial" w:cs="Arial"/>
          <w:sz w:val="24"/>
          <w:szCs w:val="24"/>
        </w:rPr>
        <w:tab/>
      </w:r>
      <w:r w:rsidR="000D0EBA" w:rsidRPr="00477182">
        <w:rPr>
          <w:rFonts w:ascii="Arial" w:hAnsi="Arial" w:cs="Arial"/>
          <w:sz w:val="24"/>
          <w:szCs w:val="24"/>
          <w:shd w:val="clear" w:color="auto" w:fill="FFFFFF"/>
        </w:rPr>
        <w:t xml:space="preserve">It is in </w:t>
      </w:r>
      <w:r w:rsidR="00404457" w:rsidRPr="00477182">
        <w:rPr>
          <w:rFonts w:ascii="Arial" w:hAnsi="Arial" w:cs="Arial"/>
          <w:sz w:val="24"/>
          <w:szCs w:val="24"/>
          <w:shd w:val="clear" w:color="auto" w:fill="FFFFFF"/>
        </w:rPr>
        <w:t>view</w:t>
      </w:r>
      <w:r w:rsidR="000D0EBA" w:rsidRPr="00477182">
        <w:rPr>
          <w:rFonts w:ascii="Arial" w:hAnsi="Arial" w:cs="Arial"/>
          <w:sz w:val="24"/>
          <w:szCs w:val="24"/>
          <w:shd w:val="clear" w:color="auto" w:fill="FFFFFF"/>
        </w:rPr>
        <w:t xml:space="preserve"> of the aforementioned principles outlined that </w:t>
      </w:r>
      <w:r w:rsidR="00771731" w:rsidRPr="00477182">
        <w:rPr>
          <w:rFonts w:ascii="Arial" w:hAnsi="Arial" w:cs="Arial"/>
          <w:sz w:val="24"/>
          <w:szCs w:val="24"/>
          <w:shd w:val="clear" w:color="auto" w:fill="FFFFFF"/>
        </w:rPr>
        <w:t>I consider this application</w:t>
      </w:r>
      <w:r w:rsidR="00404457" w:rsidRPr="00477182">
        <w:rPr>
          <w:rFonts w:ascii="Arial" w:hAnsi="Arial" w:cs="Arial"/>
          <w:sz w:val="24"/>
          <w:szCs w:val="24"/>
          <w:shd w:val="clear" w:color="auto" w:fill="FFFFFF"/>
        </w:rPr>
        <w:t>.</w:t>
      </w:r>
    </w:p>
    <w:p w14:paraId="4DF2E229" w14:textId="77777777" w:rsidR="001C5816" w:rsidRPr="00BF4BA0" w:rsidRDefault="001C5816" w:rsidP="001C5816">
      <w:pPr>
        <w:pStyle w:val="ListParagraph"/>
        <w:spacing w:after="0" w:line="360" w:lineRule="auto"/>
        <w:ind w:left="0"/>
        <w:jc w:val="both"/>
        <w:rPr>
          <w:rFonts w:ascii="Arial" w:hAnsi="Arial" w:cs="Arial"/>
          <w:sz w:val="24"/>
          <w:szCs w:val="24"/>
          <w:shd w:val="clear" w:color="auto" w:fill="FFFFFF"/>
        </w:rPr>
      </w:pPr>
    </w:p>
    <w:p w14:paraId="79DB23BF" w14:textId="77777777" w:rsidR="001C5816" w:rsidRPr="00BF4BA0" w:rsidRDefault="001C5816" w:rsidP="00771731">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The parties</w:t>
      </w:r>
      <w:r w:rsidR="00BF4BA0">
        <w:rPr>
          <w:rFonts w:ascii="Arial" w:hAnsi="Arial" w:cs="Arial"/>
          <w:sz w:val="24"/>
          <w:szCs w:val="24"/>
          <w:u w:val="single"/>
          <w:shd w:val="clear" w:color="auto" w:fill="FFFFFF"/>
        </w:rPr>
        <w:t xml:space="preserve"> and representation</w:t>
      </w:r>
    </w:p>
    <w:p w14:paraId="66F742F5" w14:textId="77777777" w:rsidR="001C5816" w:rsidRPr="00BF4BA0" w:rsidRDefault="001C5816" w:rsidP="00771731">
      <w:pPr>
        <w:pStyle w:val="ListParagraph"/>
        <w:spacing w:after="0" w:line="360" w:lineRule="auto"/>
        <w:ind w:left="0"/>
        <w:jc w:val="both"/>
        <w:rPr>
          <w:rFonts w:ascii="Arial" w:hAnsi="Arial" w:cs="Arial"/>
          <w:sz w:val="24"/>
          <w:szCs w:val="24"/>
          <w:u w:val="single"/>
          <w:shd w:val="clear" w:color="auto" w:fill="FFFFFF"/>
        </w:rPr>
      </w:pPr>
    </w:p>
    <w:p w14:paraId="36D0927D" w14:textId="77A006BD" w:rsidR="00771731" w:rsidRPr="00477182" w:rsidRDefault="00477182" w:rsidP="00477182">
      <w:pPr>
        <w:spacing w:after="0" w:line="360" w:lineRule="auto"/>
        <w:jc w:val="both"/>
        <w:rPr>
          <w:rFonts w:ascii="Arial" w:hAnsi="Arial" w:cs="Arial"/>
          <w:sz w:val="24"/>
          <w:szCs w:val="24"/>
          <w:shd w:val="clear" w:color="auto" w:fill="FFFFFF"/>
        </w:rPr>
      </w:pPr>
      <w:r>
        <w:rPr>
          <w:rFonts w:ascii="Arial" w:hAnsi="Arial" w:cs="Arial"/>
          <w:sz w:val="24"/>
          <w:szCs w:val="24"/>
        </w:rPr>
        <w:t>[7]</w:t>
      </w:r>
      <w:r>
        <w:rPr>
          <w:rFonts w:ascii="Arial" w:hAnsi="Arial" w:cs="Arial"/>
          <w:sz w:val="24"/>
          <w:szCs w:val="24"/>
        </w:rPr>
        <w:tab/>
      </w:r>
      <w:r w:rsidR="00771731" w:rsidRPr="00477182">
        <w:rPr>
          <w:rFonts w:ascii="Arial" w:hAnsi="Arial" w:cs="Arial"/>
          <w:sz w:val="24"/>
          <w:szCs w:val="24"/>
          <w:shd w:val="clear" w:color="auto" w:fill="FFFFFF"/>
        </w:rPr>
        <w:t>The applicant is Standard Bank Namibia Limited, a duly registered bank with limited liability carrying on business as such. Whereas, the first respondent is Danne Rodney Shaningua, an adult male and the second respondent is Naomi Nadia Shaningua, an adult female. For ease of reference, I will refer to the applicant as ‘Standard Bank’ and ‘the Bank’, interchangeably, and the first and second respondents as ‘Mr Shangingua’ and ‘Mrs Shangingua’, respectively, and ‘the respondents’, collectively.</w:t>
      </w:r>
    </w:p>
    <w:p w14:paraId="7A9084F2" w14:textId="77777777" w:rsidR="00BF4BA0" w:rsidRDefault="00BF4BA0" w:rsidP="00BF4BA0">
      <w:pPr>
        <w:pStyle w:val="ListParagraph"/>
        <w:spacing w:after="0" w:line="360" w:lineRule="auto"/>
        <w:ind w:left="0"/>
        <w:jc w:val="both"/>
        <w:rPr>
          <w:rFonts w:ascii="Arial" w:hAnsi="Arial" w:cs="Arial"/>
          <w:sz w:val="24"/>
          <w:szCs w:val="24"/>
          <w:shd w:val="clear" w:color="auto" w:fill="FFFFFF"/>
        </w:rPr>
      </w:pPr>
    </w:p>
    <w:p w14:paraId="15493951" w14:textId="714FE941" w:rsidR="00BF4BA0"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[8]</w:t>
      </w:r>
      <w:r w:rsidRPr="00BF4BA0">
        <w:rPr>
          <w:rFonts w:ascii="Arial" w:hAnsi="Arial" w:cs="Arial"/>
          <w:sz w:val="24"/>
          <w:szCs w:val="24"/>
        </w:rPr>
        <w:tab/>
      </w:r>
      <w:r w:rsidR="0088479D" w:rsidRPr="00477182">
        <w:rPr>
          <w:rFonts w:ascii="Arial" w:hAnsi="Arial" w:cs="Arial"/>
          <w:sz w:val="24"/>
          <w:szCs w:val="24"/>
          <w:shd w:val="clear" w:color="auto" w:fill="FFFFFF"/>
        </w:rPr>
        <w:t>At</w:t>
      </w:r>
      <w:r w:rsidR="00BF4BA0" w:rsidRPr="00477182">
        <w:rPr>
          <w:rFonts w:ascii="Arial" w:hAnsi="Arial" w:cs="Arial"/>
          <w:sz w:val="24"/>
          <w:szCs w:val="24"/>
          <w:shd w:val="clear" w:color="auto" w:fill="FFFFFF"/>
        </w:rPr>
        <w:t xml:space="preserve"> the hearing, Standard Bank was represented by Ms Fernandes of Shikongo Law Chambers and the respondents were represented by Mr Mwakondange of Mwakondange &amp; Associates</w:t>
      </w:r>
      <w:r w:rsidR="00F31CA8" w:rsidRPr="00477182">
        <w:rPr>
          <w:rFonts w:ascii="Arial" w:hAnsi="Arial" w:cs="Arial"/>
          <w:sz w:val="24"/>
          <w:szCs w:val="24"/>
          <w:shd w:val="clear" w:color="auto" w:fill="FFFFFF"/>
        </w:rPr>
        <w:t xml:space="preserve"> Incorporated</w:t>
      </w:r>
      <w:r w:rsidR="00BF4BA0" w:rsidRPr="00477182">
        <w:rPr>
          <w:rFonts w:ascii="Arial" w:hAnsi="Arial" w:cs="Arial"/>
          <w:sz w:val="24"/>
          <w:szCs w:val="24"/>
          <w:shd w:val="clear" w:color="auto" w:fill="FFFFFF"/>
        </w:rPr>
        <w:t>.</w:t>
      </w:r>
    </w:p>
    <w:p w14:paraId="3528A694"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738B408C" w14:textId="77777777" w:rsidR="00771731" w:rsidRPr="00BF4BA0" w:rsidRDefault="00771731" w:rsidP="00771731">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Relevant background</w:t>
      </w:r>
    </w:p>
    <w:p w14:paraId="40383152"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46C8F75F" w14:textId="78C9A9C8"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lastRenderedPageBreak/>
        <w:t>[9]</w:t>
      </w:r>
      <w:r w:rsidRPr="00BF4BA0">
        <w:rPr>
          <w:rFonts w:ascii="Arial" w:hAnsi="Arial" w:cs="Arial"/>
          <w:sz w:val="24"/>
          <w:szCs w:val="24"/>
        </w:rPr>
        <w:tab/>
      </w:r>
      <w:r w:rsidR="00771731" w:rsidRPr="00477182">
        <w:rPr>
          <w:rFonts w:ascii="Arial" w:hAnsi="Arial" w:cs="Arial"/>
          <w:sz w:val="24"/>
          <w:szCs w:val="24"/>
          <w:shd w:val="clear" w:color="auto" w:fill="FFFFFF"/>
        </w:rPr>
        <w:t>Standard Bank instituted legal proceedings against the respondents on 18 November 2019 claiming payment of the sum of N$1 731 786,81 together with in</w:t>
      </w:r>
      <w:r w:rsidR="00E53C85" w:rsidRPr="00477182">
        <w:rPr>
          <w:rFonts w:ascii="Arial" w:hAnsi="Arial" w:cs="Arial"/>
          <w:sz w:val="24"/>
          <w:szCs w:val="24"/>
          <w:shd w:val="clear" w:color="auto" w:fill="FFFFFF"/>
        </w:rPr>
        <w:t>terest at the rate of 11,50 per</w:t>
      </w:r>
      <w:r w:rsidR="00771731" w:rsidRPr="00477182">
        <w:rPr>
          <w:rFonts w:ascii="Arial" w:hAnsi="Arial" w:cs="Arial"/>
          <w:sz w:val="24"/>
          <w:szCs w:val="24"/>
          <w:shd w:val="clear" w:color="auto" w:fill="FFFFFF"/>
        </w:rPr>
        <w:t>cent per annum as of 20 July 2018 until date of final payment and costs on an attorney and client scale, jointly and severally, the one paying the other to be absolved.</w:t>
      </w:r>
    </w:p>
    <w:p w14:paraId="26C6D686" w14:textId="77777777" w:rsidR="00771731" w:rsidRPr="00BF4BA0" w:rsidRDefault="00771731" w:rsidP="00771731">
      <w:pPr>
        <w:pStyle w:val="ListParagraph"/>
        <w:spacing w:after="0" w:line="360" w:lineRule="auto"/>
        <w:ind w:left="0"/>
        <w:jc w:val="both"/>
        <w:rPr>
          <w:rFonts w:ascii="Arial" w:hAnsi="Arial" w:cs="Arial"/>
          <w:sz w:val="24"/>
          <w:szCs w:val="24"/>
          <w:shd w:val="clear" w:color="auto" w:fill="FFFFFF"/>
        </w:rPr>
      </w:pPr>
    </w:p>
    <w:p w14:paraId="35209272" w14:textId="1A916D02" w:rsidR="0077173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[10]</w:t>
      </w:r>
      <w:r w:rsidRPr="00BF4BA0">
        <w:rPr>
          <w:rFonts w:ascii="Arial" w:hAnsi="Arial" w:cs="Arial"/>
          <w:sz w:val="24"/>
          <w:szCs w:val="24"/>
        </w:rPr>
        <w:tab/>
      </w:r>
      <w:r w:rsidR="007D253D" w:rsidRPr="00477182">
        <w:rPr>
          <w:rFonts w:ascii="Arial" w:hAnsi="Arial" w:cs="Arial"/>
          <w:sz w:val="24"/>
          <w:szCs w:val="24"/>
          <w:shd w:val="clear" w:color="auto" w:fill="FFFFFF"/>
        </w:rPr>
        <w:t>On 10 September 2020, the court grant</w:t>
      </w:r>
      <w:r w:rsidR="00BF4BA0" w:rsidRPr="00477182">
        <w:rPr>
          <w:rFonts w:ascii="Arial" w:hAnsi="Arial" w:cs="Arial"/>
          <w:sz w:val="24"/>
          <w:szCs w:val="24"/>
          <w:shd w:val="clear" w:color="auto" w:fill="FFFFFF"/>
        </w:rPr>
        <w:t>ed</w:t>
      </w:r>
      <w:r w:rsidR="007D253D" w:rsidRPr="00477182">
        <w:rPr>
          <w:rFonts w:ascii="Arial" w:hAnsi="Arial" w:cs="Arial"/>
          <w:sz w:val="24"/>
          <w:szCs w:val="24"/>
          <w:shd w:val="clear" w:color="auto" w:fill="FFFFFF"/>
        </w:rPr>
        <w:t xml:space="preserve"> d</w:t>
      </w:r>
      <w:r w:rsidR="00771731" w:rsidRPr="00477182">
        <w:rPr>
          <w:rFonts w:ascii="Arial" w:hAnsi="Arial" w:cs="Arial"/>
          <w:sz w:val="24"/>
          <w:szCs w:val="24"/>
          <w:shd w:val="clear" w:color="auto" w:fill="FFFFFF"/>
        </w:rPr>
        <w:t>efault judgment</w:t>
      </w:r>
      <w:r w:rsidR="00404457" w:rsidRPr="00477182">
        <w:rPr>
          <w:rFonts w:ascii="Arial" w:hAnsi="Arial" w:cs="Arial"/>
          <w:sz w:val="24"/>
          <w:szCs w:val="24"/>
          <w:shd w:val="clear" w:color="auto" w:fill="FFFFFF"/>
        </w:rPr>
        <w:t>, jointly and severally against the respondents,</w:t>
      </w:r>
      <w:r w:rsidR="00771731" w:rsidRPr="00477182">
        <w:rPr>
          <w:rFonts w:ascii="Arial" w:hAnsi="Arial" w:cs="Arial"/>
          <w:sz w:val="24"/>
          <w:szCs w:val="24"/>
          <w:shd w:val="clear" w:color="auto" w:fill="FFFFFF"/>
        </w:rPr>
        <w:t xml:space="preserve"> in the aforementioned amount together with interest and costs as prayed for. Subsequent there</w:t>
      </w:r>
      <w:r w:rsidR="00E53C85" w:rsidRPr="00477182">
        <w:rPr>
          <w:rFonts w:ascii="Arial" w:hAnsi="Arial" w:cs="Arial"/>
          <w:sz w:val="24"/>
          <w:szCs w:val="24"/>
          <w:shd w:val="clear" w:color="auto" w:fill="FFFFFF"/>
        </w:rPr>
        <w:t>to and on 2 November 2020, the R</w:t>
      </w:r>
      <w:r w:rsidR="00771731" w:rsidRPr="00477182">
        <w:rPr>
          <w:rFonts w:ascii="Arial" w:hAnsi="Arial" w:cs="Arial"/>
          <w:sz w:val="24"/>
          <w:szCs w:val="24"/>
          <w:shd w:val="clear" w:color="auto" w:fill="FFFFFF"/>
        </w:rPr>
        <w:t>egistrar of this court issued a writ of execution on movable properties.</w:t>
      </w:r>
      <w:r w:rsidR="00617519" w:rsidRPr="00477182">
        <w:rPr>
          <w:rFonts w:ascii="Arial" w:hAnsi="Arial" w:cs="Arial"/>
          <w:sz w:val="24"/>
          <w:szCs w:val="24"/>
          <w:shd w:val="clear" w:color="auto" w:fill="FFFFFF"/>
        </w:rPr>
        <w:t xml:space="preserve"> On 23 July 2021, a </w:t>
      </w:r>
      <w:r w:rsidR="00617519" w:rsidRPr="00477182">
        <w:rPr>
          <w:rFonts w:ascii="Arial" w:hAnsi="Arial" w:cs="Arial"/>
          <w:i/>
          <w:sz w:val="24"/>
          <w:szCs w:val="24"/>
          <w:shd w:val="clear" w:color="auto" w:fill="FFFFFF"/>
        </w:rPr>
        <w:t>nulla bona</w:t>
      </w:r>
      <w:r w:rsidR="00617519" w:rsidRPr="00477182">
        <w:rPr>
          <w:rFonts w:ascii="Arial" w:hAnsi="Arial" w:cs="Arial"/>
          <w:sz w:val="24"/>
          <w:szCs w:val="24"/>
          <w:shd w:val="clear" w:color="auto" w:fill="FFFFFF"/>
        </w:rPr>
        <w:t xml:space="preserve"> return was filed of record by Standard Bank’s counsel, which reflects that ‘no disposal property could be found to satisfy’ the writ.</w:t>
      </w:r>
    </w:p>
    <w:p w14:paraId="3D9EE8FE" w14:textId="77777777" w:rsidR="00617519" w:rsidRPr="00BF4BA0" w:rsidRDefault="00617519" w:rsidP="00617519">
      <w:pPr>
        <w:pStyle w:val="ListParagraph"/>
        <w:rPr>
          <w:rFonts w:ascii="Arial" w:hAnsi="Arial" w:cs="Arial"/>
          <w:sz w:val="24"/>
          <w:szCs w:val="24"/>
          <w:shd w:val="clear" w:color="auto" w:fill="FFFFFF"/>
        </w:rPr>
      </w:pPr>
    </w:p>
    <w:p w14:paraId="145D405A" w14:textId="664C10A8"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[11]</w:t>
      </w:r>
      <w:r w:rsidRPr="00BF4BA0">
        <w:rPr>
          <w:rFonts w:ascii="Arial" w:hAnsi="Arial" w:cs="Arial"/>
          <w:sz w:val="24"/>
          <w:szCs w:val="24"/>
        </w:rPr>
        <w:tab/>
      </w:r>
      <w:r w:rsidR="00617519" w:rsidRPr="00477182">
        <w:rPr>
          <w:rFonts w:ascii="Arial" w:hAnsi="Arial" w:cs="Arial"/>
          <w:sz w:val="24"/>
          <w:szCs w:val="24"/>
          <w:shd w:val="clear" w:color="auto" w:fill="FFFFFF"/>
        </w:rPr>
        <w:t>Approximately one year later, on 12 July 2022, Standard Bank applied for the immovable property, Erf No 1227, Hochlandpark (‘the property’), to be declared specially executable under rule 108 of the rules of court.</w:t>
      </w:r>
    </w:p>
    <w:p w14:paraId="587A7BA2" w14:textId="77777777" w:rsidR="00617519" w:rsidRPr="00BF4BA0" w:rsidRDefault="00617519" w:rsidP="00617519">
      <w:pPr>
        <w:pStyle w:val="ListParagraph"/>
        <w:rPr>
          <w:rFonts w:ascii="Arial" w:hAnsi="Arial" w:cs="Arial"/>
          <w:sz w:val="24"/>
          <w:szCs w:val="24"/>
          <w:shd w:val="clear" w:color="auto" w:fill="FFFFFF"/>
        </w:rPr>
      </w:pPr>
    </w:p>
    <w:p w14:paraId="6DE5E5DE" w14:textId="5143B586"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[12]</w:t>
      </w:r>
      <w:r w:rsidRPr="00BF4BA0">
        <w:rPr>
          <w:rFonts w:ascii="Arial" w:hAnsi="Arial" w:cs="Arial"/>
          <w:sz w:val="24"/>
          <w:szCs w:val="24"/>
        </w:rPr>
        <w:tab/>
      </w:r>
      <w:r w:rsidR="00617519" w:rsidRPr="00477182">
        <w:rPr>
          <w:rFonts w:ascii="Arial" w:hAnsi="Arial" w:cs="Arial"/>
          <w:sz w:val="24"/>
          <w:szCs w:val="24"/>
          <w:shd w:val="clear" w:color="auto" w:fill="FFFFFF"/>
        </w:rPr>
        <w:t xml:space="preserve">On 6 September 2022, Mr Shaningua opposed the rule 108 application of Standard Bank, in person. No opposition was filed by Mrs Shaningua. Later, on 29 September 2022, the respondents formally opposed the rule 108 application of Standard Bank, through their legal practitioner of record. Thereafter, the parties exchanged affidavits and heads of arguments were duly filed by the parties. Subsequently, the matter was </w:t>
      </w:r>
      <w:r w:rsidR="002F6170" w:rsidRPr="00477182">
        <w:rPr>
          <w:rFonts w:ascii="Arial" w:hAnsi="Arial" w:cs="Arial"/>
          <w:sz w:val="24"/>
          <w:szCs w:val="24"/>
          <w:shd w:val="clear" w:color="auto" w:fill="FFFFFF"/>
        </w:rPr>
        <w:t>set down for hearing of the rule 108 application.</w:t>
      </w:r>
    </w:p>
    <w:p w14:paraId="27B064B2" w14:textId="77777777" w:rsidR="00617519" w:rsidRPr="00BF4BA0" w:rsidRDefault="00617519" w:rsidP="00617519">
      <w:pPr>
        <w:pStyle w:val="ListParagraph"/>
        <w:rPr>
          <w:rFonts w:ascii="Arial" w:hAnsi="Arial" w:cs="Arial"/>
          <w:sz w:val="24"/>
          <w:szCs w:val="24"/>
          <w:shd w:val="clear" w:color="auto" w:fill="FFFFFF"/>
        </w:rPr>
      </w:pPr>
    </w:p>
    <w:p w14:paraId="3513BBA2" w14:textId="3DCF1788"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[13]</w:t>
      </w:r>
      <w:r w:rsidRPr="00BF4BA0">
        <w:rPr>
          <w:rFonts w:ascii="Arial" w:hAnsi="Arial" w:cs="Arial"/>
          <w:sz w:val="24"/>
          <w:szCs w:val="24"/>
        </w:rPr>
        <w:tab/>
      </w:r>
      <w:r w:rsidR="00617519" w:rsidRPr="00477182">
        <w:rPr>
          <w:rFonts w:ascii="Arial" w:hAnsi="Arial" w:cs="Arial"/>
          <w:sz w:val="24"/>
          <w:szCs w:val="24"/>
          <w:shd w:val="clear" w:color="auto" w:fill="FFFFFF"/>
        </w:rPr>
        <w:t>Before I procee</w:t>
      </w:r>
      <w:r w:rsidR="00E53C85" w:rsidRPr="00477182">
        <w:rPr>
          <w:rFonts w:ascii="Arial" w:hAnsi="Arial" w:cs="Arial"/>
          <w:sz w:val="24"/>
          <w:szCs w:val="24"/>
          <w:shd w:val="clear" w:color="auto" w:fill="FFFFFF"/>
        </w:rPr>
        <w:t>d, I note that Mrs Shaningua</w:t>
      </w:r>
      <w:r w:rsidR="00617519" w:rsidRPr="00477182">
        <w:rPr>
          <w:rFonts w:ascii="Arial" w:hAnsi="Arial" w:cs="Arial"/>
          <w:sz w:val="24"/>
          <w:szCs w:val="24"/>
          <w:shd w:val="clear" w:color="auto" w:fill="FFFFFF"/>
        </w:rPr>
        <w:t xml:space="preserve"> oppose</w:t>
      </w:r>
      <w:r w:rsidR="00E53C85" w:rsidRPr="00477182">
        <w:rPr>
          <w:rFonts w:ascii="Arial" w:hAnsi="Arial" w:cs="Arial"/>
          <w:sz w:val="24"/>
          <w:szCs w:val="24"/>
          <w:shd w:val="clear" w:color="auto" w:fill="FFFFFF"/>
        </w:rPr>
        <w:t>d</w:t>
      </w:r>
      <w:r w:rsidR="00617519" w:rsidRPr="00477182">
        <w:rPr>
          <w:rFonts w:ascii="Arial" w:hAnsi="Arial" w:cs="Arial"/>
          <w:sz w:val="24"/>
          <w:szCs w:val="24"/>
          <w:shd w:val="clear" w:color="auto" w:fill="FFFFFF"/>
        </w:rPr>
        <w:t xml:space="preserve"> the relief sought by Standard Bank, but she failed to file any opposing af</w:t>
      </w:r>
      <w:r w:rsidR="007D253D" w:rsidRPr="00477182">
        <w:rPr>
          <w:rFonts w:ascii="Arial" w:hAnsi="Arial" w:cs="Arial"/>
          <w:sz w:val="24"/>
          <w:szCs w:val="24"/>
          <w:shd w:val="clear" w:color="auto" w:fill="FFFFFF"/>
        </w:rPr>
        <w:t>fidavits. I deal with this later</w:t>
      </w:r>
      <w:r w:rsidR="00617519" w:rsidRPr="00477182">
        <w:rPr>
          <w:rFonts w:ascii="Arial" w:hAnsi="Arial" w:cs="Arial"/>
          <w:sz w:val="24"/>
          <w:szCs w:val="24"/>
          <w:shd w:val="clear" w:color="auto" w:fill="FFFFFF"/>
        </w:rPr>
        <w:t xml:space="preserve"> in this judgment.</w:t>
      </w:r>
    </w:p>
    <w:p w14:paraId="51120DD1" w14:textId="77777777" w:rsidR="00617519" w:rsidRPr="00BF4BA0" w:rsidRDefault="00617519" w:rsidP="00617519">
      <w:pPr>
        <w:pStyle w:val="ListParagraph"/>
        <w:spacing w:after="0" w:line="360" w:lineRule="auto"/>
        <w:ind w:left="0"/>
        <w:jc w:val="both"/>
        <w:rPr>
          <w:rFonts w:ascii="Arial" w:hAnsi="Arial" w:cs="Arial"/>
          <w:sz w:val="24"/>
          <w:szCs w:val="24"/>
          <w:shd w:val="clear" w:color="auto" w:fill="FFFFFF"/>
        </w:rPr>
      </w:pPr>
    </w:p>
    <w:p w14:paraId="3CA8EE35" w14:textId="77777777" w:rsidR="00E53C85" w:rsidRDefault="00E53C85" w:rsidP="00617519">
      <w:pPr>
        <w:pStyle w:val="ListParagraph"/>
        <w:spacing w:after="0" w:line="360" w:lineRule="auto"/>
        <w:ind w:left="0"/>
        <w:jc w:val="both"/>
        <w:rPr>
          <w:rFonts w:ascii="Arial" w:hAnsi="Arial" w:cs="Arial"/>
          <w:sz w:val="24"/>
          <w:szCs w:val="24"/>
          <w:u w:val="single"/>
          <w:shd w:val="clear" w:color="auto" w:fill="FFFFFF"/>
        </w:rPr>
      </w:pPr>
    </w:p>
    <w:p w14:paraId="37C73495" w14:textId="77777777" w:rsidR="00E53C85" w:rsidRDefault="00E53C85" w:rsidP="00617519">
      <w:pPr>
        <w:pStyle w:val="ListParagraph"/>
        <w:spacing w:after="0" w:line="360" w:lineRule="auto"/>
        <w:ind w:left="0"/>
        <w:jc w:val="both"/>
        <w:rPr>
          <w:rFonts w:ascii="Arial" w:hAnsi="Arial" w:cs="Arial"/>
          <w:sz w:val="24"/>
          <w:szCs w:val="24"/>
          <w:u w:val="single"/>
          <w:shd w:val="clear" w:color="auto" w:fill="FFFFFF"/>
        </w:rPr>
      </w:pPr>
    </w:p>
    <w:p w14:paraId="7038FCFC" w14:textId="77777777" w:rsidR="00617519" w:rsidRPr="00BF4BA0" w:rsidRDefault="00617519" w:rsidP="00617519">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The evidence</w:t>
      </w:r>
    </w:p>
    <w:p w14:paraId="554E4CFA" w14:textId="77777777" w:rsidR="00617519" w:rsidRPr="00BF4BA0" w:rsidRDefault="00617519" w:rsidP="00617519">
      <w:pPr>
        <w:pStyle w:val="ListParagraph"/>
        <w:spacing w:after="0" w:line="360" w:lineRule="auto"/>
        <w:ind w:left="0"/>
        <w:jc w:val="both"/>
        <w:rPr>
          <w:rFonts w:ascii="Arial" w:hAnsi="Arial" w:cs="Arial"/>
          <w:sz w:val="24"/>
          <w:szCs w:val="24"/>
          <w:shd w:val="clear" w:color="auto" w:fill="FFFFFF"/>
        </w:rPr>
      </w:pPr>
    </w:p>
    <w:p w14:paraId="37EBEF5C" w14:textId="79FC54F0"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[14]</w:t>
      </w:r>
      <w:r w:rsidRPr="00BF4BA0">
        <w:rPr>
          <w:rFonts w:ascii="Arial" w:hAnsi="Arial" w:cs="Arial"/>
          <w:sz w:val="24"/>
          <w:szCs w:val="24"/>
        </w:rPr>
        <w:tab/>
      </w:r>
      <w:r w:rsidR="00990E9C" w:rsidRPr="00477182">
        <w:rPr>
          <w:rFonts w:ascii="Arial" w:hAnsi="Arial" w:cs="Arial"/>
          <w:sz w:val="24"/>
          <w:szCs w:val="24"/>
          <w:shd w:val="clear" w:color="auto" w:fill="FFFFFF"/>
        </w:rPr>
        <w:t xml:space="preserve">Standard Bank’s evidence was that at </w:t>
      </w:r>
      <w:r w:rsidR="00404457" w:rsidRPr="00477182">
        <w:rPr>
          <w:rFonts w:ascii="Arial" w:hAnsi="Arial" w:cs="Arial"/>
          <w:sz w:val="24"/>
          <w:szCs w:val="24"/>
          <w:shd w:val="clear" w:color="auto" w:fill="FFFFFF"/>
        </w:rPr>
        <w:t>the date of hand</w:t>
      </w:r>
      <w:r w:rsidR="00990E9C" w:rsidRPr="00477182">
        <w:rPr>
          <w:rFonts w:ascii="Arial" w:hAnsi="Arial" w:cs="Arial"/>
          <w:sz w:val="24"/>
          <w:szCs w:val="24"/>
          <w:shd w:val="clear" w:color="auto" w:fill="FFFFFF"/>
        </w:rPr>
        <w:t>ing over the instructions to its legal practitioners of record</w:t>
      </w:r>
      <w:r w:rsidR="00E53C85" w:rsidRPr="00477182">
        <w:rPr>
          <w:rFonts w:ascii="Arial" w:hAnsi="Arial" w:cs="Arial"/>
          <w:sz w:val="24"/>
          <w:szCs w:val="24"/>
          <w:shd w:val="clear" w:color="auto" w:fill="FFFFFF"/>
        </w:rPr>
        <w:t>,</w:t>
      </w:r>
      <w:r w:rsidR="00990E9C" w:rsidRPr="00477182">
        <w:rPr>
          <w:rFonts w:ascii="Arial" w:hAnsi="Arial" w:cs="Arial"/>
          <w:sz w:val="24"/>
          <w:szCs w:val="24"/>
          <w:shd w:val="clear" w:color="auto" w:fill="FFFFFF"/>
        </w:rPr>
        <w:t xml:space="preserve"> being 19 July 2018, the arrears was at an amount of N</w:t>
      </w:r>
      <w:r w:rsidR="00404457" w:rsidRPr="00477182">
        <w:rPr>
          <w:rFonts w:ascii="Arial" w:hAnsi="Arial" w:cs="Arial"/>
          <w:sz w:val="24"/>
          <w:szCs w:val="24"/>
          <w:shd w:val="clear" w:color="auto" w:fill="FFFFFF"/>
        </w:rPr>
        <w:t>$243 197,83 and subsequently to handing over of the instructions, it</w:t>
      </w:r>
      <w:r w:rsidR="00990E9C" w:rsidRPr="00477182">
        <w:rPr>
          <w:rFonts w:ascii="Arial" w:hAnsi="Arial" w:cs="Arial"/>
          <w:sz w:val="24"/>
          <w:szCs w:val="24"/>
          <w:shd w:val="clear" w:color="auto" w:fill="FFFFFF"/>
        </w:rPr>
        <w:t xml:space="preserve"> obtained judgment on 10 September 2020 by default.</w:t>
      </w:r>
    </w:p>
    <w:p w14:paraId="714A5C68" w14:textId="77777777" w:rsidR="00990E9C" w:rsidRPr="00BF4BA0" w:rsidRDefault="00990E9C" w:rsidP="00990E9C">
      <w:pPr>
        <w:pStyle w:val="ListParagraph"/>
        <w:spacing w:after="0" w:line="360" w:lineRule="auto"/>
        <w:ind w:left="0"/>
        <w:jc w:val="both"/>
        <w:rPr>
          <w:rFonts w:ascii="Arial" w:hAnsi="Arial" w:cs="Arial"/>
          <w:sz w:val="24"/>
          <w:szCs w:val="24"/>
          <w:shd w:val="clear" w:color="auto" w:fill="FFFFFF"/>
        </w:rPr>
      </w:pPr>
    </w:p>
    <w:p w14:paraId="4CC806A1" w14:textId="4C8FAC0E" w:rsidR="00990E9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[15]</w:t>
      </w:r>
      <w:r w:rsidRPr="00BF4BA0">
        <w:rPr>
          <w:rFonts w:ascii="Arial" w:hAnsi="Arial" w:cs="Arial"/>
          <w:sz w:val="24"/>
          <w:szCs w:val="24"/>
        </w:rPr>
        <w:tab/>
      </w:r>
      <w:r w:rsidR="00990E9C" w:rsidRPr="00477182">
        <w:rPr>
          <w:rFonts w:ascii="Arial" w:hAnsi="Arial" w:cs="Arial"/>
          <w:sz w:val="24"/>
          <w:szCs w:val="24"/>
          <w:shd w:val="clear" w:color="auto" w:fill="FFFFFF"/>
        </w:rPr>
        <w:t xml:space="preserve">It was Standard Bank’s further evidence that as at the date of filing the application under rule 108 and despite being served with the relevant processes, the respondents had not resumed their regular instalments as per the bond. Furthermore, Standard Bank stated that no effort was made by the respondents to settle the debt, and as such, the finance charges (inclusive of the interest) had ‘substantially increased since date of judgment’. The resultant is that the </w:t>
      </w:r>
      <w:r w:rsidR="009E6348" w:rsidRPr="00477182">
        <w:rPr>
          <w:rFonts w:ascii="Arial" w:hAnsi="Arial" w:cs="Arial"/>
          <w:sz w:val="24"/>
          <w:szCs w:val="24"/>
          <w:shd w:val="clear" w:color="auto" w:fill="FFFFFF"/>
        </w:rPr>
        <w:t>respondents are unable to service the bond.</w:t>
      </w:r>
    </w:p>
    <w:p w14:paraId="30B32A47" w14:textId="77777777" w:rsidR="009E6348" w:rsidRPr="00BF4BA0" w:rsidRDefault="009E6348" w:rsidP="009E6348">
      <w:pPr>
        <w:pStyle w:val="ListParagraph"/>
        <w:rPr>
          <w:rFonts w:ascii="Arial" w:hAnsi="Arial" w:cs="Arial"/>
          <w:sz w:val="24"/>
          <w:szCs w:val="24"/>
          <w:shd w:val="clear" w:color="auto" w:fill="FFFFFF"/>
        </w:rPr>
      </w:pPr>
    </w:p>
    <w:p w14:paraId="6469ACD3" w14:textId="45F62902" w:rsidR="009E6348"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[16]</w:t>
      </w:r>
      <w:r w:rsidRPr="00BF4BA0">
        <w:rPr>
          <w:rFonts w:ascii="Arial" w:hAnsi="Arial" w:cs="Arial"/>
          <w:sz w:val="24"/>
          <w:szCs w:val="24"/>
        </w:rPr>
        <w:tab/>
      </w:r>
      <w:r w:rsidR="009E6348" w:rsidRPr="00477182">
        <w:rPr>
          <w:rFonts w:ascii="Arial" w:hAnsi="Arial" w:cs="Arial"/>
          <w:sz w:val="24"/>
          <w:szCs w:val="24"/>
          <w:shd w:val="clear" w:color="auto" w:fill="FFFFFF"/>
        </w:rPr>
        <w:t>Standard Bank’s further evidence was that it is entitled to execute on the property and considering that the outstanding amount far exceeds the original claim amount, it is apparent that no less drastic measures are available to it to resolve the dispute.</w:t>
      </w:r>
    </w:p>
    <w:p w14:paraId="4517FBFC" w14:textId="77777777" w:rsidR="009E6348" w:rsidRPr="00BF4BA0" w:rsidRDefault="009E6348" w:rsidP="009E6348">
      <w:pPr>
        <w:pStyle w:val="ListParagraph"/>
        <w:rPr>
          <w:rFonts w:ascii="Arial" w:hAnsi="Arial" w:cs="Arial"/>
          <w:sz w:val="24"/>
          <w:szCs w:val="24"/>
          <w:shd w:val="clear" w:color="auto" w:fill="FFFFFF"/>
        </w:rPr>
      </w:pPr>
    </w:p>
    <w:p w14:paraId="442ACA83" w14:textId="70833AD1" w:rsidR="009E6348"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[17]</w:t>
      </w:r>
      <w:r w:rsidRPr="00BF4BA0">
        <w:rPr>
          <w:rFonts w:ascii="Arial" w:hAnsi="Arial" w:cs="Arial"/>
          <w:sz w:val="24"/>
          <w:szCs w:val="24"/>
        </w:rPr>
        <w:tab/>
      </w:r>
      <w:r w:rsidR="009E6348" w:rsidRPr="00477182">
        <w:rPr>
          <w:rFonts w:ascii="Arial" w:hAnsi="Arial" w:cs="Arial"/>
          <w:sz w:val="24"/>
          <w:szCs w:val="24"/>
          <w:shd w:val="clear" w:color="auto" w:fill="FFFFFF"/>
        </w:rPr>
        <w:t xml:space="preserve">Mr Shaningua answered to Standard Bank’s claim and stated, under oath, that he is currently incarcerated at the </w:t>
      </w:r>
      <w:r w:rsidR="00BF4BA0" w:rsidRPr="00477182">
        <w:rPr>
          <w:rFonts w:ascii="Arial" w:hAnsi="Arial" w:cs="Arial"/>
          <w:sz w:val="24"/>
          <w:szCs w:val="24"/>
          <w:shd w:val="clear" w:color="auto" w:fill="FFFFFF"/>
        </w:rPr>
        <w:t>Windhoek Correctional Facility</w:t>
      </w:r>
      <w:r w:rsidR="009E6348" w:rsidRPr="00477182">
        <w:rPr>
          <w:rFonts w:ascii="Arial" w:hAnsi="Arial" w:cs="Arial"/>
          <w:sz w:val="24"/>
          <w:szCs w:val="24"/>
          <w:shd w:val="clear" w:color="auto" w:fill="FFFFFF"/>
        </w:rPr>
        <w:t xml:space="preserve">. He stated that on 8 August 2015, he was arrested and was effectively refused bail and was held in custody until he was subsequently convicted and sentenced for a period of 24 years of direct imprisonment on 31 August 2017. He deposed that he is currently </w:t>
      </w:r>
      <w:r w:rsidR="00404457" w:rsidRPr="00477182">
        <w:rPr>
          <w:rFonts w:ascii="Arial" w:hAnsi="Arial" w:cs="Arial"/>
          <w:sz w:val="24"/>
          <w:szCs w:val="24"/>
          <w:shd w:val="clear" w:color="auto" w:fill="FFFFFF"/>
        </w:rPr>
        <w:t>incarcerated</w:t>
      </w:r>
      <w:r w:rsidR="009E6348" w:rsidRPr="00477182">
        <w:rPr>
          <w:rFonts w:ascii="Arial" w:hAnsi="Arial" w:cs="Arial"/>
          <w:sz w:val="24"/>
          <w:szCs w:val="24"/>
          <w:shd w:val="clear" w:color="auto" w:fill="FFFFFF"/>
        </w:rPr>
        <w:t xml:space="preserve"> at the </w:t>
      </w:r>
      <w:r w:rsidR="00BF4BA0" w:rsidRPr="00477182">
        <w:rPr>
          <w:rFonts w:ascii="Arial" w:hAnsi="Arial" w:cs="Arial"/>
          <w:sz w:val="24"/>
          <w:szCs w:val="24"/>
          <w:shd w:val="clear" w:color="auto" w:fill="FFFFFF"/>
        </w:rPr>
        <w:t>Windhoek Correctional Facility</w:t>
      </w:r>
      <w:r w:rsidR="009E6348" w:rsidRPr="00477182">
        <w:rPr>
          <w:rFonts w:ascii="Arial" w:hAnsi="Arial" w:cs="Arial"/>
          <w:sz w:val="24"/>
          <w:szCs w:val="24"/>
          <w:shd w:val="clear" w:color="auto" w:fill="FFFFFF"/>
        </w:rPr>
        <w:t xml:space="preserve"> serving his aforementioned sentence.</w:t>
      </w:r>
    </w:p>
    <w:p w14:paraId="38A7E6DF" w14:textId="77777777" w:rsidR="009E6348" w:rsidRPr="00BF4BA0" w:rsidRDefault="009E6348" w:rsidP="009E6348">
      <w:pPr>
        <w:pStyle w:val="ListParagraph"/>
        <w:rPr>
          <w:rFonts w:ascii="Arial" w:hAnsi="Arial" w:cs="Arial"/>
          <w:sz w:val="24"/>
          <w:szCs w:val="24"/>
          <w:shd w:val="clear" w:color="auto" w:fill="FFFFFF"/>
        </w:rPr>
      </w:pPr>
    </w:p>
    <w:p w14:paraId="1C50C657" w14:textId="42C16967" w:rsidR="009E6348"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[18]</w:t>
      </w:r>
      <w:r w:rsidRPr="00BF4BA0">
        <w:rPr>
          <w:rFonts w:ascii="Arial" w:hAnsi="Arial" w:cs="Arial"/>
          <w:sz w:val="24"/>
          <w:szCs w:val="24"/>
        </w:rPr>
        <w:tab/>
      </w:r>
      <w:r w:rsidR="009E6348" w:rsidRPr="00477182">
        <w:rPr>
          <w:rFonts w:ascii="Arial" w:hAnsi="Arial" w:cs="Arial"/>
          <w:sz w:val="24"/>
          <w:szCs w:val="24"/>
          <w:shd w:val="clear" w:color="auto" w:fill="FFFFFF"/>
        </w:rPr>
        <w:t>It was Mr Shaningua’s evidence that prior to his arrest, conviction and sentence, he had been a businessman with various different businesses that generated income to sustain his</w:t>
      </w:r>
      <w:r w:rsidR="00BF4BA0" w:rsidRPr="00477182">
        <w:rPr>
          <w:rFonts w:ascii="Arial" w:hAnsi="Arial" w:cs="Arial"/>
          <w:sz w:val="24"/>
          <w:szCs w:val="24"/>
          <w:shd w:val="clear" w:color="auto" w:fill="FFFFFF"/>
        </w:rPr>
        <w:t xml:space="preserve"> and his family’s</w:t>
      </w:r>
      <w:r w:rsidR="009E6348" w:rsidRPr="00477182">
        <w:rPr>
          <w:rFonts w:ascii="Arial" w:hAnsi="Arial" w:cs="Arial"/>
          <w:sz w:val="24"/>
          <w:szCs w:val="24"/>
          <w:shd w:val="clear" w:color="auto" w:fill="FFFFFF"/>
        </w:rPr>
        <w:t xml:space="preserve"> liv</w:t>
      </w:r>
      <w:r w:rsidR="00BF4BA0" w:rsidRPr="00477182">
        <w:rPr>
          <w:rFonts w:ascii="Arial" w:hAnsi="Arial" w:cs="Arial"/>
          <w:sz w:val="24"/>
          <w:szCs w:val="24"/>
          <w:shd w:val="clear" w:color="auto" w:fill="FFFFFF"/>
        </w:rPr>
        <w:t>elihood</w:t>
      </w:r>
      <w:r w:rsidR="009E6348" w:rsidRPr="00477182">
        <w:rPr>
          <w:rFonts w:ascii="Arial" w:hAnsi="Arial" w:cs="Arial"/>
          <w:sz w:val="24"/>
          <w:szCs w:val="24"/>
          <w:shd w:val="clear" w:color="auto" w:fill="FFFFFF"/>
        </w:rPr>
        <w:t xml:space="preserve">. As </w:t>
      </w:r>
      <w:r w:rsidR="00BF4BA0" w:rsidRPr="00477182">
        <w:rPr>
          <w:rFonts w:ascii="Arial" w:hAnsi="Arial" w:cs="Arial"/>
          <w:sz w:val="24"/>
          <w:szCs w:val="24"/>
          <w:shd w:val="clear" w:color="auto" w:fill="FFFFFF"/>
        </w:rPr>
        <w:t xml:space="preserve">a </w:t>
      </w:r>
      <w:r w:rsidR="009E6348" w:rsidRPr="00477182">
        <w:rPr>
          <w:rFonts w:ascii="Arial" w:hAnsi="Arial" w:cs="Arial"/>
          <w:sz w:val="24"/>
          <w:szCs w:val="24"/>
          <w:shd w:val="clear" w:color="auto" w:fill="FFFFFF"/>
        </w:rPr>
        <w:t>result of his incarceration</w:t>
      </w:r>
      <w:r w:rsidR="00E53C85" w:rsidRPr="00477182">
        <w:rPr>
          <w:rFonts w:ascii="Arial" w:hAnsi="Arial" w:cs="Arial"/>
          <w:sz w:val="24"/>
          <w:szCs w:val="24"/>
          <w:shd w:val="clear" w:color="auto" w:fill="FFFFFF"/>
        </w:rPr>
        <w:t>,</w:t>
      </w:r>
      <w:r w:rsidR="009E6348" w:rsidRPr="00477182">
        <w:rPr>
          <w:rFonts w:ascii="Arial" w:hAnsi="Arial" w:cs="Arial"/>
          <w:sz w:val="24"/>
          <w:szCs w:val="24"/>
          <w:shd w:val="clear" w:color="auto" w:fill="FFFFFF"/>
        </w:rPr>
        <w:t xml:space="preserve"> for approximately eight years, the same had an effect on his finances and he was unable to service his financial obligations.</w:t>
      </w:r>
    </w:p>
    <w:p w14:paraId="61D5BC76" w14:textId="77777777" w:rsidR="009E6348" w:rsidRPr="00BF4BA0" w:rsidRDefault="009E6348" w:rsidP="009E6348">
      <w:pPr>
        <w:pStyle w:val="ListParagraph"/>
        <w:rPr>
          <w:rFonts w:ascii="Arial" w:hAnsi="Arial" w:cs="Arial"/>
          <w:sz w:val="24"/>
          <w:szCs w:val="24"/>
          <w:shd w:val="clear" w:color="auto" w:fill="FFFFFF"/>
        </w:rPr>
      </w:pPr>
    </w:p>
    <w:p w14:paraId="5FABF84C" w14:textId="4B269A17" w:rsidR="009E6348"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lastRenderedPageBreak/>
        <w:t>[19]</w:t>
      </w:r>
      <w:r w:rsidRPr="00BF4BA0">
        <w:rPr>
          <w:rFonts w:ascii="Arial" w:hAnsi="Arial" w:cs="Arial"/>
          <w:sz w:val="24"/>
          <w:szCs w:val="24"/>
        </w:rPr>
        <w:tab/>
      </w:r>
      <w:r w:rsidR="009E6348" w:rsidRPr="00477182">
        <w:rPr>
          <w:rFonts w:ascii="Arial" w:hAnsi="Arial" w:cs="Arial"/>
          <w:sz w:val="24"/>
          <w:szCs w:val="24"/>
          <w:shd w:val="clear" w:color="auto" w:fill="FFFFFF"/>
        </w:rPr>
        <w:t>Mr Shaningua deposed that as a result of his incarceration, he had no knowledge that his tenant had defaulted on rental payments and the effect thereof was that his obligations towards the Bank had not been serviced. He stated that he could not take legal action to ensure payment in terms of the lease agreemen</w:t>
      </w:r>
      <w:r w:rsidR="00E00FCD" w:rsidRPr="00477182">
        <w:rPr>
          <w:rFonts w:ascii="Arial" w:hAnsi="Arial" w:cs="Arial"/>
          <w:sz w:val="24"/>
          <w:szCs w:val="24"/>
          <w:shd w:val="clear" w:color="auto" w:fill="FFFFFF"/>
        </w:rPr>
        <w:t>t between himself and the tenant</w:t>
      </w:r>
      <w:r w:rsidR="009E6348" w:rsidRPr="00477182">
        <w:rPr>
          <w:rFonts w:ascii="Arial" w:hAnsi="Arial" w:cs="Arial"/>
          <w:sz w:val="24"/>
          <w:szCs w:val="24"/>
          <w:shd w:val="clear" w:color="auto" w:fill="FFFFFF"/>
        </w:rPr>
        <w:t xml:space="preserve"> who leased the property. Mr Shaningua further stated that he only learnt of the debt on 31 August 2022 when he received the summons through the reception area at the Windhoek Correctional Facility.</w:t>
      </w:r>
    </w:p>
    <w:p w14:paraId="636157FE" w14:textId="77777777" w:rsidR="009E6348" w:rsidRPr="00BF4BA0" w:rsidRDefault="009E6348" w:rsidP="009E6348">
      <w:pPr>
        <w:pStyle w:val="ListParagraph"/>
        <w:rPr>
          <w:rFonts w:ascii="Arial" w:hAnsi="Arial" w:cs="Arial"/>
          <w:sz w:val="24"/>
          <w:szCs w:val="24"/>
          <w:shd w:val="clear" w:color="auto" w:fill="FFFFFF"/>
        </w:rPr>
      </w:pPr>
    </w:p>
    <w:p w14:paraId="2879AA0E" w14:textId="25282ED1" w:rsidR="00BF4BA0" w:rsidRPr="00477182" w:rsidRDefault="00477182" w:rsidP="00477182">
      <w:pPr>
        <w:spacing w:after="0" w:line="360" w:lineRule="auto"/>
        <w:jc w:val="both"/>
        <w:rPr>
          <w:rFonts w:ascii="Arial" w:hAnsi="Arial" w:cs="Arial"/>
          <w:sz w:val="24"/>
          <w:szCs w:val="24"/>
          <w:shd w:val="clear" w:color="auto" w:fill="FFFFFF"/>
        </w:rPr>
      </w:pPr>
      <w:r>
        <w:rPr>
          <w:rFonts w:ascii="Arial" w:hAnsi="Arial" w:cs="Arial"/>
          <w:sz w:val="24"/>
          <w:szCs w:val="24"/>
        </w:rPr>
        <w:t>[20]</w:t>
      </w:r>
      <w:r>
        <w:rPr>
          <w:rFonts w:ascii="Arial" w:hAnsi="Arial" w:cs="Arial"/>
          <w:sz w:val="24"/>
          <w:szCs w:val="24"/>
        </w:rPr>
        <w:tab/>
      </w:r>
      <w:r w:rsidR="009E6348" w:rsidRPr="00477182">
        <w:rPr>
          <w:rFonts w:ascii="Arial" w:hAnsi="Arial" w:cs="Arial"/>
          <w:sz w:val="24"/>
          <w:szCs w:val="24"/>
          <w:shd w:val="clear" w:color="auto" w:fill="FFFFFF"/>
        </w:rPr>
        <w:t>Mr Shaningua, in his opposing affidavit, proposed to make payment in the sum of N$25 000 on a monthly basis as a minimum payment towards the settlement of the judgment debt. He further proposed to make payment in lump sum payments to supplement the proposed monthly payment.</w:t>
      </w:r>
    </w:p>
    <w:p w14:paraId="5E7D9B73" w14:textId="77777777" w:rsidR="00BF4BA0" w:rsidRPr="00BF4BA0" w:rsidRDefault="00BF4BA0" w:rsidP="00BF4BA0">
      <w:pPr>
        <w:pStyle w:val="ListParagraph"/>
        <w:rPr>
          <w:rFonts w:ascii="Arial" w:hAnsi="Arial" w:cs="Arial"/>
          <w:sz w:val="24"/>
          <w:szCs w:val="24"/>
          <w:u w:val="single"/>
          <w:shd w:val="clear" w:color="auto" w:fill="FFFFFF"/>
        </w:rPr>
      </w:pPr>
    </w:p>
    <w:p w14:paraId="13C165BE" w14:textId="77777777" w:rsidR="00617519" w:rsidRPr="00BF4BA0" w:rsidRDefault="00617519" w:rsidP="00BF4BA0">
      <w:pPr>
        <w:pStyle w:val="ListParagraph"/>
        <w:spacing w:after="0" w:line="360" w:lineRule="auto"/>
        <w:ind w:left="0"/>
        <w:jc w:val="both"/>
        <w:rPr>
          <w:rFonts w:ascii="Arial" w:hAnsi="Arial" w:cs="Arial"/>
          <w:sz w:val="24"/>
          <w:szCs w:val="24"/>
          <w:shd w:val="clear" w:color="auto" w:fill="FFFFFF"/>
        </w:rPr>
      </w:pPr>
      <w:r w:rsidRPr="00BF4BA0">
        <w:rPr>
          <w:rFonts w:ascii="Arial" w:hAnsi="Arial" w:cs="Arial"/>
          <w:sz w:val="24"/>
          <w:szCs w:val="24"/>
          <w:u w:val="single"/>
          <w:shd w:val="clear" w:color="auto" w:fill="FFFFFF"/>
        </w:rPr>
        <w:t>The arguments</w:t>
      </w:r>
    </w:p>
    <w:p w14:paraId="7D68F121" w14:textId="77777777" w:rsidR="00617519" w:rsidRPr="00BF4BA0" w:rsidRDefault="00617519" w:rsidP="00617519">
      <w:pPr>
        <w:pStyle w:val="ListParagraph"/>
        <w:spacing w:after="0" w:line="360" w:lineRule="auto"/>
        <w:ind w:left="0"/>
        <w:jc w:val="both"/>
        <w:rPr>
          <w:rFonts w:ascii="Arial" w:hAnsi="Arial" w:cs="Arial"/>
          <w:sz w:val="24"/>
          <w:szCs w:val="24"/>
          <w:shd w:val="clear" w:color="auto" w:fill="FFFFFF"/>
        </w:rPr>
      </w:pPr>
    </w:p>
    <w:p w14:paraId="3DF7674A" w14:textId="59803DFF"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[21]</w:t>
      </w:r>
      <w:r w:rsidRPr="00BF4BA0">
        <w:rPr>
          <w:rFonts w:ascii="Arial" w:hAnsi="Arial" w:cs="Arial"/>
          <w:sz w:val="24"/>
          <w:szCs w:val="24"/>
        </w:rPr>
        <w:tab/>
      </w:r>
      <w:r w:rsidR="00BF4BA0" w:rsidRPr="00477182">
        <w:rPr>
          <w:rFonts w:ascii="Arial" w:hAnsi="Arial" w:cs="Arial"/>
          <w:sz w:val="24"/>
          <w:szCs w:val="24"/>
          <w:shd w:val="clear" w:color="auto" w:fill="FFFFFF"/>
        </w:rPr>
        <w:t>In her written arguments, Ms Fernandes submitted</w:t>
      </w:r>
      <w:r w:rsidR="009E6348" w:rsidRPr="00477182">
        <w:rPr>
          <w:rFonts w:ascii="Arial" w:hAnsi="Arial" w:cs="Arial"/>
          <w:sz w:val="24"/>
          <w:szCs w:val="24"/>
          <w:shd w:val="clear" w:color="auto" w:fill="FFFFFF"/>
        </w:rPr>
        <w:t xml:space="preserve"> that the property is not the respondents’ primary residence as evidenced in the opposing affidavit </w:t>
      </w:r>
      <w:r w:rsidR="00230BDC" w:rsidRPr="00477182">
        <w:rPr>
          <w:rFonts w:ascii="Arial" w:hAnsi="Arial" w:cs="Arial"/>
          <w:sz w:val="24"/>
          <w:szCs w:val="24"/>
          <w:shd w:val="clear" w:color="auto" w:fill="FFFFFF"/>
        </w:rPr>
        <w:t xml:space="preserve">of Mr Shaningua and this entails that any execution on the property would not infringe on the conventional rights to shelter as the respondents do not </w:t>
      </w:r>
      <w:r w:rsidR="00530D68" w:rsidRPr="00477182">
        <w:rPr>
          <w:rFonts w:ascii="Arial" w:hAnsi="Arial" w:cs="Arial"/>
          <w:sz w:val="24"/>
          <w:szCs w:val="24"/>
          <w:shd w:val="clear" w:color="auto" w:fill="FFFFFF"/>
        </w:rPr>
        <w:t>currently reside at the property</w:t>
      </w:r>
      <w:r w:rsidR="00230BDC" w:rsidRPr="00477182">
        <w:rPr>
          <w:rFonts w:ascii="Arial" w:hAnsi="Arial" w:cs="Arial"/>
          <w:sz w:val="24"/>
          <w:szCs w:val="24"/>
          <w:shd w:val="clear" w:color="auto" w:fill="FFFFFF"/>
        </w:rPr>
        <w:t xml:space="preserve">. </w:t>
      </w:r>
      <w:r w:rsidR="00BF4BA0" w:rsidRPr="00477182">
        <w:rPr>
          <w:rFonts w:ascii="Arial" w:hAnsi="Arial" w:cs="Arial"/>
          <w:sz w:val="24"/>
          <w:szCs w:val="24"/>
          <w:shd w:val="clear" w:color="auto" w:fill="FFFFFF"/>
        </w:rPr>
        <w:t>Ms Fernandes</w:t>
      </w:r>
      <w:r w:rsidR="00230BDC" w:rsidRPr="00477182">
        <w:rPr>
          <w:rFonts w:ascii="Arial" w:hAnsi="Arial" w:cs="Arial"/>
          <w:sz w:val="24"/>
          <w:szCs w:val="24"/>
          <w:shd w:val="clear" w:color="auto" w:fill="FFFFFF"/>
        </w:rPr>
        <w:t xml:space="preserve"> argued that </w:t>
      </w:r>
      <w:r w:rsidR="00530D68" w:rsidRPr="00477182">
        <w:rPr>
          <w:rFonts w:ascii="Arial" w:hAnsi="Arial" w:cs="Arial"/>
          <w:sz w:val="24"/>
          <w:szCs w:val="24"/>
          <w:shd w:val="clear" w:color="auto" w:fill="FFFFFF"/>
        </w:rPr>
        <w:t xml:space="preserve">in any event, </w:t>
      </w:r>
      <w:r w:rsidR="00230BDC" w:rsidRPr="00477182">
        <w:rPr>
          <w:rFonts w:ascii="Arial" w:hAnsi="Arial" w:cs="Arial"/>
          <w:sz w:val="24"/>
          <w:szCs w:val="24"/>
          <w:shd w:val="clear" w:color="auto" w:fill="FFFFFF"/>
        </w:rPr>
        <w:t>the court may still consider less drastic measures.</w:t>
      </w:r>
    </w:p>
    <w:p w14:paraId="574255BA" w14:textId="77777777" w:rsidR="00230BDC" w:rsidRPr="00BF4BA0" w:rsidRDefault="00230BDC" w:rsidP="00230BDC">
      <w:pPr>
        <w:pStyle w:val="ListParagraph"/>
        <w:spacing w:after="0" w:line="360" w:lineRule="auto"/>
        <w:ind w:left="0"/>
        <w:jc w:val="both"/>
        <w:rPr>
          <w:rFonts w:ascii="Arial" w:hAnsi="Arial" w:cs="Arial"/>
          <w:sz w:val="24"/>
          <w:szCs w:val="24"/>
          <w:shd w:val="clear" w:color="auto" w:fill="FFFFFF"/>
        </w:rPr>
      </w:pPr>
    </w:p>
    <w:p w14:paraId="26DFA43A" w14:textId="21EBB0BF" w:rsidR="00230BD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[22]</w:t>
      </w:r>
      <w:r w:rsidRPr="00BF4BA0">
        <w:rPr>
          <w:rFonts w:ascii="Arial" w:hAnsi="Arial" w:cs="Arial"/>
          <w:sz w:val="24"/>
          <w:szCs w:val="24"/>
        </w:rPr>
        <w:tab/>
      </w:r>
      <w:r w:rsidR="00BF4BA0" w:rsidRPr="00477182">
        <w:rPr>
          <w:rFonts w:ascii="Arial" w:hAnsi="Arial" w:cs="Arial"/>
          <w:sz w:val="24"/>
          <w:szCs w:val="24"/>
          <w:shd w:val="clear" w:color="auto" w:fill="FFFFFF"/>
        </w:rPr>
        <w:t>Ms Fernandes further submitted, in her</w:t>
      </w:r>
      <w:r w:rsidR="00230BDC" w:rsidRPr="00477182">
        <w:rPr>
          <w:rFonts w:ascii="Arial" w:hAnsi="Arial" w:cs="Arial"/>
          <w:sz w:val="24"/>
          <w:szCs w:val="24"/>
          <w:shd w:val="clear" w:color="auto" w:fill="FFFFFF"/>
        </w:rPr>
        <w:t xml:space="preserve"> written arguments, that the respondents’ monthly instalments were an amount of N$21 647,28 and at the date of hand</w:t>
      </w:r>
      <w:r w:rsidR="00530D68" w:rsidRPr="00477182">
        <w:rPr>
          <w:rFonts w:ascii="Arial" w:hAnsi="Arial" w:cs="Arial"/>
          <w:sz w:val="24"/>
          <w:szCs w:val="24"/>
          <w:shd w:val="clear" w:color="auto" w:fill="FFFFFF"/>
        </w:rPr>
        <w:t xml:space="preserve">ing </w:t>
      </w:r>
      <w:r w:rsidR="00230BDC" w:rsidRPr="00477182">
        <w:rPr>
          <w:rFonts w:ascii="Arial" w:hAnsi="Arial" w:cs="Arial"/>
          <w:sz w:val="24"/>
          <w:szCs w:val="24"/>
          <w:shd w:val="clear" w:color="auto" w:fill="FFFFFF"/>
        </w:rPr>
        <w:t>over of instructions, being 20 July 2018, the arrears was at the amount of N$243 197,83. The last payment was made on 31 August 2017.</w:t>
      </w:r>
    </w:p>
    <w:p w14:paraId="6CAC0EDF" w14:textId="77777777" w:rsidR="00230BDC" w:rsidRPr="00BF4BA0" w:rsidRDefault="00230BDC" w:rsidP="00230BDC">
      <w:pPr>
        <w:pStyle w:val="ListParagraph"/>
        <w:rPr>
          <w:rFonts w:ascii="Arial" w:hAnsi="Arial" w:cs="Arial"/>
          <w:sz w:val="24"/>
          <w:szCs w:val="24"/>
          <w:shd w:val="clear" w:color="auto" w:fill="FFFFFF"/>
        </w:rPr>
      </w:pPr>
    </w:p>
    <w:p w14:paraId="1FC37DFF" w14:textId="0B419454" w:rsidR="00230BD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[23]</w:t>
      </w:r>
      <w:r w:rsidRPr="00BF4BA0">
        <w:rPr>
          <w:rFonts w:ascii="Arial" w:hAnsi="Arial" w:cs="Arial"/>
          <w:sz w:val="24"/>
          <w:szCs w:val="24"/>
        </w:rPr>
        <w:tab/>
      </w:r>
      <w:r w:rsidR="00230BDC" w:rsidRPr="00477182">
        <w:rPr>
          <w:rFonts w:ascii="Arial" w:hAnsi="Arial" w:cs="Arial"/>
          <w:sz w:val="24"/>
          <w:szCs w:val="24"/>
          <w:shd w:val="clear" w:color="auto" w:fill="FFFFFF"/>
        </w:rPr>
        <w:t xml:space="preserve">Standard Bank conceded that payments were made in 2018 and 2019, respectively, at </w:t>
      </w:r>
      <w:r w:rsidR="00BF4BA0" w:rsidRPr="00477182">
        <w:rPr>
          <w:rFonts w:ascii="Arial" w:hAnsi="Arial" w:cs="Arial"/>
          <w:sz w:val="24"/>
          <w:szCs w:val="24"/>
          <w:shd w:val="clear" w:color="auto" w:fill="FFFFFF"/>
        </w:rPr>
        <w:t xml:space="preserve">the global amount of N$60 000, which entails that </w:t>
      </w:r>
      <w:r w:rsidR="00230BDC" w:rsidRPr="00477182">
        <w:rPr>
          <w:rFonts w:ascii="Arial" w:hAnsi="Arial" w:cs="Arial"/>
          <w:sz w:val="24"/>
          <w:szCs w:val="24"/>
          <w:shd w:val="clear" w:color="auto" w:fill="FFFFFF"/>
        </w:rPr>
        <w:t xml:space="preserve">payment of N$30 000 was made in 2018 and 2019, respectively. Thus, </w:t>
      </w:r>
      <w:r w:rsidR="00BF4BA0" w:rsidRPr="00477182">
        <w:rPr>
          <w:rFonts w:ascii="Arial" w:hAnsi="Arial" w:cs="Arial"/>
          <w:sz w:val="24"/>
          <w:szCs w:val="24"/>
          <w:shd w:val="clear" w:color="auto" w:fill="FFFFFF"/>
        </w:rPr>
        <w:t>Ms Fernandes, in her</w:t>
      </w:r>
      <w:r w:rsidR="00230BDC" w:rsidRPr="00477182">
        <w:rPr>
          <w:rFonts w:ascii="Arial" w:hAnsi="Arial" w:cs="Arial"/>
          <w:sz w:val="24"/>
          <w:szCs w:val="24"/>
          <w:shd w:val="clear" w:color="auto" w:fill="FFFFFF"/>
        </w:rPr>
        <w:t xml:space="preserve"> written arguments, </w:t>
      </w:r>
      <w:r w:rsidR="00BF4BA0" w:rsidRPr="00477182">
        <w:rPr>
          <w:rFonts w:ascii="Arial" w:hAnsi="Arial" w:cs="Arial"/>
          <w:sz w:val="24"/>
          <w:szCs w:val="24"/>
          <w:shd w:val="clear" w:color="auto" w:fill="FFFFFF"/>
        </w:rPr>
        <w:t>submitted that the respondents have</w:t>
      </w:r>
      <w:r w:rsidR="00230BDC" w:rsidRPr="00477182">
        <w:rPr>
          <w:rFonts w:ascii="Arial" w:hAnsi="Arial" w:cs="Arial"/>
          <w:sz w:val="24"/>
          <w:szCs w:val="24"/>
          <w:shd w:val="clear" w:color="auto" w:fill="FFFFFF"/>
        </w:rPr>
        <w:t xml:space="preserve"> been in arrears for a period of five years, which equates to 60 months and the arrears currently stands at a sum of N$1 412 150,95.</w:t>
      </w:r>
    </w:p>
    <w:p w14:paraId="29C55237" w14:textId="77777777" w:rsidR="00230BDC" w:rsidRPr="00BF4BA0" w:rsidRDefault="00230BDC" w:rsidP="00230BDC">
      <w:pPr>
        <w:pStyle w:val="ListParagraph"/>
        <w:rPr>
          <w:rFonts w:ascii="Arial" w:hAnsi="Arial" w:cs="Arial"/>
          <w:sz w:val="24"/>
          <w:szCs w:val="24"/>
          <w:shd w:val="clear" w:color="auto" w:fill="FFFFFF"/>
        </w:rPr>
      </w:pPr>
    </w:p>
    <w:p w14:paraId="11EFD2C3" w14:textId="73D529D1" w:rsidR="00230BD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[24]</w:t>
      </w:r>
      <w:r w:rsidRPr="00BF4BA0">
        <w:rPr>
          <w:rFonts w:ascii="Arial" w:hAnsi="Arial" w:cs="Arial"/>
          <w:sz w:val="24"/>
          <w:szCs w:val="24"/>
        </w:rPr>
        <w:tab/>
      </w:r>
      <w:r w:rsidR="00BF4BA0" w:rsidRPr="00477182">
        <w:rPr>
          <w:rFonts w:ascii="Arial" w:hAnsi="Arial" w:cs="Arial"/>
          <w:sz w:val="24"/>
          <w:szCs w:val="24"/>
          <w:shd w:val="clear" w:color="auto" w:fill="FFFFFF"/>
        </w:rPr>
        <w:t>Ms Fernandes</w:t>
      </w:r>
      <w:r w:rsidR="00230BDC" w:rsidRPr="00477182">
        <w:rPr>
          <w:rFonts w:ascii="Arial" w:hAnsi="Arial" w:cs="Arial"/>
          <w:sz w:val="24"/>
          <w:szCs w:val="24"/>
          <w:shd w:val="clear" w:color="auto" w:fill="FFFFFF"/>
        </w:rPr>
        <w:t xml:space="preserve"> argu</w:t>
      </w:r>
      <w:r w:rsidR="00530D68" w:rsidRPr="00477182">
        <w:rPr>
          <w:rFonts w:ascii="Arial" w:hAnsi="Arial" w:cs="Arial"/>
          <w:sz w:val="24"/>
          <w:szCs w:val="24"/>
          <w:shd w:val="clear" w:color="auto" w:fill="FFFFFF"/>
        </w:rPr>
        <w:t>ed</w:t>
      </w:r>
      <w:r w:rsidR="00BF4BA0" w:rsidRPr="00477182">
        <w:rPr>
          <w:rFonts w:ascii="Arial" w:hAnsi="Arial" w:cs="Arial"/>
          <w:sz w:val="24"/>
          <w:szCs w:val="24"/>
          <w:shd w:val="clear" w:color="auto" w:fill="FFFFFF"/>
        </w:rPr>
        <w:t>, at the hearing,</w:t>
      </w:r>
      <w:r w:rsidR="00530D68" w:rsidRPr="00477182">
        <w:rPr>
          <w:rFonts w:ascii="Arial" w:hAnsi="Arial" w:cs="Arial"/>
          <w:sz w:val="24"/>
          <w:szCs w:val="24"/>
          <w:shd w:val="clear" w:color="auto" w:fill="FFFFFF"/>
        </w:rPr>
        <w:t xml:space="preserve"> that the offer of payment </w:t>
      </w:r>
      <w:r w:rsidR="00230BDC" w:rsidRPr="00477182">
        <w:rPr>
          <w:rFonts w:ascii="Arial" w:hAnsi="Arial" w:cs="Arial"/>
          <w:sz w:val="24"/>
          <w:szCs w:val="24"/>
          <w:shd w:val="clear" w:color="auto" w:fill="FFFFFF"/>
        </w:rPr>
        <w:t>of N$25 000 per month by the respondent is unreasonable as approximately an amount of N$21 000 would be for the instalments whereas the remaining amount of N$4000 would be paid on the arrears. Ms Fernandes argued that in the event that the proposal was accepted by Standard Bank, the debt will only be extinguished within 30 or 40 years.</w:t>
      </w:r>
    </w:p>
    <w:p w14:paraId="387540F5" w14:textId="77777777" w:rsidR="00230BDC" w:rsidRPr="00BF4BA0" w:rsidRDefault="00230BDC" w:rsidP="00230BDC">
      <w:pPr>
        <w:pStyle w:val="ListParagraph"/>
        <w:rPr>
          <w:rFonts w:ascii="Arial" w:hAnsi="Arial" w:cs="Arial"/>
          <w:sz w:val="24"/>
          <w:szCs w:val="24"/>
          <w:shd w:val="clear" w:color="auto" w:fill="FFFFFF"/>
        </w:rPr>
      </w:pPr>
    </w:p>
    <w:p w14:paraId="0549C0BD" w14:textId="73E234A7" w:rsidR="00230BD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[25]</w:t>
      </w:r>
      <w:r w:rsidRPr="00BF4BA0">
        <w:rPr>
          <w:rFonts w:ascii="Arial" w:hAnsi="Arial" w:cs="Arial"/>
          <w:sz w:val="24"/>
          <w:szCs w:val="24"/>
        </w:rPr>
        <w:tab/>
      </w:r>
      <w:r w:rsidR="00BF4BA0" w:rsidRPr="00477182">
        <w:rPr>
          <w:rFonts w:ascii="Arial" w:hAnsi="Arial" w:cs="Arial"/>
          <w:sz w:val="24"/>
          <w:szCs w:val="24"/>
          <w:shd w:val="clear" w:color="auto" w:fill="FFFFFF"/>
        </w:rPr>
        <w:t xml:space="preserve">During the hearing, </w:t>
      </w:r>
      <w:r w:rsidR="00230BDC" w:rsidRPr="00477182">
        <w:rPr>
          <w:rFonts w:ascii="Arial" w:hAnsi="Arial" w:cs="Arial"/>
          <w:sz w:val="24"/>
          <w:szCs w:val="24"/>
          <w:shd w:val="clear" w:color="auto" w:fill="FFFFFF"/>
        </w:rPr>
        <w:t>Ms Fernandes argued that onus</w:t>
      </w:r>
      <w:r w:rsidR="00BF4BA0" w:rsidRPr="00477182">
        <w:rPr>
          <w:rFonts w:ascii="Arial" w:hAnsi="Arial" w:cs="Arial"/>
          <w:sz w:val="24"/>
          <w:szCs w:val="24"/>
          <w:shd w:val="clear" w:color="auto" w:fill="FFFFFF"/>
        </w:rPr>
        <w:t xml:space="preserve"> rested</w:t>
      </w:r>
      <w:r w:rsidR="00230BDC" w:rsidRPr="00477182">
        <w:rPr>
          <w:rFonts w:ascii="Arial" w:hAnsi="Arial" w:cs="Arial"/>
          <w:sz w:val="24"/>
          <w:szCs w:val="24"/>
          <w:shd w:val="clear" w:color="auto" w:fill="FFFFFF"/>
        </w:rPr>
        <w:t xml:space="preserve"> on the respondents to provide a detailed affidavit with settlement proposals, which the respondents failed to do. Ms Fernandes argued </w:t>
      </w:r>
      <w:r w:rsidR="00BF4BA0" w:rsidRPr="00477182">
        <w:rPr>
          <w:rFonts w:ascii="Arial" w:hAnsi="Arial" w:cs="Arial"/>
          <w:sz w:val="24"/>
          <w:szCs w:val="24"/>
          <w:shd w:val="clear" w:color="auto" w:fill="FFFFFF"/>
        </w:rPr>
        <w:t xml:space="preserve">further </w:t>
      </w:r>
      <w:r w:rsidR="00230BDC" w:rsidRPr="00477182">
        <w:rPr>
          <w:rFonts w:ascii="Arial" w:hAnsi="Arial" w:cs="Arial"/>
          <w:sz w:val="24"/>
          <w:szCs w:val="24"/>
          <w:shd w:val="clear" w:color="auto" w:fill="FFFFFF"/>
        </w:rPr>
        <w:t xml:space="preserve">that Mr Shaningua, in his affidavit, failed to allege his age, whether he had dependents and to show how he is able to afford to pay the amount of N$25 000 so proposed. It was argued by Ms Fernandes that these are relevant </w:t>
      </w:r>
      <w:r w:rsidR="001C5816" w:rsidRPr="00477182">
        <w:rPr>
          <w:rFonts w:ascii="Arial" w:hAnsi="Arial" w:cs="Arial"/>
          <w:sz w:val="24"/>
          <w:szCs w:val="24"/>
          <w:shd w:val="clear" w:color="auto" w:fill="FFFFFF"/>
        </w:rPr>
        <w:t xml:space="preserve">factors </w:t>
      </w:r>
      <w:r w:rsidR="00230BDC" w:rsidRPr="00477182">
        <w:rPr>
          <w:rFonts w:ascii="Arial" w:hAnsi="Arial" w:cs="Arial"/>
          <w:sz w:val="24"/>
          <w:szCs w:val="24"/>
          <w:shd w:val="clear" w:color="auto" w:fill="FFFFFF"/>
        </w:rPr>
        <w:t>for the court to consider when determining an application under rule 108.</w:t>
      </w:r>
    </w:p>
    <w:p w14:paraId="7973BBF1" w14:textId="77777777" w:rsidR="00230BDC" w:rsidRPr="00BF4BA0" w:rsidRDefault="00230BDC" w:rsidP="00230BDC">
      <w:pPr>
        <w:pStyle w:val="ListParagraph"/>
        <w:rPr>
          <w:rFonts w:ascii="Arial" w:hAnsi="Arial" w:cs="Arial"/>
          <w:sz w:val="24"/>
          <w:szCs w:val="24"/>
          <w:shd w:val="clear" w:color="auto" w:fill="FFFFFF"/>
        </w:rPr>
      </w:pPr>
    </w:p>
    <w:p w14:paraId="67FE0FF9" w14:textId="061EC110" w:rsidR="00230BD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[26]</w:t>
      </w:r>
      <w:r w:rsidRPr="00BF4BA0">
        <w:rPr>
          <w:rFonts w:ascii="Arial" w:hAnsi="Arial" w:cs="Arial"/>
          <w:sz w:val="24"/>
          <w:szCs w:val="24"/>
        </w:rPr>
        <w:tab/>
      </w:r>
      <w:r w:rsidR="00230BDC" w:rsidRPr="00477182">
        <w:rPr>
          <w:rFonts w:ascii="Arial" w:hAnsi="Arial" w:cs="Arial"/>
          <w:sz w:val="24"/>
          <w:szCs w:val="24"/>
          <w:shd w:val="clear" w:color="auto" w:fill="FFFFFF"/>
        </w:rPr>
        <w:t>Contra wise to Ms Fernandes’ argument</w:t>
      </w:r>
      <w:r w:rsidR="00F555C1" w:rsidRPr="00477182">
        <w:rPr>
          <w:rFonts w:ascii="Arial" w:hAnsi="Arial" w:cs="Arial"/>
          <w:sz w:val="24"/>
          <w:szCs w:val="24"/>
          <w:shd w:val="clear" w:color="auto" w:fill="FFFFFF"/>
        </w:rPr>
        <w:t>s</w:t>
      </w:r>
      <w:r w:rsidR="00230BDC" w:rsidRPr="00477182">
        <w:rPr>
          <w:rFonts w:ascii="Arial" w:hAnsi="Arial" w:cs="Arial"/>
          <w:sz w:val="24"/>
          <w:szCs w:val="24"/>
          <w:shd w:val="clear" w:color="auto" w:fill="FFFFFF"/>
        </w:rPr>
        <w:t xml:space="preserve">, </w:t>
      </w:r>
      <w:r w:rsidR="00F555C1" w:rsidRPr="00477182">
        <w:rPr>
          <w:rFonts w:ascii="Arial" w:hAnsi="Arial" w:cs="Arial"/>
          <w:sz w:val="24"/>
          <w:szCs w:val="24"/>
          <w:shd w:val="clear" w:color="auto" w:fill="FFFFFF"/>
        </w:rPr>
        <w:t>Mr Mwakondange, in his</w:t>
      </w:r>
      <w:r w:rsidR="00230BDC" w:rsidRPr="00477182">
        <w:rPr>
          <w:rFonts w:ascii="Arial" w:hAnsi="Arial" w:cs="Arial"/>
          <w:sz w:val="24"/>
          <w:szCs w:val="24"/>
          <w:shd w:val="clear" w:color="auto" w:fill="FFFFFF"/>
        </w:rPr>
        <w:t xml:space="preserve"> written arguments, argued that the property is currently being leased to a certain Mr Phila Kahambundu (‘the lessee’) for a two year period with an option for renewal whereof the lessee pays monthly rental in the amount of N$25 000 per month. This rental amount would be paid to Standard Bank </w:t>
      </w:r>
      <w:r w:rsidR="00F555C1" w:rsidRPr="00477182">
        <w:rPr>
          <w:rFonts w:ascii="Arial" w:hAnsi="Arial" w:cs="Arial"/>
          <w:sz w:val="24"/>
          <w:szCs w:val="24"/>
          <w:shd w:val="clear" w:color="auto" w:fill="FFFFFF"/>
        </w:rPr>
        <w:t>to service the bond.</w:t>
      </w:r>
    </w:p>
    <w:p w14:paraId="18B7B460" w14:textId="77777777" w:rsidR="00877563" w:rsidRPr="00BF4BA0" w:rsidRDefault="00877563" w:rsidP="00877563">
      <w:pPr>
        <w:pStyle w:val="ListParagraph"/>
        <w:rPr>
          <w:rFonts w:ascii="Arial" w:hAnsi="Arial" w:cs="Arial"/>
          <w:sz w:val="24"/>
          <w:szCs w:val="24"/>
          <w:shd w:val="clear" w:color="auto" w:fill="FFFFFF"/>
        </w:rPr>
      </w:pPr>
    </w:p>
    <w:p w14:paraId="5A8F9673" w14:textId="12A4B266" w:rsidR="00877563"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[27]</w:t>
      </w:r>
      <w:r w:rsidRPr="00BF4BA0">
        <w:rPr>
          <w:rFonts w:ascii="Arial" w:hAnsi="Arial" w:cs="Arial"/>
          <w:sz w:val="24"/>
          <w:szCs w:val="24"/>
        </w:rPr>
        <w:tab/>
      </w:r>
      <w:r w:rsidR="00F555C1" w:rsidRPr="00477182">
        <w:rPr>
          <w:rFonts w:ascii="Arial" w:hAnsi="Arial" w:cs="Arial"/>
          <w:sz w:val="24"/>
          <w:szCs w:val="24"/>
          <w:shd w:val="clear" w:color="auto" w:fill="FFFFFF"/>
        </w:rPr>
        <w:t>In her</w:t>
      </w:r>
      <w:r w:rsidR="00877563" w:rsidRPr="00477182">
        <w:rPr>
          <w:rFonts w:ascii="Arial" w:hAnsi="Arial" w:cs="Arial"/>
          <w:sz w:val="24"/>
          <w:szCs w:val="24"/>
          <w:shd w:val="clear" w:color="auto" w:fill="FFFFFF"/>
        </w:rPr>
        <w:t xml:space="preserve"> written arguments, </w:t>
      </w:r>
      <w:r w:rsidR="00F555C1" w:rsidRPr="00477182">
        <w:rPr>
          <w:rFonts w:ascii="Arial" w:hAnsi="Arial" w:cs="Arial"/>
          <w:sz w:val="24"/>
          <w:szCs w:val="24"/>
          <w:shd w:val="clear" w:color="auto" w:fill="FFFFFF"/>
        </w:rPr>
        <w:t>Ms Fernandes</w:t>
      </w:r>
      <w:r w:rsidR="00877563" w:rsidRPr="00477182">
        <w:rPr>
          <w:rFonts w:ascii="Arial" w:hAnsi="Arial" w:cs="Arial"/>
          <w:sz w:val="24"/>
          <w:szCs w:val="24"/>
          <w:shd w:val="clear" w:color="auto" w:fill="FFFFFF"/>
        </w:rPr>
        <w:t xml:space="preserve"> </w:t>
      </w:r>
      <w:r w:rsidR="00F555C1" w:rsidRPr="00477182">
        <w:rPr>
          <w:rFonts w:ascii="Arial" w:hAnsi="Arial" w:cs="Arial"/>
          <w:sz w:val="24"/>
          <w:szCs w:val="24"/>
          <w:shd w:val="clear" w:color="auto" w:fill="FFFFFF"/>
        </w:rPr>
        <w:t>submitted</w:t>
      </w:r>
      <w:r w:rsidR="00877563" w:rsidRPr="00477182">
        <w:rPr>
          <w:rFonts w:ascii="Arial" w:hAnsi="Arial" w:cs="Arial"/>
          <w:sz w:val="24"/>
          <w:szCs w:val="24"/>
          <w:shd w:val="clear" w:color="auto" w:fill="FFFFFF"/>
        </w:rPr>
        <w:t xml:space="preserve"> that less drastic measure</w:t>
      </w:r>
      <w:r w:rsidR="001C5816" w:rsidRPr="00477182">
        <w:rPr>
          <w:rFonts w:ascii="Arial" w:hAnsi="Arial" w:cs="Arial"/>
          <w:sz w:val="24"/>
          <w:szCs w:val="24"/>
          <w:shd w:val="clear" w:color="auto" w:fill="FFFFFF"/>
        </w:rPr>
        <w:t>s</w:t>
      </w:r>
      <w:r w:rsidR="00877563" w:rsidRPr="00477182">
        <w:rPr>
          <w:rFonts w:ascii="Arial" w:hAnsi="Arial" w:cs="Arial"/>
          <w:sz w:val="24"/>
          <w:szCs w:val="24"/>
          <w:shd w:val="clear" w:color="auto" w:fill="FFFFFF"/>
        </w:rPr>
        <w:t xml:space="preserve"> had been considered and that a writ of execution for movable property had been issued, and the respondents do not have sufficient movable property to satisfy the debt. More so, </w:t>
      </w:r>
      <w:r w:rsidR="00F555C1" w:rsidRPr="00477182">
        <w:rPr>
          <w:rFonts w:ascii="Arial" w:hAnsi="Arial" w:cs="Arial"/>
          <w:sz w:val="24"/>
          <w:szCs w:val="24"/>
          <w:shd w:val="clear" w:color="auto" w:fill="FFFFFF"/>
        </w:rPr>
        <w:t>Ms Fernandes</w:t>
      </w:r>
      <w:r w:rsidR="00877563" w:rsidRPr="00477182">
        <w:rPr>
          <w:rFonts w:ascii="Arial" w:hAnsi="Arial" w:cs="Arial"/>
          <w:sz w:val="24"/>
          <w:szCs w:val="24"/>
          <w:shd w:val="clear" w:color="auto" w:fill="FFFFFF"/>
        </w:rPr>
        <w:t xml:space="preserve"> </w:t>
      </w:r>
      <w:r w:rsidR="00F555C1" w:rsidRPr="00477182">
        <w:rPr>
          <w:rFonts w:ascii="Arial" w:hAnsi="Arial" w:cs="Arial"/>
          <w:sz w:val="24"/>
          <w:szCs w:val="24"/>
          <w:shd w:val="clear" w:color="auto" w:fill="FFFFFF"/>
        </w:rPr>
        <w:t>submitted that no payments have</w:t>
      </w:r>
      <w:r w:rsidR="00877563" w:rsidRPr="00477182">
        <w:rPr>
          <w:rFonts w:ascii="Arial" w:hAnsi="Arial" w:cs="Arial"/>
          <w:sz w:val="24"/>
          <w:szCs w:val="24"/>
          <w:shd w:val="clear" w:color="auto" w:fill="FFFFFF"/>
        </w:rPr>
        <w:t xml:space="preserve"> been made towards the arrears apart from the</w:t>
      </w:r>
      <w:r w:rsidR="00005BBD" w:rsidRPr="00477182">
        <w:rPr>
          <w:rFonts w:ascii="Arial" w:hAnsi="Arial" w:cs="Arial"/>
          <w:sz w:val="24"/>
          <w:szCs w:val="24"/>
          <w:shd w:val="clear" w:color="auto" w:fill="FFFFFF"/>
        </w:rPr>
        <w:t xml:space="preserve"> amount of N$30 000 made in 2018</w:t>
      </w:r>
      <w:r w:rsidR="00877563" w:rsidRPr="00477182">
        <w:rPr>
          <w:rFonts w:ascii="Arial" w:hAnsi="Arial" w:cs="Arial"/>
          <w:sz w:val="24"/>
          <w:szCs w:val="24"/>
          <w:shd w:val="clear" w:color="auto" w:fill="FFFFFF"/>
        </w:rPr>
        <w:t xml:space="preserve"> and 2019</w:t>
      </w:r>
      <w:r w:rsidR="00530D68" w:rsidRPr="00477182">
        <w:rPr>
          <w:rFonts w:ascii="Arial" w:hAnsi="Arial" w:cs="Arial"/>
          <w:sz w:val="24"/>
          <w:szCs w:val="24"/>
          <w:shd w:val="clear" w:color="auto" w:fill="FFFFFF"/>
        </w:rPr>
        <w:t>, respectively</w:t>
      </w:r>
      <w:r w:rsidR="00877563" w:rsidRPr="00477182">
        <w:rPr>
          <w:rFonts w:ascii="Arial" w:hAnsi="Arial" w:cs="Arial"/>
          <w:sz w:val="24"/>
          <w:szCs w:val="24"/>
          <w:shd w:val="clear" w:color="auto" w:fill="FFFFFF"/>
        </w:rPr>
        <w:t xml:space="preserve">. Given this, it was </w:t>
      </w:r>
      <w:r w:rsidR="00F555C1" w:rsidRPr="00477182">
        <w:rPr>
          <w:rFonts w:ascii="Arial" w:hAnsi="Arial" w:cs="Arial"/>
          <w:sz w:val="24"/>
          <w:szCs w:val="24"/>
          <w:shd w:val="clear" w:color="auto" w:fill="FFFFFF"/>
        </w:rPr>
        <w:t>submitted by Ms Fernandes</w:t>
      </w:r>
      <w:r w:rsidR="00877563" w:rsidRPr="00477182">
        <w:rPr>
          <w:rFonts w:ascii="Arial" w:hAnsi="Arial" w:cs="Arial"/>
          <w:sz w:val="24"/>
          <w:szCs w:val="24"/>
          <w:shd w:val="clear" w:color="auto" w:fill="FFFFFF"/>
        </w:rPr>
        <w:t xml:space="preserve"> that the respondents have failed to display an ability to repay the arrears considering the </w:t>
      </w:r>
      <w:r w:rsidR="00530D68" w:rsidRPr="00477182">
        <w:rPr>
          <w:rFonts w:ascii="Arial" w:hAnsi="Arial" w:cs="Arial"/>
          <w:sz w:val="24"/>
          <w:szCs w:val="24"/>
          <w:shd w:val="clear" w:color="auto" w:fill="FFFFFF"/>
        </w:rPr>
        <w:t>substantial</w:t>
      </w:r>
      <w:r w:rsidR="00877563" w:rsidRPr="00477182">
        <w:rPr>
          <w:rFonts w:ascii="Arial" w:hAnsi="Arial" w:cs="Arial"/>
          <w:sz w:val="24"/>
          <w:szCs w:val="24"/>
          <w:shd w:val="clear" w:color="auto" w:fill="FFFFFF"/>
        </w:rPr>
        <w:t xml:space="preserve"> amount.</w:t>
      </w:r>
    </w:p>
    <w:p w14:paraId="518B8FDF" w14:textId="77777777" w:rsidR="00877563" w:rsidRPr="00BF4BA0" w:rsidRDefault="00877563" w:rsidP="00877563">
      <w:pPr>
        <w:pStyle w:val="ListParagraph"/>
        <w:rPr>
          <w:rFonts w:ascii="Arial" w:hAnsi="Arial" w:cs="Arial"/>
          <w:sz w:val="24"/>
          <w:szCs w:val="24"/>
          <w:shd w:val="clear" w:color="auto" w:fill="FFFFFF"/>
        </w:rPr>
      </w:pPr>
    </w:p>
    <w:p w14:paraId="721B2C89" w14:textId="719C9481" w:rsidR="00877563"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lastRenderedPageBreak/>
        <w:t>[28]</w:t>
      </w:r>
      <w:r w:rsidRPr="00BF4BA0">
        <w:rPr>
          <w:rFonts w:ascii="Arial" w:hAnsi="Arial" w:cs="Arial"/>
          <w:sz w:val="24"/>
          <w:szCs w:val="24"/>
        </w:rPr>
        <w:tab/>
      </w:r>
      <w:r w:rsidR="00877563" w:rsidRPr="00477182">
        <w:rPr>
          <w:rFonts w:ascii="Arial" w:hAnsi="Arial" w:cs="Arial"/>
          <w:sz w:val="24"/>
          <w:szCs w:val="24"/>
          <w:shd w:val="clear" w:color="auto" w:fill="FFFFFF"/>
        </w:rPr>
        <w:t>In conclusion, Ms Fernandes argued that the commercial interest of Standard Ban</w:t>
      </w:r>
      <w:r w:rsidR="00F555C1" w:rsidRPr="00477182">
        <w:rPr>
          <w:rFonts w:ascii="Arial" w:hAnsi="Arial" w:cs="Arial"/>
          <w:sz w:val="24"/>
          <w:szCs w:val="24"/>
          <w:shd w:val="clear" w:color="auto" w:fill="FFFFFF"/>
        </w:rPr>
        <w:t>k must be considered and that the Bank</w:t>
      </w:r>
      <w:r w:rsidR="00877563" w:rsidRPr="00477182">
        <w:rPr>
          <w:rFonts w:ascii="Arial" w:hAnsi="Arial" w:cs="Arial"/>
          <w:sz w:val="24"/>
          <w:szCs w:val="24"/>
          <w:shd w:val="clear" w:color="auto" w:fill="FFFFFF"/>
        </w:rPr>
        <w:t xml:space="preserve"> should not be strung along until such time that the respondents are able to make payment.</w:t>
      </w:r>
    </w:p>
    <w:p w14:paraId="17886B66" w14:textId="77777777" w:rsidR="00617519" w:rsidRPr="00BF4BA0" w:rsidRDefault="00617519" w:rsidP="00617519">
      <w:pPr>
        <w:pStyle w:val="ListParagraph"/>
        <w:spacing w:after="0" w:line="360" w:lineRule="auto"/>
        <w:ind w:left="0"/>
        <w:jc w:val="both"/>
        <w:rPr>
          <w:rFonts w:ascii="Arial" w:hAnsi="Arial" w:cs="Arial"/>
          <w:sz w:val="24"/>
          <w:szCs w:val="24"/>
          <w:shd w:val="clear" w:color="auto" w:fill="FFFFFF"/>
        </w:rPr>
      </w:pPr>
    </w:p>
    <w:p w14:paraId="678CE39F" w14:textId="77777777" w:rsidR="00617519" w:rsidRPr="00BF4BA0" w:rsidRDefault="00617519" w:rsidP="00617519">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Discussion</w:t>
      </w:r>
    </w:p>
    <w:p w14:paraId="2305341D" w14:textId="77777777" w:rsidR="00617519" w:rsidRPr="00BF4BA0" w:rsidRDefault="00617519" w:rsidP="00617519">
      <w:pPr>
        <w:pStyle w:val="ListParagraph"/>
        <w:spacing w:after="0" w:line="360" w:lineRule="auto"/>
        <w:ind w:left="0"/>
        <w:jc w:val="both"/>
        <w:rPr>
          <w:rFonts w:ascii="Arial" w:hAnsi="Arial" w:cs="Arial"/>
          <w:sz w:val="24"/>
          <w:szCs w:val="24"/>
          <w:shd w:val="clear" w:color="auto" w:fill="FFFFFF"/>
        </w:rPr>
      </w:pPr>
    </w:p>
    <w:p w14:paraId="19ACFED9" w14:textId="351A98C8" w:rsidR="00617519"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[29]</w:t>
      </w:r>
      <w:r w:rsidRPr="00BF4BA0">
        <w:rPr>
          <w:rFonts w:ascii="Arial" w:hAnsi="Arial" w:cs="Arial"/>
          <w:sz w:val="24"/>
          <w:szCs w:val="24"/>
        </w:rPr>
        <w:tab/>
      </w:r>
      <w:r w:rsidR="00990E9C" w:rsidRPr="00477182">
        <w:rPr>
          <w:rFonts w:ascii="Arial" w:hAnsi="Arial" w:cs="Arial"/>
          <w:sz w:val="24"/>
          <w:szCs w:val="24"/>
          <w:shd w:val="clear" w:color="auto" w:fill="FFFFFF"/>
        </w:rPr>
        <w:t>It is settled law that when determining an application to declare a debtor’s immovable property specially executable under rule 108 of the rules of court, the court m</w:t>
      </w:r>
      <w:r w:rsidR="00BD0851" w:rsidRPr="00477182">
        <w:rPr>
          <w:rFonts w:ascii="Arial" w:hAnsi="Arial" w:cs="Arial"/>
          <w:sz w:val="24"/>
          <w:szCs w:val="24"/>
          <w:shd w:val="clear" w:color="auto" w:fill="FFFFFF"/>
        </w:rPr>
        <w:t>ust exercise judicial oversight</w:t>
      </w:r>
      <w:r w:rsidR="00990E9C" w:rsidRPr="00BF4BA0">
        <w:rPr>
          <w:rStyle w:val="FootnoteReference"/>
          <w:rFonts w:ascii="Arial" w:hAnsi="Arial" w:cs="Arial"/>
          <w:sz w:val="24"/>
          <w:szCs w:val="24"/>
          <w:shd w:val="clear" w:color="auto" w:fill="FFFFFF"/>
        </w:rPr>
        <w:footnoteReference w:id="5"/>
      </w:r>
      <w:r w:rsidR="00BD0851" w:rsidRPr="00477182">
        <w:rPr>
          <w:rFonts w:ascii="Arial" w:hAnsi="Arial" w:cs="Arial"/>
          <w:sz w:val="24"/>
          <w:szCs w:val="24"/>
          <w:shd w:val="clear" w:color="auto" w:fill="FFFFFF"/>
        </w:rPr>
        <w:t>.</w:t>
      </w:r>
    </w:p>
    <w:p w14:paraId="1CB99B28" w14:textId="77777777" w:rsidR="00990E9C" w:rsidRPr="00BF4BA0" w:rsidRDefault="00990E9C" w:rsidP="00990E9C">
      <w:pPr>
        <w:pStyle w:val="ListParagraph"/>
        <w:spacing w:after="0" w:line="360" w:lineRule="auto"/>
        <w:ind w:left="0"/>
        <w:jc w:val="both"/>
        <w:rPr>
          <w:rFonts w:ascii="Arial" w:hAnsi="Arial" w:cs="Arial"/>
          <w:sz w:val="24"/>
          <w:szCs w:val="24"/>
          <w:shd w:val="clear" w:color="auto" w:fill="FFFFFF"/>
        </w:rPr>
      </w:pPr>
    </w:p>
    <w:p w14:paraId="17821C95" w14:textId="0A529F09" w:rsidR="008B4D61"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[30]</w:t>
      </w:r>
      <w:r w:rsidRPr="00BF4BA0">
        <w:rPr>
          <w:rFonts w:ascii="Arial" w:hAnsi="Arial" w:cs="Arial"/>
          <w:sz w:val="24"/>
          <w:szCs w:val="24"/>
        </w:rPr>
        <w:tab/>
      </w:r>
      <w:r w:rsidR="00990E9C" w:rsidRPr="00477182">
        <w:rPr>
          <w:rFonts w:ascii="Arial" w:hAnsi="Arial" w:cs="Arial"/>
          <w:sz w:val="24"/>
          <w:szCs w:val="24"/>
          <w:shd w:val="clear" w:color="auto" w:fill="FFFFFF"/>
        </w:rPr>
        <w:t xml:space="preserve">Masuku J held in </w:t>
      </w:r>
      <w:r w:rsidR="00990E9C" w:rsidRPr="00477182">
        <w:rPr>
          <w:rFonts w:ascii="Arial" w:hAnsi="Arial" w:cs="Arial"/>
          <w:i/>
          <w:sz w:val="24"/>
          <w:szCs w:val="24"/>
          <w:shd w:val="clear" w:color="auto" w:fill="FFFFFF"/>
        </w:rPr>
        <w:t>First National Bank of Namibia Limited v Ganaseb</w:t>
      </w:r>
      <w:r w:rsidR="00990E9C" w:rsidRPr="00BF4BA0">
        <w:rPr>
          <w:rStyle w:val="FootnoteReference"/>
          <w:rFonts w:ascii="Arial" w:hAnsi="Arial" w:cs="Arial"/>
          <w:sz w:val="24"/>
          <w:szCs w:val="24"/>
          <w:shd w:val="clear" w:color="auto" w:fill="FFFFFF"/>
        </w:rPr>
        <w:footnoteReference w:id="6"/>
      </w:r>
      <w:r w:rsidR="00990E9C" w:rsidRPr="00477182">
        <w:rPr>
          <w:rFonts w:ascii="Arial" w:hAnsi="Arial" w:cs="Arial"/>
          <w:i/>
          <w:sz w:val="24"/>
          <w:szCs w:val="24"/>
          <w:shd w:val="clear" w:color="auto" w:fill="FFFFFF"/>
        </w:rPr>
        <w:t xml:space="preserve"> </w:t>
      </w:r>
      <w:r w:rsidR="00990E9C" w:rsidRPr="00477182">
        <w:rPr>
          <w:rFonts w:ascii="Arial" w:hAnsi="Arial" w:cs="Arial"/>
          <w:sz w:val="24"/>
          <w:szCs w:val="24"/>
          <w:shd w:val="clear" w:color="auto" w:fill="FFFFFF"/>
        </w:rPr>
        <w:t>as follows:</w:t>
      </w:r>
    </w:p>
    <w:p w14:paraId="758F4BCE" w14:textId="77777777" w:rsidR="008B4D61" w:rsidRPr="00BF4BA0" w:rsidRDefault="008B4D61" w:rsidP="008B4D61">
      <w:pPr>
        <w:pStyle w:val="ListParagraph"/>
        <w:spacing w:after="0" w:line="360" w:lineRule="auto"/>
        <w:ind w:left="0"/>
        <w:jc w:val="both"/>
        <w:rPr>
          <w:rFonts w:ascii="Arial" w:hAnsi="Arial" w:cs="Arial"/>
          <w:sz w:val="24"/>
          <w:szCs w:val="24"/>
          <w:shd w:val="clear" w:color="auto" w:fill="FFFFFF"/>
        </w:rPr>
      </w:pPr>
    </w:p>
    <w:p w14:paraId="155C0936" w14:textId="77777777" w:rsidR="00A70FC0" w:rsidRDefault="00990E9C" w:rsidP="00BD0851">
      <w:pPr>
        <w:spacing w:after="0" w:line="360" w:lineRule="auto"/>
        <w:ind w:firstLine="720"/>
        <w:jc w:val="both"/>
        <w:rPr>
          <w:rFonts w:ascii="Arial" w:eastAsia="Calibri" w:hAnsi="Arial" w:cs="Arial"/>
          <w:shd w:val="clear" w:color="auto" w:fill="FFFFFF"/>
        </w:rPr>
      </w:pPr>
      <w:r w:rsidRPr="00BF4BA0">
        <w:rPr>
          <w:rFonts w:ascii="Arial" w:eastAsia="Calibri" w:hAnsi="Arial" w:cs="Arial"/>
          <w:shd w:val="clear" w:color="auto" w:fill="FFFFFF"/>
        </w:rPr>
        <w:t>‘…the issue of people losing their homes following unp</w:t>
      </w:r>
      <w:r w:rsidR="008B4D61" w:rsidRPr="00BF4BA0">
        <w:rPr>
          <w:rFonts w:ascii="Arial" w:eastAsia="Calibri" w:hAnsi="Arial" w:cs="Arial"/>
          <w:shd w:val="clear" w:color="auto" w:fill="FFFFFF"/>
        </w:rPr>
        <w:t>aid debts is a source of concer</w:t>
      </w:r>
      <w:r w:rsidRPr="00BF4BA0">
        <w:rPr>
          <w:rFonts w:ascii="Arial" w:eastAsia="Calibri" w:hAnsi="Arial" w:cs="Arial"/>
          <w:shd w:val="clear" w:color="auto" w:fill="FFFFFF"/>
        </w:rPr>
        <w:t>n in this country, and therefore [rule 108] was promulgated to balance two interests. The first was to regulate the sale of homes in execution when the property in question was a home. The second, was to ensure that the giving of credit by financial institutions remained effectual and was not rendered unserviceable.’</w:t>
      </w:r>
      <w:r w:rsidRPr="00BF4BA0">
        <w:rPr>
          <w:shd w:val="clear" w:color="auto" w:fill="FFFFFF"/>
          <w:vertAlign w:val="superscript"/>
        </w:rPr>
        <w:footnoteReference w:id="7"/>
      </w:r>
    </w:p>
    <w:p w14:paraId="06DA1B56" w14:textId="77777777" w:rsidR="00BD0851" w:rsidRPr="00001B0A" w:rsidRDefault="00BD0851" w:rsidP="00BD0851">
      <w:pPr>
        <w:spacing w:after="0" w:line="360" w:lineRule="auto"/>
        <w:ind w:firstLine="720"/>
        <w:jc w:val="both"/>
        <w:rPr>
          <w:rFonts w:ascii="Arial" w:eastAsia="Calibri" w:hAnsi="Arial" w:cs="Arial"/>
          <w:shd w:val="clear" w:color="auto" w:fill="FFFFFF"/>
        </w:rPr>
      </w:pPr>
    </w:p>
    <w:p w14:paraId="785766FD" w14:textId="37C4F4D2" w:rsidR="00001B0A" w:rsidRPr="00477182" w:rsidRDefault="00477182" w:rsidP="00477182">
      <w:pPr>
        <w:spacing w:after="0" w:line="360" w:lineRule="auto"/>
        <w:jc w:val="both"/>
        <w:rPr>
          <w:rFonts w:ascii="Arial" w:hAnsi="Arial" w:cs="Arial"/>
          <w:sz w:val="24"/>
          <w:szCs w:val="24"/>
          <w:shd w:val="clear" w:color="auto" w:fill="FFFFFF"/>
        </w:rPr>
      </w:pPr>
      <w:r>
        <w:rPr>
          <w:rFonts w:ascii="Arial" w:hAnsi="Arial" w:cs="Arial"/>
          <w:sz w:val="24"/>
          <w:szCs w:val="24"/>
        </w:rPr>
        <w:t>[31]</w:t>
      </w:r>
      <w:r>
        <w:rPr>
          <w:rFonts w:ascii="Arial" w:hAnsi="Arial" w:cs="Arial"/>
          <w:sz w:val="24"/>
          <w:szCs w:val="24"/>
        </w:rPr>
        <w:tab/>
      </w:r>
      <w:r w:rsidR="00A70FC0" w:rsidRPr="00477182">
        <w:rPr>
          <w:rFonts w:ascii="Arial" w:hAnsi="Arial" w:cs="Arial"/>
          <w:sz w:val="24"/>
          <w:szCs w:val="24"/>
          <w:shd w:val="clear" w:color="auto" w:fill="FFFFFF"/>
        </w:rPr>
        <w:t>In response to Ms Fernandes’ argument</w:t>
      </w:r>
      <w:r w:rsidR="00001B0A" w:rsidRPr="00477182">
        <w:rPr>
          <w:rFonts w:ascii="Arial" w:hAnsi="Arial" w:cs="Arial"/>
          <w:sz w:val="24"/>
          <w:szCs w:val="24"/>
          <w:shd w:val="clear" w:color="auto" w:fill="FFFFFF"/>
        </w:rPr>
        <w:t xml:space="preserve"> that the amount proposed by Mr Shaningua to settle the judgment debt and arrears is unreasonable and inadequate</w:t>
      </w:r>
      <w:r w:rsidR="00A70FC0" w:rsidRPr="00477182">
        <w:rPr>
          <w:rFonts w:ascii="Arial" w:hAnsi="Arial" w:cs="Arial"/>
          <w:sz w:val="24"/>
          <w:szCs w:val="24"/>
          <w:shd w:val="clear" w:color="auto" w:fill="FFFFFF"/>
        </w:rPr>
        <w:t xml:space="preserve">, Mr Mwakondange </w:t>
      </w:r>
      <w:r w:rsidR="00877563" w:rsidRPr="00477182">
        <w:rPr>
          <w:rFonts w:ascii="Arial" w:hAnsi="Arial" w:cs="Arial"/>
          <w:sz w:val="24"/>
          <w:szCs w:val="24"/>
          <w:shd w:val="clear" w:color="auto" w:fill="FFFFFF"/>
        </w:rPr>
        <w:t xml:space="preserve">referred the court to </w:t>
      </w:r>
      <w:r w:rsidR="00877563" w:rsidRPr="00477182">
        <w:rPr>
          <w:rFonts w:ascii="Arial" w:hAnsi="Arial" w:cs="Arial"/>
          <w:i/>
          <w:sz w:val="24"/>
          <w:szCs w:val="24"/>
          <w:shd w:val="clear" w:color="auto" w:fill="FFFFFF"/>
        </w:rPr>
        <w:t>Standard Bank Namibia Limited v Moyo</w:t>
      </w:r>
      <w:r w:rsidR="00877563" w:rsidRPr="00BF4BA0">
        <w:rPr>
          <w:rStyle w:val="FootnoteReference"/>
          <w:rFonts w:ascii="Arial" w:hAnsi="Arial" w:cs="Arial"/>
          <w:sz w:val="24"/>
          <w:szCs w:val="24"/>
          <w:shd w:val="clear" w:color="auto" w:fill="FFFFFF"/>
        </w:rPr>
        <w:footnoteReference w:id="8"/>
      </w:r>
      <w:r w:rsidR="00001B0A" w:rsidRPr="00477182">
        <w:rPr>
          <w:rFonts w:ascii="Arial" w:hAnsi="Arial" w:cs="Arial"/>
          <w:sz w:val="24"/>
          <w:szCs w:val="24"/>
          <w:shd w:val="clear" w:color="auto" w:fill="FFFFFF"/>
        </w:rPr>
        <w:t>.</w:t>
      </w:r>
    </w:p>
    <w:p w14:paraId="4C16F351" w14:textId="77777777" w:rsidR="00001B0A" w:rsidRDefault="00001B0A" w:rsidP="00001B0A">
      <w:pPr>
        <w:pStyle w:val="ListParagraph"/>
        <w:spacing w:after="0" w:line="360" w:lineRule="auto"/>
        <w:ind w:left="0"/>
        <w:jc w:val="both"/>
        <w:rPr>
          <w:rFonts w:ascii="Arial" w:hAnsi="Arial" w:cs="Arial"/>
          <w:sz w:val="24"/>
          <w:szCs w:val="24"/>
          <w:shd w:val="clear" w:color="auto" w:fill="FFFFFF"/>
        </w:rPr>
      </w:pPr>
    </w:p>
    <w:p w14:paraId="27814A90" w14:textId="05871685" w:rsidR="00990E9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[32]</w:t>
      </w:r>
      <w:r w:rsidRPr="00BF4BA0">
        <w:rPr>
          <w:rFonts w:ascii="Arial" w:hAnsi="Arial" w:cs="Arial"/>
          <w:sz w:val="24"/>
          <w:szCs w:val="24"/>
        </w:rPr>
        <w:tab/>
      </w:r>
      <w:r w:rsidR="00001B0A" w:rsidRPr="00477182">
        <w:rPr>
          <w:rFonts w:ascii="Arial" w:hAnsi="Arial" w:cs="Arial"/>
          <w:sz w:val="24"/>
          <w:szCs w:val="24"/>
          <w:shd w:val="clear" w:color="auto" w:fill="FFFFFF"/>
        </w:rPr>
        <w:t>Mr Mwakondange argued</w:t>
      </w:r>
      <w:r w:rsidR="00877563" w:rsidRPr="00477182">
        <w:rPr>
          <w:rFonts w:ascii="Arial" w:hAnsi="Arial" w:cs="Arial"/>
          <w:sz w:val="24"/>
          <w:szCs w:val="24"/>
          <w:shd w:val="clear" w:color="auto" w:fill="FFFFFF"/>
        </w:rPr>
        <w:t xml:space="preserve"> that similarly to the present matter, in </w:t>
      </w:r>
      <w:r w:rsidR="00001B0A" w:rsidRPr="00477182">
        <w:rPr>
          <w:rFonts w:ascii="Arial" w:hAnsi="Arial" w:cs="Arial"/>
          <w:sz w:val="24"/>
          <w:szCs w:val="24"/>
          <w:shd w:val="clear" w:color="auto" w:fill="FFFFFF"/>
        </w:rPr>
        <w:t xml:space="preserve">the </w:t>
      </w:r>
      <w:r w:rsidR="00877563" w:rsidRPr="00477182">
        <w:rPr>
          <w:rFonts w:ascii="Arial" w:hAnsi="Arial" w:cs="Arial"/>
          <w:i/>
          <w:sz w:val="24"/>
          <w:szCs w:val="24"/>
          <w:shd w:val="clear" w:color="auto" w:fill="FFFFFF"/>
        </w:rPr>
        <w:t xml:space="preserve">Moyo </w:t>
      </w:r>
      <w:r w:rsidR="00001B0A" w:rsidRPr="00477182">
        <w:rPr>
          <w:rFonts w:ascii="Arial" w:hAnsi="Arial" w:cs="Arial"/>
          <w:sz w:val="24"/>
          <w:szCs w:val="24"/>
          <w:shd w:val="clear" w:color="auto" w:fill="FFFFFF"/>
        </w:rPr>
        <w:t>matter</w:t>
      </w:r>
      <w:r w:rsidR="00877563" w:rsidRPr="00477182">
        <w:rPr>
          <w:rFonts w:ascii="Arial" w:hAnsi="Arial" w:cs="Arial"/>
          <w:sz w:val="24"/>
          <w:szCs w:val="24"/>
          <w:shd w:val="clear" w:color="auto" w:fill="FFFFFF"/>
        </w:rPr>
        <w:t>, the court was satisfied that a less drastic measure existed</w:t>
      </w:r>
      <w:r w:rsidR="003A713C" w:rsidRPr="00477182">
        <w:rPr>
          <w:rFonts w:ascii="Arial" w:hAnsi="Arial" w:cs="Arial"/>
          <w:sz w:val="24"/>
          <w:szCs w:val="24"/>
          <w:shd w:val="clear" w:color="auto" w:fill="FFFFFF"/>
        </w:rPr>
        <w:t xml:space="preserve">. In the </w:t>
      </w:r>
      <w:r w:rsidR="003A713C" w:rsidRPr="00477182">
        <w:rPr>
          <w:rFonts w:ascii="Arial" w:hAnsi="Arial" w:cs="Arial"/>
          <w:i/>
          <w:sz w:val="24"/>
          <w:szCs w:val="24"/>
          <w:shd w:val="clear" w:color="auto" w:fill="FFFFFF"/>
        </w:rPr>
        <w:t>Moyo</w:t>
      </w:r>
      <w:r w:rsidR="003A713C" w:rsidRPr="00477182">
        <w:rPr>
          <w:rFonts w:ascii="Arial" w:hAnsi="Arial" w:cs="Arial"/>
          <w:sz w:val="24"/>
          <w:szCs w:val="24"/>
          <w:shd w:val="clear" w:color="auto" w:fill="FFFFFF"/>
        </w:rPr>
        <w:t xml:space="preserve"> matter,</w:t>
      </w:r>
      <w:r w:rsidR="008D5473" w:rsidRPr="00477182">
        <w:rPr>
          <w:rFonts w:ascii="Arial" w:hAnsi="Arial" w:cs="Arial"/>
          <w:sz w:val="24"/>
          <w:szCs w:val="24"/>
          <w:shd w:val="clear" w:color="auto" w:fill="FFFFFF"/>
        </w:rPr>
        <w:t xml:space="preserve"> a payment in the sum of N$20 000 was</w:t>
      </w:r>
      <w:r w:rsidR="003A713C" w:rsidRPr="00477182">
        <w:rPr>
          <w:rFonts w:ascii="Arial" w:hAnsi="Arial" w:cs="Arial"/>
          <w:sz w:val="24"/>
          <w:szCs w:val="24"/>
          <w:shd w:val="clear" w:color="auto" w:fill="FFFFFF"/>
        </w:rPr>
        <w:t xml:space="preserve"> made by the respondent against his mortgage loan instalment, which was </w:t>
      </w:r>
      <w:r w:rsidR="008D5473" w:rsidRPr="00477182">
        <w:rPr>
          <w:rFonts w:ascii="Arial" w:hAnsi="Arial" w:cs="Arial"/>
          <w:sz w:val="24"/>
          <w:szCs w:val="24"/>
          <w:shd w:val="clear" w:color="auto" w:fill="FFFFFF"/>
        </w:rPr>
        <w:t>N$15 000.</w:t>
      </w:r>
      <w:r w:rsidR="003A713C" w:rsidRPr="00477182">
        <w:rPr>
          <w:rFonts w:ascii="Arial" w:hAnsi="Arial" w:cs="Arial"/>
          <w:sz w:val="24"/>
          <w:szCs w:val="24"/>
          <w:shd w:val="clear" w:color="auto" w:fill="FFFFFF"/>
        </w:rPr>
        <w:t xml:space="preserve"> Similarly as the </w:t>
      </w:r>
      <w:r w:rsidR="003A713C" w:rsidRPr="00477182">
        <w:rPr>
          <w:rFonts w:ascii="Arial" w:hAnsi="Arial" w:cs="Arial"/>
          <w:i/>
          <w:sz w:val="24"/>
          <w:szCs w:val="24"/>
          <w:shd w:val="clear" w:color="auto" w:fill="FFFFFF"/>
        </w:rPr>
        <w:t>Moyo</w:t>
      </w:r>
      <w:r w:rsidR="003A713C" w:rsidRPr="00477182">
        <w:rPr>
          <w:rFonts w:ascii="Arial" w:hAnsi="Arial" w:cs="Arial"/>
          <w:sz w:val="24"/>
          <w:szCs w:val="24"/>
          <w:shd w:val="clear" w:color="auto" w:fill="FFFFFF"/>
        </w:rPr>
        <w:t xml:space="preserve"> matter,</w:t>
      </w:r>
      <w:r w:rsidR="00A70FC0" w:rsidRPr="00477182">
        <w:rPr>
          <w:rFonts w:ascii="Arial" w:hAnsi="Arial" w:cs="Arial"/>
          <w:sz w:val="24"/>
          <w:szCs w:val="24"/>
          <w:shd w:val="clear" w:color="auto" w:fill="FFFFFF"/>
        </w:rPr>
        <w:t xml:space="preserve"> Mr Mwakondange argued </w:t>
      </w:r>
      <w:r w:rsidR="00A70FC0" w:rsidRPr="00477182">
        <w:rPr>
          <w:rFonts w:ascii="Arial" w:hAnsi="Arial" w:cs="Arial"/>
          <w:sz w:val="24"/>
          <w:szCs w:val="24"/>
          <w:shd w:val="clear" w:color="auto" w:fill="FFFFFF"/>
        </w:rPr>
        <w:lastRenderedPageBreak/>
        <w:t xml:space="preserve">that the proposal </w:t>
      </w:r>
      <w:r w:rsidR="00366E9E" w:rsidRPr="00477182">
        <w:rPr>
          <w:rFonts w:ascii="Arial" w:hAnsi="Arial" w:cs="Arial"/>
          <w:sz w:val="24"/>
          <w:szCs w:val="24"/>
          <w:shd w:val="clear" w:color="auto" w:fill="FFFFFF"/>
        </w:rPr>
        <w:t xml:space="preserve">by Mr Shaningua </w:t>
      </w:r>
      <w:r w:rsidR="00A70FC0" w:rsidRPr="00477182">
        <w:rPr>
          <w:rFonts w:ascii="Arial" w:hAnsi="Arial" w:cs="Arial"/>
          <w:sz w:val="24"/>
          <w:szCs w:val="24"/>
          <w:shd w:val="clear" w:color="auto" w:fill="FFFFFF"/>
        </w:rPr>
        <w:t xml:space="preserve">of payment in the sum of N$25 000 will not defeat the </w:t>
      </w:r>
      <w:r w:rsidR="003A713C" w:rsidRPr="00477182">
        <w:rPr>
          <w:rFonts w:ascii="Arial" w:hAnsi="Arial" w:cs="Arial"/>
          <w:sz w:val="24"/>
          <w:szCs w:val="24"/>
          <w:shd w:val="clear" w:color="auto" w:fill="FFFFFF"/>
        </w:rPr>
        <w:t>commercial interest of the Bank as the same constituted a less drastic measure.</w:t>
      </w:r>
    </w:p>
    <w:p w14:paraId="26162B83" w14:textId="77777777" w:rsidR="008D5473" w:rsidRPr="00BF4BA0" w:rsidRDefault="008D5473" w:rsidP="008D5473">
      <w:pPr>
        <w:pStyle w:val="ListParagraph"/>
        <w:spacing w:after="0" w:line="360" w:lineRule="auto"/>
        <w:ind w:left="0"/>
        <w:jc w:val="both"/>
        <w:rPr>
          <w:rFonts w:ascii="Arial" w:hAnsi="Arial" w:cs="Arial"/>
          <w:sz w:val="24"/>
          <w:szCs w:val="24"/>
          <w:shd w:val="clear" w:color="auto" w:fill="FFFFFF"/>
        </w:rPr>
      </w:pPr>
    </w:p>
    <w:p w14:paraId="3B901915" w14:textId="79B4D099" w:rsidR="008D5473"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[33]</w:t>
      </w:r>
      <w:r w:rsidRPr="00BF4BA0">
        <w:rPr>
          <w:rFonts w:ascii="Arial" w:hAnsi="Arial" w:cs="Arial"/>
          <w:sz w:val="24"/>
          <w:szCs w:val="24"/>
        </w:rPr>
        <w:tab/>
      </w:r>
      <w:r w:rsidR="008D5473" w:rsidRPr="00477182">
        <w:rPr>
          <w:rFonts w:ascii="Arial" w:hAnsi="Arial" w:cs="Arial"/>
          <w:sz w:val="24"/>
          <w:szCs w:val="24"/>
          <w:shd w:val="clear" w:color="auto" w:fill="FFFFFF"/>
        </w:rPr>
        <w:t xml:space="preserve">Although a tempting argument by </w:t>
      </w:r>
      <w:r w:rsidR="00A70FC0" w:rsidRPr="00477182">
        <w:rPr>
          <w:rFonts w:ascii="Arial" w:hAnsi="Arial" w:cs="Arial"/>
          <w:sz w:val="24"/>
          <w:szCs w:val="24"/>
          <w:shd w:val="clear" w:color="auto" w:fill="FFFFFF"/>
        </w:rPr>
        <w:t>Mr Mwakondange</w:t>
      </w:r>
      <w:r w:rsidR="008D5473" w:rsidRPr="00477182">
        <w:rPr>
          <w:rFonts w:ascii="Arial" w:hAnsi="Arial" w:cs="Arial"/>
          <w:sz w:val="24"/>
          <w:szCs w:val="24"/>
          <w:shd w:val="clear" w:color="auto" w:fill="FFFFFF"/>
        </w:rPr>
        <w:t xml:space="preserve">, the facts in </w:t>
      </w:r>
      <w:r w:rsidR="00D053E2" w:rsidRPr="00477182">
        <w:rPr>
          <w:rFonts w:ascii="Arial" w:hAnsi="Arial" w:cs="Arial"/>
          <w:sz w:val="24"/>
          <w:szCs w:val="24"/>
          <w:shd w:val="clear" w:color="auto" w:fill="FFFFFF"/>
        </w:rPr>
        <w:t xml:space="preserve">the </w:t>
      </w:r>
      <w:r w:rsidR="008D5473" w:rsidRPr="00477182">
        <w:rPr>
          <w:rFonts w:ascii="Arial" w:hAnsi="Arial" w:cs="Arial"/>
          <w:i/>
          <w:sz w:val="24"/>
          <w:szCs w:val="24"/>
          <w:shd w:val="clear" w:color="auto" w:fill="FFFFFF"/>
        </w:rPr>
        <w:t xml:space="preserve">Moyo </w:t>
      </w:r>
      <w:r w:rsidR="00D053E2" w:rsidRPr="00477182">
        <w:rPr>
          <w:rFonts w:ascii="Arial" w:hAnsi="Arial" w:cs="Arial"/>
          <w:sz w:val="24"/>
          <w:szCs w:val="24"/>
          <w:shd w:val="clear" w:color="auto" w:fill="FFFFFF"/>
        </w:rPr>
        <w:t>matter</w:t>
      </w:r>
      <w:r w:rsidR="008D5473" w:rsidRPr="00477182">
        <w:rPr>
          <w:rFonts w:ascii="Arial" w:hAnsi="Arial" w:cs="Arial"/>
          <w:sz w:val="24"/>
          <w:szCs w:val="24"/>
          <w:shd w:val="clear" w:color="auto" w:fill="FFFFFF"/>
        </w:rPr>
        <w:t>, may at first glance app</w:t>
      </w:r>
      <w:r w:rsidR="003A713C" w:rsidRPr="00477182">
        <w:rPr>
          <w:rFonts w:ascii="Arial" w:hAnsi="Arial" w:cs="Arial"/>
          <w:sz w:val="24"/>
          <w:szCs w:val="24"/>
          <w:shd w:val="clear" w:color="auto" w:fill="FFFFFF"/>
        </w:rPr>
        <w:t xml:space="preserve">ear similar to the present case – </w:t>
      </w:r>
      <w:r w:rsidR="008D5473" w:rsidRPr="00477182">
        <w:rPr>
          <w:rFonts w:ascii="Arial" w:hAnsi="Arial" w:cs="Arial"/>
          <w:sz w:val="24"/>
          <w:szCs w:val="24"/>
          <w:shd w:val="clear" w:color="auto" w:fill="FFFFFF"/>
        </w:rPr>
        <w:t>but upon in depth consideration of th</w:t>
      </w:r>
      <w:r w:rsidR="003A713C" w:rsidRPr="00477182">
        <w:rPr>
          <w:rFonts w:ascii="Arial" w:hAnsi="Arial" w:cs="Arial"/>
          <w:sz w:val="24"/>
          <w:szCs w:val="24"/>
          <w:shd w:val="clear" w:color="auto" w:fill="FFFFFF"/>
        </w:rPr>
        <w:t xml:space="preserve">e facts – </w:t>
      </w:r>
      <w:r w:rsidR="008D5473" w:rsidRPr="00477182">
        <w:rPr>
          <w:rFonts w:ascii="Arial" w:hAnsi="Arial" w:cs="Arial"/>
          <w:sz w:val="24"/>
          <w:szCs w:val="24"/>
          <w:shd w:val="clear" w:color="auto" w:fill="FFFFFF"/>
        </w:rPr>
        <w:t xml:space="preserve">what stands out is that in the </w:t>
      </w:r>
      <w:r w:rsidR="008D5473" w:rsidRPr="00477182">
        <w:rPr>
          <w:rFonts w:ascii="Arial" w:hAnsi="Arial" w:cs="Arial"/>
          <w:i/>
          <w:sz w:val="24"/>
          <w:szCs w:val="24"/>
          <w:shd w:val="clear" w:color="auto" w:fill="FFFFFF"/>
        </w:rPr>
        <w:t xml:space="preserve">Moyo </w:t>
      </w:r>
      <w:r w:rsidR="008D5473" w:rsidRPr="00477182">
        <w:rPr>
          <w:rFonts w:ascii="Arial" w:hAnsi="Arial" w:cs="Arial"/>
          <w:sz w:val="24"/>
          <w:szCs w:val="24"/>
          <w:shd w:val="clear" w:color="auto" w:fill="FFFFFF"/>
        </w:rPr>
        <w:t xml:space="preserve">matter, the respondent had consistently been making payment in the excess of N$20 000 per month to settle his indebtedness. This is starkly in contrast to the present matter in which it was argued by </w:t>
      </w:r>
      <w:r w:rsidR="00A70FC0" w:rsidRPr="00477182">
        <w:rPr>
          <w:rFonts w:ascii="Arial" w:hAnsi="Arial" w:cs="Arial"/>
          <w:sz w:val="24"/>
          <w:szCs w:val="24"/>
          <w:shd w:val="clear" w:color="auto" w:fill="FFFFFF"/>
        </w:rPr>
        <w:t xml:space="preserve">Ms Fernandes </w:t>
      </w:r>
      <w:r w:rsidR="008D5473" w:rsidRPr="00477182">
        <w:rPr>
          <w:rFonts w:ascii="Arial" w:hAnsi="Arial" w:cs="Arial"/>
          <w:sz w:val="24"/>
          <w:szCs w:val="24"/>
          <w:shd w:val="clear" w:color="auto" w:fill="FFFFFF"/>
        </w:rPr>
        <w:t>that the bond has not been serviced save for the two payments of N$30 000 made in 2018 and 20</w:t>
      </w:r>
      <w:r w:rsidR="00A70FC0" w:rsidRPr="00477182">
        <w:rPr>
          <w:rFonts w:ascii="Arial" w:hAnsi="Arial" w:cs="Arial"/>
          <w:sz w:val="24"/>
          <w:szCs w:val="24"/>
          <w:shd w:val="clear" w:color="auto" w:fill="FFFFFF"/>
        </w:rPr>
        <w:t>19, respectively. Since</w:t>
      </w:r>
      <w:r w:rsidR="008D5473" w:rsidRPr="00477182">
        <w:rPr>
          <w:rFonts w:ascii="Arial" w:hAnsi="Arial" w:cs="Arial"/>
          <w:sz w:val="24"/>
          <w:szCs w:val="24"/>
          <w:shd w:val="clear" w:color="auto" w:fill="FFFFFF"/>
        </w:rPr>
        <w:t xml:space="preserve"> default judgment was obtained</w:t>
      </w:r>
      <w:r w:rsidR="00A70FC0" w:rsidRPr="00477182">
        <w:rPr>
          <w:rFonts w:ascii="Arial" w:hAnsi="Arial" w:cs="Arial"/>
          <w:sz w:val="24"/>
          <w:szCs w:val="24"/>
          <w:shd w:val="clear" w:color="auto" w:fill="FFFFFF"/>
        </w:rPr>
        <w:t xml:space="preserve"> by the Bank,</w:t>
      </w:r>
      <w:r w:rsidR="008D5473" w:rsidRPr="00477182">
        <w:rPr>
          <w:rFonts w:ascii="Arial" w:hAnsi="Arial" w:cs="Arial"/>
          <w:sz w:val="24"/>
          <w:szCs w:val="24"/>
          <w:shd w:val="clear" w:color="auto" w:fill="FFFFFF"/>
        </w:rPr>
        <w:t xml:space="preserve"> in 2020, no payments have been made by the respondents.</w:t>
      </w:r>
      <w:r w:rsidR="00001B0A" w:rsidRPr="00477182">
        <w:rPr>
          <w:rFonts w:ascii="Arial" w:hAnsi="Arial" w:cs="Arial"/>
          <w:sz w:val="24"/>
          <w:szCs w:val="24"/>
          <w:shd w:val="clear" w:color="auto" w:fill="FFFFFF"/>
        </w:rPr>
        <w:t xml:space="preserve"> This is undisputed between the parties.</w:t>
      </w:r>
    </w:p>
    <w:p w14:paraId="221F01F6" w14:textId="77777777" w:rsidR="008D5473" w:rsidRPr="00BF4BA0" w:rsidRDefault="008D5473" w:rsidP="008D5473">
      <w:pPr>
        <w:pStyle w:val="ListParagraph"/>
        <w:rPr>
          <w:rFonts w:ascii="Arial" w:hAnsi="Arial" w:cs="Arial"/>
          <w:sz w:val="24"/>
          <w:szCs w:val="24"/>
          <w:shd w:val="clear" w:color="auto" w:fill="FFFFFF"/>
        </w:rPr>
      </w:pPr>
    </w:p>
    <w:p w14:paraId="1A9B1136" w14:textId="00052C69" w:rsidR="008D5473"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[34]</w:t>
      </w:r>
      <w:r w:rsidRPr="00BF4BA0">
        <w:rPr>
          <w:rFonts w:ascii="Arial" w:hAnsi="Arial" w:cs="Arial"/>
          <w:sz w:val="24"/>
          <w:szCs w:val="24"/>
        </w:rPr>
        <w:tab/>
      </w:r>
      <w:r w:rsidR="00684EC0" w:rsidRPr="00477182">
        <w:rPr>
          <w:rFonts w:ascii="Arial" w:hAnsi="Arial" w:cs="Arial"/>
          <w:sz w:val="24"/>
          <w:szCs w:val="24"/>
          <w:shd w:val="clear" w:color="auto" w:fill="FFFFFF"/>
        </w:rPr>
        <w:t>Given</w:t>
      </w:r>
      <w:r w:rsidR="00D053E2" w:rsidRPr="00477182">
        <w:rPr>
          <w:rFonts w:ascii="Arial" w:hAnsi="Arial" w:cs="Arial"/>
          <w:sz w:val="24"/>
          <w:szCs w:val="24"/>
          <w:shd w:val="clear" w:color="auto" w:fill="FFFFFF"/>
        </w:rPr>
        <w:t xml:space="preserve"> the</w:t>
      </w:r>
      <w:r w:rsidR="00684EC0" w:rsidRPr="00477182">
        <w:rPr>
          <w:rFonts w:ascii="Arial" w:hAnsi="Arial" w:cs="Arial"/>
          <w:sz w:val="24"/>
          <w:szCs w:val="24"/>
          <w:shd w:val="clear" w:color="auto" w:fill="FFFFFF"/>
        </w:rPr>
        <w:t xml:space="preserve"> afore-going</w:t>
      </w:r>
      <w:r w:rsidR="008D5473" w:rsidRPr="00477182">
        <w:rPr>
          <w:rFonts w:ascii="Arial" w:hAnsi="Arial" w:cs="Arial"/>
          <w:sz w:val="24"/>
          <w:szCs w:val="24"/>
          <w:shd w:val="clear" w:color="auto" w:fill="FFFFFF"/>
        </w:rPr>
        <w:t xml:space="preserve">, the </w:t>
      </w:r>
      <w:r w:rsidR="008D5473" w:rsidRPr="00477182">
        <w:rPr>
          <w:rFonts w:ascii="Arial" w:hAnsi="Arial" w:cs="Arial"/>
          <w:i/>
          <w:sz w:val="24"/>
          <w:szCs w:val="24"/>
          <w:shd w:val="clear" w:color="auto" w:fill="FFFFFF"/>
        </w:rPr>
        <w:t>Moyo</w:t>
      </w:r>
      <w:r w:rsidR="008D5473" w:rsidRPr="00477182">
        <w:rPr>
          <w:rFonts w:ascii="Arial" w:hAnsi="Arial" w:cs="Arial"/>
          <w:sz w:val="24"/>
          <w:szCs w:val="24"/>
          <w:shd w:val="clear" w:color="auto" w:fill="FFFFFF"/>
        </w:rPr>
        <w:t xml:space="preserve"> matter does not assist the respondents, in any way. In considering the balancing exercise that the court must carry out in dealing with rule 108 applications, Masuku J held in </w:t>
      </w:r>
      <w:r w:rsidR="008D5473" w:rsidRPr="00477182">
        <w:rPr>
          <w:rFonts w:ascii="Arial" w:hAnsi="Arial" w:cs="Arial"/>
          <w:i/>
          <w:sz w:val="24"/>
          <w:szCs w:val="24"/>
          <w:shd w:val="clear" w:color="auto" w:fill="FFFFFF"/>
        </w:rPr>
        <w:t xml:space="preserve">Moyo </w:t>
      </w:r>
      <w:r w:rsidR="008D5473" w:rsidRPr="00477182">
        <w:rPr>
          <w:rFonts w:ascii="Arial" w:hAnsi="Arial" w:cs="Arial"/>
          <w:sz w:val="24"/>
          <w:szCs w:val="24"/>
          <w:shd w:val="clear" w:color="auto" w:fill="FFFFFF"/>
        </w:rPr>
        <w:t>supra as follows:</w:t>
      </w:r>
    </w:p>
    <w:p w14:paraId="49F00C19" w14:textId="77777777" w:rsidR="008D5473" w:rsidRPr="00BF4BA0" w:rsidRDefault="008D5473" w:rsidP="008D5473">
      <w:pPr>
        <w:pStyle w:val="ListParagraph"/>
        <w:rPr>
          <w:rFonts w:ascii="Arial" w:hAnsi="Arial" w:cs="Arial"/>
          <w:sz w:val="24"/>
          <w:szCs w:val="24"/>
          <w:shd w:val="clear" w:color="auto" w:fill="FFFFFF"/>
        </w:rPr>
      </w:pPr>
    </w:p>
    <w:p w14:paraId="190CFFDD" w14:textId="77777777" w:rsidR="008D5473" w:rsidRPr="00BF4BA0" w:rsidRDefault="008D5473" w:rsidP="008D5473">
      <w:pPr>
        <w:pStyle w:val="ListParagraph"/>
        <w:spacing w:after="0" w:line="360" w:lineRule="auto"/>
        <w:ind w:left="0" w:firstLine="720"/>
        <w:jc w:val="both"/>
        <w:rPr>
          <w:rFonts w:ascii="Arial" w:hAnsi="Arial" w:cs="Arial"/>
          <w:szCs w:val="24"/>
          <w:shd w:val="clear" w:color="auto" w:fill="FFFFFF"/>
        </w:rPr>
      </w:pPr>
      <w:r w:rsidRPr="00BF4BA0">
        <w:rPr>
          <w:rFonts w:ascii="Arial" w:hAnsi="Arial" w:cs="Arial"/>
          <w:szCs w:val="24"/>
          <w:shd w:val="clear" w:color="auto" w:fill="FFFFFF"/>
        </w:rPr>
        <w:t>‘[28] It would appear to me that the court has a balancing exercise to carry out and at times with a touch of deftness and dexterity. There are two competing interests that the court is called upon to bring to some equilibrium and where the interests of justice will lie, will inevitably depend on the facts of the case at hand.</w:t>
      </w:r>
    </w:p>
    <w:p w14:paraId="22C08087" w14:textId="77777777" w:rsidR="008D5473" w:rsidRPr="00BF4BA0" w:rsidRDefault="008D5473" w:rsidP="008D5473">
      <w:pPr>
        <w:pStyle w:val="ListParagraph"/>
        <w:spacing w:after="0" w:line="360" w:lineRule="auto"/>
        <w:ind w:left="0"/>
        <w:jc w:val="both"/>
        <w:rPr>
          <w:rFonts w:ascii="Arial" w:hAnsi="Arial" w:cs="Arial"/>
          <w:szCs w:val="24"/>
          <w:shd w:val="clear" w:color="auto" w:fill="FFFFFF"/>
        </w:rPr>
      </w:pPr>
    </w:p>
    <w:p w14:paraId="4E0F7A35" w14:textId="77777777" w:rsidR="008D5473" w:rsidRPr="00BF4BA0" w:rsidRDefault="008D5473" w:rsidP="008D5473">
      <w:pPr>
        <w:pStyle w:val="ListParagraph"/>
        <w:spacing w:after="0" w:line="360" w:lineRule="auto"/>
        <w:ind w:left="0"/>
        <w:jc w:val="both"/>
        <w:rPr>
          <w:rFonts w:ascii="Arial" w:hAnsi="Arial" w:cs="Arial"/>
          <w:sz w:val="24"/>
          <w:szCs w:val="24"/>
          <w:shd w:val="clear" w:color="auto" w:fill="FFFFFF"/>
        </w:rPr>
      </w:pPr>
      <w:r w:rsidRPr="00BF4BA0">
        <w:rPr>
          <w:rFonts w:ascii="Arial" w:hAnsi="Arial" w:cs="Arial"/>
          <w:szCs w:val="24"/>
          <w:shd w:val="clear" w:color="auto" w:fill="FFFFFF"/>
        </w:rPr>
        <w:t>[2</w:t>
      </w:r>
      <w:r w:rsidR="00366E9E" w:rsidRPr="00BF4BA0">
        <w:rPr>
          <w:rFonts w:ascii="Arial" w:hAnsi="Arial" w:cs="Arial"/>
          <w:szCs w:val="24"/>
          <w:shd w:val="clear" w:color="auto" w:fill="FFFFFF"/>
        </w:rPr>
        <w:t>9] The consideration is that the</w:t>
      </w:r>
      <w:r w:rsidRPr="00BF4BA0">
        <w:rPr>
          <w:rFonts w:ascii="Arial" w:hAnsi="Arial" w:cs="Arial"/>
          <w:szCs w:val="24"/>
          <w:shd w:val="clear" w:color="auto" w:fill="FFFFFF"/>
        </w:rPr>
        <w:t xml:space="preserve"> creditor must be able to benefit from the contractual obligations reduced to writing in the bond of security. In other words, </w:t>
      </w:r>
      <w:r w:rsidRPr="00BF4BA0">
        <w:rPr>
          <w:rFonts w:ascii="Arial" w:hAnsi="Arial" w:cs="Arial"/>
          <w:szCs w:val="24"/>
          <w:u w:val="single"/>
          <w:shd w:val="clear" w:color="auto" w:fill="FFFFFF"/>
        </w:rPr>
        <w:t>the creditor’s commercial interests must not be defeated by the court unreasonably and without justification, withholding a declaration of property executable in terms o[f] rule 108.</w:t>
      </w:r>
      <w:r w:rsidRPr="00BF4BA0">
        <w:rPr>
          <w:rFonts w:ascii="Arial" w:hAnsi="Arial" w:cs="Arial"/>
          <w:szCs w:val="24"/>
          <w:shd w:val="clear" w:color="auto" w:fill="FFFFFF"/>
        </w:rPr>
        <w:t xml:space="preserve">’ </w:t>
      </w:r>
      <w:r w:rsidR="00191CA4">
        <w:rPr>
          <w:rFonts w:ascii="Arial" w:hAnsi="Arial" w:cs="Arial"/>
          <w:sz w:val="24"/>
          <w:szCs w:val="24"/>
          <w:shd w:val="clear" w:color="auto" w:fill="FFFFFF"/>
        </w:rPr>
        <w:t>(Underlining is my emphasis.)</w:t>
      </w:r>
    </w:p>
    <w:p w14:paraId="42D021D0" w14:textId="77777777" w:rsidR="008D5473" w:rsidRPr="00BF4BA0" w:rsidRDefault="008D5473" w:rsidP="008D5473">
      <w:pPr>
        <w:pStyle w:val="ListParagraph"/>
        <w:rPr>
          <w:rFonts w:ascii="Arial" w:hAnsi="Arial" w:cs="Arial"/>
          <w:sz w:val="24"/>
          <w:szCs w:val="24"/>
          <w:shd w:val="clear" w:color="auto" w:fill="FFFFFF"/>
        </w:rPr>
      </w:pPr>
    </w:p>
    <w:p w14:paraId="45AE0B3E" w14:textId="3B8F99C6" w:rsidR="008D5473"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[35]</w:t>
      </w:r>
      <w:r w:rsidRPr="00BF4BA0">
        <w:rPr>
          <w:rFonts w:ascii="Arial" w:hAnsi="Arial" w:cs="Arial"/>
          <w:sz w:val="24"/>
          <w:szCs w:val="24"/>
        </w:rPr>
        <w:tab/>
      </w:r>
      <w:r w:rsidR="00A70FC0" w:rsidRPr="00477182">
        <w:rPr>
          <w:rFonts w:ascii="Arial" w:hAnsi="Arial" w:cs="Arial"/>
          <w:sz w:val="24"/>
          <w:szCs w:val="24"/>
          <w:shd w:val="clear" w:color="auto" w:fill="FFFFFF"/>
        </w:rPr>
        <w:t xml:space="preserve">What is interesting to me, further, is that the </w:t>
      </w:r>
      <w:r w:rsidR="0071407C" w:rsidRPr="00477182">
        <w:rPr>
          <w:rFonts w:ascii="Arial" w:hAnsi="Arial" w:cs="Arial"/>
          <w:sz w:val="24"/>
          <w:szCs w:val="24"/>
          <w:shd w:val="clear" w:color="auto" w:fill="FFFFFF"/>
        </w:rPr>
        <w:t>proposal for payment of N$25 000 made by Mr Shaningua, in his answering affidavit, was made a</w:t>
      </w:r>
      <w:r w:rsidR="00191CA4" w:rsidRPr="00477182">
        <w:rPr>
          <w:rFonts w:ascii="Arial" w:hAnsi="Arial" w:cs="Arial"/>
          <w:sz w:val="24"/>
          <w:szCs w:val="24"/>
          <w:shd w:val="clear" w:color="auto" w:fill="FFFFFF"/>
        </w:rPr>
        <w:t>bruptly</w:t>
      </w:r>
      <w:r w:rsidR="0071407C" w:rsidRPr="00477182">
        <w:rPr>
          <w:rFonts w:ascii="Arial" w:hAnsi="Arial" w:cs="Arial"/>
          <w:sz w:val="24"/>
          <w:szCs w:val="24"/>
          <w:shd w:val="clear" w:color="auto" w:fill="FFFFFF"/>
        </w:rPr>
        <w:t xml:space="preserve"> and no further explanation is made regarding the said proposal. All that was said by Mr Shaningua is as follows:</w:t>
      </w:r>
    </w:p>
    <w:p w14:paraId="40F22BD4" w14:textId="77777777" w:rsidR="0071407C" w:rsidRPr="00BF4BA0" w:rsidRDefault="0071407C" w:rsidP="0071407C">
      <w:pPr>
        <w:pStyle w:val="ListParagraph"/>
        <w:spacing w:after="0" w:line="360" w:lineRule="auto"/>
        <w:ind w:left="0"/>
        <w:jc w:val="both"/>
        <w:rPr>
          <w:rFonts w:ascii="Arial" w:hAnsi="Arial" w:cs="Arial"/>
          <w:sz w:val="24"/>
          <w:szCs w:val="24"/>
          <w:shd w:val="clear" w:color="auto" w:fill="FFFFFF"/>
        </w:rPr>
      </w:pPr>
    </w:p>
    <w:p w14:paraId="258849D8" w14:textId="77777777" w:rsidR="0071407C" w:rsidRPr="00BF4BA0" w:rsidRDefault="0071407C" w:rsidP="0071407C">
      <w:pPr>
        <w:pStyle w:val="ListParagraph"/>
        <w:spacing w:after="0" w:line="360" w:lineRule="auto"/>
        <w:ind w:left="0" w:firstLine="720"/>
        <w:jc w:val="both"/>
        <w:rPr>
          <w:rFonts w:ascii="Arial" w:hAnsi="Arial" w:cs="Arial"/>
          <w:szCs w:val="24"/>
          <w:shd w:val="clear" w:color="auto" w:fill="FFFFFF"/>
        </w:rPr>
      </w:pPr>
      <w:r w:rsidRPr="00BF4BA0">
        <w:rPr>
          <w:rFonts w:ascii="Arial" w:hAnsi="Arial" w:cs="Arial"/>
          <w:szCs w:val="24"/>
          <w:shd w:val="clear" w:color="auto" w:fill="FFFFFF"/>
        </w:rPr>
        <w:lastRenderedPageBreak/>
        <w:t>‘[…] I propose to make payment of a monthly sum of N$25,000.00, as a minimum payment towards settlement of the judgment debt. I will however, from time to time, be able to make further lump sum payments to supplement the proposed monthly payment.’</w:t>
      </w:r>
      <w:r w:rsidRPr="00BF4BA0">
        <w:rPr>
          <w:rStyle w:val="FootnoteReference"/>
          <w:rFonts w:ascii="Arial" w:hAnsi="Arial" w:cs="Arial"/>
          <w:szCs w:val="24"/>
          <w:shd w:val="clear" w:color="auto" w:fill="FFFFFF"/>
        </w:rPr>
        <w:footnoteReference w:id="9"/>
      </w:r>
    </w:p>
    <w:p w14:paraId="7885B789" w14:textId="77777777" w:rsidR="0071407C" w:rsidRPr="00BF4BA0" w:rsidRDefault="0071407C" w:rsidP="0071407C">
      <w:pPr>
        <w:pStyle w:val="ListParagraph"/>
        <w:spacing w:after="0" w:line="360" w:lineRule="auto"/>
        <w:ind w:left="0"/>
        <w:jc w:val="both"/>
        <w:rPr>
          <w:rFonts w:ascii="Arial" w:hAnsi="Arial" w:cs="Arial"/>
          <w:sz w:val="24"/>
          <w:szCs w:val="24"/>
          <w:shd w:val="clear" w:color="auto" w:fill="FFFFFF"/>
        </w:rPr>
      </w:pPr>
    </w:p>
    <w:p w14:paraId="3CDEFB54" w14:textId="1C00457E" w:rsidR="0071407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[36]</w:t>
      </w:r>
      <w:r w:rsidRPr="00BF4BA0">
        <w:rPr>
          <w:rFonts w:ascii="Arial" w:hAnsi="Arial" w:cs="Arial"/>
          <w:sz w:val="24"/>
          <w:szCs w:val="24"/>
        </w:rPr>
        <w:tab/>
      </w:r>
      <w:r w:rsidR="0071407C" w:rsidRPr="00477182">
        <w:rPr>
          <w:rFonts w:ascii="Arial" w:hAnsi="Arial" w:cs="Arial"/>
          <w:sz w:val="24"/>
          <w:szCs w:val="24"/>
          <w:shd w:val="clear" w:color="auto" w:fill="FFFFFF"/>
        </w:rPr>
        <w:t>Mr Shaningua fails to set out, in his answering affidavit, how he intends to make payment of N$25 000. This is especially alarming given that Mr Shaningua</w:t>
      </w:r>
      <w:r w:rsidR="00366E9E" w:rsidRPr="00477182">
        <w:rPr>
          <w:rFonts w:ascii="Arial" w:hAnsi="Arial" w:cs="Arial"/>
          <w:sz w:val="24"/>
          <w:szCs w:val="24"/>
          <w:shd w:val="clear" w:color="auto" w:fill="FFFFFF"/>
        </w:rPr>
        <w:t xml:space="preserve"> stated</w:t>
      </w:r>
      <w:r w:rsidR="0071407C" w:rsidRPr="00477182">
        <w:rPr>
          <w:rFonts w:ascii="Arial" w:hAnsi="Arial" w:cs="Arial"/>
          <w:sz w:val="24"/>
          <w:szCs w:val="24"/>
          <w:shd w:val="clear" w:color="auto" w:fill="FFFFFF"/>
        </w:rPr>
        <w:t xml:space="preserve"> that he is currently incarcerated at the </w:t>
      </w:r>
      <w:r w:rsidR="00001B0A" w:rsidRPr="00477182">
        <w:rPr>
          <w:rFonts w:ascii="Arial" w:hAnsi="Arial" w:cs="Arial"/>
          <w:sz w:val="24"/>
          <w:szCs w:val="24"/>
          <w:shd w:val="clear" w:color="auto" w:fill="FFFFFF"/>
        </w:rPr>
        <w:t>Windhoek Correctional Facility</w:t>
      </w:r>
      <w:r w:rsidR="0071407C" w:rsidRPr="00477182">
        <w:rPr>
          <w:rFonts w:ascii="Arial" w:hAnsi="Arial" w:cs="Arial"/>
          <w:sz w:val="24"/>
          <w:szCs w:val="24"/>
          <w:shd w:val="clear" w:color="auto" w:fill="FFFFFF"/>
        </w:rPr>
        <w:t xml:space="preserve"> for 24 years. Mr Shaningua fails to factually prove that he is able to</w:t>
      </w:r>
      <w:r w:rsidR="00001B0A" w:rsidRPr="00477182">
        <w:rPr>
          <w:rFonts w:ascii="Arial" w:hAnsi="Arial" w:cs="Arial"/>
          <w:sz w:val="24"/>
          <w:szCs w:val="24"/>
          <w:shd w:val="clear" w:color="auto" w:fill="FFFFFF"/>
        </w:rPr>
        <w:t xml:space="preserve"> make the payment of N$25 000 as</w:t>
      </w:r>
      <w:r w:rsidR="0071407C" w:rsidRPr="00477182">
        <w:rPr>
          <w:rFonts w:ascii="Arial" w:hAnsi="Arial" w:cs="Arial"/>
          <w:sz w:val="24"/>
          <w:szCs w:val="24"/>
          <w:shd w:val="clear" w:color="auto" w:fill="FFFFFF"/>
        </w:rPr>
        <w:t xml:space="preserve"> proposed by him.</w:t>
      </w:r>
    </w:p>
    <w:p w14:paraId="515CA965" w14:textId="77777777" w:rsidR="0071407C" w:rsidRPr="00BF4BA0" w:rsidRDefault="0071407C" w:rsidP="0071407C">
      <w:pPr>
        <w:pStyle w:val="ListParagraph"/>
        <w:spacing w:after="0" w:line="360" w:lineRule="auto"/>
        <w:ind w:left="0"/>
        <w:jc w:val="both"/>
        <w:rPr>
          <w:rFonts w:ascii="Arial" w:hAnsi="Arial" w:cs="Arial"/>
          <w:sz w:val="24"/>
          <w:szCs w:val="24"/>
          <w:shd w:val="clear" w:color="auto" w:fill="FFFFFF"/>
        </w:rPr>
      </w:pPr>
    </w:p>
    <w:p w14:paraId="6ADB6666" w14:textId="3EADE879" w:rsidR="0071407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[37]</w:t>
      </w:r>
      <w:r w:rsidRPr="00BF4BA0">
        <w:rPr>
          <w:rFonts w:ascii="Arial" w:hAnsi="Arial" w:cs="Arial"/>
          <w:sz w:val="24"/>
          <w:szCs w:val="24"/>
        </w:rPr>
        <w:tab/>
      </w:r>
      <w:r w:rsidR="0071407C" w:rsidRPr="00477182">
        <w:rPr>
          <w:rFonts w:ascii="Arial" w:hAnsi="Arial" w:cs="Arial"/>
          <w:sz w:val="24"/>
          <w:szCs w:val="24"/>
          <w:shd w:val="clear" w:color="auto" w:fill="FFFFFF"/>
        </w:rPr>
        <w:t xml:space="preserve">I pause to note that, in his written arguments, Mr </w:t>
      </w:r>
      <w:r w:rsidR="00001B0A" w:rsidRPr="00477182">
        <w:rPr>
          <w:rFonts w:ascii="Arial" w:hAnsi="Arial" w:cs="Arial"/>
          <w:sz w:val="24"/>
          <w:szCs w:val="24"/>
          <w:shd w:val="clear" w:color="auto" w:fill="FFFFFF"/>
        </w:rPr>
        <w:t>Mwakondange submitted</w:t>
      </w:r>
      <w:r w:rsidR="0071407C" w:rsidRPr="00477182">
        <w:rPr>
          <w:rFonts w:ascii="Arial" w:hAnsi="Arial" w:cs="Arial"/>
          <w:sz w:val="24"/>
          <w:szCs w:val="24"/>
          <w:shd w:val="clear" w:color="auto" w:fill="FFFFFF"/>
        </w:rPr>
        <w:t xml:space="preserve"> that the property is currently leased to a certain Mr Kahambundu for a period of two years with an option for renewal and the monthly rent</w:t>
      </w:r>
      <w:r w:rsidR="00191CA4" w:rsidRPr="00477182">
        <w:rPr>
          <w:rFonts w:ascii="Arial" w:hAnsi="Arial" w:cs="Arial"/>
          <w:sz w:val="24"/>
          <w:szCs w:val="24"/>
          <w:shd w:val="clear" w:color="auto" w:fill="FFFFFF"/>
        </w:rPr>
        <w:t>al amount of</w:t>
      </w:r>
      <w:r w:rsidR="0071407C" w:rsidRPr="00477182">
        <w:rPr>
          <w:rFonts w:ascii="Arial" w:hAnsi="Arial" w:cs="Arial"/>
          <w:sz w:val="24"/>
          <w:szCs w:val="24"/>
          <w:shd w:val="clear" w:color="auto" w:fill="FFFFFF"/>
        </w:rPr>
        <w:t xml:space="preserve"> N$25 000, which Mr Shaningua intends to apply for payment towards the judgment debt. The problem with this is that not only is this not alleged in his affidavit, bu</w:t>
      </w:r>
      <w:r w:rsidR="00001B0A" w:rsidRPr="00477182">
        <w:rPr>
          <w:rFonts w:ascii="Arial" w:hAnsi="Arial" w:cs="Arial"/>
          <w:sz w:val="24"/>
          <w:szCs w:val="24"/>
          <w:shd w:val="clear" w:color="auto" w:fill="FFFFFF"/>
        </w:rPr>
        <w:t>t no proof of any rental is attached by Mr Shaningua to his answering affidavit</w:t>
      </w:r>
      <w:r w:rsidR="0071407C" w:rsidRPr="00477182">
        <w:rPr>
          <w:rFonts w:ascii="Arial" w:hAnsi="Arial" w:cs="Arial"/>
          <w:sz w:val="24"/>
          <w:szCs w:val="24"/>
          <w:shd w:val="clear" w:color="auto" w:fill="FFFFFF"/>
        </w:rPr>
        <w:t>.</w:t>
      </w:r>
      <w:r w:rsidR="00001B0A" w:rsidRPr="00477182">
        <w:rPr>
          <w:rFonts w:ascii="Arial" w:hAnsi="Arial" w:cs="Arial"/>
          <w:sz w:val="24"/>
          <w:szCs w:val="24"/>
          <w:shd w:val="clear" w:color="auto" w:fill="FFFFFF"/>
        </w:rPr>
        <w:t xml:space="preserve"> This </w:t>
      </w:r>
      <w:r w:rsidR="00366E9E" w:rsidRPr="00477182">
        <w:rPr>
          <w:rFonts w:ascii="Arial" w:hAnsi="Arial" w:cs="Arial"/>
          <w:sz w:val="24"/>
          <w:szCs w:val="24"/>
          <w:shd w:val="clear" w:color="auto" w:fill="FFFFFF"/>
        </w:rPr>
        <w:t>may have assiste</w:t>
      </w:r>
      <w:r w:rsidR="00001B0A" w:rsidRPr="00477182">
        <w:rPr>
          <w:rFonts w:ascii="Arial" w:hAnsi="Arial" w:cs="Arial"/>
          <w:sz w:val="24"/>
          <w:szCs w:val="24"/>
          <w:shd w:val="clear" w:color="auto" w:fill="FFFFFF"/>
        </w:rPr>
        <w:t>d Mr Shaningua in factually proving his ability to pay the proposed amount of N$25 000.</w:t>
      </w:r>
    </w:p>
    <w:p w14:paraId="7DF447AB" w14:textId="77777777" w:rsidR="0071407C" w:rsidRPr="00BF4BA0" w:rsidRDefault="0071407C" w:rsidP="0071407C">
      <w:pPr>
        <w:pStyle w:val="ListParagraph"/>
        <w:rPr>
          <w:rFonts w:ascii="Arial" w:hAnsi="Arial" w:cs="Arial"/>
          <w:sz w:val="24"/>
          <w:szCs w:val="24"/>
          <w:shd w:val="clear" w:color="auto" w:fill="FFFFFF"/>
        </w:rPr>
      </w:pPr>
    </w:p>
    <w:p w14:paraId="1F6E6BA0" w14:textId="6D80FFB2" w:rsidR="0071407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[38]</w:t>
      </w:r>
      <w:r w:rsidRPr="00BF4BA0">
        <w:rPr>
          <w:rFonts w:ascii="Arial" w:hAnsi="Arial" w:cs="Arial"/>
          <w:sz w:val="24"/>
          <w:szCs w:val="24"/>
        </w:rPr>
        <w:tab/>
      </w:r>
      <w:r w:rsidR="00001B0A" w:rsidRPr="00477182">
        <w:rPr>
          <w:rFonts w:ascii="Arial" w:hAnsi="Arial" w:cs="Arial"/>
          <w:sz w:val="24"/>
          <w:szCs w:val="24"/>
          <w:shd w:val="clear" w:color="auto" w:fill="FFFFFF"/>
        </w:rPr>
        <w:t>Notwithstanding the above, Ms</w:t>
      </w:r>
      <w:r w:rsidR="0071407C" w:rsidRPr="00477182">
        <w:rPr>
          <w:rFonts w:ascii="Arial" w:hAnsi="Arial" w:cs="Arial"/>
          <w:sz w:val="24"/>
          <w:szCs w:val="24"/>
          <w:shd w:val="clear" w:color="auto" w:fill="FFFFFF"/>
        </w:rPr>
        <w:t xml:space="preserve"> Fernandes further argued that no facts were placed under oath by Mr Shaningua on whether he has any dependents, his age and his payment history, all which would have assisted him in his argument.</w:t>
      </w:r>
    </w:p>
    <w:p w14:paraId="6A23A061" w14:textId="77777777" w:rsidR="0071407C" w:rsidRPr="00BF4BA0" w:rsidRDefault="0071407C" w:rsidP="0071407C">
      <w:pPr>
        <w:pStyle w:val="ListParagraph"/>
        <w:rPr>
          <w:rFonts w:ascii="Arial" w:hAnsi="Arial" w:cs="Arial"/>
          <w:sz w:val="24"/>
          <w:szCs w:val="24"/>
          <w:shd w:val="clear" w:color="auto" w:fill="FFFFFF"/>
        </w:rPr>
      </w:pPr>
    </w:p>
    <w:p w14:paraId="73CC9F79" w14:textId="2F070608" w:rsidR="0071407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[39]</w:t>
      </w:r>
      <w:r w:rsidRPr="00BF4BA0">
        <w:rPr>
          <w:rFonts w:ascii="Arial" w:hAnsi="Arial" w:cs="Arial"/>
          <w:sz w:val="24"/>
          <w:szCs w:val="24"/>
        </w:rPr>
        <w:tab/>
      </w:r>
      <w:r w:rsidR="0071407C" w:rsidRPr="00477182">
        <w:rPr>
          <w:rFonts w:ascii="Arial" w:hAnsi="Arial" w:cs="Arial"/>
          <w:sz w:val="24"/>
          <w:szCs w:val="24"/>
          <w:shd w:val="clear" w:color="auto" w:fill="FFFFFF"/>
        </w:rPr>
        <w:t xml:space="preserve">In </w:t>
      </w:r>
      <w:r w:rsidR="0071407C" w:rsidRPr="00477182">
        <w:rPr>
          <w:rFonts w:ascii="Arial" w:hAnsi="Arial" w:cs="Arial"/>
          <w:i/>
          <w:sz w:val="24"/>
          <w:szCs w:val="24"/>
          <w:shd w:val="clear" w:color="auto" w:fill="FFFFFF"/>
        </w:rPr>
        <w:t xml:space="preserve">Kisilipile </w:t>
      </w:r>
      <w:r w:rsidR="0071407C" w:rsidRPr="00477182">
        <w:rPr>
          <w:rFonts w:ascii="Arial" w:hAnsi="Arial" w:cs="Arial"/>
          <w:sz w:val="24"/>
          <w:szCs w:val="24"/>
          <w:shd w:val="clear" w:color="auto" w:fill="FFFFFF"/>
        </w:rPr>
        <w:t>supra</w:t>
      </w:r>
      <w:r w:rsidR="00665E1E" w:rsidRPr="00477182">
        <w:rPr>
          <w:rFonts w:ascii="Arial" w:hAnsi="Arial" w:cs="Arial"/>
          <w:sz w:val="24"/>
          <w:szCs w:val="24"/>
          <w:shd w:val="clear" w:color="auto" w:fill="FFFFFF"/>
        </w:rPr>
        <w:t xml:space="preserve"> at para 21</w:t>
      </w:r>
      <w:r w:rsidR="0071407C" w:rsidRPr="00477182">
        <w:rPr>
          <w:rFonts w:ascii="Arial" w:hAnsi="Arial" w:cs="Arial"/>
          <w:sz w:val="24"/>
          <w:szCs w:val="24"/>
          <w:shd w:val="clear" w:color="auto" w:fill="FFFFFF"/>
        </w:rPr>
        <w:t>, the Supreme Court set</w:t>
      </w:r>
      <w:r w:rsidR="00191CA4" w:rsidRPr="00477182">
        <w:rPr>
          <w:rFonts w:ascii="Arial" w:hAnsi="Arial" w:cs="Arial"/>
          <w:sz w:val="24"/>
          <w:szCs w:val="24"/>
          <w:shd w:val="clear" w:color="auto" w:fill="FFFFFF"/>
        </w:rPr>
        <w:t>s</w:t>
      </w:r>
      <w:r w:rsidR="0071407C" w:rsidRPr="00477182">
        <w:rPr>
          <w:rFonts w:ascii="Arial" w:hAnsi="Arial" w:cs="Arial"/>
          <w:sz w:val="24"/>
          <w:szCs w:val="24"/>
          <w:shd w:val="clear" w:color="auto" w:fill="FFFFFF"/>
        </w:rPr>
        <w:t xml:space="preserve"> out factors for the court to consider when determining an application under rule 108. These factors are set out as follows:</w:t>
      </w:r>
    </w:p>
    <w:p w14:paraId="0C0ED6ED" w14:textId="77777777" w:rsidR="0071407C" w:rsidRPr="00BF4BA0" w:rsidRDefault="0071407C" w:rsidP="0071407C">
      <w:pPr>
        <w:pStyle w:val="ListParagraph"/>
        <w:rPr>
          <w:rFonts w:ascii="Arial" w:hAnsi="Arial" w:cs="Arial"/>
          <w:sz w:val="24"/>
          <w:szCs w:val="24"/>
          <w:shd w:val="clear" w:color="auto" w:fill="FFFFFF"/>
        </w:rPr>
      </w:pPr>
    </w:p>
    <w:p w14:paraId="30580037" w14:textId="77777777" w:rsidR="0071407C" w:rsidRPr="00BF4BA0" w:rsidRDefault="0071407C" w:rsidP="006C427A">
      <w:pPr>
        <w:pStyle w:val="ListParagraph"/>
        <w:spacing w:after="0" w:line="360" w:lineRule="auto"/>
        <w:ind w:left="0" w:firstLine="720"/>
        <w:jc w:val="both"/>
        <w:rPr>
          <w:rFonts w:ascii="Arial" w:hAnsi="Arial" w:cs="Arial"/>
          <w:szCs w:val="24"/>
          <w:shd w:val="clear" w:color="auto" w:fill="FFFFFF"/>
        </w:rPr>
      </w:pPr>
      <w:r w:rsidRPr="00BF4BA0">
        <w:rPr>
          <w:rFonts w:ascii="Arial" w:hAnsi="Arial" w:cs="Arial"/>
          <w:szCs w:val="24"/>
          <w:shd w:val="clear" w:color="auto" w:fill="FFFFFF"/>
        </w:rPr>
        <w:t>‘</w:t>
      </w:r>
      <w:r w:rsidR="006C427A" w:rsidRPr="00BF4BA0">
        <w:rPr>
          <w:rFonts w:ascii="Arial" w:hAnsi="Arial" w:cs="Arial"/>
          <w:szCs w:val="24"/>
          <w:shd w:val="clear" w:color="auto" w:fill="FFFFFF"/>
        </w:rPr>
        <w:t>[…] The court should also take into consideration the payment history of the debtor.  Greater latitude should be given to the debtor who has a reasonably good payment history; the extent of the balance outstanding; and the age of the debtor – which is an important factor whether or not the debtor will be able to secure another loan to buy a home.’</w:t>
      </w:r>
    </w:p>
    <w:p w14:paraId="3B0D07B6" w14:textId="77777777" w:rsidR="0071407C" w:rsidRPr="00BF4BA0" w:rsidRDefault="0071407C" w:rsidP="0071407C">
      <w:pPr>
        <w:pStyle w:val="ListParagraph"/>
        <w:rPr>
          <w:rFonts w:ascii="Arial" w:hAnsi="Arial" w:cs="Arial"/>
          <w:sz w:val="24"/>
          <w:szCs w:val="24"/>
          <w:shd w:val="clear" w:color="auto" w:fill="FFFFFF"/>
        </w:rPr>
      </w:pPr>
    </w:p>
    <w:p w14:paraId="7DEDA0C3" w14:textId="4829EB87" w:rsidR="0071407C"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[40]</w:t>
      </w:r>
      <w:r w:rsidRPr="00BF4BA0">
        <w:rPr>
          <w:rFonts w:ascii="Arial" w:hAnsi="Arial" w:cs="Arial"/>
          <w:sz w:val="24"/>
          <w:szCs w:val="24"/>
        </w:rPr>
        <w:tab/>
      </w:r>
      <w:r w:rsidR="006C427A" w:rsidRPr="00477182">
        <w:rPr>
          <w:rFonts w:ascii="Arial" w:hAnsi="Arial" w:cs="Arial"/>
          <w:sz w:val="24"/>
          <w:szCs w:val="24"/>
          <w:shd w:val="clear" w:color="auto" w:fill="FFFFFF"/>
        </w:rPr>
        <w:t xml:space="preserve">It is settled that none of the above factors were set out in Mr Shaningua’s </w:t>
      </w:r>
      <w:r w:rsidR="00F31CA8" w:rsidRPr="00477182">
        <w:rPr>
          <w:rFonts w:ascii="Arial" w:hAnsi="Arial" w:cs="Arial"/>
          <w:sz w:val="24"/>
          <w:szCs w:val="24"/>
          <w:shd w:val="clear" w:color="auto" w:fill="FFFFFF"/>
        </w:rPr>
        <w:t>answering</w:t>
      </w:r>
      <w:r w:rsidR="006C427A" w:rsidRPr="00477182">
        <w:rPr>
          <w:rFonts w:ascii="Arial" w:hAnsi="Arial" w:cs="Arial"/>
          <w:sz w:val="24"/>
          <w:szCs w:val="24"/>
          <w:shd w:val="clear" w:color="auto" w:fill="FFFFFF"/>
        </w:rPr>
        <w:t xml:space="preserve"> affidavit. There is further no dispute that Mr Shaningua has not been making payment on the bond.</w:t>
      </w:r>
    </w:p>
    <w:p w14:paraId="203D5C44" w14:textId="77777777" w:rsidR="006C427A" w:rsidRPr="00BF4BA0" w:rsidRDefault="006C427A" w:rsidP="006C427A">
      <w:pPr>
        <w:pStyle w:val="ListParagraph"/>
        <w:spacing w:after="0" w:line="360" w:lineRule="auto"/>
        <w:ind w:left="0"/>
        <w:jc w:val="both"/>
        <w:rPr>
          <w:rFonts w:ascii="Arial" w:hAnsi="Arial" w:cs="Arial"/>
          <w:sz w:val="24"/>
          <w:szCs w:val="24"/>
          <w:shd w:val="clear" w:color="auto" w:fill="FFFFFF"/>
        </w:rPr>
      </w:pPr>
    </w:p>
    <w:p w14:paraId="6D096741" w14:textId="7B846A32" w:rsidR="006C427A"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[41]</w:t>
      </w:r>
      <w:r w:rsidRPr="00BF4BA0">
        <w:rPr>
          <w:rFonts w:ascii="Arial" w:hAnsi="Arial" w:cs="Arial"/>
          <w:sz w:val="24"/>
          <w:szCs w:val="24"/>
        </w:rPr>
        <w:tab/>
      </w:r>
      <w:r w:rsidR="006C427A" w:rsidRPr="00477182">
        <w:rPr>
          <w:rFonts w:ascii="Arial" w:hAnsi="Arial" w:cs="Arial"/>
          <w:sz w:val="24"/>
          <w:szCs w:val="24"/>
          <w:shd w:val="clear" w:color="auto" w:fill="FFFFFF"/>
        </w:rPr>
        <w:t>Mr Shaningua’s evidence was that he was unaware that the bond with Standard Bank had not been serviced given that he was in custody awaiting trial and then upon conviction and sentencing, he was incarcerated. I</w:t>
      </w:r>
      <w:r w:rsidR="005F0191" w:rsidRPr="00477182">
        <w:rPr>
          <w:rFonts w:ascii="Arial" w:hAnsi="Arial" w:cs="Arial"/>
          <w:sz w:val="24"/>
          <w:szCs w:val="24"/>
          <w:shd w:val="clear" w:color="auto" w:fill="FFFFFF"/>
        </w:rPr>
        <w:t xml:space="preserve"> accept this evidence. However, </w:t>
      </w:r>
      <w:r w:rsidR="006C427A" w:rsidRPr="00477182">
        <w:rPr>
          <w:rFonts w:ascii="Arial" w:hAnsi="Arial" w:cs="Arial"/>
          <w:sz w:val="24"/>
          <w:szCs w:val="24"/>
          <w:shd w:val="clear" w:color="auto" w:fill="FFFFFF"/>
        </w:rPr>
        <w:t>no evidence was led as for Mrs Shaningua. It is uncertain what Mrs Shaningua had been doing since 2015. Neither answering nor confirmatory affidavits were filed by Mrs Shaningua</w:t>
      </w:r>
      <w:r w:rsidR="00191CA4" w:rsidRPr="00477182">
        <w:rPr>
          <w:rFonts w:ascii="Arial" w:hAnsi="Arial" w:cs="Arial"/>
          <w:sz w:val="24"/>
          <w:szCs w:val="24"/>
          <w:shd w:val="clear" w:color="auto" w:fill="FFFFFF"/>
        </w:rPr>
        <w:t>,</w:t>
      </w:r>
      <w:r w:rsidR="006C427A" w:rsidRPr="00477182">
        <w:rPr>
          <w:rFonts w:ascii="Arial" w:hAnsi="Arial" w:cs="Arial"/>
          <w:sz w:val="24"/>
          <w:szCs w:val="24"/>
          <w:shd w:val="clear" w:color="auto" w:fill="FFFFFF"/>
        </w:rPr>
        <w:t xml:space="preserve"> despite an appearance being entered on her behalf.</w:t>
      </w:r>
      <w:r w:rsidR="00366E9E" w:rsidRPr="00477182">
        <w:rPr>
          <w:rFonts w:ascii="Arial" w:hAnsi="Arial" w:cs="Arial"/>
          <w:sz w:val="24"/>
          <w:szCs w:val="24"/>
          <w:shd w:val="clear" w:color="auto" w:fill="FFFFFF"/>
        </w:rPr>
        <w:t xml:space="preserve"> I am of the view that Mrs Shaningua’s failure to file any opposing affidavits </w:t>
      </w:r>
      <w:r w:rsidR="00191CA4" w:rsidRPr="00477182">
        <w:rPr>
          <w:rFonts w:ascii="Arial" w:hAnsi="Arial" w:cs="Arial"/>
          <w:sz w:val="24"/>
          <w:szCs w:val="24"/>
          <w:shd w:val="clear" w:color="auto" w:fill="FFFFFF"/>
        </w:rPr>
        <w:t>setting out</w:t>
      </w:r>
      <w:r w:rsidR="00366E9E" w:rsidRPr="00477182">
        <w:rPr>
          <w:rFonts w:ascii="Arial" w:hAnsi="Arial" w:cs="Arial"/>
          <w:sz w:val="24"/>
          <w:szCs w:val="24"/>
          <w:shd w:val="clear" w:color="auto" w:fill="FFFFFF"/>
        </w:rPr>
        <w:t xml:space="preserve"> why she had not serviced the bond since Mr Shaningua’s </w:t>
      </w:r>
      <w:r w:rsidR="00191CA4" w:rsidRPr="00477182">
        <w:rPr>
          <w:rFonts w:ascii="Arial" w:hAnsi="Arial" w:cs="Arial"/>
          <w:sz w:val="24"/>
          <w:szCs w:val="24"/>
          <w:shd w:val="clear" w:color="auto" w:fill="FFFFFF"/>
        </w:rPr>
        <w:t>incarceration</w:t>
      </w:r>
      <w:r w:rsidR="00366E9E" w:rsidRPr="00477182">
        <w:rPr>
          <w:rFonts w:ascii="Arial" w:hAnsi="Arial" w:cs="Arial"/>
          <w:sz w:val="24"/>
          <w:szCs w:val="24"/>
          <w:shd w:val="clear" w:color="auto" w:fill="FFFFFF"/>
        </w:rPr>
        <w:t xml:space="preserve"> is fatal to the respondents’ opposition.</w:t>
      </w:r>
    </w:p>
    <w:p w14:paraId="1CCB1E8E" w14:textId="77777777" w:rsidR="006C427A" w:rsidRPr="00BF4BA0" w:rsidRDefault="006C427A" w:rsidP="006C427A">
      <w:pPr>
        <w:pStyle w:val="ListParagraph"/>
        <w:rPr>
          <w:rFonts w:ascii="Arial" w:hAnsi="Arial" w:cs="Arial"/>
          <w:sz w:val="24"/>
          <w:szCs w:val="24"/>
          <w:shd w:val="clear" w:color="auto" w:fill="FFFFFF"/>
        </w:rPr>
      </w:pPr>
    </w:p>
    <w:p w14:paraId="375FDD77" w14:textId="01A4154D" w:rsidR="006C427A"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[42]</w:t>
      </w:r>
      <w:r w:rsidRPr="00BF4BA0">
        <w:rPr>
          <w:rFonts w:ascii="Arial" w:hAnsi="Arial" w:cs="Arial"/>
          <w:sz w:val="24"/>
          <w:szCs w:val="24"/>
        </w:rPr>
        <w:tab/>
      </w:r>
      <w:r w:rsidR="005F0191" w:rsidRPr="00477182">
        <w:rPr>
          <w:rFonts w:ascii="Arial" w:hAnsi="Arial" w:cs="Arial"/>
          <w:sz w:val="24"/>
          <w:szCs w:val="24"/>
          <w:shd w:val="clear" w:color="auto" w:fill="FFFFFF"/>
        </w:rPr>
        <w:t xml:space="preserve">Before I conclude, </w:t>
      </w:r>
      <w:r w:rsidR="000045ED" w:rsidRPr="00477182">
        <w:rPr>
          <w:rFonts w:ascii="Arial" w:hAnsi="Arial" w:cs="Arial"/>
          <w:sz w:val="24"/>
          <w:szCs w:val="24"/>
          <w:shd w:val="clear" w:color="auto" w:fill="FFFFFF"/>
        </w:rPr>
        <w:t xml:space="preserve">I </w:t>
      </w:r>
      <w:r w:rsidR="00684EC0" w:rsidRPr="00477182">
        <w:rPr>
          <w:rFonts w:ascii="Arial" w:hAnsi="Arial" w:cs="Arial"/>
          <w:sz w:val="24"/>
          <w:szCs w:val="24"/>
          <w:shd w:val="clear" w:color="auto" w:fill="FFFFFF"/>
        </w:rPr>
        <w:t>would be remiss for</w:t>
      </w:r>
      <w:r w:rsidR="005F0191" w:rsidRPr="00477182">
        <w:rPr>
          <w:rFonts w:ascii="Arial" w:hAnsi="Arial" w:cs="Arial"/>
          <w:sz w:val="24"/>
          <w:szCs w:val="24"/>
          <w:shd w:val="clear" w:color="auto" w:fill="FFFFFF"/>
        </w:rPr>
        <w:t xml:space="preserve"> not mentioning</w:t>
      </w:r>
      <w:r w:rsidR="000045ED" w:rsidRPr="00477182">
        <w:rPr>
          <w:rFonts w:ascii="Arial" w:hAnsi="Arial" w:cs="Arial"/>
          <w:sz w:val="24"/>
          <w:szCs w:val="24"/>
          <w:shd w:val="clear" w:color="auto" w:fill="FFFFFF"/>
        </w:rPr>
        <w:t xml:space="preserve"> that Mr Mwakondange</w:t>
      </w:r>
      <w:r w:rsidR="008676FB" w:rsidRPr="00477182">
        <w:rPr>
          <w:rFonts w:ascii="Arial" w:hAnsi="Arial" w:cs="Arial"/>
          <w:sz w:val="24"/>
          <w:szCs w:val="24"/>
          <w:shd w:val="clear" w:color="auto" w:fill="FFFFFF"/>
        </w:rPr>
        <w:t>, counsel for the respondents,</w:t>
      </w:r>
      <w:r w:rsidR="000045ED" w:rsidRPr="00477182">
        <w:rPr>
          <w:rFonts w:ascii="Arial" w:hAnsi="Arial" w:cs="Arial"/>
          <w:sz w:val="24"/>
          <w:szCs w:val="24"/>
          <w:shd w:val="clear" w:color="auto" w:fill="FFFFFF"/>
        </w:rPr>
        <w:t xml:space="preserve"> spent majority of his time arguing dilatory points</w:t>
      </w:r>
      <w:r w:rsidR="005F0191" w:rsidRPr="00477182">
        <w:rPr>
          <w:rFonts w:ascii="Arial" w:hAnsi="Arial" w:cs="Arial"/>
          <w:sz w:val="24"/>
          <w:szCs w:val="24"/>
          <w:shd w:val="clear" w:color="auto" w:fill="FFFFFF"/>
        </w:rPr>
        <w:t>,</w:t>
      </w:r>
      <w:r w:rsidR="000045ED" w:rsidRPr="00477182">
        <w:rPr>
          <w:rFonts w:ascii="Arial" w:hAnsi="Arial" w:cs="Arial"/>
          <w:sz w:val="24"/>
          <w:szCs w:val="24"/>
          <w:shd w:val="clear" w:color="auto" w:fill="FFFFFF"/>
        </w:rPr>
        <w:t xml:space="preserve"> which would take this matter nowhere and </w:t>
      </w:r>
      <w:r w:rsidR="005F0191" w:rsidRPr="00477182">
        <w:rPr>
          <w:rFonts w:ascii="Arial" w:hAnsi="Arial" w:cs="Arial"/>
          <w:sz w:val="24"/>
          <w:szCs w:val="24"/>
          <w:shd w:val="clear" w:color="auto" w:fill="FFFFFF"/>
        </w:rPr>
        <w:t xml:space="preserve">could </w:t>
      </w:r>
      <w:r w:rsidR="000045ED" w:rsidRPr="00477182">
        <w:rPr>
          <w:rFonts w:ascii="Arial" w:hAnsi="Arial" w:cs="Arial"/>
          <w:sz w:val="24"/>
          <w:szCs w:val="24"/>
          <w:shd w:val="clear" w:color="auto" w:fill="FFFFFF"/>
        </w:rPr>
        <w:t>possibly incur the respondents’ further costs</w:t>
      </w:r>
      <w:r w:rsidR="008676FB" w:rsidRPr="00477182">
        <w:rPr>
          <w:rFonts w:ascii="Arial" w:hAnsi="Arial" w:cs="Arial"/>
          <w:sz w:val="24"/>
          <w:szCs w:val="24"/>
          <w:shd w:val="clear" w:color="auto" w:fill="FFFFFF"/>
        </w:rPr>
        <w:t>, failing to address the court on substantial arguments</w:t>
      </w:r>
      <w:r w:rsidR="000045ED" w:rsidRPr="00477182">
        <w:rPr>
          <w:rFonts w:ascii="Arial" w:hAnsi="Arial" w:cs="Arial"/>
          <w:sz w:val="24"/>
          <w:szCs w:val="24"/>
          <w:shd w:val="clear" w:color="auto" w:fill="FFFFFF"/>
        </w:rPr>
        <w:t>. I say no further than to mention that  legal practitioners have an ethical duty to argue their clients</w:t>
      </w:r>
      <w:r w:rsidR="002232B0" w:rsidRPr="00477182">
        <w:rPr>
          <w:rFonts w:ascii="Arial" w:hAnsi="Arial" w:cs="Arial"/>
          <w:sz w:val="24"/>
          <w:szCs w:val="24"/>
          <w:shd w:val="clear" w:color="auto" w:fill="FFFFFF"/>
        </w:rPr>
        <w:t>’</w:t>
      </w:r>
      <w:r w:rsidR="000045ED" w:rsidRPr="00477182">
        <w:rPr>
          <w:rFonts w:ascii="Arial" w:hAnsi="Arial" w:cs="Arial"/>
          <w:sz w:val="24"/>
          <w:szCs w:val="24"/>
          <w:shd w:val="clear" w:color="auto" w:fill="FFFFFF"/>
        </w:rPr>
        <w:t xml:space="preserve"> case</w:t>
      </w:r>
      <w:r w:rsidR="008B4D61" w:rsidRPr="00477182">
        <w:rPr>
          <w:rFonts w:ascii="Arial" w:hAnsi="Arial" w:cs="Arial"/>
          <w:sz w:val="24"/>
          <w:szCs w:val="24"/>
          <w:shd w:val="clear" w:color="auto" w:fill="FFFFFF"/>
        </w:rPr>
        <w:t>s to the best of their ability</w:t>
      </w:r>
      <w:r w:rsidR="000045ED" w:rsidRPr="00477182">
        <w:rPr>
          <w:rFonts w:ascii="Arial" w:hAnsi="Arial" w:cs="Arial"/>
          <w:sz w:val="24"/>
          <w:szCs w:val="24"/>
          <w:shd w:val="clear" w:color="auto" w:fill="FFFFFF"/>
        </w:rPr>
        <w:t xml:space="preserve"> and must not take up issues which do not see the just and speedily finalisation of a matter, </w:t>
      </w:r>
      <w:r w:rsidR="008676FB" w:rsidRPr="00477182">
        <w:rPr>
          <w:rFonts w:ascii="Arial" w:hAnsi="Arial" w:cs="Arial"/>
          <w:sz w:val="24"/>
          <w:szCs w:val="24"/>
          <w:shd w:val="clear" w:color="auto" w:fill="FFFFFF"/>
        </w:rPr>
        <w:t xml:space="preserve">but </w:t>
      </w:r>
      <w:r w:rsidR="000045ED" w:rsidRPr="00477182">
        <w:rPr>
          <w:rFonts w:ascii="Arial" w:hAnsi="Arial" w:cs="Arial"/>
          <w:sz w:val="24"/>
          <w:szCs w:val="24"/>
          <w:shd w:val="clear" w:color="auto" w:fill="FFFFFF"/>
        </w:rPr>
        <w:t xml:space="preserve">would only </w:t>
      </w:r>
      <w:r w:rsidR="002232B0" w:rsidRPr="00477182">
        <w:rPr>
          <w:rFonts w:ascii="Arial" w:hAnsi="Arial" w:cs="Arial"/>
          <w:sz w:val="24"/>
          <w:szCs w:val="24"/>
          <w:shd w:val="clear" w:color="auto" w:fill="FFFFFF"/>
        </w:rPr>
        <w:t xml:space="preserve">prolong </w:t>
      </w:r>
      <w:r w:rsidR="008676FB" w:rsidRPr="00477182">
        <w:rPr>
          <w:rFonts w:ascii="Arial" w:hAnsi="Arial" w:cs="Arial"/>
          <w:sz w:val="24"/>
          <w:szCs w:val="24"/>
          <w:shd w:val="clear" w:color="auto" w:fill="FFFFFF"/>
        </w:rPr>
        <w:t>the</w:t>
      </w:r>
      <w:r w:rsidR="002232B0" w:rsidRPr="00477182">
        <w:rPr>
          <w:rFonts w:ascii="Arial" w:hAnsi="Arial" w:cs="Arial"/>
          <w:sz w:val="24"/>
          <w:szCs w:val="24"/>
          <w:shd w:val="clear" w:color="auto" w:fill="FFFFFF"/>
        </w:rPr>
        <w:t xml:space="preserve"> matter further and incur further legal costs for their clients.</w:t>
      </w:r>
    </w:p>
    <w:p w14:paraId="73BFFAB0" w14:textId="77777777" w:rsidR="002232B0" w:rsidRPr="00BF4BA0" w:rsidRDefault="002232B0" w:rsidP="002232B0">
      <w:pPr>
        <w:pStyle w:val="ListParagraph"/>
        <w:rPr>
          <w:rFonts w:ascii="Arial" w:hAnsi="Arial" w:cs="Arial"/>
          <w:sz w:val="24"/>
          <w:szCs w:val="24"/>
          <w:shd w:val="clear" w:color="auto" w:fill="FFFFFF"/>
        </w:rPr>
      </w:pPr>
    </w:p>
    <w:p w14:paraId="270137B0" w14:textId="0367B56F" w:rsidR="002232B0"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[43]</w:t>
      </w:r>
      <w:r w:rsidRPr="00BF4BA0">
        <w:rPr>
          <w:rFonts w:ascii="Arial" w:hAnsi="Arial" w:cs="Arial"/>
          <w:sz w:val="24"/>
          <w:szCs w:val="24"/>
        </w:rPr>
        <w:tab/>
      </w:r>
      <w:r w:rsidR="008676FB" w:rsidRPr="00477182">
        <w:rPr>
          <w:rFonts w:ascii="Arial" w:hAnsi="Arial" w:cs="Arial"/>
          <w:sz w:val="24"/>
          <w:szCs w:val="24"/>
          <w:shd w:val="clear" w:color="auto" w:fill="FFFFFF"/>
        </w:rPr>
        <w:t>Given the above and i</w:t>
      </w:r>
      <w:r w:rsidR="002232B0" w:rsidRPr="00477182">
        <w:rPr>
          <w:rFonts w:ascii="Arial" w:hAnsi="Arial" w:cs="Arial"/>
          <w:sz w:val="24"/>
          <w:szCs w:val="24"/>
          <w:shd w:val="clear" w:color="auto" w:fill="FFFFFF"/>
        </w:rPr>
        <w:t>n applying the princ</w:t>
      </w:r>
      <w:r w:rsidR="008676FB" w:rsidRPr="00477182">
        <w:rPr>
          <w:rFonts w:ascii="Arial" w:hAnsi="Arial" w:cs="Arial"/>
          <w:sz w:val="24"/>
          <w:szCs w:val="24"/>
          <w:shd w:val="clear" w:color="auto" w:fill="FFFFFF"/>
        </w:rPr>
        <w:t>iples enunciated hereinabove</w:t>
      </w:r>
      <w:r w:rsidR="00191CA4" w:rsidRPr="00477182">
        <w:rPr>
          <w:rFonts w:ascii="Arial" w:hAnsi="Arial" w:cs="Arial"/>
          <w:sz w:val="24"/>
          <w:szCs w:val="24"/>
          <w:shd w:val="clear" w:color="auto" w:fill="FFFFFF"/>
        </w:rPr>
        <w:t>,</w:t>
      </w:r>
      <w:r w:rsidR="008676FB" w:rsidRPr="00477182">
        <w:rPr>
          <w:rFonts w:ascii="Arial" w:hAnsi="Arial" w:cs="Arial"/>
          <w:sz w:val="24"/>
          <w:szCs w:val="24"/>
          <w:shd w:val="clear" w:color="auto" w:fill="FFFFFF"/>
        </w:rPr>
        <w:t xml:space="preserve"> together with</w:t>
      </w:r>
      <w:r w:rsidR="002232B0" w:rsidRPr="00477182">
        <w:rPr>
          <w:rFonts w:ascii="Arial" w:hAnsi="Arial" w:cs="Arial"/>
          <w:sz w:val="24"/>
          <w:szCs w:val="24"/>
          <w:shd w:val="clear" w:color="auto" w:fill="FFFFFF"/>
        </w:rPr>
        <w:t xml:space="preserve"> considering the facts placed before the court by the parties, it is my </w:t>
      </w:r>
      <w:r w:rsidR="00F31CA8" w:rsidRPr="00477182">
        <w:rPr>
          <w:rFonts w:ascii="Arial" w:hAnsi="Arial" w:cs="Arial"/>
          <w:sz w:val="24"/>
          <w:szCs w:val="24"/>
          <w:shd w:val="clear" w:color="auto" w:fill="FFFFFF"/>
        </w:rPr>
        <w:t xml:space="preserve">considered </w:t>
      </w:r>
      <w:r w:rsidR="002232B0" w:rsidRPr="00477182">
        <w:rPr>
          <w:rFonts w:ascii="Arial" w:hAnsi="Arial" w:cs="Arial"/>
          <w:sz w:val="24"/>
          <w:szCs w:val="24"/>
          <w:shd w:val="clear" w:color="auto" w:fill="FFFFFF"/>
        </w:rPr>
        <w:t xml:space="preserve">view that no less drastic measures are available other than to declare the property specially executable. Standard Bank has shown that the judgment debt coupled with the arrears is </w:t>
      </w:r>
      <w:r w:rsidR="005F0191" w:rsidRPr="00477182">
        <w:rPr>
          <w:rFonts w:ascii="Arial" w:hAnsi="Arial" w:cs="Arial"/>
          <w:sz w:val="24"/>
          <w:szCs w:val="24"/>
          <w:shd w:val="clear" w:color="auto" w:fill="FFFFFF"/>
        </w:rPr>
        <w:t>substantial</w:t>
      </w:r>
      <w:r w:rsidR="002232B0" w:rsidRPr="00477182">
        <w:rPr>
          <w:rFonts w:ascii="Arial" w:hAnsi="Arial" w:cs="Arial"/>
          <w:sz w:val="24"/>
          <w:szCs w:val="24"/>
          <w:shd w:val="clear" w:color="auto" w:fill="FFFFFF"/>
        </w:rPr>
        <w:t xml:space="preserve"> and that no payments have been made on the bond since 2019. No evidence is placed before the court to show that the respondents are able to make payment of N$25 000 </w:t>
      </w:r>
      <w:r w:rsidR="00F31CA8" w:rsidRPr="00477182">
        <w:rPr>
          <w:rFonts w:ascii="Arial" w:hAnsi="Arial" w:cs="Arial"/>
          <w:sz w:val="24"/>
          <w:szCs w:val="24"/>
          <w:shd w:val="clear" w:color="auto" w:fill="FFFFFF"/>
        </w:rPr>
        <w:t>as</w:t>
      </w:r>
      <w:r w:rsidR="002232B0" w:rsidRPr="00477182">
        <w:rPr>
          <w:rFonts w:ascii="Arial" w:hAnsi="Arial" w:cs="Arial"/>
          <w:sz w:val="24"/>
          <w:szCs w:val="24"/>
          <w:shd w:val="clear" w:color="auto" w:fill="FFFFFF"/>
        </w:rPr>
        <w:t xml:space="preserve"> proposed by Mr Shaningua.</w:t>
      </w:r>
    </w:p>
    <w:p w14:paraId="74C21740" w14:textId="77777777" w:rsidR="0030341D" w:rsidRDefault="0030341D" w:rsidP="002232B0">
      <w:pPr>
        <w:pStyle w:val="ListParagraph"/>
        <w:spacing w:after="0" w:line="360" w:lineRule="auto"/>
        <w:ind w:left="0"/>
        <w:jc w:val="both"/>
        <w:rPr>
          <w:rFonts w:ascii="Arial" w:hAnsi="Arial" w:cs="Arial"/>
          <w:sz w:val="24"/>
          <w:szCs w:val="24"/>
          <w:shd w:val="clear" w:color="auto" w:fill="FFFFFF"/>
        </w:rPr>
      </w:pPr>
    </w:p>
    <w:p w14:paraId="5502FAEB" w14:textId="77777777" w:rsidR="00A307C1" w:rsidRDefault="00A307C1" w:rsidP="002232B0">
      <w:pPr>
        <w:pStyle w:val="ListParagraph"/>
        <w:spacing w:after="0" w:line="360" w:lineRule="auto"/>
        <w:ind w:left="0"/>
        <w:jc w:val="both"/>
        <w:rPr>
          <w:rFonts w:ascii="Arial" w:hAnsi="Arial" w:cs="Arial"/>
          <w:sz w:val="24"/>
          <w:szCs w:val="24"/>
          <w:u w:val="single"/>
          <w:shd w:val="clear" w:color="auto" w:fill="FFFFFF"/>
        </w:rPr>
      </w:pPr>
    </w:p>
    <w:p w14:paraId="6E60EF32" w14:textId="77777777" w:rsidR="002232B0" w:rsidRPr="00BF4BA0" w:rsidRDefault="002232B0" w:rsidP="002232B0">
      <w:pPr>
        <w:pStyle w:val="ListParagraph"/>
        <w:spacing w:after="0" w:line="360" w:lineRule="auto"/>
        <w:ind w:left="0"/>
        <w:jc w:val="both"/>
        <w:rPr>
          <w:rFonts w:ascii="Arial" w:hAnsi="Arial" w:cs="Arial"/>
          <w:sz w:val="24"/>
          <w:szCs w:val="24"/>
          <w:u w:val="single"/>
          <w:shd w:val="clear" w:color="auto" w:fill="FFFFFF"/>
        </w:rPr>
      </w:pPr>
      <w:r w:rsidRPr="00BF4BA0">
        <w:rPr>
          <w:rFonts w:ascii="Arial" w:hAnsi="Arial" w:cs="Arial"/>
          <w:sz w:val="24"/>
          <w:szCs w:val="24"/>
          <w:u w:val="single"/>
          <w:shd w:val="clear" w:color="auto" w:fill="FFFFFF"/>
        </w:rPr>
        <w:t>Conclusion</w:t>
      </w:r>
    </w:p>
    <w:p w14:paraId="17C54B9A" w14:textId="77777777" w:rsidR="002232B0" w:rsidRPr="00BF4BA0" w:rsidRDefault="002232B0" w:rsidP="002232B0">
      <w:pPr>
        <w:pStyle w:val="ListParagraph"/>
        <w:spacing w:after="0" w:line="360" w:lineRule="auto"/>
        <w:ind w:left="0"/>
        <w:jc w:val="both"/>
        <w:rPr>
          <w:rFonts w:ascii="Arial" w:hAnsi="Arial" w:cs="Arial"/>
          <w:sz w:val="24"/>
          <w:szCs w:val="24"/>
          <w:shd w:val="clear" w:color="auto" w:fill="FFFFFF"/>
        </w:rPr>
      </w:pPr>
    </w:p>
    <w:p w14:paraId="06F1FEEF" w14:textId="4079EF1D" w:rsidR="002232B0"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[44]</w:t>
      </w:r>
      <w:r w:rsidRPr="00BF4BA0">
        <w:rPr>
          <w:rFonts w:ascii="Arial" w:hAnsi="Arial" w:cs="Arial"/>
          <w:sz w:val="24"/>
          <w:szCs w:val="24"/>
        </w:rPr>
        <w:tab/>
      </w:r>
      <w:r w:rsidR="002232B0" w:rsidRPr="00477182">
        <w:rPr>
          <w:rFonts w:ascii="Arial" w:hAnsi="Arial" w:cs="Arial"/>
          <w:sz w:val="24"/>
          <w:szCs w:val="24"/>
          <w:shd w:val="clear" w:color="auto" w:fill="FFFFFF"/>
        </w:rPr>
        <w:t>Neither of the parties addressed the court on the issue of costs. I see no need for this court to deviate from the general principle and therefore costs must follow the event.</w:t>
      </w:r>
    </w:p>
    <w:p w14:paraId="0CCDBBD8" w14:textId="77777777" w:rsidR="002232B0" w:rsidRPr="00BF4BA0" w:rsidRDefault="002232B0" w:rsidP="002232B0">
      <w:pPr>
        <w:pStyle w:val="ListParagraph"/>
        <w:spacing w:after="0" w:line="360" w:lineRule="auto"/>
        <w:ind w:left="0"/>
        <w:jc w:val="both"/>
        <w:rPr>
          <w:rFonts w:ascii="Arial" w:hAnsi="Arial" w:cs="Arial"/>
          <w:sz w:val="24"/>
          <w:szCs w:val="24"/>
          <w:shd w:val="clear" w:color="auto" w:fill="FFFFFF"/>
        </w:rPr>
      </w:pPr>
    </w:p>
    <w:p w14:paraId="4BABF69B" w14:textId="04597A6D" w:rsidR="002232B0" w:rsidRPr="00477182" w:rsidRDefault="00477182" w:rsidP="00477182">
      <w:pPr>
        <w:spacing w:after="0" w:line="360" w:lineRule="auto"/>
        <w:jc w:val="both"/>
        <w:rPr>
          <w:rFonts w:ascii="Arial" w:hAnsi="Arial" w:cs="Arial"/>
          <w:sz w:val="24"/>
          <w:szCs w:val="24"/>
          <w:shd w:val="clear" w:color="auto" w:fill="FFFFFF"/>
        </w:rPr>
      </w:pPr>
      <w:r w:rsidRPr="00BF4BA0">
        <w:rPr>
          <w:rFonts w:ascii="Arial" w:hAnsi="Arial" w:cs="Arial"/>
          <w:sz w:val="24"/>
          <w:szCs w:val="24"/>
        </w:rPr>
        <w:t>[45]</w:t>
      </w:r>
      <w:r w:rsidRPr="00BF4BA0">
        <w:rPr>
          <w:rFonts w:ascii="Arial" w:hAnsi="Arial" w:cs="Arial"/>
          <w:sz w:val="24"/>
          <w:szCs w:val="24"/>
        </w:rPr>
        <w:tab/>
      </w:r>
      <w:r w:rsidR="002232B0" w:rsidRPr="00477182">
        <w:rPr>
          <w:rFonts w:ascii="Arial" w:hAnsi="Arial" w:cs="Arial"/>
          <w:sz w:val="24"/>
          <w:szCs w:val="24"/>
          <w:shd w:val="clear" w:color="auto" w:fill="FFFFFF"/>
        </w:rPr>
        <w:t>The court exercises its discretion in favour of Standard Bank given the afore-going reasons and in the end, I make the following order:</w:t>
      </w:r>
    </w:p>
    <w:p w14:paraId="1F20676F" w14:textId="77777777" w:rsidR="002232B0" w:rsidRPr="00BF4BA0" w:rsidRDefault="002232B0" w:rsidP="002232B0">
      <w:pPr>
        <w:pStyle w:val="ListParagraph"/>
        <w:rPr>
          <w:rFonts w:ascii="Arial" w:hAnsi="Arial" w:cs="Arial"/>
          <w:sz w:val="24"/>
          <w:szCs w:val="24"/>
          <w:shd w:val="clear" w:color="auto" w:fill="FFFFFF"/>
        </w:rPr>
      </w:pPr>
    </w:p>
    <w:p w14:paraId="392CDFF9" w14:textId="58792832" w:rsidR="002232B0" w:rsidRPr="00477182" w:rsidRDefault="00477182" w:rsidP="00477182">
      <w:pPr>
        <w:spacing w:after="0" w:line="360" w:lineRule="auto"/>
        <w:ind w:left="1134" w:hanging="425"/>
        <w:jc w:val="both"/>
        <w:rPr>
          <w:rFonts w:ascii="Arial" w:hAnsi="Arial" w:cs="Arial"/>
          <w:sz w:val="24"/>
          <w:szCs w:val="24"/>
          <w:shd w:val="clear" w:color="auto" w:fill="FFFFFF"/>
        </w:rPr>
      </w:pPr>
      <w:r w:rsidRPr="00BF4BA0">
        <w:rPr>
          <w:rFonts w:ascii="Arial" w:hAnsi="Arial" w:cs="Arial"/>
          <w:sz w:val="24"/>
          <w:szCs w:val="24"/>
        </w:rPr>
        <w:t>1.</w:t>
      </w:r>
      <w:r w:rsidRPr="00BF4BA0">
        <w:rPr>
          <w:rFonts w:ascii="Arial" w:hAnsi="Arial" w:cs="Arial"/>
          <w:sz w:val="24"/>
          <w:szCs w:val="24"/>
        </w:rPr>
        <w:tab/>
      </w:r>
      <w:r w:rsidR="008676FB" w:rsidRPr="00477182">
        <w:rPr>
          <w:rFonts w:ascii="Arial" w:hAnsi="Arial" w:cs="Arial"/>
          <w:sz w:val="24"/>
          <w:szCs w:val="24"/>
          <w:shd w:val="clear" w:color="auto" w:fill="FFFFFF"/>
        </w:rPr>
        <w:t>The following property is hereby declared specially executable, to wit:</w:t>
      </w:r>
    </w:p>
    <w:p w14:paraId="09991459"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50AE5959"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CERTAIN:</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ERF NO. 1227, (A PORTION OF ERF NO. 1479)</w:t>
      </w:r>
    </w:p>
    <w:p w14:paraId="4BA67BF4"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HOCHLANDPARK</w:t>
      </w:r>
    </w:p>
    <w:p w14:paraId="4CEE2A90"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67E3B7DE"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SITUATE:</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in the Municipality of WINDHOEK</w:t>
      </w:r>
    </w:p>
    <w:p w14:paraId="2611AC85"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Registration Division “K”</w:t>
      </w:r>
    </w:p>
    <w:p w14:paraId="0F14413D"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KHOMAS Region</w:t>
      </w:r>
    </w:p>
    <w:p w14:paraId="17176940"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782D768B"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MEASURING:</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468 (FOUR SIX EIGHT) Square Meters</w:t>
      </w:r>
    </w:p>
    <w:p w14:paraId="0329987A"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6DCB3C09"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HELD:</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Deed of Transfer No T 5443/2000</w:t>
      </w:r>
    </w:p>
    <w:p w14:paraId="28CB1C8F" w14:textId="77777777" w:rsidR="00301DC3" w:rsidRPr="00BF4BA0" w:rsidRDefault="00301DC3" w:rsidP="008676FB">
      <w:pPr>
        <w:pStyle w:val="ListParagraph"/>
        <w:spacing w:after="0" w:line="360" w:lineRule="auto"/>
        <w:ind w:left="1276"/>
        <w:jc w:val="both"/>
        <w:rPr>
          <w:rFonts w:ascii="Arial" w:hAnsi="Arial" w:cs="Arial"/>
          <w:sz w:val="24"/>
          <w:szCs w:val="24"/>
          <w:shd w:val="clear" w:color="auto" w:fill="FFFFFF"/>
        </w:rPr>
      </w:pPr>
    </w:p>
    <w:p w14:paraId="13136B1A"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r w:rsidRPr="00BF4BA0">
        <w:rPr>
          <w:rFonts w:ascii="Arial" w:hAnsi="Arial" w:cs="Arial"/>
          <w:sz w:val="24"/>
          <w:szCs w:val="24"/>
          <w:shd w:val="clear" w:color="auto" w:fill="FFFFFF"/>
        </w:rPr>
        <w:t>SUBJECT:</w:t>
      </w:r>
      <w:r w:rsidRPr="00BF4BA0">
        <w:rPr>
          <w:rFonts w:ascii="Arial" w:hAnsi="Arial" w:cs="Arial"/>
          <w:sz w:val="24"/>
          <w:szCs w:val="24"/>
          <w:shd w:val="clear" w:color="auto" w:fill="FFFFFF"/>
        </w:rPr>
        <w:tab/>
      </w:r>
      <w:r w:rsidRPr="00BF4BA0">
        <w:rPr>
          <w:rFonts w:ascii="Arial" w:hAnsi="Arial" w:cs="Arial"/>
          <w:sz w:val="24"/>
          <w:szCs w:val="24"/>
          <w:shd w:val="clear" w:color="auto" w:fill="FFFFFF"/>
        </w:rPr>
        <w:tab/>
        <w:t>To all the Conditions Contained therein</w:t>
      </w:r>
    </w:p>
    <w:p w14:paraId="6B006D0E" w14:textId="77777777" w:rsidR="008676FB" w:rsidRPr="00BF4BA0" w:rsidRDefault="008676FB" w:rsidP="008676FB">
      <w:pPr>
        <w:pStyle w:val="ListParagraph"/>
        <w:spacing w:after="0" w:line="360" w:lineRule="auto"/>
        <w:ind w:left="1276"/>
        <w:jc w:val="both"/>
        <w:rPr>
          <w:rFonts w:ascii="Arial" w:hAnsi="Arial" w:cs="Arial"/>
          <w:sz w:val="24"/>
          <w:szCs w:val="24"/>
          <w:shd w:val="clear" w:color="auto" w:fill="FFFFFF"/>
        </w:rPr>
      </w:pPr>
    </w:p>
    <w:p w14:paraId="0A649D29" w14:textId="6797EE0D" w:rsidR="00586DD9" w:rsidRPr="00477182" w:rsidRDefault="00477182" w:rsidP="00477182">
      <w:pPr>
        <w:spacing w:after="0" w:line="360" w:lineRule="auto"/>
        <w:ind w:left="1134" w:hanging="425"/>
        <w:jc w:val="both"/>
        <w:rPr>
          <w:rFonts w:ascii="Arial" w:hAnsi="Arial" w:cs="Arial"/>
          <w:sz w:val="24"/>
          <w:szCs w:val="24"/>
          <w:shd w:val="clear" w:color="auto" w:fill="FFFFFF"/>
        </w:rPr>
      </w:pPr>
      <w:r>
        <w:rPr>
          <w:rFonts w:ascii="Arial" w:hAnsi="Arial" w:cs="Arial"/>
          <w:sz w:val="24"/>
          <w:szCs w:val="24"/>
        </w:rPr>
        <w:t>2.</w:t>
      </w:r>
      <w:r>
        <w:rPr>
          <w:rFonts w:ascii="Arial" w:hAnsi="Arial" w:cs="Arial"/>
          <w:sz w:val="24"/>
          <w:szCs w:val="24"/>
        </w:rPr>
        <w:tab/>
      </w:r>
      <w:r w:rsidR="00586DD9" w:rsidRPr="00477182">
        <w:rPr>
          <w:rFonts w:ascii="Arial" w:hAnsi="Arial" w:cs="Arial"/>
          <w:sz w:val="24"/>
          <w:szCs w:val="24"/>
          <w:shd w:val="clear" w:color="auto" w:fill="FFFFFF"/>
        </w:rPr>
        <w:t>The respondents must, jointly and severally, pay the applicant’s costs of suit.</w:t>
      </w:r>
    </w:p>
    <w:p w14:paraId="50EDF719" w14:textId="77777777" w:rsidR="00AE4E35" w:rsidRPr="00BF4BA0" w:rsidRDefault="00AE4E35" w:rsidP="00AE4E35">
      <w:pPr>
        <w:pStyle w:val="ListParagraph"/>
        <w:spacing w:after="0" w:line="360" w:lineRule="auto"/>
        <w:ind w:left="1134"/>
        <w:jc w:val="both"/>
        <w:rPr>
          <w:rFonts w:ascii="Arial" w:hAnsi="Arial" w:cs="Arial"/>
          <w:sz w:val="24"/>
          <w:szCs w:val="24"/>
          <w:shd w:val="clear" w:color="auto" w:fill="FFFFFF"/>
        </w:rPr>
      </w:pPr>
    </w:p>
    <w:p w14:paraId="542D65AE" w14:textId="42805786" w:rsidR="008676FB" w:rsidRPr="00477182" w:rsidRDefault="00477182" w:rsidP="00477182">
      <w:pPr>
        <w:spacing w:after="0" w:line="360" w:lineRule="auto"/>
        <w:ind w:left="1134" w:hanging="425"/>
        <w:jc w:val="both"/>
        <w:rPr>
          <w:rFonts w:ascii="Arial" w:hAnsi="Arial" w:cs="Arial"/>
          <w:sz w:val="24"/>
          <w:szCs w:val="24"/>
          <w:shd w:val="clear" w:color="auto" w:fill="FFFFFF"/>
        </w:rPr>
      </w:pPr>
      <w:r w:rsidRPr="00A307C1">
        <w:rPr>
          <w:rFonts w:ascii="Arial" w:hAnsi="Arial" w:cs="Arial"/>
          <w:sz w:val="24"/>
          <w:szCs w:val="24"/>
        </w:rPr>
        <w:t>3.</w:t>
      </w:r>
      <w:r w:rsidRPr="00A307C1">
        <w:rPr>
          <w:rFonts w:ascii="Arial" w:hAnsi="Arial" w:cs="Arial"/>
          <w:sz w:val="24"/>
          <w:szCs w:val="24"/>
        </w:rPr>
        <w:tab/>
      </w:r>
      <w:r w:rsidR="008676FB" w:rsidRPr="00477182">
        <w:rPr>
          <w:rFonts w:ascii="Arial" w:hAnsi="Arial" w:cs="Arial"/>
          <w:sz w:val="24"/>
          <w:szCs w:val="24"/>
          <w:shd w:val="clear" w:color="auto" w:fill="FFFFFF"/>
        </w:rPr>
        <w:t>The matter is removed from the roll and regarded as finalised.</w:t>
      </w:r>
    </w:p>
    <w:p w14:paraId="6CA297C1" w14:textId="77777777" w:rsidR="000D7ACA" w:rsidRPr="00C53D0E" w:rsidRDefault="000D7ACA" w:rsidP="00C53D0E">
      <w:pPr>
        <w:spacing w:after="0" w:line="360" w:lineRule="auto"/>
        <w:rPr>
          <w:rFonts w:ascii="Arial" w:hAnsi="Arial" w:cs="Arial"/>
          <w:sz w:val="24"/>
          <w:szCs w:val="24"/>
          <w:shd w:val="clear" w:color="auto" w:fill="FFFFFF"/>
        </w:rPr>
      </w:pPr>
    </w:p>
    <w:p w14:paraId="34A4B542" w14:textId="77777777" w:rsidR="008676FB" w:rsidRPr="00BF4BA0" w:rsidRDefault="008676FB" w:rsidP="008676FB">
      <w:pPr>
        <w:pStyle w:val="ListParagraph"/>
        <w:spacing w:after="0" w:line="360" w:lineRule="auto"/>
        <w:ind w:left="1276"/>
        <w:jc w:val="right"/>
        <w:rPr>
          <w:rFonts w:ascii="Arial" w:hAnsi="Arial" w:cs="Arial"/>
          <w:sz w:val="24"/>
          <w:szCs w:val="24"/>
          <w:shd w:val="clear" w:color="auto" w:fill="FFFFFF"/>
        </w:rPr>
      </w:pPr>
      <w:r w:rsidRPr="00BF4BA0">
        <w:rPr>
          <w:rFonts w:ascii="Arial" w:hAnsi="Arial" w:cs="Arial"/>
          <w:sz w:val="24"/>
          <w:szCs w:val="24"/>
          <w:shd w:val="clear" w:color="auto" w:fill="FFFFFF"/>
        </w:rPr>
        <w:t>_____________</w:t>
      </w:r>
    </w:p>
    <w:p w14:paraId="2DCA7F6B" w14:textId="77777777" w:rsidR="008676FB" w:rsidRPr="00BF4BA0" w:rsidRDefault="008676FB" w:rsidP="008676FB">
      <w:pPr>
        <w:pStyle w:val="ListParagraph"/>
        <w:spacing w:after="0" w:line="360" w:lineRule="auto"/>
        <w:ind w:left="1276"/>
        <w:jc w:val="right"/>
        <w:rPr>
          <w:rFonts w:ascii="Arial" w:hAnsi="Arial" w:cs="Arial"/>
          <w:sz w:val="24"/>
          <w:szCs w:val="24"/>
          <w:shd w:val="clear" w:color="auto" w:fill="FFFFFF"/>
        </w:rPr>
      </w:pPr>
      <w:r w:rsidRPr="00BF4BA0">
        <w:rPr>
          <w:rFonts w:ascii="Arial" w:hAnsi="Arial" w:cs="Arial"/>
          <w:sz w:val="24"/>
          <w:szCs w:val="24"/>
          <w:shd w:val="clear" w:color="auto" w:fill="FFFFFF"/>
        </w:rPr>
        <w:t>P CHRISTIAAN</w:t>
      </w:r>
    </w:p>
    <w:p w14:paraId="4C86E890" w14:textId="77777777" w:rsidR="005F0191" w:rsidRPr="00BF4BA0" w:rsidRDefault="008676FB" w:rsidP="00C53D0E">
      <w:pPr>
        <w:pStyle w:val="ListParagraph"/>
        <w:spacing w:after="0" w:line="360" w:lineRule="auto"/>
        <w:ind w:left="1276"/>
        <w:jc w:val="right"/>
        <w:rPr>
          <w:rFonts w:ascii="Arial" w:hAnsi="Arial" w:cs="Arial"/>
          <w:sz w:val="24"/>
          <w:szCs w:val="24"/>
          <w:shd w:val="clear" w:color="auto" w:fill="FFFFFF"/>
        </w:rPr>
      </w:pPr>
      <w:r w:rsidRPr="00BF4BA0">
        <w:rPr>
          <w:rFonts w:ascii="Arial" w:hAnsi="Arial" w:cs="Arial"/>
          <w:sz w:val="24"/>
          <w:szCs w:val="24"/>
          <w:shd w:val="clear" w:color="auto" w:fill="FFFFFF"/>
        </w:rPr>
        <w:lastRenderedPageBreak/>
        <w:t>Acting Judge</w:t>
      </w:r>
    </w:p>
    <w:p w14:paraId="6E94BB18"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r w:rsidRPr="00BF4BA0">
        <w:rPr>
          <w:rFonts w:ascii="Arial" w:hAnsi="Arial" w:cs="Arial"/>
          <w:sz w:val="24"/>
          <w:szCs w:val="24"/>
          <w:shd w:val="clear" w:color="auto" w:fill="FFFFFF"/>
        </w:rPr>
        <w:t>APPEARANCES</w:t>
      </w:r>
    </w:p>
    <w:p w14:paraId="5ADA7F4E"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p>
    <w:p w14:paraId="0B52A948" w14:textId="77777777" w:rsidR="008676FB" w:rsidRPr="00BF4BA0" w:rsidRDefault="00A307C1" w:rsidP="008676FB">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APPLICANT:</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008676FB" w:rsidRPr="00BF4BA0">
        <w:rPr>
          <w:rFonts w:ascii="Arial" w:hAnsi="Arial" w:cs="Arial"/>
          <w:sz w:val="24"/>
          <w:szCs w:val="24"/>
          <w:shd w:val="clear" w:color="auto" w:fill="FFFFFF"/>
        </w:rPr>
        <w:t>F Fernandes</w:t>
      </w:r>
    </w:p>
    <w:p w14:paraId="7D34EFBE" w14:textId="77777777" w:rsidR="008676FB" w:rsidRPr="00A307C1" w:rsidRDefault="008676FB" w:rsidP="00A307C1">
      <w:pPr>
        <w:spacing w:after="0" w:line="360" w:lineRule="auto"/>
        <w:ind w:left="4320" w:firstLine="720"/>
        <w:jc w:val="both"/>
        <w:rPr>
          <w:rFonts w:ascii="Arial" w:hAnsi="Arial" w:cs="Arial"/>
          <w:sz w:val="24"/>
          <w:szCs w:val="24"/>
          <w:shd w:val="clear" w:color="auto" w:fill="FFFFFF"/>
        </w:rPr>
      </w:pPr>
      <w:r w:rsidRPr="00A307C1">
        <w:rPr>
          <w:rFonts w:ascii="Arial" w:hAnsi="Arial" w:cs="Arial"/>
          <w:sz w:val="24"/>
          <w:szCs w:val="24"/>
          <w:shd w:val="clear" w:color="auto" w:fill="FFFFFF"/>
        </w:rPr>
        <w:t>Of Shikongo Law Chambers, Windhoek</w:t>
      </w:r>
    </w:p>
    <w:p w14:paraId="72DE3BE3" w14:textId="77777777" w:rsidR="008676FB" w:rsidRPr="00BF4BA0" w:rsidRDefault="008676FB" w:rsidP="008676FB">
      <w:pPr>
        <w:pStyle w:val="ListParagraph"/>
        <w:spacing w:after="0" w:line="360" w:lineRule="auto"/>
        <w:ind w:left="0"/>
        <w:jc w:val="both"/>
        <w:rPr>
          <w:rFonts w:ascii="Arial" w:hAnsi="Arial" w:cs="Arial"/>
          <w:sz w:val="24"/>
          <w:szCs w:val="24"/>
          <w:shd w:val="clear" w:color="auto" w:fill="FFFFFF"/>
        </w:rPr>
      </w:pPr>
    </w:p>
    <w:p w14:paraId="52AC7B02" w14:textId="77777777" w:rsidR="008676FB" w:rsidRPr="00BF4BA0" w:rsidRDefault="00A307C1" w:rsidP="008676FB">
      <w:pPr>
        <w:pStyle w:val="ListParagraph"/>
        <w:spacing w:after="0" w:line="360" w:lineRule="auto"/>
        <w:ind w:left="0"/>
        <w:jc w:val="both"/>
        <w:rPr>
          <w:rFonts w:ascii="Arial" w:hAnsi="Arial" w:cs="Arial"/>
          <w:sz w:val="24"/>
          <w:szCs w:val="24"/>
          <w:shd w:val="clear" w:color="auto" w:fill="FFFFFF"/>
        </w:rPr>
      </w:pPr>
      <w:r>
        <w:rPr>
          <w:rFonts w:ascii="Arial" w:hAnsi="Arial" w:cs="Arial"/>
          <w:sz w:val="24"/>
          <w:szCs w:val="24"/>
          <w:shd w:val="clear" w:color="auto" w:fill="FFFFFF"/>
        </w:rPr>
        <w:t>RESPONDENTS:</w:t>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sidR="008676FB" w:rsidRPr="00BF4BA0">
        <w:rPr>
          <w:rFonts w:ascii="Arial" w:hAnsi="Arial" w:cs="Arial"/>
          <w:sz w:val="24"/>
          <w:szCs w:val="24"/>
          <w:shd w:val="clear" w:color="auto" w:fill="FFFFFF"/>
        </w:rPr>
        <w:t>E Mwakondange</w:t>
      </w:r>
    </w:p>
    <w:p w14:paraId="3DF7EC32" w14:textId="77777777" w:rsidR="00BF4BA0" w:rsidRPr="00586DD9" w:rsidRDefault="008676FB" w:rsidP="00586DD9">
      <w:pPr>
        <w:spacing w:after="0" w:line="360" w:lineRule="auto"/>
        <w:ind w:left="5040"/>
        <w:jc w:val="both"/>
        <w:rPr>
          <w:rFonts w:ascii="Arial" w:hAnsi="Arial" w:cs="Arial"/>
          <w:sz w:val="24"/>
          <w:szCs w:val="24"/>
          <w:shd w:val="clear" w:color="auto" w:fill="FFFFFF"/>
        </w:rPr>
      </w:pPr>
      <w:r w:rsidRPr="00A307C1">
        <w:rPr>
          <w:rFonts w:ascii="Arial" w:hAnsi="Arial" w:cs="Arial"/>
          <w:sz w:val="24"/>
          <w:szCs w:val="24"/>
          <w:shd w:val="clear" w:color="auto" w:fill="FFFFFF"/>
        </w:rPr>
        <w:t>Of Mwakondange &amp; Associates Incorporated, Windhoek</w:t>
      </w:r>
    </w:p>
    <w:sectPr w:rsidR="00BF4BA0" w:rsidRPr="00586DD9" w:rsidSect="005F019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2BE9" w14:textId="77777777" w:rsidR="009F70AA" w:rsidRDefault="009F70AA" w:rsidP="00771731">
      <w:pPr>
        <w:spacing w:after="0" w:line="240" w:lineRule="auto"/>
      </w:pPr>
      <w:r>
        <w:separator/>
      </w:r>
    </w:p>
  </w:endnote>
  <w:endnote w:type="continuationSeparator" w:id="0">
    <w:p w14:paraId="07DB0791" w14:textId="77777777" w:rsidR="009F70AA" w:rsidRDefault="009F70AA" w:rsidP="0077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C30" w14:textId="77777777" w:rsidR="009F70AA" w:rsidRDefault="009F70AA" w:rsidP="00771731">
      <w:pPr>
        <w:spacing w:after="0" w:line="240" w:lineRule="auto"/>
      </w:pPr>
      <w:r>
        <w:separator/>
      </w:r>
    </w:p>
  </w:footnote>
  <w:footnote w:type="continuationSeparator" w:id="0">
    <w:p w14:paraId="2990971F" w14:textId="77777777" w:rsidR="009F70AA" w:rsidRDefault="009F70AA" w:rsidP="00771731">
      <w:pPr>
        <w:spacing w:after="0" w:line="240" w:lineRule="auto"/>
      </w:pPr>
      <w:r>
        <w:continuationSeparator/>
      </w:r>
    </w:p>
  </w:footnote>
  <w:footnote w:id="1">
    <w:p w14:paraId="5532E60C" w14:textId="77777777" w:rsidR="00771731" w:rsidRPr="00771731" w:rsidRDefault="00771731" w:rsidP="00771731">
      <w:pPr>
        <w:pStyle w:val="FootnoteText"/>
        <w:jc w:val="both"/>
        <w:rPr>
          <w:rFonts w:ascii="Arial" w:hAnsi="Arial" w:cs="Arial"/>
        </w:rPr>
      </w:pPr>
      <w:r>
        <w:rPr>
          <w:rStyle w:val="FootnoteReference"/>
        </w:rPr>
        <w:footnoteRef/>
      </w:r>
      <w:r>
        <w:t xml:space="preserve"> </w:t>
      </w:r>
      <w:r>
        <w:rPr>
          <w:rFonts w:ascii="Arial" w:hAnsi="Arial" w:cs="Arial"/>
        </w:rPr>
        <w:t xml:space="preserve">P. Damaseb. (2020). </w:t>
      </w:r>
      <w:r>
        <w:rPr>
          <w:rFonts w:ascii="Arial" w:hAnsi="Arial" w:cs="Arial"/>
          <w:i/>
        </w:rPr>
        <w:t>Court-Managed Civil Procedure of the High Court of Namibia.</w:t>
      </w:r>
      <w:r>
        <w:rPr>
          <w:rFonts w:ascii="Arial" w:hAnsi="Arial" w:cs="Arial"/>
        </w:rPr>
        <w:t xml:space="preserve"> Cape Town: Juta &amp; Company (Pty) Ltd at 334.</w:t>
      </w:r>
    </w:p>
  </w:footnote>
  <w:footnote w:id="2">
    <w:p w14:paraId="1CB03493" w14:textId="77777777" w:rsidR="00771731" w:rsidRPr="00771731" w:rsidRDefault="00771731" w:rsidP="00771731">
      <w:pPr>
        <w:pStyle w:val="FootnoteText"/>
        <w:jc w:val="both"/>
        <w:rPr>
          <w:rFonts w:ascii="Arial" w:hAnsi="Arial" w:cs="Arial"/>
          <w:i/>
        </w:rPr>
      </w:pPr>
      <w:r>
        <w:rPr>
          <w:rStyle w:val="FootnoteReference"/>
        </w:rPr>
        <w:footnoteRef/>
      </w:r>
      <w:r w:rsidR="005C7677">
        <w:rPr>
          <w:rFonts w:ascii="Arial" w:hAnsi="Arial" w:cs="Arial"/>
          <w:i/>
        </w:rPr>
        <w:t>Bank Windhoek Namibia Ltd</w:t>
      </w:r>
      <w:r>
        <w:rPr>
          <w:rFonts w:ascii="Arial" w:hAnsi="Arial" w:cs="Arial"/>
          <w:i/>
        </w:rPr>
        <w:t xml:space="preserve"> v Mokasa Trading Enterprises CC</w:t>
      </w:r>
      <w:r w:rsidR="005C7677">
        <w:rPr>
          <w:rFonts w:ascii="Arial" w:hAnsi="Arial" w:cs="Arial"/>
          <w:i/>
          <w:iCs/>
          <w:color w:val="212529"/>
          <w:sz w:val="23"/>
          <w:szCs w:val="23"/>
          <w:shd w:val="clear" w:color="auto" w:fill="FFFFFF"/>
          <w:lang w:val="en-GB"/>
        </w:rPr>
        <w:t> </w:t>
      </w:r>
      <w:r w:rsidR="005C7677" w:rsidRPr="005C7677">
        <w:rPr>
          <w:rFonts w:ascii="Arial" w:hAnsi="Arial" w:cs="Arial"/>
          <w:color w:val="212529"/>
          <w:szCs w:val="23"/>
          <w:shd w:val="clear" w:color="auto" w:fill="FFFFFF"/>
          <w:lang w:val="en-GB"/>
        </w:rPr>
        <w:t>(</w:t>
      </w:r>
      <w:r w:rsidR="005C7677" w:rsidRPr="005C7677">
        <w:rPr>
          <w:rFonts w:ascii="Arial" w:hAnsi="Arial" w:cs="Arial"/>
          <w:color w:val="212529"/>
          <w:szCs w:val="23"/>
          <w:shd w:val="clear" w:color="auto" w:fill="FFFFFF"/>
        </w:rPr>
        <w:t>HC-MD-CIV-ACT-CON-2022/01614)</w:t>
      </w:r>
      <w:r w:rsidR="005C7677" w:rsidRPr="005C7677">
        <w:rPr>
          <w:rFonts w:ascii="Arial" w:hAnsi="Arial" w:cs="Arial"/>
          <w:color w:val="212529"/>
          <w:szCs w:val="23"/>
          <w:shd w:val="clear" w:color="auto" w:fill="FFFFFF"/>
          <w:lang w:val="en-GB"/>
        </w:rPr>
        <w:t> [2022] NAHCMD 573 (20 October 2022)</w:t>
      </w:r>
      <w:r w:rsidR="005C7677">
        <w:rPr>
          <w:rFonts w:ascii="Arial" w:hAnsi="Arial" w:cs="Arial"/>
          <w:color w:val="212529"/>
          <w:szCs w:val="23"/>
          <w:shd w:val="clear" w:color="auto" w:fill="FFFFFF"/>
          <w:lang w:val="en-GB"/>
        </w:rPr>
        <w:t>.</w:t>
      </w:r>
    </w:p>
  </w:footnote>
  <w:footnote w:id="3">
    <w:p w14:paraId="2EDDB98E" w14:textId="77777777" w:rsidR="00771731" w:rsidRPr="00A15F40" w:rsidRDefault="00771731" w:rsidP="00771731">
      <w:pPr>
        <w:pStyle w:val="FootnoteText"/>
        <w:jc w:val="both"/>
        <w:rPr>
          <w:rFonts w:ascii="Arial" w:hAnsi="Arial" w:cs="Arial"/>
        </w:rPr>
      </w:pPr>
      <w:r>
        <w:rPr>
          <w:rStyle w:val="FootnoteReference"/>
        </w:rPr>
        <w:footnoteRef/>
      </w:r>
      <w:r>
        <w:t xml:space="preserve"> </w:t>
      </w:r>
      <w:r w:rsidR="00BF4BA0" w:rsidRPr="00A15F40">
        <w:rPr>
          <w:rFonts w:ascii="Arial" w:hAnsi="Arial" w:cs="Arial"/>
          <w:i/>
        </w:rPr>
        <w:t>Kisilipile and Another v First National Bank of Namibia Limited</w:t>
      </w:r>
      <w:r w:rsidR="00BF4BA0">
        <w:rPr>
          <w:rFonts w:ascii="Arial" w:hAnsi="Arial" w:cs="Arial"/>
          <w:iCs/>
        </w:rPr>
        <w:t xml:space="preserve"> 2021 (4) NR 921 (SC) </w:t>
      </w:r>
      <w:r w:rsidR="00E53C85">
        <w:rPr>
          <w:rFonts w:ascii="Arial" w:hAnsi="Arial" w:cs="Arial"/>
        </w:rPr>
        <w:t>paras 18 -</w:t>
      </w:r>
      <w:r>
        <w:rPr>
          <w:rFonts w:ascii="Arial" w:hAnsi="Arial" w:cs="Arial"/>
        </w:rPr>
        <w:t xml:space="preserve"> 20.</w:t>
      </w:r>
    </w:p>
  </w:footnote>
  <w:footnote w:id="4">
    <w:p w14:paraId="0B244160" w14:textId="77777777" w:rsidR="00711738" w:rsidRPr="00711738" w:rsidRDefault="00711738" w:rsidP="00711738">
      <w:pPr>
        <w:pStyle w:val="FootnoteText"/>
        <w:jc w:val="both"/>
        <w:rPr>
          <w:rFonts w:ascii="Arial" w:hAnsi="Arial" w:cs="Arial"/>
          <w:lang w:val="en-US"/>
        </w:rPr>
      </w:pPr>
      <w:r>
        <w:rPr>
          <w:rStyle w:val="FootnoteReference"/>
        </w:rPr>
        <w:footnoteRef/>
      </w:r>
      <w:r>
        <w:t xml:space="preserve"> </w:t>
      </w:r>
      <w:r>
        <w:rPr>
          <w:rFonts w:ascii="Arial" w:hAnsi="Arial" w:cs="Arial"/>
          <w:i/>
          <w:lang w:val="en-US"/>
        </w:rPr>
        <w:t>Standard Bank Namibia Limited v Shipila</w:t>
      </w:r>
      <w:r>
        <w:rPr>
          <w:rFonts w:ascii="Arial" w:hAnsi="Arial" w:cs="Arial"/>
          <w:lang w:val="en-US"/>
        </w:rPr>
        <w:t xml:space="preserve"> (SA 69/2015) [2018] NASC (6 July 2018) para 65.</w:t>
      </w:r>
    </w:p>
  </w:footnote>
  <w:footnote w:id="5">
    <w:p w14:paraId="08ECA99D" w14:textId="77777777" w:rsidR="00990E9C" w:rsidRPr="00990E9C" w:rsidRDefault="00990E9C" w:rsidP="00990E9C">
      <w:pPr>
        <w:pStyle w:val="FootnoteText"/>
        <w:jc w:val="both"/>
        <w:rPr>
          <w:rFonts w:ascii="Arial" w:hAnsi="Arial" w:cs="Arial"/>
        </w:rPr>
      </w:pPr>
      <w:r>
        <w:rPr>
          <w:rStyle w:val="FootnoteReference"/>
        </w:rPr>
        <w:footnoteRef/>
      </w:r>
      <w:r>
        <w:t xml:space="preserve"> </w:t>
      </w:r>
      <w:r w:rsidRPr="00A15F40">
        <w:rPr>
          <w:rFonts w:ascii="Arial" w:hAnsi="Arial" w:cs="Arial"/>
          <w:i/>
        </w:rPr>
        <w:t xml:space="preserve">Kisilipile </w:t>
      </w:r>
      <w:r w:rsidR="00BF4BA0" w:rsidRPr="00D053E2">
        <w:rPr>
          <w:rFonts w:ascii="Arial" w:hAnsi="Arial" w:cs="Arial"/>
        </w:rPr>
        <w:t>supra</w:t>
      </w:r>
      <w:r w:rsidR="00BF4BA0">
        <w:rPr>
          <w:rFonts w:ascii="Arial" w:hAnsi="Arial" w:cs="Arial"/>
          <w:i/>
        </w:rPr>
        <w:t>.</w:t>
      </w:r>
    </w:p>
  </w:footnote>
  <w:footnote w:id="6">
    <w:p w14:paraId="7A33A62D" w14:textId="77777777" w:rsidR="00990E9C" w:rsidRPr="00990E9C" w:rsidRDefault="00990E9C" w:rsidP="00990E9C">
      <w:pPr>
        <w:pStyle w:val="FootnoteText"/>
        <w:jc w:val="both"/>
        <w:rPr>
          <w:rFonts w:ascii="Arial" w:hAnsi="Arial" w:cs="Arial"/>
        </w:rPr>
      </w:pPr>
      <w:r>
        <w:rPr>
          <w:rStyle w:val="FootnoteReference"/>
        </w:rPr>
        <w:footnoteRef/>
      </w:r>
      <w:r w:rsidRPr="001E289D">
        <w:rPr>
          <w:rFonts w:ascii="Arial" w:hAnsi="Arial" w:cs="Arial"/>
          <w:i/>
          <w:iCs/>
          <w:shd w:val="clear" w:color="auto" w:fill="FFFFFF"/>
        </w:rPr>
        <w:t>First National Bank of Namibia Limited v Ganaseb </w:t>
      </w:r>
      <w:r w:rsidRPr="001E289D">
        <w:rPr>
          <w:rFonts w:ascii="Arial" w:hAnsi="Arial" w:cs="Arial"/>
          <w:shd w:val="clear" w:color="auto" w:fill="FFFFFF"/>
        </w:rPr>
        <w:t>(HC-MD-CIV-ACT-CON-2019/01381)</w:t>
      </w:r>
      <w:r w:rsidRPr="001E289D">
        <w:rPr>
          <w:rFonts w:ascii="Arial" w:hAnsi="Arial" w:cs="Arial"/>
          <w:b/>
          <w:bCs/>
          <w:shd w:val="clear" w:color="auto" w:fill="FFFFFF"/>
        </w:rPr>
        <w:t> </w:t>
      </w:r>
      <w:r w:rsidRPr="001E289D">
        <w:rPr>
          <w:rFonts w:ascii="Arial" w:hAnsi="Arial" w:cs="Arial"/>
          <w:shd w:val="clear" w:color="auto" w:fill="FFFFFF"/>
        </w:rPr>
        <w:t>[2022] NAHCMD 360 (21 July 2022) para 14.</w:t>
      </w:r>
    </w:p>
  </w:footnote>
  <w:footnote w:id="7">
    <w:p w14:paraId="2A7B0AC1" w14:textId="77777777" w:rsidR="00990E9C" w:rsidRPr="002670AE" w:rsidRDefault="00990E9C" w:rsidP="00990E9C">
      <w:pPr>
        <w:pStyle w:val="FootnoteText"/>
        <w:jc w:val="both"/>
      </w:pPr>
      <w:r>
        <w:rPr>
          <w:rStyle w:val="FootnoteReference"/>
        </w:rPr>
        <w:footnoteRef/>
      </w:r>
      <w:r w:rsidRPr="001E289D">
        <w:rPr>
          <w:rFonts w:ascii="Arial" w:hAnsi="Arial" w:cs="Arial"/>
          <w:i/>
        </w:rPr>
        <w:t xml:space="preserve">Futeni Collections (Pty) Ltd v De Duine </w:t>
      </w:r>
      <w:r w:rsidRPr="001E289D">
        <w:rPr>
          <w:rFonts w:ascii="Arial" w:hAnsi="Arial" w:cs="Arial"/>
        </w:rPr>
        <w:t xml:space="preserve">(I 3044/2014) [2015) NAHCMD 119 (27 May 2015) para 34, approved in </w:t>
      </w:r>
      <w:r w:rsidRPr="001E289D">
        <w:rPr>
          <w:rFonts w:ascii="Arial" w:hAnsi="Arial" w:cs="Arial"/>
          <w:i/>
          <w:iCs/>
        </w:rPr>
        <w:t>Amupadhi and Another V Du Toit</w:t>
      </w:r>
      <w:r w:rsidRPr="001E289D">
        <w:rPr>
          <w:rFonts w:ascii="Arial" w:hAnsi="Arial" w:cs="Arial"/>
        </w:rPr>
        <w:t xml:space="preserve"> 2021 (3) NR 626 (SC) para 62.</w:t>
      </w:r>
    </w:p>
  </w:footnote>
  <w:footnote w:id="8">
    <w:p w14:paraId="4D585213" w14:textId="77777777" w:rsidR="00877563" w:rsidRPr="00877563" w:rsidRDefault="00877563" w:rsidP="00877563">
      <w:pPr>
        <w:pStyle w:val="FootnoteText"/>
        <w:jc w:val="both"/>
        <w:rPr>
          <w:rFonts w:ascii="Arial" w:hAnsi="Arial" w:cs="Arial"/>
        </w:rPr>
      </w:pPr>
      <w:r>
        <w:rPr>
          <w:rStyle w:val="FootnoteReference"/>
        </w:rPr>
        <w:footnoteRef/>
      </w:r>
      <w:r>
        <w:t xml:space="preserve"> </w:t>
      </w:r>
      <w:r>
        <w:rPr>
          <w:rFonts w:ascii="Arial" w:hAnsi="Arial" w:cs="Arial"/>
          <w:i/>
        </w:rPr>
        <w:t xml:space="preserve">Standard Bank Namibia Limited v Moyo </w:t>
      </w:r>
      <w:r>
        <w:rPr>
          <w:rFonts w:ascii="Arial" w:hAnsi="Arial" w:cs="Arial"/>
        </w:rPr>
        <w:t>(HC-MD-CIV-ACT-CON-2019/00773) [2022] NAHCMD 78 (24 February 2022) para 28.</w:t>
      </w:r>
    </w:p>
  </w:footnote>
  <w:footnote w:id="9">
    <w:p w14:paraId="50517313" w14:textId="77777777" w:rsidR="0071407C" w:rsidRPr="0071407C" w:rsidRDefault="0071407C" w:rsidP="0071407C">
      <w:pPr>
        <w:pStyle w:val="FootnoteText"/>
        <w:jc w:val="both"/>
        <w:rPr>
          <w:rFonts w:ascii="Arial" w:hAnsi="Arial" w:cs="Arial"/>
        </w:rPr>
      </w:pPr>
      <w:r>
        <w:rPr>
          <w:rStyle w:val="FootnoteReference"/>
        </w:rPr>
        <w:footnoteRef/>
      </w:r>
      <w:r>
        <w:t xml:space="preserve"> </w:t>
      </w:r>
      <w:r>
        <w:rPr>
          <w:rFonts w:ascii="Arial" w:hAnsi="Arial" w:cs="Arial"/>
        </w:rPr>
        <w:t>Mr Shaningua’s answering affidavit filed on 28 October 2022 at 3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6268"/>
      <w:docPartObj>
        <w:docPartGallery w:val="Page Numbers (Top of Page)"/>
        <w:docPartUnique/>
      </w:docPartObj>
    </w:sdtPr>
    <w:sdtEndPr>
      <w:rPr>
        <w:noProof/>
      </w:rPr>
    </w:sdtEndPr>
    <w:sdtContent>
      <w:p w14:paraId="3D818FF9" w14:textId="77777777" w:rsidR="005F0191" w:rsidRDefault="005F0191" w:rsidP="005F0191">
        <w:pPr>
          <w:pStyle w:val="Header"/>
          <w:jc w:val="right"/>
        </w:pPr>
        <w:r w:rsidRPr="005F0191">
          <w:rPr>
            <w:rFonts w:ascii="Arial" w:hAnsi="Arial" w:cs="Arial"/>
            <w:sz w:val="24"/>
          </w:rPr>
          <w:fldChar w:fldCharType="begin"/>
        </w:r>
        <w:r w:rsidRPr="005F0191">
          <w:rPr>
            <w:rFonts w:ascii="Arial" w:hAnsi="Arial" w:cs="Arial"/>
            <w:sz w:val="24"/>
          </w:rPr>
          <w:instrText xml:space="preserve"> PAGE   \* MERGEFORMAT </w:instrText>
        </w:r>
        <w:r w:rsidRPr="005F0191">
          <w:rPr>
            <w:rFonts w:ascii="Arial" w:hAnsi="Arial" w:cs="Arial"/>
            <w:sz w:val="24"/>
          </w:rPr>
          <w:fldChar w:fldCharType="separate"/>
        </w:r>
        <w:r w:rsidR="00BD471F">
          <w:rPr>
            <w:rFonts w:ascii="Arial" w:hAnsi="Arial" w:cs="Arial"/>
            <w:noProof/>
            <w:sz w:val="24"/>
          </w:rPr>
          <w:t>2</w:t>
        </w:r>
        <w:r w:rsidRPr="005F0191">
          <w:rPr>
            <w:rFonts w:ascii="Arial" w:hAnsi="Arial" w:cs="Arial"/>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E24"/>
    <w:multiLevelType w:val="hybridMultilevel"/>
    <w:tmpl w:val="19763C68"/>
    <w:lvl w:ilvl="0" w:tplc="AB78C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2C76"/>
    <w:multiLevelType w:val="hybridMultilevel"/>
    <w:tmpl w:val="E398F936"/>
    <w:lvl w:ilvl="0" w:tplc="47AC23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D53BE"/>
    <w:multiLevelType w:val="hybridMultilevel"/>
    <w:tmpl w:val="B2166714"/>
    <w:lvl w:ilvl="0" w:tplc="73888D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5D042155"/>
    <w:multiLevelType w:val="hybridMultilevel"/>
    <w:tmpl w:val="E7787678"/>
    <w:lvl w:ilvl="0" w:tplc="5C42BB2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719520FF"/>
    <w:multiLevelType w:val="hybridMultilevel"/>
    <w:tmpl w:val="EF10C51E"/>
    <w:lvl w:ilvl="0" w:tplc="2ADA5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779943">
    <w:abstractNumId w:val="2"/>
  </w:num>
  <w:num w:numId="2" w16cid:durableId="1615594358">
    <w:abstractNumId w:val="1"/>
  </w:num>
  <w:num w:numId="3" w16cid:durableId="613444150">
    <w:abstractNumId w:val="4"/>
  </w:num>
  <w:num w:numId="4" w16cid:durableId="1607425909">
    <w:abstractNumId w:val="3"/>
  </w:num>
  <w:num w:numId="5" w16cid:durableId="209912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31"/>
    <w:rsid w:val="00001B0A"/>
    <w:rsid w:val="000045ED"/>
    <w:rsid w:val="00005BBD"/>
    <w:rsid w:val="000C21E4"/>
    <w:rsid w:val="000D0EBA"/>
    <w:rsid w:val="000D7ACA"/>
    <w:rsid w:val="00191CA4"/>
    <w:rsid w:val="001C5816"/>
    <w:rsid w:val="001E4D35"/>
    <w:rsid w:val="002232B0"/>
    <w:rsid w:val="00230BDC"/>
    <w:rsid w:val="002F6170"/>
    <w:rsid w:val="00301DC3"/>
    <w:rsid w:val="0030341D"/>
    <w:rsid w:val="00366E9E"/>
    <w:rsid w:val="0037698C"/>
    <w:rsid w:val="0038091F"/>
    <w:rsid w:val="003A16E6"/>
    <w:rsid w:val="003A713C"/>
    <w:rsid w:val="00404457"/>
    <w:rsid w:val="00477182"/>
    <w:rsid w:val="00502281"/>
    <w:rsid w:val="00530D68"/>
    <w:rsid w:val="00575F55"/>
    <w:rsid w:val="00586DD9"/>
    <w:rsid w:val="005C7677"/>
    <w:rsid w:val="005F0191"/>
    <w:rsid w:val="00603796"/>
    <w:rsid w:val="00617519"/>
    <w:rsid w:val="006238C4"/>
    <w:rsid w:val="00665E1E"/>
    <w:rsid w:val="00684EC0"/>
    <w:rsid w:val="006C427A"/>
    <w:rsid w:val="00711738"/>
    <w:rsid w:val="0071407C"/>
    <w:rsid w:val="00771731"/>
    <w:rsid w:val="007D253D"/>
    <w:rsid w:val="008676FB"/>
    <w:rsid w:val="00877563"/>
    <w:rsid w:val="0088479D"/>
    <w:rsid w:val="008B4D61"/>
    <w:rsid w:val="008D5473"/>
    <w:rsid w:val="00970126"/>
    <w:rsid w:val="00990E9C"/>
    <w:rsid w:val="009E6348"/>
    <w:rsid w:val="009F70AA"/>
    <w:rsid w:val="00A307C1"/>
    <w:rsid w:val="00A70FC0"/>
    <w:rsid w:val="00AE4E35"/>
    <w:rsid w:val="00B92C31"/>
    <w:rsid w:val="00BD0851"/>
    <w:rsid w:val="00BD471F"/>
    <w:rsid w:val="00BE0EC9"/>
    <w:rsid w:val="00BE74AE"/>
    <w:rsid w:val="00BF4BA0"/>
    <w:rsid w:val="00C53D0E"/>
    <w:rsid w:val="00D053E2"/>
    <w:rsid w:val="00E00FCD"/>
    <w:rsid w:val="00E53C85"/>
    <w:rsid w:val="00EF170A"/>
    <w:rsid w:val="00F31CA8"/>
    <w:rsid w:val="00F555C1"/>
    <w:rsid w:val="00F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128"/>
  <w15:docId w15:val="{5F421B96-66EA-4DDA-A76E-73D84B0E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3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31"/>
    <w:pPr>
      <w:ind w:left="720"/>
      <w:contextualSpacing/>
    </w:pPr>
  </w:style>
  <w:style w:type="paragraph" w:styleId="BalloonText">
    <w:name w:val="Balloon Text"/>
    <w:basedOn w:val="Normal"/>
    <w:link w:val="BalloonTextChar"/>
    <w:uiPriority w:val="99"/>
    <w:semiHidden/>
    <w:unhideWhenUsed/>
    <w:rsid w:val="0077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31"/>
    <w:rPr>
      <w:rFonts w:ascii="Tahoma" w:hAnsi="Tahoma" w:cs="Tahoma"/>
      <w:sz w:val="16"/>
      <w:szCs w:val="16"/>
    </w:rPr>
  </w:style>
  <w:style w:type="paragraph" w:styleId="FootnoteText">
    <w:name w:val="footnote text"/>
    <w:basedOn w:val="Normal"/>
    <w:link w:val="FootnoteTextChar"/>
    <w:uiPriority w:val="99"/>
    <w:unhideWhenUsed/>
    <w:rsid w:val="00771731"/>
    <w:pPr>
      <w:spacing w:after="0" w:line="240" w:lineRule="auto"/>
    </w:pPr>
    <w:rPr>
      <w:sz w:val="20"/>
      <w:szCs w:val="20"/>
    </w:rPr>
  </w:style>
  <w:style w:type="character" w:customStyle="1" w:styleId="FootnoteTextChar">
    <w:name w:val="Footnote Text Char"/>
    <w:basedOn w:val="DefaultParagraphFont"/>
    <w:link w:val="FootnoteText"/>
    <w:uiPriority w:val="99"/>
    <w:rsid w:val="00771731"/>
    <w:rPr>
      <w:sz w:val="20"/>
      <w:szCs w:val="20"/>
    </w:rPr>
  </w:style>
  <w:style w:type="character" w:styleId="FootnoteReference">
    <w:name w:val="footnote reference"/>
    <w:basedOn w:val="DefaultParagraphFont"/>
    <w:uiPriority w:val="99"/>
    <w:unhideWhenUsed/>
    <w:rsid w:val="00771731"/>
    <w:rPr>
      <w:vertAlign w:val="superscript"/>
    </w:rPr>
  </w:style>
  <w:style w:type="paragraph" w:styleId="Header">
    <w:name w:val="header"/>
    <w:basedOn w:val="Normal"/>
    <w:link w:val="HeaderChar"/>
    <w:uiPriority w:val="99"/>
    <w:unhideWhenUsed/>
    <w:rsid w:val="005F0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91"/>
  </w:style>
  <w:style w:type="paragraph" w:styleId="Footer">
    <w:name w:val="footer"/>
    <w:basedOn w:val="Normal"/>
    <w:link w:val="FooterChar"/>
    <w:uiPriority w:val="99"/>
    <w:unhideWhenUsed/>
    <w:rsid w:val="005F0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2023-07-06T18:30:00+00:00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6175C-7BE6-42B6-A277-33EA58EED47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2520E4FE-87AB-400D-8071-559A3A49BCA5}">
  <ds:schemaRefs>
    <ds:schemaRef ds:uri="http://schemas.openxmlformats.org/officeDocument/2006/bibliography"/>
  </ds:schemaRefs>
</ds:datastoreItem>
</file>

<file path=customXml/itemProps3.xml><?xml version="1.0" encoding="utf-8"?>
<ds:datastoreItem xmlns:ds="http://schemas.openxmlformats.org/officeDocument/2006/customXml" ds:itemID="{97154D07-DA12-4468-A34C-CD9FF45D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68997-8670-4984-9BBD-73E4AF126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4008</Words>
  <Characters>21327</Characters>
  <Application>Microsoft Office Word</Application>
  <DocSecurity>0</DocSecurity>
  <Lines>2665</Lines>
  <Paragraphs>1407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v Shaningua (HC-MD-CIV-ACT-CON-2019-05085) [2023] NAHCMD 388 (7 July 2023)</dc:title>
  <dc:creator>Dean-Marlo Titus</dc:creator>
  <cp:lastModifiedBy>Mariana Anguelov</cp:lastModifiedBy>
  <cp:revision>3</cp:revision>
  <dcterms:created xsi:type="dcterms:W3CDTF">2023-07-07T09:30:00Z</dcterms:created>
  <dcterms:modified xsi:type="dcterms:W3CDTF">2023-07-16T09:11:00Z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