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002E9A" w:rsidRDefault="00002E9A" w:rsidP="00B40844">
      <w:pPr>
        <w:spacing w:after="0" w:line="360" w:lineRule="auto"/>
        <w:jc w:val="center"/>
        <w:rPr>
          <w:rFonts w:ascii="Arial" w:hAnsi="Arial" w:cs="Arial"/>
          <w:b/>
          <w:sz w:val="24"/>
          <w:szCs w:val="24"/>
        </w:rPr>
      </w:pPr>
      <w:r>
        <w:rPr>
          <w:rFonts w:ascii="Arial" w:eastAsia="Times New Roman" w:hAnsi="Arial" w:cs="Arial"/>
          <w:b/>
          <w:sz w:val="24"/>
          <w:szCs w:val="24"/>
          <w:lang w:val="en-US"/>
        </w:rPr>
        <w:t>PRACTICE DIRECTIVE 61</w:t>
      </w:r>
    </w:p>
    <w:tbl>
      <w:tblPr>
        <w:tblStyle w:val="TableGrid"/>
        <w:tblW w:w="10632" w:type="dxa"/>
        <w:tblInd w:w="-431" w:type="dxa"/>
        <w:tblLook w:val="04A0" w:firstRow="1" w:lastRow="0" w:firstColumn="1" w:lastColumn="0" w:noHBand="0" w:noVBand="1"/>
      </w:tblPr>
      <w:tblGrid>
        <w:gridCol w:w="5388"/>
        <w:gridCol w:w="1134"/>
        <w:gridCol w:w="4110"/>
      </w:tblGrid>
      <w:tr w:rsidR="00CA7995" w:rsidRPr="00CA7995" w:rsidTr="00E74A40">
        <w:trPr>
          <w:trHeight w:val="1396"/>
        </w:trPr>
        <w:tc>
          <w:tcPr>
            <w:tcW w:w="6522"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0F1377" w:rsidRPr="00CA7995" w:rsidRDefault="000F1377" w:rsidP="00937C89">
            <w:pPr>
              <w:spacing w:line="360" w:lineRule="auto"/>
              <w:jc w:val="both"/>
              <w:rPr>
                <w:rFonts w:ascii="Arial" w:hAnsi="Arial" w:cs="Arial"/>
                <w:sz w:val="24"/>
                <w:szCs w:val="24"/>
              </w:rPr>
            </w:pPr>
          </w:p>
          <w:p w:rsidR="00B40844" w:rsidRDefault="00E74A40" w:rsidP="00341C0F">
            <w:pPr>
              <w:tabs>
                <w:tab w:val="left" w:pos="3564"/>
                <w:tab w:val="left" w:pos="3706"/>
                <w:tab w:val="left" w:pos="4273"/>
              </w:tabs>
              <w:spacing w:line="360" w:lineRule="auto"/>
              <w:jc w:val="both"/>
              <w:rPr>
                <w:rFonts w:ascii="Arial" w:hAnsi="Arial" w:cs="Arial"/>
                <w:sz w:val="24"/>
                <w:szCs w:val="24"/>
              </w:rPr>
            </w:pPr>
            <w:r>
              <w:rPr>
                <w:rFonts w:ascii="Arial" w:hAnsi="Arial" w:cs="Arial"/>
                <w:sz w:val="24"/>
                <w:szCs w:val="24"/>
              </w:rPr>
              <w:t xml:space="preserve">EROS AIRCRAFT SERVICES CC  </w:t>
            </w:r>
            <w:r w:rsidR="00341C0F">
              <w:rPr>
                <w:rFonts w:ascii="Arial" w:hAnsi="Arial" w:cs="Arial"/>
                <w:sz w:val="24"/>
                <w:szCs w:val="24"/>
              </w:rPr>
              <w:t xml:space="preserve">                            </w:t>
            </w:r>
            <w:r w:rsidR="00002E9A">
              <w:rPr>
                <w:rFonts w:ascii="Arial" w:hAnsi="Arial" w:cs="Arial"/>
                <w:sz w:val="24"/>
                <w:szCs w:val="24"/>
              </w:rPr>
              <w:t>PLAINTIFF</w:t>
            </w:r>
          </w:p>
          <w:p w:rsidR="00002E9A" w:rsidRDefault="00002E9A" w:rsidP="00002E9A">
            <w:pPr>
              <w:spacing w:line="360" w:lineRule="auto"/>
              <w:jc w:val="both"/>
              <w:rPr>
                <w:rFonts w:ascii="Arial" w:hAnsi="Arial" w:cs="Arial"/>
                <w:sz w:val="24"/>
                <w:szCs w:val="24"/>
              </w:rPr>
            </w:pPr>
          </w:p>
          <w:p w:rsidR="00002E9A" w:rsidRDefault="00341C0F" w:rsidP="00002E9A">
            <w:pPr>
              <w:spacing w:line="360" w:lineRule="auto"/>
              <w:jc w:val="both"/>
              <w:rPr>
                <w:rFonts w:ascii="Arial" w:hAnsi="Arial" w:cs="Arial"/>
                <w:sz w:val="24"/>
                <w:szCs w:val="24"/>
              </w:rPr>
            </w:pPr>
            <w:r>
              <w:rPr>
                <w:rFonts w:ascii="Arial" w:hAnsi="Arial" w:cs="Arial"/>
                <w:sz w:val="24"/>
                <w:szCs w:val="24"/>
              </w:rPr>
              <w:t>v</w:t>
            </w:r>
          </w:p>
          <w:p w:rsidR="00002E9A" w:rsidRDefault="00002E9A" w:rsidP="00002E9A">
            <w:pPr>
              <w:spacing w:line="360" w:lineRule="auto"/>
              <w:jc w:val="both"/>
              <w:rPr>
                <w:rFonts w:ascii="Arial" w:hAnsi="Arial" w:cs="Arial"/>
                <w:sz w:val="24"/>
                <w:szCs w:val="24"/>
              </w:rPr>
            </w:pPr>
          </w:p>
          <w:p w:rsidR="00002E9A" w:rsidRDefault="00E74A40" w:rsidP="000F1377">
            <w:pPr>
              <w:spacing w:line="360" w:lineRule="auto"/>
              <w:jc w:val="both"/>
              <w:rPr>
                <w:rFonts w:ascii="Arial" w:hAnsi="Arial" w:cs="Arial"/>
                <w:sz w:val="24"/>
                <w:szCs w:val="24"/>
              </w:rPr>
            </w:pPr>
            <w:r>
              <w:rPr>
                <w:rFonts w:ascii="Arial" w:eastAsia="Times New Roman" w:hAnsi="Arial" w:cs="Arial"/>
                <w:sz w:val="24"/>
                <w:szCs w:val="24"/>
              </w:rPr>
              <w:t>NAMIBIA AVIATION SERVICES CC</w:t>
            </w:r>
            <w:r w:rsidR="000F1377">
              <w:rPr>
                <w:rFonts w:ascii="Arial" w:eastAsia="Times New Roman" w:hAnsi="Arial" w:cs="Arial"/>
                <w:sz w:val="24"/>
                <w:szCs w:val="24"/>
              </w:rPr>
              <w:t xml:space="preserve">           </w:t>
            </w:r>
            <w:r>
              <w:rPr>
                <w:rFonts w:ascii="Arial" w:eastAsia="Times New Roman" w:hAnsi="Arial" w:cs="Arial"/>
                <w:sz w:val="24"/>
                <w:szCs w:val="24"/>
              </w:rPr>
              <w:t>1</w:t>
            </w:r>
            <w:r w:rsidRPr="00E74A40">
              <w:rPr>
                <w:rFonts w:ascii="Arial" w:eastAsia="Times New Roman" w:hAnsi="Arial" w:cs="Arial"/>
                <w:sz w:val="24"/>
                <w:szCs w:val="24"/>
                <w:vertAlign w:val="superscript"/>
              </w:rPr>
              <w:t>ST</w:t>
            </w:r>
            <w:r>
              <w:rPr>
                <w:rFonts w:ascii="Arial" w:eastAsia="Times New Roman" w:hAnsi="Arial" w:cs="Arial"/>
                <w:sz w:val="24"/>
                <w:szCs w:val="24"/>
              </w:rPr>
              <w:t xml:space="preserve">  </w:t>
            </w:r>
            <w:r w:rsidR="00002E9A">
              <w:rPr>
                <w:rFonts w:ascii="Arial" w:hAnsi="Arial" w:cs="Arial"/>
                <w:sz w:val="24"/>
                <w:szCs w:val="24"/>
              </w:rPr>
              <w:t>DEFENDANT</w:t>
            </w:r>
          </w:p>
          <w:p w:rsidR="00E74A40" w:rsidRDefault="00E74A40" w:rsidP="000F1377">
            <w:pPr>
              <w:spacing w:line="360" w:lineRule="auto"/>
              <w:jc w:val="both"/>
              <w:rPr>
                <w:rFonts w:ascii="Arial" w:hAnsi="Arial" w:cs="Arial"/>
                <w:sz w:val="24"/>
                <w:szCs w:val="24"/>
              </w:rPr>
            </w:pPr>
            <w:r>
              <w:rPr>
                <w:rFonts w:ascii="Arial" w:hAnsi="Arial" w:cs="Arial"/>
                <w:sz w:val="24"/>
                <w:szCs w:val="24"/>
              </w:rPr>
              <w:t>WINDHOEK FLIGHT TRAINING CENTRE CC</w:t>
            </w:r>
          </w:p>
          <w:p w:rsidR="00E74A40" w:rsidRDefault="00E74A40" w:rsidP="000F1377">
            <w:pPr>
              <w:spacing w:line="360" w:lineRule="auto"/>
              <w:jc w:val="both"/>
              <w:rPr>
                <w:rFonts w:ascii="Arial" w:hAnsi="Arial" w:cs="Arial"/>
                <w:sz w:val="24"/>
                <w:szCs w:val="24"/>
              </w:rPr>
            </w:pPr>
            <w:r>
              <w:rPr>
                <w:rFonts w:ascii="Arial" w:hAnsi="Arial" w:cs="Arial"/>
                <w:sz w:val="24"/>
                <w:szCs w:val="24"/>
              </w:rPr>
              <w:t xml:space="preserve">                                                                  2</w:t>
            </w:r>
            <w:r w:rsidRPr="00E74A40">
              <w:rPr>
                <w:rFonts w:ascii="Arial" w:hAnsi="Arial" w:cs="Arial"/>
                <w:sz w:val="24"/>
                <w:szCs w:val="24"/>
                <w:vertAlign w:val="superscript"/>
              </w:rPr>
              <w:t>ND</w:t>
            </w:r>
            <w:r>
              <w:rPr>
                <w:rFonts w:ascii="Arial" w:hAnsi="Arial" w:cs="Arial"/>
                <w:sz w:val="24"/>
                <w:szCs w:val="24"/>
              </w:rPr>
              <w:t xml:space="preserve"> DEFENDANT</w:t>
            </w:r>
          </w:p>
          <w:p w:rsidR="00E74A40" w:rsidRDefault="00E74A40" w:rsidP="000F1377">
            <w:pPr>
              <w:spacing w:line="360" w:lineRule="auto"/>
              <w:jc w:val="both"/>
              <w:rPr>
                <w:rFonts w:ascii="Arial" w:hAnsi="Arial" w:cs="Arial"/>
                <w:sz w:val="24"/>
                <w:szCs w:val="24"/>
              </w:rPr>
            </w:pPr>
            <w:r>
              <w:rPr>
                <w:rFonts w:ascii="Arial" w:hAnsi="Arial" w:cs="Arial"/>
                <w:sz w:val="24"/>
                <w:szCs w:val="24"/>
              </w:rPr>
              <w:t>TRIO AVIATION CC                                 3</w:t>
            </w:r>
            <w:r w:rsidRPr="00E74A40">
              <w:rPr>
                <w:rFonts w:ascii="Arial" w:hAnsi="Arial" w:cs="Arial"/>
                <w:sz w:val="24"/>
                <w:szCs w:val="24"/>
                <w:vertAlign w:val="superscript"/>
              </w:rPr>
              <w:t>RD</w:t>
            </w:r>
            <w:r>
              <w:rPr>
                <w:rFonts w:ascii="Arial" w:hAnsi="Arial" w:cs="Arial"/>
                <w:sz w:val="24"/>
                <w:szCs w:val="24"/>
              </w:rPr>
              <w:t xml:space="preserve"> DEFENDANT</w:t>
            </w:r>
          </w:p>
          <w:p w:rsidR="00E74A40" w:rsidRDefault="00E74A40" w:rsidP="000F1377">
            <w:pPr>
              <w:spacing w:line="360" w:lineRule="auto"/>
              <w:jc w:val="both"/>
              <w:rPr>
                <w:rFonts w:ascii="Arial" w:hAnsi="Arial" w:cs="Arial"/>
                <w:sz w:val="24"/>
                <w:szCs w:val="24"/>
              </w:rPr>
            </w:pPr>
            <w:r>
              <w:rPr>
                <w:rFonts w:ascii="Arial" w:hAnsi="Arial" w:cs="Arial"/>
                <w:sz w:val="24"/>
                <w:szCs w:val="24"/>
              </w:rPr>
              <w:t>NAMIBIA AIRPORT COMPANY               4</w:t>
            </w:r>
            <w:r w:rsidRPr="00E74A40">
              <w:rPr>
                <w:rFonts w:ascii="Arial" w:hAnsi="Arial" w:cs="Arial"/>
                <w:sz w:val="24"/>
                <w:szCs w:val="24"/>
                <w:vertAlign w:val="superscript"/>
              </w:rPr>
              <w:t>TH</w:t>
            </w:r>
            <w:r>
              <w:rPr>
                <w:rFonts w:ascii="Arial" w:hAnsi="Arial" w:cs="Arial"/>
                <w:sz w:val="24"/>
                <w:szCs w:val="24"/>
              </w:rPr>
              <w:t xml:space="preserve"> DEFENDANT</w:t>
            </w:r>
          </w:p>
          <w:p w:rsidR="00002E9A" w:rsidRPr="00002E9A" w:rsidRDefault="00002E9A" w:rsidP="000F1377">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Default="000F1377" w:rsidP="00E74A40">
            <w:pPr>
              <w:spacing w:line="360" w:lineRule="auto"/>
              <w:jc w:val="both"/>
              <w:rPr>
                <w:rFonts w:ascii="Arial" w:hAnsi="Arial" w:cs="Arial"/>
                <w:sz w:val="24"/>
                <w:szCs w:val="24"/>
                <w:shd w:val="clear" w:color="auto" w:fill="FFFFFF"/>
              </w:rPr>
            </w:pPr>
            <w:r w:rsidRPr="000F1377">
              <w:rPr>
                <w:rFonts w:ascii="Arial" w:hAnsi="Arial" w:cs="Arial"/>
                <w:sz w:val="24"/>
                <w:szCs w:val="24"/>
                <w:shd w:val="clear" w:color="auto" w:fill="FFFFFF"/>
              </w:rPr>
              <w:t>HC-MD-CIV-ACT-</w:t>
            </w:r>
            <w:r w:rsidR="00E74A40">
              <w:rPr>
                <w:rFonts w:ascii="Arial" w:hAnsi="Arial" w:cs="Arial"/>
                <w:sz w:val="24"/>
                <w:szCs w:val="24"/>
                <w:shd w:val="clear" w:color="auto" w:fill="FFFFFF"/>
              </w:rPr>
              <w:t>CON</w:t>
            </w:r>
            <w:r w:rsidRPr="000F1377">
              <w:rPr>
                <w:rFonts w:ascii="Arial" w:hAnsi="Arial" w:cs="Arial"/>
                <w:sz w:val="24"/>
                <w:szCs w:val="24"/>
                <w:shd w:val="clear" w:color="auto" w:fill="FFFFFF"/>
              </w:rPr>
              <w:t>-202</w:t>
            </w:r>
            <w:r w:rsidR="00E74A40">
              <w:rPr>
                <w:rFonts w:ascii="Arial" w:hAnsi="Arial" w:cs="Arial"/>
                <w:sz w:val="24"/>
                <w:szCs w:val="24"/>
                <w:shd w:val="clear" w:color="auto" w:fill="FFFFFF"/>
              </w:rPr>
              <w:t>3</w:t>
            </w:r>
            <w:r w:rsidRPr="000F1377">
              <w:rPr>
                <w:rFonts w:ascii="Arial" w:hAnsi="Arial" w:cs="Arial"/>
                <w:sz w:val="24"/>
                <w:szCs w:val="24"/>
                <w:shd w:val="clear" w:color="auto" w:fill="FFFFFF"/>
              </w:rPr>
              <w:t>/0</w:t>
            </w:r>
            <w:r w:rsidR="00E74A40">
              <w:rPr>
                <w:rFonts w:ascii="Arial" w:hAnsi="Arial" w:cs="Arial"/>
                <w:sz w:val="24"/>
                <w:szCs w:val="24"/>
                <w:shd w:val="clear" w:color="auto" w:fill="FFFFFF"/>
              </w:rPr>
              <w:t>0476</w:t>
            </w:r>
          </w:p>
          <w:p w:rsidR="00E74A40" w:rsidRPr="00C2633E" w:rsidRDefault="00E74A40" w:rsidP="00E74A40">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INT-HC-SUMJUD-2023/00075</w:t>
            </w:r>
          </w:p>
        </w:tc>
      </w:tr>
      <w:tr w:rsidR="00CA7995" w:rsidRPr="00CA7995" w:rsidTr="00E74A40">
        <w:trPr>
          <w:trHeight w:val="968"/>
        </w:trPr>
        <w:tc>
          <w:tcPr>
            <w:tcW w:w="6522"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E74A40">
        <w:trPr>
          <w:trHeight w:val="965"/>
        </w:trPr>
        <w:tc>
          <w:tcPr>
            <w:tcW w:w="652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C44F65" w:rsidP="00C2633E">
            <w:pPr>
              <w:spacing w:line="360" w:lineRule="auto"/>
              <w:jc w:val="both"/>
              <w:rPr>
                <w:rFonts w:ascii="Arial" w:hAnsi="Arial" w:cs="Arial"/>
                <w:sz w:val="24"/>
                <w:szCs w:val="24"/>
              </w:rPr>
            </w:pPr>
            <w:r>
              <w:rPr>
                <w:rFonts w:ascii="Arial" w:hAnsi="Arial" w:cs="Arial"/>
                <w:sz w:val="24"/>
                <w:szCs w:val="24"/>
                <w:lang w:val="en-US"/>
              </w:rPr>
              <w:t>26 June</w:t>
            </w:r>
            <w:r w:rsidR="00002E9A">
              <w:rPr>
                <w:rFonts w:ascii="Arial" w:hAnsi="Arial" w:cs="Arial"/>
                <w:sz w:val="24"/>
                <w:szCs w:val="24"/>
                <w:lang w:val="en-US"/>
              </w:rPr>
              <w:t xml:space="preserve"> 2023</w:t>
            </w:r>
          </w:p>
        </w:tc>
      </w:tr>
      <w:tr w:rsidR="00CA7995" w:rsidRPr="00CA7995" w:rsidTr="00E74A40">
        <w:trPr>
          <w:trHeight w:val="991"/>
        </w:trPr>
        <w:tc>
          <w:tcPr>
            <w:tcW w:w="6522"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C44F65" w:rsidP="00C2633E">
            <w:pPr>
              <w:spacing w:line="360" w:lineRule="auto"/>
              <w:jc w:val="both"/>
              <w:rPr>
                <w:rFonts w:ascii="Arial" w:hAnsi="Arial" w:cs="Arial"/>
                <w:b/>
                <w:sz w:val="24"/>
                <w:szCs w:val="24"/>
              </w:rPr>
            </w:pPr>
            <w:r>
              <w:rPr>
                <w:rFonts w:ascii="Arial" w:hAnsi="Arial" w:cs="Arial"/>
                <w:sz w:val="24"/>
                <w:szCs w:val="24"/>
                <w:lang w:val="en-US"/>
              </w:rPr>
              <w:t>13 July</w:t>
            </w:r>
            <w:r w:rsidR="00002E9A">
              <w:rPr>
                <w:rFonts w:ascii="Arial" w:hAnsi="Arial" w:cs="Arial"/>
                <w:sz w:val="24"/>
                <w:szCs w:val="24"/>
                <w:lang w:val="en-US"/>
              </w:rPr>
              <w:t xml:space="preserve"> 2023</w:t>
            </w:r>
          </w:p>
        </w:tc>
      </w:tr>
      <w:tr w:rsidR="00CA7995" w:rsidRPr="00CA7995" w:rsidTr="00E74A40">
        <w:trPr>
          <w:trHeight w:val="876"/>
        </w:trPr>
        <w:tc>
          <w:tcPr>
            <w:tcW w:w="10632" w:type="dxa"/>
            <w:gridSpan w:val="3"/>
          </w:tcPr>
          <w:p w:rsidR="00B40844" w:rsidRPr="00CA7995" w:rsidRDefault="00B40844" w:rsidP="00E74A40">
            <w:pPr>
              <w:spacing w:line="360" w:lineRule="auto"/>
              <w:jc w:val="both"/>
              <w:rPr>
                <w:rFonts w:ascii="Arial" w:hAnsi="Arial" w:cs="Arial"/>
                <w:sz w:val="24"/>
                <w:szCs w:val="24"/>
              </w:rPr>
            </w:pPr>
            <w:r w:rsidRPr="00CA7995">
              <w:rPr>
                <w:rFonts w:ascii="Arial" w:hAnsi="Arial" w:cs="Arial"/>
                <w:b/>
                <w:sz w:val="24"/>
                <w:szCs w:val="24"/>
              </w:rPr>
              <w:t xml:space="preserve">Neutral citation: </w:t>
            </w:r>
            <w:r w:rsidR="00466EF2" w:rsidRPr="00466EF2">
              <w:rPr>
                <w:rFonts w:ascii="Arial" w:hAnsi="Arial" w:cs="Arial"/>
                <w:b/>
                <w:sz w:val="24"/>
                <w:szCs w:val="24"/>
              </w:rPr>
              <w:tab/>
            </w:r>
            <w:r w:rsidR="00E74A40">
              <w:rPr>
                <w:rFonts w:ascii="Arial" w:eastAsia="Times New Roman" w:hAnsi="Arial" w:cs="Arial"/>
                <w:i/>
                <w:sz w:val="24"/>
                <w:szCs w:val="24"/>
              </w:rPr>
              <w:t>Eros Aircraft</w:t>
            </w:r>
            <w:r w:rsidR="000F1377">
              <w:rPr>
                <w:rFonts w:ascii="Arial" w:eastAsia="Times New Roman" w:hAnsi="Arial" w:cs="Arial"/>
                <w:i/>
                <w:sz w:val="24"/>
                <w:szCs w:val="24"/>
              </w:rPr>
              <w:t xml:space="preserve"> CC</w:t>
            </w:r>
            <w:r w:rsidR="00002E9A" w:rsidRPr="00A927F8">
              <w:rPr>
                <w:rFonts w:ascii="Arial" w:eastAsia="Times New Roman" w:hAnsi="Arial" w:cs="Arial"/>
                <w:i/>
                <w:sz w:val="24"/>
                <w:szCs w:val="24"/>
              </w:rPr>
              <w:t xml:space="preserve"> v </w:t>
            </w:r>
            <w:r w:rsidR="00E74A40">
              <w:rPr>
                <w:rFonts w:ascii="Arial" w:eastAsia="Times New Roman" w:hAnsi="Arial" w:cs="Arial"/>
                <w:i/>
                <w:sz w:val="24"/>
                <w:szCs w:val="24"/>
              </w:rPr>
              <w:t>Namibia Aviation Services CC</w:t>
            </w:r>
            <w:r w:rsidR="00002E9A">
              <w:rPr>
                <w:rFonts w:ascii="Arial" w:eastAsia="Times New Roman" w:hAnsi="Arial" w:cs="Arial"/>
                <w:i/>
                <w:sz w:val="24"/>
                <w:szCs w:val="24"/>
              </w:rPr>
              <w:t xml:space="preserve"> </w:t>
            </w:r>
            <w:r w:rsidR="00002E9A" w:rsidRPr="007B0507">
              <w:rPr>
                <w:rFonts w:ascii="Arial" w:eastAsia="Times New Roman" w:hAnsi="Arial" w:cs="Arial"/>
                <w:sz w:val="24"/>
                <w:szCs w:val="24"/>
              </w:rPr>
              <w:t>(</w:t>
            </w:r>
            <w:r w:rsidR="00E74A40" w:rsidRPr="000F1377">
              <w:rPr>
                <w:rFonts w:ascii="Arial" w:hAnsi="Arial" w:cs="Arial"/>
                <w:sz w:val="24"/>
                <w:szCs w:val="24"/>
                <w:shd w:val="clear" w:color="auto" w:fill="FFFFFF"/>
              </w:rPr>
              <w:t>HC-MD-CIV-ACT-</w:t>
            </w:r>
            <w:r w:rsidR="00E74A40">
              <w:rPr>
                <w:rFonts w:ascii="Arial" w:hAnsi="Arial" w:cs="Arial"/>
                <w:sz w:val="24"/>
                <w:szCs w:val="24"/>
                <w:shd w:val="clear" w:color="auto" w:fill="FFFFFF"/>
              </w:rPr>
              <w:t>CON</w:t>
            </w:r>
            <w:r w:rsidR="00E74A40" w:rsidRPr="000F1377">
              <w:rPr>
                <w:rFonts w:ascii="Arial" w:hAnsi="Arial" w:cs="Arial"/>
                <w:sz w:val="24"/>
                <w:szCs w:val="24"/>
                <w:shd w:val="clear" w:color="auto" w:fill="FFFFFF"/>
              </w:rPr>
              <w:t>-202</w:t>
            </w:r>
            <w:r w:rsidR="00E74A40">
              <w:rPr>
                <w:rFonts w:ascii="Arial" w:hAnsi="Arial" w:cs="Arial"/>
                <w:sz w:val="24"/>
                <w:szCs w:val="24"/>
                <w:shd w:val="clear" w:color="auto" w:fill="FFFFFF"/>
              </w:rPr>
              <w:t>3</w:t>
            </w:r>
            <w:r w:rsidR="00E74A40" w:rsidRPr="000F1377">
              <w:rPr>
                <w:rFonts w:ascii="Arial" w:hAnsi="Arial" w:cs="Arial"/>
                <w:sz w:val="24"/>
                <w:szCs w:val="24"/>
                <w:shd w:val="clear" w:color="auto" w:fill="FFFFFF"/>
              </w:rPr>
              <w:t>/0</w:t>
            </w:r>
            <w:r w:rsidR="00E74A40">
              <w:rPr>
                <w:rFonts w:ascii="Arial" w:hAnsi="Arial" w:cs="Arial"/>
                <w:sz w:val="24"/>
                <w:szCs w:val="24"/>
                <w:shd w:val="clear" w:color="auto" w:fill="FFFFFF"/>
              </w:rPr>
              <w:t>0476</w:t>
            </w:r>
            <w:r w:rsidR="00002E9A">
              <w:rPr>
                <w:rFonts w:ascii="Arial" w:hAnsi="Arial" w:cs="Arial"/>
                <w:sz w:val="24"/>
                <w:szCs w:val="24"/>
              </w:rPr>
              <w:t>) [</w:t>
            </w:r>
            <w:r w:rsidR="00002E9A" w:rsidRPr="00FE3661">
              <w:rPr>
                <w:rFonts w:ascii="Arial" w:hAnsi="Arial" w:cs="Arial"/>
                <w:sz w:val="24"/>
                <w:szCs w:val="24"/>
              </w:rPr>
              <w:t>202</w:t>
            </w:r>
            <w:r w:rsidR="00002E9A">
              <w:rPr>
                <w:rFonts w:ascii="Arial" w:hAnsi="Arial" w:cs="Arial"/>
                <w:sz w:val="24"/>
                <w:szCs w:val="24"/>
              </w:rPr>
              <w:t>3</w:t>
            </w:r>
            <w:r w:rsidR="00002E9A" w:rsidRPr="00FE3661">
              <w:rPr>
                <w:rFonts w:ascii="Arial" w:hAnsi="Arial" w:cs="Arial"/>
                <w:sz w:val="24"/>
                <w:szCs w:val="24"/>
              </w:rPr>
              <w:t>]</w:t>
            </w:r>
            <w:r w:rsidR="00002E9A" w:rsidRPr="00FE3661">
              <w:rPr>
                <w:rFonts w:ascii="Arial" w:hAnsi="Arial" w:cs="Arial"/>
                <w:i/>
                <w:sz w:val="24"/>
                <w:szCs w:val="24"/>
              </w:rPr>
              <w:t xml:space="preserve"> </w:t>
            </w:r>
            <w:r w:rsidR="00002E9A" w:rsidRPr="00FE3661">
              <w:rPr>
                <w:rFonts w:ascii="Arial" w:hAnsi="Arial" w:cs="Arial"/>
                <w:sz w:val="24"/>
                <w:szCs w:val="24"/>
              </w:rPr>
              <w:t xml:space="preserve">NAHCMD </w:t>
            </w:r>
            <w:r w:rsidR="001A7411">
              <w:rPr>
                <w:rFonts w:ascii="Arial" w:hAnsi="Arial" w:cs="Arial"/>
                <w:sz w:val="24"/>
                <w:szCs w:val="24"/>
              </w:rPr>
              <w:t>397</w:t>
            </w:r>
            <w:r w:rsidR="000F1377">
              <w:rPr>
                <w:rFonts w:ascii="Arial" w:hAnsi="Arial" w:cs="Arial"/>
                <w:sz w:val="24"/>
                <w:szCs w:val="24"/>
              </w:rPr>
              <w:t xml:space="preserve"> (</w:t>
            </w:r>
            <w:r w:rsidR="00E74A40">
              <w:rPr>
                <w:rFonts w:ascii="Arial" w:hAnsi="Arial" w:cs="Arial"/>
                <w:sz w:val="24"/>
                <w:szCs w:val="24"/>
              </w:rPr>
              <w:t>13 July</w:t>
            </w:r>
            <w:r w:rsidR="00002E9A">
              <w:rPr>
                <w:rFonts w:ascii="Arial" w:hAnsi="Arial" w:cs="Arial"/>
                <w:sz w:val="24"/>
                <w:szCs w:val="24"/>
              </w:rPr>
              <w:t xml:space="preserve"> 2023)</w:t>
            </w:r>
          </w:p>
        </w:tc>
      </w:tr>
      <w:tr w:rsidR="00002E9A" w:rsidRPr="00CA7995" w:rsidTr="00E74A40">
        <w:trPr>
          <w:trHeight w:val="876"/>
        </w:trPr>
        <w:tc>
          <w:tcPr>
            <w:tcW w:w="10632"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E74A40">
        <w:tc>
          <w:tcPr>
            <w:tcW w:w="10632" w:type="dxa"/>
            <w:gridSpan w:val="3"/>
          </w:tcPr>
          <w:p w:rsidR="00B40844" w:rsidRPr="00B47800" w:rsidRDefault="00B40844" w:rsidP="00937C89">
            <w:pPr>
              <w:spacing w:line="360" w:lineRule="auto"/>
              <w:jc w:val="both"/>
              <w:rPr>
                <w:rFonts w:ascii="Arial" w:hAnsi="Arial" w:cs="Arial"/>
                <w:sz w:val="20"/>
                <w:szCs w:val="20"/>
              </w:rPr>
            </w:pPr>
            <w:r w:rsidRPr="00CA7995">
              <w:rPr>
                <w:rFonts w:ascii="Arial" w:hAnsi="Arial" w:cs="Arial"/>
                <w:b/>
                <w:sz w:val="24"/>
                <w:szCs w:val="24"/>
              </w:rPr>
              <w:t>The order:</w:t>
            </w:r>
          </w:p>
          <w:p w:rsidR="0053389D" w:rsidRDefault="00E74A40" w:rsidP="0053389D">
            <w:pPr>
              <w:pStyle w:val="NormalWeb"/>
              <w:numPr>
                <w:ilvl w:val="0"/>
                <w:numId w:val="9"/>
              </w:numPr>
              <w:shd w:val="clear" w:color="auto" w:fill="FFFFFF"/>
              <w:spacing w:before="0" w:beforeAutospacing="0" w:after="150" w:afterAutospacing="0" w:line="360" w:lineRule="auto"/>
              <w:jc w:val="both"/>
              <w:rPr>
                <w:rFonts w:ascii="Arial" w:hAnsi="Arial" w:cs="Arial"/>
                <w:color w:val="000000" w:themeColor="text1"/>
              </w:rPr>
            </w:pPr>
            <w:r w:rsidRPr="00E74A40">
              <w:rPr>
                <w:rFonts w:ascii="Arial" w:hAnsi="Arial" w:cs="Arial"/>
                <w:color w:val="000000" w:themeColor="text1"/>
              </w:rPr>
              <w:t>The application for summary judgment is refused</w:t>
            </w:r>
            <w:r w:rsidR="0053389D">
              <w:rPr>
                <w:rFonts w:ascii="Arial" w:hAnsi="Arial" w:cs="Arial"/>
                <w:color w:val="000000" w:themeColor="text1"/>
              </w:rPr>
              <w:t>.</w:t>
            </w:r>
          </w:p>
          <w:p w:rsidR="00E74A40" w:rsidRPr="00E74A40" w:rsidRDefault="00E74A40" w:rsidP="0053389D">
            <w:pPr>
              <w:pStyle w:val="NormalWeb"/>
              <w:numPr>
                <w:ilvl w:val="0"/>
                <w:numId w:val="9"/>
              </w:numPr>
              <w:shd w:val="clear" w:color="auto" w:fill="FFFFFF"/>
              <w:spacing w:before="0" w:beforeAutospacing="0" w:after="150" w:afterAutospacing="0" w:line="360" w:lineRule="auto"/>
              <w:jc w:val="both"/>
              <w:rPr>
                <w:rFonts w:ascii="Arial" w:hAnsi="Arial" w:cs="Arial"/>
                <w:color w:val="000000" w:themeColor="text1"/>
              </w:rPr>
            </w:pPr>
            <w:r w:rsidRPr="00E74A40">
              <w:rPr>
                <w:rFonts w:ascii="Arial" w:hAnsi="Arial" w:cs="Arial"/>
                <w:color w:val="000000" w:themeColor="text1"/>
              </w:rPr>
              <w:t xml:space="preserve"> </w:t>
            </w:r>
            <w:r w:rsidR="0053389D">
              <w:rPr>
                <w:rFonts w:ascii="Arial" w:hAnsi="Arial" w:cs="Arial"/>
                <w:color w:val="000000" w:themeColor="text1"/>
              </w:rPr>
              <w:t>T</w:t>
            </w:r>
            <w:r w:rsidRPr="00E74A40">
              <w:rPr>
                <w:rFonts w:ascii="Arial" w:hAnsi="Arial" w:cs="Arial"/>
                <w:color w:val="000000" w:themeColor="text1"/>
              </w:rPr>
              <w:t>he defendant</w:t>
            </w:r>
            <w:r w:rsidR="0053389D">
              <w:rPr>
                <w:rFonts w:ascii="Arial" w:hAnsi="Arial" w:cs="Arial"/>
                <w:color w:val="000000" w:themeColor="text1"/>
              </w:rPr>
              <w:t>s</w:t>
            </w:r>
            <w:r w:rsidRPr="00E74A40">
              <w:rPr>
                <w:rFonts w:ascii="Arial" w:hAnsi="Arial" w:cs="Arial"/>
                <w:color w:val="000000" w:themeColor="text1"/>
              </w:rPr>
              <w:t xml:space="preserve"> </w:t>
            </w:r>
            <w:r w:rsidR="0053389D">
              <w:rPr>
                <w:rFonts w:ascii="Arial" w:hAnsi="Arial" w:cs="Arial"/>
                <w:color w:val="000000" w:themeColor="text1"/>
              </w:rPr>
              <w:t>are</w:t>
            </w:r>
            <w:r w:rsidRPr="00E74A40">
              <w:rPr>
                <w:rFonts w:ascii="Arial" w:hAnsi="Arial" w:cs="Arial"/>
                <w:color w:val="000000" w:themeColor="text1"/>
              </w:rPr>
              <w:t xml:space="preserve"> granted leave to defend</w:t>
            </w:r>
            <w:r w:rsidR="001A7411">
              <w:rPr>
                <w:rFonts w:ascii="Arial" w:hAnsi="Arial" w:cs="Arial"/>
                <w:color w:val="000000" w:themeColor="text1"/>
              </w:rPr>
              <w:t xml:space="preserve"> </w:t>
            </w:r>
            <w:r w:rsidR="001A7411" w:rsidRPr="00EB68B8">
              <w:rPr>
                <w:rFonts w:ascii="Arial" w:hAnsi="Arial" w:cs="Arial"/>
                <w:color w:val="000000" w:themeColor="text1"/>
              </w:rPr>
              <w:t xml:space="preserve">the </w:t>
            </w:r>
            <w:r w:rsidR="00EB68B8" w:rsidRPr="00EB68B8">
              <w:rPr>
                <w:rFonts w:ascii="Arial" w:hAnsi="Arial" w:cs="Arial"/>
                <w:color w:val="000000" w:themeColor="text1"/>
              </w:rPr>
              <w:t>action</w:t>
            </w:r>
            <w:r w:rsidR="00466EF2" w:rsidRPr="00EB68B8">
              <w:rPr>
                <w:rFonts w:ascii="Arial" w:hAnsi="Arial" w:cs="Arial"/>
                <w:color w:val="000000" w:themeColor="text1"/>
              </w:rPr>
              <w:t>.</w:t>
            </w:r>
          </w:p>
          <w:p w:rsidR="00E74A40" w:rsidRPr="00E74A40" w:rsidRDefault="00BE5FC0" w:rsidP="00E74A40">
            <w:pPr>
              <w:pStyle w:val="NormalWeb"/>
              <w:shd w:val="clear" w:color="auto" w:fill="FFFFFF"/>
              <w:spacing w:before="0" w:beforeAutospacing="0" w:after="150" w:afterAutospacing="0" w:line="360" w:lineRule="auto"/>
              <w:jc w:val="both"/>
              <w:rPr>
                <w:rFonts w:ascii="Arial" w:hAnsi="Arial" w:cs="Arial"/>
                <w:i/>
                <w:color w:val="000000" w:themeColor="text1"/>
              </w:rPr>
            </w:pPr>
            <w:r>
              <w:rPr>
                <w:rStyle w:val="Emphasis"/>
                <w:rFonts w:ascii="Arial" w:hAnsi="Arial" w:cs="Arial"/>
                <w:i w:val="0"/>
                <w:color w:val="000000" w:themeColor="text1"/>
              </w:rPr>
              <w:lastRenderedPageBreak/>
              <w:t>3</w:t>
            </w:r>
            <w:r w:rsidR="001A7411">
              <w:rPr>
                <w:rStyle w:val="Emphasis"/>
                <w:rFonts w:ascii="Arial" w:hAnsi="Arial" w:cs="Arial"/>
                <w:i w:val="0"/>
                <w:color w:val="000000" w:themeColor="text1"/>
              </w:rPr>
              <w:t>.</w:t>
            </w:r>
            <w:r w:rsidR="001A7411" w:rsidRPr="001A7411">
              <w:rPr>
                <w:rStyle w:val="Emphasis"/>
                <w:rFonts w:ascii="Arial" w:hAnsi="Arial" w:cs="Arial"/>
                <w:i w:val="0"/>
                <w:color w:val="000000" w:themeColor="text1"/>
              </w:rPr>
              <w:tab/>
            </w:r>
            <w:r w:rsidR="00E74A40" w:rsidRPr="00E74A40">
              <w:rPr>
                <w:rStyle w:val="Emphasis"/>
                <w:rFonts w:ascii="Arial" w:hAnsi="Arial" w:cs="Arial"/>
                <w:i w:val="0"/>
                <w:color w:val="000000" w:themeColor="text1"/>
              </w:rPr>
              <w:t>C</w:t>
            </w:r>
            <w:r w:rsidR="00E74A40" w:rsidRPr="00E74A40">
              <w:rPr>
                <w:rFonts w:ascii="Arial" w:hAnsi="Arial" w:cs="Arial"/>
                <w:color w:val="000000" w:themeColor="text1"/>
              </w:rPr>
              <w:t xml:space="preserve">osts of </w:t>
            </w:r>
            <w:r w:rsidR="00E74A40">
              <w:rPr>
                <w:rFonts w:ascii="Arial" w:hAnsi="Arial" w:cs="Arial"/>
                <w:color w:val="000000" w:themeColor="text1"/>
              </w:rPr>
              <w:t>this application</w:t>
            </w:r>
            <w:r w:rsidR="00E74A40" w:rsidRPr="00E74A40">
              <w:rPr>
                <w:rFonts w:ascii="Arial" w:hAnsi="Arial" w:cs="Arial"/>
                <w:color w:val="000000" w:themeColor="text1"/>
              </w:rPr>
              <w:t xml:space="preserve"> </w:t>
            </w:r>
            <w:r w:rsidR="0053389D">
              <w:rPr>
                <w:rFonts w:ascii="Arial" w:hAnsi="Arial" w:cs="Arial"/>
                <w:color w:val="000000" w:themeColor="text1"/>
              </w:rPr>
              <w:t xml:space="preserve">are </w:t>
            </w:r>
            <w:r w:rsidR="00E74A40" w:rsidRPr="00E74A40">
              <w:rPr>
                <w:rFonts w:ascii="Arial" w:hAnsi="Arial" w:cs="Arial"/>
                <w:color w:val="000000" w:themeColor="text1"/>
              </w:rPr>
              <w:t>to be decided by the trial court.</w:t>
            </w:r>
          </w:p>
          <w:p w:rsidR="00E74A40" w:rsidRPr="00E74A40" w:rsidRDefault="00BE5FC0" w:rsidP="00E74A40">
            <w:pPr>
              <w:pStyle w:val="NormalWeb"/>
              <w:shd w:val="clear" w:color="auto" w:fill="FFFFFF"/>
              <w:spacing w:before="0" w:beforeAutospacing="0" w:after="150" w:afterAutospacing="0" w:line="360" w:lineRule="auto"/>
              <w:jc w:val="both"/>
              <w:rPr>
                <w:rFonts w:ascii="Arial" w:hAnsi="Arial" w:cs="Arial"/>
                <w:color w:val="000000" w:themeColor="text1"/>
              </w:rPr>
            </w:pPr>
            <w:r>
              <w:rPr>
                <w:rFonts w:ascii="Arial" w:hAnsi="Arial" w:cs="Arial"/>
                <w:color w:val="000000" w:themeColor="text1"/>
              </w:rPr>
              <w:t>4</w:t>
            </w:r>
            <w:r w:rsidR="001A7411">
              <w:rPr>
                <w:rFonts w:ascii="Arial" w:hAnsi="Arial" w:cs="Arial"/>
                <w:color w:val="000000" w:themeColor="text1"/>
              </w:rPr>
              <w:t>.</w:t>
            </w:r>
            <w:r w:rsidR="001A7411" w:rsidRPr="001A7411">
              <w:rPr>
                <w:rFonts w:ascii="Arial" w:hAnsi="Arial" w:cs="Arial"/>
                <w:color w:val="000000" w:themeColor="text1"/>
              </w:rPr>
              <w:tab/>
            </w:r>
            <w:r w:rsidR="00E74A40" w:rsidRPr="00E74A40">
              <w:rPr>
                <w:rFonts w:ascii="Arial" w:hAnsi="Arial" w:cs="Arial"/>
                <w:color w:val="000000" w:themeColor="text1"/>
              </w:rPr>
              <w:t xml:space="preserve">The matter is postponed until </w:t>
            </w:r>
            <w:r w:rsidR="00E74A40">
              <w:rPr>
                <w:rFonts w:ascii="Arial" w:hAnsi="Arial" w:cs="Arial"/>
                <w:color w:val="000000" w:themeColor="text1"/>
              </w:rPr>
              <w:t>27 July 2023</w:t>
            </w:r>
            <w:r w:rsidR="00E74A40" w:rsidRPr="00E74A40">
              <w:rPr>
                <w:rFonts w:ascii="Arial" w:hAnsi="Arial" w:cs="Arial"/>
                <w:color w:val="000000" w:themeColor="text1"/>
              </w:rPr>
              <w:t xml:space="preserve"> at </w:t>
            </w:r>
            <w:r w:rsidR="00E74A40">
              <w:rPr>
                <w:rFonts w:ascii="Arial" w:hAnsi="Arial" w:cs="Arial"/>
                <w:color w:val="000000" w:themeColor="text1"/>
              </w:rPr>
              <w:t>15</w:t>
            </w:r>
            <w:r w:rsidR="00E74A40" w:rsidRPr="00E74A40">
              <w:rPr>
                <w:rFonts w:ascii="Arial" w:hAnsi="Arial" w:cs="Arial"/>
                <w:color w:val="000000" w:themeColor="text1"/>
              </w:rPr>
              <w:t>h</w:t>
            </w:r>
            <w:r w:rsidR="00E74A40">
              <w:rPr>
                <w:rFonts w:ascii="Arial" w:hAnsi="Arial" w:cs="Arial"/>
                <w:color w:val="000000" w:themeColor="text1"/>
              </w:rPr>
              <w:t>0</w:t>
            </w:r>
            <w:r w:rsidR="00E74A40" w:rsidRPr="00E74A40">
              <w:rPr>
                <w:rFonts w:ascii="Arial" w:hAnsi="Arial" w:cs="Arial"/>
                <w:color w:val="000000" w:themeColor="text1"/>
              </w:rPr>
              <w:t>0 for Case Planning Conference</w:t>
            </w:r>
            <w:r w:rsidR="00E74A40">
              <w:rPr>
                <w:rFonts w:ascii="Arial" w:hAnsi="Arial" w:cs="Arial"/>
                <w:color w:val="000000" w:themeColor="text1"/>
              </w:rPr>
              <w:t xml:space="preserve"> in terms </w:t>
            </w:r>
            <w:r w:rsidR="001A7411" w:rsidRPr="001A7411">
              <w:rPr>
                <w:rFonts w:ascii="Arial" w:hAnsi="Arial" w:cs="Arial"/>
                <w:color w:val="000000" w:themeColor="text1"/>
              </w:rPr>
              <w:tab/>
            </w:r>
            <w:r w:rsidR="00E74A40">
              <w:rPr>
                <w:rFonts w:ascii="Arial" w:hAnsi="Arial" w:cs="Arial"/>
                <w:color w:val="000000" w:themeColor="text1"/>
              </w:rPr>
              <w:t>of r</w:t>
            </w:r>
            <w:r w:rsidR="00EB68B8">
              <w:rPr>
                <w:rFonts w:ascii="Arial" w:hAnsi="Arial" w:cs="Arial"/>
                <w:color w:val="000000" w:themeColor="text1"/>
              </w:rPr>
              <w:t>ule</w:t>
            </w:r>
            <w:r w:rsidR="00E74A40">
              <w:rPr>
                <w:rFonts w:ascii="Arial" w:hAnsi="Arial" w:cs="Arial"/>
                <w:color w:val="000000" w:themeColor="text1"/>
              </w:rPr>
              <w:t xml:space="preserve"> 23(5)</w:t>
            </w:r>
            <w:r w:rsidR="00E74A40" w:rsidRPr="00E74A40">
              <w:rPr>
                <w:rFonts w:ascii="Arial" w:hAnsi="Arial" w:cs="Arial"/>
                <w:color w:val="000000" w:themeColor="text1"/>
              </w:rPr>
              <w:t>.</w:t>
            </w:r>
          </w:p>
          <w:p w:rsidR="00E74A40" w:rsidRPr="00E74A40" w:rsidRDefault="00BE5FC0" w:rsidP="00E74A4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5</w:t>
            </w:r>
            <w:bookmarkStart w:id="0" w:name="_GoBack"/>
            <w:bookmarkEnd w:id="0"/>
            <w:r w:rsidR="00E74A40">
              <w:rPr>
                <w:rFonts w:ascii="Arial" w:hAnsi="Arial" w:cs="Arial"/>
                <w:color w:val="000000" w:themeColor="text1"/>
                <w:sz w:val="24"/>
                <w:szCs w:val="24"/>
              </w:rPr>
              <w:t>.</w:t>
            </w:r>
            <w:r w:rsidR="001A7411" w:rsidRPr="001A7411">
              <w:rPr>
                <w:rFonts w:ascii="Arial" w:hAnsi="Arial" w:cs="Arial"/>
                <w:color w:val="000000" w:themeColor="text1"/>
                <w:sz w:val="24"/>
                <w:szCs w:val="24"/>
              </w:rPr>
              <w:tab/>
            </w:r>
            <w:r w:rsidR="00E74A40" w:rsidRPr="00E74A40">
              <w:rPr>
                <w:rFonts w:ascii="Arial" w:hAnsi="Arial" w:cs="Arial"/>
                <w:color w:val="000000" w:themeColor="text1"/>
                <w:sz w:val="24"/>
                <w:szCs w:val="24"/>
              </w:rPr>
              <w:t xml:space="preserve">The parties must file a </w:t>
            </w:r>
            <w:r w:rsidR="00E74A40">
              <w:rPr>
                <w:rFonts w:ascii="Arial" w:hAnsi="Arial" w:cs="Arial"/>
                <w:color w:val="000000" w:themeColor="text1"/>
                <w:sz w:val="24"/>
                <w:szCs w:val="24"/>
              </w:rPr>
              <w:t xml:space="preserve">further </w:t>
            </w:r>
            <w:r w:rsidR="00E74A40" w:rsidRPr="00E74A40">
              <w:rPr>
                <w:rFonts w:ascii="Arial" w:hAnsi="Arial" w:cs="Arial"/>
                <w:color w:val="000000" w:themeColor="text1"/>
                <w:sz w:val="24"/>
                <w:szCs w:val="24"/>
              </w:rPr>
              <w:t xml:space="preserve">joint case plan on or before </w:t>
            </w:r>
            <w:r w:rsidR="00E74A40">
              <w:rPr>
                <w:rFonts w:ascii="Arial" w:hAnsi="Arial" w:cs="Arial"/>
                <w:color w:val="000000" w:themeColor="text1"/>
                <w:sz w:val="24"/>
                <w:szCs w:val="24"/>
              </w:rPr>
              <w:t>23 July 2023.</w:t>
            </w:r>
          </w:p>
          <w:p w:rsidR="00793E9C" w:rsidRPr="00B47800" w:rsidRDefault="00793E9C" w:rsidP="006916C9">
            <w:pPr>
              <w:pStyle w:val="NormalWeb"/>
              <w:shd w:val="clear" w:color="auto" w:fill="FFFFFF"/>
              <w:spacing w:before="0" w:beforeAutospacing="0" w:after="0" w:afterAutospacing="0" w:line="360" w:lineRule="auto"/>
              <w:jc w:val="both"/>
              <w:rPr>
                <w:rFonts w:ascii="Arial" w:hAnsi="Arial" w:cs="Arial"/>
              </w:rPr>
            </w:pPr>
          </w:p>
        </w:tc>
      </w:tr>
      <w:tr w:rsidR="00CA7995" w:rsidRPr="00CA7995" w:rsidTr="00E74A40">
        <w:trPr>
          <w:trHeight w:val="548"/>
        </w:trPr>
        <w:tc>
          <w:tcPr>
            <w:tcW w:w="10632"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E74A40">
        <w:tc>
          <w:tcPr>
            <w:tcW w:w="10632" w:type="dxa"/>
            <w:gridSpan w:val="3"/>
          </w:tcPr>
          <w:p w:rsidR="00E74A40" w:rsidRDefault="00E74A40" w:rsidP="00E74A40"/>
          <w:p w:rsidR="00E74A40" w:rsidRDefault="00E74A40" w:rsidP="00E74A40">
            <w:pPr>
              <w:spacing w:line="360" w:lineRule="auto"/>
              <w:ind w:right="152"/>
              <w:jc w:val="both"/>
              <w:rPr>
                <w:rFonts w:ascii="Arial" w:hAnsi="Arial" w:cs="Arial"/>
                <w:sz w:val="24"/>
                <w:szCs w:val="24"/>
                <w:u w:val="single"/>
              </w:rPr>
            </w:pPr>
            <w:r w:rsidRPr="00CF2DDC">
              <w:rPr>
                <w:rFonts w:ascii="Arial" w:hAnsi="Arial" w:cs="Arial"/>
                <w:sz w:val="24"/>
                <w:szCs w:val="24"/>
                <w:u w:val="single"/>
              </w:rPr>
              <w:t>Introduction</w:t>
            </w:r>
          </w:p>
          <w:p w:rsidR="00E74A40" w:rsidRPr="00CF2DDC" w:rsidRDefault="00E74A40" w:rsidP="00E74A40">
            <w:pPr>
              <w:spacing w:line="360" w:lineRule="auto"/>
              <w:ind w:right="152"/>
              <w:jc w:val="both"/>
              <w:rPr>
                <w:rFonts w:ascii="Arial" w:hAnsi="Arial" w:cs="Arial"/>
                <w:sz w:val="24"/>
                <w:szCs w:val="24"/>
                <w:u w:val="single"/>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sidRPr="00CF2DDC">
              <w:rPr>
                <w:rFonts w:ascii="Arial" w:hAnsi="Arial" w:cs="Arial"/>
                <w:sz w:val="24"/>
                <w:szCs w:val="24"/>
              </w:rPr>
              <w:t xml:space="preserve">The plaintiff in this matter, </w:t>
            </w:r>
            <w:r>
              <w:rPr>
                <w:rFonts w:ascii="Arial" w:hAnsi="Arial" w:cs="Arial"/>
                <w:sz w:val="24"/>
                <w:szCs w:val="24"/>
              </w:rPr>
              <w:t>Eros Aircraft Services CC (EAS)</w:t>
            </w:r>
            <w:r w:rsidR="001A7411">
              <w:rPr>
                <w:rFonts w:ascii="Arial" w:hAnsi="Arial" w:cs="Arial"/>
                <w:sz w:val="24"/>
                <w:szCs w:val="24"/>
              </w:rPr>
              <w:t xml:space="preserve">, </w:t>
            </w:r>
            <w:r w:rsidR="001A7411" w:rsidRPr="00EB68B8">
              <w:rPr>
                <w:rFonts w:ascii="Arial" w:hAnsi="Arial" w:cs="Arial"/>
                <w:sz w:val="24"/>
                <w:szCs w:val="24"/>
              </w:rPr>
              <w:t>applied</w:t>
            </w:r>
            <w:r w:rsidRPr="00CF2DDC">
              <w:rPr>
                <w:rFonts w:ascii="Arial" w:hAnsi="Arial" w:cs="Arial"/>
                <w:sz w:val="24"/>
                <w:szCs w:val="24"/>
              </w:rPr>
              <w:t xml:space="preserve"> for summary</w:t>
            </w:r>
            <w:r>
              <w:rPr>
                <w:rFonts w:ascii="Arial" w:hAnsi="Arial" w:cs="Arial"/>
                <w:sz w:val="24"/>
                <w:szCs w:val="24"/>
              </w:rPr>
              <w:t xml:space="preserve"> judgment against the first to third </w:t>
            </w:r>
            <w:r w:rsidRPr="00CF2DDC">
              <w:rPr>
                <w:rFonts w:ascii="Arial" w:hAnsi="Arial" w:cs="Arial"/>
                <w:sz w:val="24"/>
                <w:szCs w:val="24"/>
              </w:rPr>
              <w:t>defenda</w:t>
            </w:r>
            <w:r>
              <w:rPr>
                <w:rFonts w:ascii="Arial" w:hAnsi="Arial" w:cs="Arial"/>
                <w:sz w:val="24"/>
                <w:szCs w:val="24"/>
              </w:rPr>
              <w:t>nts. The first to third defendants are Namibia Aviation Services CC (NAS), Windhoek Flight Training Centre CC (WFTC) and Trio Aviation CC (TRIO)</w:t>
            </w:r>
            <w:r w:rsidR="0053389D">
              <w:rPr>
                <w:rFonts w:ascii="Arial" w:hAnsi="Arial" w:cs="Arial"/>
                <w:sz w:val="24"/>
                <w:szCs w:val="24"/>
              </w:rPr>
              <w:t>,</w:t>
            </w:r>
            <w:r>
              <w:rPr>
                <w:rFonts w:ascii="Arial" w:hAnsi="Arial" w:cs="Arial"/>
                <w:sz w:val="24"/>
                <w:szCs w:val="24"/>
              </w:rPr>
              <w:t xml:space="preserve"> of whom Mr Dreyer is the single member. The fourth defendant is the Namibian Airports Company</w:t>
            </w:r>
            <w:r w:rsidR="0053389D">
              <w:rPr>
                <w:rFonts w:ascii="Arial" w:hAnsi="Arial" w:cs="Arial"/>
                <w:sz w:val="24"/>
                <w:szCs w:val="24"/>
              </w:rPr>
              <w:t>. However</w:t>
            </w:r>
            <w:r>
              <w:rPr>
                <w:rFonts w:ascii="Arial" w:hAnsi="Arial" w:cs="Arial"/>
                <w:sz w:val="24"/>
                <w:szCs w:val="24"/>
              </w:rPr>
              <w:t>, no relief is sought against the fourth defendant.</w:t>
            </w:r>
          </w:p>
          <w:p w:rsidR="00E74A40" w:rsidRPr="007D65EE" w:rsidRDefault="00E74A40" w:rsidP="00E74A40">
            <w:pPr>
              <w:pStyle w:val="ListParagraph"/>
              <w:rPr>
                <w:rFonts w:ascii="Arial" w:hAnsi="Arial" w:cs="Arial"/>
                <w:sz w:val="24"/>
                <w:szCs w:val="24"/>
              </w:rPr>
            </w:pPr>
          </w:p>
          <w:p w:rsidR="00E74A40" w:rsidRPr="002C075D"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sidRPr="002C075D">
              <w:rPr>
                <w:rFonts w:ascii="Arial" w:hAnsi="Arial" w:cs="Arial"/>
                <w:sz w:val="24"/>
                <w:szCs w:val="24"/>
              </w:rPr>
              <w:t>The plaintiff instituted action against the defendants on 2 February 2023</w:t>
            </w:r>
            <w:r w:rsidR="00EB68B8">
              <w:rPr>
                <w:rFonts w:ascii="Arial" w:hAnsi="Arial" w:cs="Arial"/>
                <w:sz w:val="24"/>
                <w:szCs w:val="24"/>
              </w:rPr>
              <w:t>,</w:t>
            </w:r>
            <w:r w:rsidR="0053389D">
              <w:rPr>
                <w:rFonts w:ascii="Arial" w:hAnsi="Arial" w:cs="Arial"/>
                <w:sz w:val="24"/>
                <w:szCs w:val="24"/>
              </w:rPr>
              <w:t xml:space="preserve"> </w:t>
            </w:r>
            <w:r w:rsidR="002138AA">
              <w:rPr>
                <w:rFonts w:ascii="Arial" w:hAnsi="Arial" w:cs="Arial"/>
                <w:sz w:val="24"/>
                <w:szCs w:val="24"/>
              </w:rPr>
              <w:t xml:space="preserve">which was </w:t>
            </w:r>
            <w:r w:rsidR="0053389D">
              <w:rPr>
                <w:rFonts w:ascii="Arial" w:hAnsi="Arial" w:cs="Arial"/>
                <w:sz w:val="24"/>
                <w:szCs w:val="24"/>
              </w:rPr>
              <w:t>defended</w:t>
            </w:r>
            <w:r w:rsidRPr="002C075D">
              <w:rPr>
                <w:rFonts w:ascii="Arial" w:hAnsi="Arial" w:cs="Arial"/>
                <w:sz w:val="24"/>
                <w:szCs w:val="24"/>
              </w:rPr>
              <w:t xml:space="preserve"> by the first to the third defendants on 20 February 2023.</w:t>
            </w:r>
          </w:p>
          <w:p w:rsidR="00E74A40" w:rsidRDefault="00E74A40" w:rsidP="00E74A40">
            <w:pPr>
              <w:pStyle w:val="ListParagraph"/>
              <w:spacing w:line="360" w:lineRule="auto"/>
              <w:rPr>
                <w:rFonts w:ascii="Arial" w:hAnsi="Arial" w:cs="Arial"/>
                <w:sz w:val="24"/>
                <w:szCs w:val="24"/>
              </w:rPr>
            </w:pPr>
          </w:p>
          <w:p w:rsidR="00E74A40" w:rsidRDefault="00E74A40" w:rsidP="00E74A40">
            <w:pPr>
              <w:pStyle w:val="ListParagraph"/>
              <w:spacing w:line="360" w:lineRule="auto"/>
              <w:ind w:left="0" w:right="152"/>
              <w:contextualSpacing w:val="0"/>
              <w:jc w:val="both"/>
              <w:rPr>
                <w:rFonts w:ascii="Arial" w:hAnsi="Arial" w:cs="Arial"/>
                <w:sz w:val="24"/>
                <w:szCs w:val="24"/>
                <w:u w:val="single"/>
              </w:rPr>
            </w:pPr>
            <w:r>
              <w:rPr>
                <w:rFonts w:ascii="Arial" w:hAnsi="Arial" w:cs="Arial"/>
                <w:sz w:val="24"/>
                <w:szCs w:val="24"/>
                <w:u w:val="single"/>
              </w:rPr>
              <w:t>Background</w:t>
            </w:r>
          </w:p>
          <w:p w:rsidR="0053389D" w:rsidRPr="00CF2DDC" w:rsidRDefault="0053389D" w:rsidP="00E74A40">
            <w:pPr>
              <w:pStyle w:val="ListParagraph"/>
              <w:spacing w:line="360" w:lineRule="auto"/>
              <w:ind w:left="0" w:right="152"/>
              <w:contextualSpacing w:val="0"/>
              <w:jc w:val="both"/>
              <w:rPr>
                <w:rFonts w:ascii="Arial" w:hAnsi="Arial" w:cs="Arial"/>
                <w:sz w:val="24"/>
                <w:szCs w:val="24"/>
                <w:u w:val="single"/>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sidRPr="00CF2DDC">
              <w:rPr>
                <w:rFonts w:ascii="Arial" w:hAnsi="Arial" w:cs="Arial"/>
                <w:sz w:val="24"/>
                <w:szCs w:val="24"/>
              </w:rPr>
              <w:t>The plaintiff</w:t>
            </w:r>
            <w:r>
              <w:rPr>
                <w:rFonts w:ascii="Arial" w:hAnsi="Arial" w:cs="Arial"/>
                <w:sz w:val="24"/>
                <w:szCs w:val="24"/>
              </w:rPr>
              <w:t xml:space="preserve"> pleads that it entered into a lease agreement with the fourth defendant</w:t>
            </w:r>
            <w:r w:rsidR="0053389D">
              <w:rPr>
                <w:rFonts w:ascii="Arial" w:hAnsi="Arial" w:cs="Arial"/>
                <w:sz w:val="24"/>
                <w:szCs w:val="24"/>
              </w:rPr>
              <w:t>,</w:t>
            </w:r>
            <w:r>
              <w:rPr>
                <w:rFonts w:ascii="Arial" w:hAnsi="Arial" w:cs="Arial"/>
                <w:sz w:val="24"/>
                <w:szCs w:val="24"/>
              </w:rPr>
              <w:t xml:space="preserve"> which commenced on 1 December 200</w:t>
            </w:r>
            <w:r w:rsidR="002138AA">
              <w:rPr>
                <w:rFonts w:ascii="Arial" w:hAnsi="Arial" w:cs="Arial"/>
                <w:sz w:val="24"/>
                <w:szCs w:val="24"/>
              </w:rPr>
              <w:t>9</w:t>
            </w:r>
            <w:r>
              <w:rPr>
                <w:rFonts w:ascii="Arial" w:hAnsi="Arial" w:cs="Arial"/>
                <w:sz w:val="24"/>
                <w:szCs w:val="24"/>
              </w:rPr>
              <w:t>. The terms of the agreement were that the plaintiff would lease a portion of developed and/or undeveloped land at the Eros Airport measuring 660m² and 560m².  The lease became operational on 1 December 2009 and continues for 168 months until 30 November 2023.</w:t>
            </w:r>
          </w:p>
          <w:p w:rsidR="00E74A40" w:rsidRDefault="00E74A40" w:rsidP="00E74A40">
            <w:pPr>
              <w:pStyle w:val="ListParagraph"/>
              <w:spacing w:line="360" w:lineRule="auto"/>
              <w:ind w:left="0" w:right="152"/>
              <w:contextualSpacing w:val="0"/>
              <w:jc w:val="both"/>
              <w:rPr>
                <w:rFonts w:ascii="Arial" w:hAnsi="Arial" w:cs="Arial"/>
                <w:sz w:val="24"/>
                <w:szCs w:val="24"/>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Pr>
                <w:rFonts w:ascii="Arial" w:hAnsi="Arial" w:cs="Arial"/>
                <w:sz w:val="24"/>
                <w:szCs w:val="24"/>
              </w:rPr>
              <w:t>The premises comprise of Hanger 1, Hangar 2 and the shade ports.</w:t>
            </w:r>
          </w:p>
          <w:p w:rsidR="00E74A40" w:rsidRPr="00CF2DDC" w:rsidRDefault="00E74A40" w:rsidP="00E74A40">
            <w:pPr>
              <w:pStyle w:val="ListParagraph"/>
              <w:spacing w:line="360" w:lineRule="auto"/>
              <w:ind w:left="0" w:right="152"/>
              <w:contextualSpacing w:val="0"/>
              <w:jc w:val="both"/>
              <w:rPr>
                <w:rFonts w:ascii="Arial" w:hAnsi="Arial" w:cs="Arial"/>
                <w:sz w:val="24"/>
                <w:szCs w:val="24"/>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Pr>
                <w:rFonts w:ascii="Arial" w:hAnsi="Arial" w:cs="Arial"/>
                <w:sz w:val="24"/>
                <w:szCs w:val="24"/>
              </w:rPr>
              <w:t>The plaintiff pleads that the first, second and third defendants unlawfully occupy Hangar 1 and the shade ports.</w:t>
            </w:r>
          </w:p>
          <w:p w:rsidR="00E74A40" w:rsidRPr="007D65EE" w:rsidRDefault="00E74A40" w:rsidP="00E74A40">
            <w:pPr>
              <w:pStyle w:val="ListParagraph"/>
              <w:rPr>
                <w:rFonts w:ascii="Arial" w:hAnsi="Arial" w:cs="Arial"/>
                <w:sz w:val="24"/>
                <w:szCs w:val="24"/>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Pr>
                <w:rFonts w:ascii="Arial" w:hAnsi="Arial" w:cs="Arial"/>
                <w:sz w:val="24"/>
                <w:szCs w:val="24"/>
              </w:rPr>
              <w:t>The plaintiff pleads that on 15 December 2020</w:t>
            </w:r>
            <w:r w:rsidR="0053389D">
              <w:rPr>
                <w:rFonts w:ascii="Arial" w:hAnsi="Arial" w:cs="Arial"/>
                <w:sz w:val="24"/>
                <w:szCs w:val="24"/>
              </w:rPr>
              <w:t>,</w:t>
            </w:r>
            <w:r>
              <w:rPr>
                <w:rFonts w:ascii="Arial" w:hAnsi="Arial" w:cs="Arial"/>
                <w:sz w:val="24"/>
                <w:szCs w:val="24"/>
              </w:rPr>
              <w:t xml:space="preserve"> it gave the defendants written notice to vacate the premises. The defendant refused to vacate the premises. </w:t>
            </w:r>
          </w:p>
          <w:p w:rsidR="00E74A40" w:rsidRDefault="00E74A40" w:rsidP="00E74A40">
            <w:pPr>
              <w:pStyle w:val="ListParagraph"/>
              <w:spacing w:line="360" w:lineRule="auto"/>
              <w:rPr>
                <w:rFonts w:ascii="Arial" w:hAnsi="Arial" w:cs="Arial"/>
                <w:sz w:val="24"/>
                <w:szCs w:val="24"/>
              </w:rPr>
            </w:pPr>
          </w:p>
          <w:p w:rsidR="00E74A40" w:rsidRDefault="00E74A40" w:rsidP="00E74A40">
            <w:pPr>
              <w:pStyle w:val="ListParagraph"/>
              <w:spacing w:line="360" w:lineRule="auto"/>
              <w:rPr>
                <w:rFonts w:ascii="Arial" w:hAnsi="Arial" w:cs="Arial"/>
                <w:sz w:val="24"/>
                <w:szCs w:val="24"/>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sidRPr="0012601C">
              <w:rPr>
                <w:rFonts w:ascii="Arial" w:hAnsi="Arial" w:cs="Arial"/>
                <w:sz w:val="24"/>
                <w:szCs w:val="24"/>
              </w:rPr>
              <w:lastRenderedPageBreak/>
              <w:t xml:space="preserve">In summary, the plaintiff sought </w:t>
            </w:r>
            <w:r>
              <w:rPr>
                <w:rFonts w:ascii="Arial" w:hAnsi="Arial" w:cs="Arial"/>
                <w:sz w:val="24"/>
                <w:szCs w:val="24"/>
              </w:rPr>
              <w:t xml:space="preserve">to evict the first to the third defendants from that portion of the premises, further </w:t>
            </w:r>
            <w:r w:rsidR="002138AA">
              <w:rPr>
                <w:rFonts w:ascii="Arial" w:hAnsi="Arial" w:cs="Arial"/>
                <w:sz w:val="24"/>
                <w:szCs w:val="24"/>
              </w:rPr>
              <w:t xml:space="preserve">claims further </w:t>
            </w:r>
            <w:r>
              <w:rPr>
                <w:rFonts w:ascii="Arial" w:hAnsi="Arial" w:cs="Arial"/>
                <w:sz w:val="24"/>
                <w:szCs w:val="24"/>
              </w:rPr>
              <w:t xml:space="preserve">and/or alternative relief and cost of suit. </w:t>
            </w:r>
          </w:p>
          <w:p w:rsidR="002138AA" w:rsidRDefault="002138AA" w:rsidP="002138AA">
            <w:pPr>
              <w:pStyle w:val="ListParagraph"/>
              <w:spacing w:line="360" w:lineRule="auto"/>
              <w:ind w:left="0" w:right="152"/>
              <w:contextualSpacing w:val="0"/>
              <w:jc w:val="both"/>
              <w:rPr>
                <w:rFonts w:ascii="Arial" w:hAnsi="Arial" w:cs="Arial"/>
                <w:sz w:val="24"/>
                <w:szCs w:val="24"/>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Pr>
                <w:rFonts w:ascii="Arial" w:hAnsi="Arial" w:cs="Arial"/>
                <w:sz w:val="24"/>
                <w:szCs w:val="24"/>
              </w:rPr>
              <w:t xml:space="preserve">The applicant now seeks summary judgment against the first to third defendants. </w:t>
            </w:r>
          </w:p>
          <w:p w:rsidR="00E74A40" w:rsidRDefault="00E74A40" w:rsidP="00E74A40">
            <w:pPr>
              <w:pStyle w:val="ListParagraph"/>
              <w:spacing w:line="360" w:lineRule="auto"/>
              <w:rPr>
                <w:rFonts w:ascii="Arial" w:hAnsi="Arial" w:cs="Arial"/>
                <w:sz w:val="24"/>
                <w:szCs w:val="24"/>
              </w:rPr>
            </w:pPr>
          </w:p>
          <w:p w:rsidR="00E74A40" w:rsidRPr="00CF2DDC" w:rsidRDefault="00E74A40" w:rsidP="00E74A40">
            <w:pPr>
              <w:pStyle w:val="ListParagraph"/>
              <w:spacing w:line="360" w:lineRule="auto"/>
              <w:ind w:left="0" w:right="152"/>
              <w:contextualSpacing w:val="0"/>
              <w:jc w:val="both"/>
              <w:rPr>
                <w:rFonts w:ascii="Arial" w:hAnsi="Arial" w:cs="Arial"/>
                <w:sz w:val="24"/>
                <w:szCs w:val="24"/>
                <w:u w:val="single"/>
              </w:rPr>
            </w:pPr>
            <w:r w:rsidRPr="00CF2DDC">
              <w:rPr>
                <w:rFonts w:ascii="Arial" w:hAnsi="Arial" w:cs="Arial"/>
                <w:sz w:val="24"/>
                <w:szCs w:val="24"/>
                <w:u w:val="single"/>
              </w:rPr>
              <w:t>Application for summary judgment</w:t>
            </w:r>
          </w:p>
          <w:p w:rsidR="00E74A40" w:rsidRDefault="00E74A40" w:rsidP="00E74A40">
            <w:pPr>
              <w:pStyle w:val="ListParagraph"/>
              <w:spacing w:line="360" w:lineRule="auto"/>
              <w:rPr>
                <w:rFonts w:ascii="Arial" w:hAnsi="Arial" w:cs="Arial"/>
                <w:sz w:val="24"/>
                <w:szCs w:val="24"/>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sidRPr="00CF2DDC">
              <w:rPr>
                <w:rFonts w:ascii="Arial" w:hAnsi="Arial" w:cs="Arial"/>
                <w:sz w:val="24"/>
                <w:szCs w:val="24"/>
              </w:rPr>
              <w:t>Rule 60(2) of the Rules of Court sets out the averments that must be made by a party seeking summary judgment. The deponent must swear positively to the facts verifying the cause of action and the amount, if any, claimed and stating that</w:t>
            </w:r>
            <w:r w:rsidR="0053389D">
              <w:rPr>
                <w:rFonts w:ascii="Arial" w:hAnsi="Arial" w:cs="Arial"/>
                <w:sz w:val="24"/>
                <w:szCs w:val="24"/>
              </w:rPr>
              <w:t>,</w:t>
            </w:r>
            <w:r w:rsidRPr="00CF2DDC">
              <w:rPr>
                <w:rFonts w:ascii="Arial" w:hAnsi="Arial" w:cs="Arial"/>
                <w:sz w:val="24"/>
                <w:szCs w:val="24"/>
              </w:rPr>
              <w:t xml:space="preserve"> in his or her opinion</w:t>
            </w:r>
            <w:r w:rsidR="0053389D">
              <w:rPr>
                <w:rFonts w:ascii="Arial" w:hAnsi="Arial" w:cs="Arial"/>
                <w:sz w:val="24"/>
                <w:szCs w:val="24"/>
              </w:rPr>
              <w:t>,</w:t>
            </w:r>
            <w:r w:rsidRPr="00CF2DDC">
              <w:rPr>
                <w:rFonts w:ascii="Arial" w:hAnsi="Arial" w:cs="Arial"/>
                <w:sz w:val="24"/>
                <w:szCs w:val="24"/>
              </w:rPr>
              <w:t xml:space="preserve"> there is no bona fide defence to the action and that the intention to defend has been delivered solely for the purpose of delay.</w:t>
            </w:r>
          </w:p>
          <w:p w:rsidR="00E74A40" w:rsidRDefault="00E74A40" w:rsidP="00E74A40">
            <w:pPr>
              <w:pStyle w:val="ListParagraph"/>
              <w:spacing w:line="360" w:lineRule="auto"/>
              <w:rPr>
                <w:rFonts w:ascii="Arial" w:hAnsi="Arial" w:cs="Arial"/>
                <w:sz w:val="24"/>
                <w:szCs w:val="24"/>
              </w:rPr>
            </w:pPr>
          </w:p>
          <w:p w:rsidR="00E74A40" w:rsidRDefault="00EB68B8" w:rsidP="00EB68B8">
            <w:pPr>
              <w:pStyle w:val="ListParagraph"/>
              <w:numPr>
                <w:ilvl w:val="0"/>
                <w:numId w:val="8"/>
              </w:numPr>
              <w:spacing w:line="360" w:lineRule="auto"/>
              <w:ind w:left="0" w:firstLine="0"/>
              <w:contextualSpacing w:val="0"/>
              <w:jc w:val="both"/>
              <w:rPr>
                <w:rFonts w:ascii="Arial" w:hAnsi="Arial" w:cs="Arial"/>
                <w:sz w:val="24"/>
                <w:szCs w:val="24"/>
              </w:rPr>
            </w:pPr>
            <w:r w:rsidRPr="00EB68B8">
              <w:rPr>
                <w:rFonts w:ascii="Arial" w:hAnsi="Arial" w:cs="Arial"/>
                <w:sz w:val="24"/>
                <w:szCs w:val="24"/>
              </w:rPr>
              <w:t>Mr Frank Stein, the sole member of the plaintiff, deposed to the founding affidavit to the summary judgment application</w:t>
            </w:r>
            <w:r>
              <w:rPr>
                <w:rFonts w:ascii="Arial" w:hAnsi="Arial" w:cs="Arial"/>
                <w:sz w:val="24"/>
                <w:szCs w:val="24"/>
              </w:rPr>
              <w:t>. I</w:t>
            </w:r>
            <w:r w:rsidR="002138AA">
              <w:rPr>
                <w:rFonts w:ascii="Arial" w:hAnsi="Arial" w:cs="Arial"/>
                <w:sz w:val="24"/>
                <w:szCs w:val="24"/>
              </w:rPr>
              <w:t xml:space="preserve"> am satisfied that </w:t>
            </w:r>
            <w:r w:rsidR="00E74A40">
              <w:rPr>
                <w:rFonts w:ascii="Arial" w:hAnsi="Arial" w:cs="Arial"/>
                <w:sz w:val="24"/>
                <w:szCs w:val="24"/>
              </w:rPr>
              <w:t>the affidavit</w:t>
            </w:r>
            <w:r w:rsidR="00E74A40" w:rsidRPr="00CF2DDC">
              <w:rPr>
                <w:rFonts w:ascii="Arial" w:hAnsi="Arial" w:cs="Arial"/>
                <w:sz w:val="24"/>
                <w:szCs w:val="24"/>
              </w:rPr>
              <w:t xml:space="preserve"> contains the necessary averments.</w:t>
            </w:r>
          </w:p>
          <w:p w:rsidR="00E74A40" w:rsidRDefault="00E74A40" w:rsidP="00E74A40">
            <w:pPr>
              <w:pStyle w:val="ListParagraph"/>
              <w:spacing w:line="360" w:lineRule="auto"/>
              <w:rPr>
                <w:rFonts w:ascii="Arial" w:hAnsi="Arial" w:cs="Arial"/>
                <w:sz w:val="24"/>
                <w:szCs w:val="24"/>
              </w:rPr>
            </w:pPr>
          </w:p>
          <w:p w:rsidR="00E74A40" w:rsidRDefault="00E74A40" w:rsidP="00E74A40">
            <w:pPr>
              <w:pStyle w:val="ListParagraph"/>
              <w:numPr>
                <w:ilvl w:val="0"/>
                <w:numId w:val="8"/>
              </w:numPr>
              <w:spacing w:line="360" w:lineRule="auto"/>
              <w:ind w:left="0" w:firstLine="0"/>
              <w:contextualSpacing w:val="0"/>
              <w:jc w:val="both"/>
              <w:rPr>
                <w:rFonts w:ascii="Arial" w:hAnsi="Arial" w:cs="Arial"/>
                <w:sz w:val="24"/>
                <w:szCs w:val="24"/>
              </w:rPr>
            </w:pPr>
            <w:r w:rsidRPr="00775411">
              <w:rPr>
                <w:rFonts w:ascii="Arial" w:hAnsi="Arial" w:cs="Arial"/>
                <w:sz w:val="24"/>
                <w:szCs w:val="24"/>
              </w:rPr>
              <w:t xml:space="preserve">The summary judgment procedure aims to provide a plaintiff with a </w:t>
            </w:r>
            <w:r>
              <w:rPr>
                <w:rFonts w:ascii="Arial" w:hAnsi="Arial" w:cs="Arial"/>
                <w:sz w:val="24"/>
                <w:szCs w:val="24"/>
              </w:rPr>
              <w:t>clear</w:t>
            </w:r>
            <w:r w:rsidRPr="00775411">
              <w:rPr>
                <w:rFonts w:ascii="Arial" w:hAnsi="Arial" w:cs="Arial"/>
                <w:sz w:val="24"/>
                <w:szCs w:val="24"/>
              </w:rPr>
              <w:t xml:space="preserve"> case </w:t>
            </w:r>
            <w:r w:rsidR="00A06EFA">
              <w:rPr>
                <w:rFonts w:ascii="Arial" w:hAnsi="Arial" w:cs="Arial"/>
                <w:sz w:val="24"/>
                <w:szCs w:val="24"/>
              </w:rPr>
              <w:t xml:space="preserve">and </w:t>
            </w:r>
            <w:r w:rsidRPr="00775411">
              <w:rPr>
                <w:rFonts w:ascii="Arial" w:hAnsi="Arial" w:cs="Arial"/>
                <w:sz w:val="24"/>
                <w:szCs w:val="24"/>
              </w:rPr>
              <w:t xml:space="preserve">the opportunity to swiftly enforce </w:t>
            </w:r>
            <w:r w:rsidR="002138AA">
              <w:rPr>
                <w:rFonts w:ascii="Arial" w:hAnsi="Arial" w:cs="Arial"/>
                <w:sz w:val="24"/>
                <w:szCs w:val="24"/>
              </w:rPr>
              <w:t>his/her</w:t>
            </w:r>
            <w:r w:rsidRPr="00775411">
              <w:rPr>
                <w:rFonts w:ascii="Arial" w:hAnsi="Arial" w:cs="Arial"/>
                <w:sz w:val="24"/>
                <w:szCs w:val="24"/>
              </w:rPr>
              <w:t xml:space="preserve"> claim against a defendant who lacks a </w:t>
            </w:r>
            <w:r>
              <w:rPr>
                <w:rFonts w:ascii="Arial" w:hAnsi="Arial" w:cs="Arial"/>
                <w:sz w:val="24"/>
                <w:szCs w:val="24"/>
              </w:rPr>
              <w:t xml:space="preserve">real </w:t>
            </w:r>
            <w:r w:rsidRPr="00775411">
              <w:rPr>
                <w:rFonts w:ascii="Arial" w:hAnsi="Arial" w:cs="Arial"/>
                <w:sz w:val="24"/>
                <w:szCs w:val="24"/>
              </w:rPr>
              <w:t>defen</w:t>
            </w:r>
            <w:r>
              <w:rPr>
                <w:rFonts w:ascii="Arial" w:hAnsi="Arial" w:cs="Arial"/>
                <w:sz w:val="24"/>
                <w:szCs w:val="24"/>
              </w:rPr>
              <w:t>c</w:t>
            </w:r>
            <w:r w:rsidRPr="00775411">
              <w:rPr>
                <w:rFonts w:ascii="Arial" w:hAnsi="Arial" w:cs="Arial"/>
                <w:sz w:val="24"/>
                <w:szCs w:val="24"/>
              </w:rPr>
              <w:t>e</w:t>
            </w:r>
            <w:r>
              <w:rPr>
                <w:rFonts w:ascii="Arial" w:hAnsi="Arial" w:cs="Arial"/>
                <w:sz w:val="24"/>
                <w:szCs w:val="24"/>
              </w:rPr>
              <w:t xml:space="preserve"> to that claim</w:t>
            </w:r>
            <w:r w:rsidR="00A06EFA">
              <w:rPr>
                <w:rFonts w:ascii="Arial" w:hAnsi="Arial" w:cs="Arial"/>
                <w:sz w:val="24"/>
                <w:szCs w:val="24"/>
              </w:rPr>
              <w:t>.</w:t>
            </w:r>
            <w:r w:rsidR="0053389D" w:rsidRPr="00CF2DDC">
              <w:rPr>
                <w:rStyle w:val="FootnoteReference"/>
                <w:rFonts w:ascii="Arial" w:hAnsi="Arial" w:cs="Arial"/>
                <w:sz w:val="24"/>
                <w:szCs w:val="24"/>
              </w:rPr>
              <w:footnoteReference w:id="1"/>
            </w:r>
          </w:p>
          <w:p w:rsidR="00E74A40" w:rsidRPr="00775411" w:rsidRDefault="00E74A40" w:rsidP="00E74A40">
            <w:pPr>
              <w:pStyle w:val="ListParagraph"/>
              <w:rPr>
                <w:rFonts w:ascii="Arial" w:hAnsi="Arial" w:cs="Arial"/>
                <w:sz w:val="24"/>
                <w:szCs w:val="24"/>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sidRPr="00CF2DDC">
              <w:rPr>
                <w:rFonts w:ascii="Arial" w:hAnsi="Arial" w:cs="Arial"/>
                <w:sz w:val="24"/>
                <w:szCs w:val="24"/>
              </w:rPr>
              <w:t>This court has discretion on whether or not to grant summary judgment. Due to th</w:t>
            </w:r>
            <w:r w:rsidR="0053389D">
              <w:rPr>
                <w:rFonts w:ascii="Arial" w:hAnsi="Arial" w:cs="Arial"/>
                <w:sz w:val="24"/>
                <w:szCs w:val="24"/>
              </w:rPr>
              <w:t>is</w:t>
            </w:r>
            <w:r w:rsidRPr="00CF2DDC">
              <w:rPr>
                <w:rFonts w:ascii="Arial" w:hAnsi="Arial" w:cs="Arial"/>
                <w:sz w:val="24"/>
                <w:szCs w:val="24"/>
              </w:rPr>
              <w:t xml:space="preserve"> </w:t>
            </w:r>
            <w:r w:rsidR="0053389D">
              <w:rPr>
                <w:rFonts w:ascii="Arial" w:hAnsi="Arial" w:cs="Arial"/>
                <w:sz w:val="24"/>
                <w:szCs w:val="24"/>
              </w:rPr>
              <w:t xml:space="preserve">remedy’s </w:t>
            </w:r>
            <w:r w:rsidR="0053389D" w:rsidRPr="00CF2DDC">
              <w:rPr>
                <w:rFonts w:ascii="Arial" w:hAnsi="Arial" w:cs="Arial"/>
                <w:sz w:val="24"/>
                <w:szCs w:val="24"/>
              </w:rPr>
              <w:t>stringent and drastic nature</w:t>
            </w:r>
            <w:r w:rsidRPr="00CF2DDC">
              <w:rPr>
                <w:rFonts w:ascii="Arial" w:hAnsi="Arial" w:cs="Arial"/>
                <w:sz w:val="24"/>
                <w:szCs w:val="24"/>
              </w:rPr>
              <w:t>, the court</w:t>
            </w:r>
            <w:r w:rsidR="0053389D">
              <w:rPr>
                <w:rFonts w:ascii="Arial" w:hAnsi="Arial" w:cs="Arial"/>
                <w:sz w:val="24"/>
                <w:szCs w:val="24"/>
              </w:rPr>
              <w:t>,</w:t>
            </w:r>
            <w:r w:rsidRPr="00CF2DDC">
              <w:rPr>
                <w:rFonts w:ascii="Arial" w:hAnsi="Arial" w:cs="Arial"/>
                <w:sz w:val="24"/>
                <w:szCs w:val="24"/>
              </w:rPr>
              <w:t xml:space="preserve"> in exercising its discretion, may refuse summary judgment even if a defendant has not found security or where the defendant’s answering affidavit does not satisfy the requirements of rule 60(5)(</w:t>
            </w:r>
            <w:r w:rsidRPr="00EB68B8">
              <w:rPr>
                <w:rFonts w:ascii="Arial" w:hAnsi="Arial" w:cs="Arial"/>
                <w:i/>
                <w:sz w:val="24"/>
                <w:szCs w:val="24"/>
              </w:rPr>
              <w:t>b</w:t>
            </w:r>
            <w:r w:rsidRPr="00CF2DDC">
              <w:rPr>
                <w:rFonts w:ascii="Arial" w:hAnsi="Arial" w:cs="Arial"/>
                <w:sz w:val="24"/>
                <w:szCs w:val="24"/>
              </w:rPr>
              <w:t>).</w:t>
            </w:r>
          </w:p>
          <w:p w:rsidR="00E74A40" w:rsidRPr="00D13A23" w:rsidRDefault="00E74A40" w:rsidP="00E74A40">
            <w:pPr>
              <w:pStyle w:val="ListParagraph"/>
              <w:rPr>
                <w:rFonts w:ascii="Arial" w:hAnsi="Arial" w:cs="Arial"/>
                <w:sz w:val="24"/>
                <w:szCs w:val="24"/>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sidRPr="00CF2DDC">
              <w:rPr>
                <w:rFonts w:ascii="Arial" w:hAnsi="Arial" w:cs="Arial"/>
                <w:sz w:val="24"/>
                <w:szCs w:val="24"/>
              </w:rPr>
              <w:t xml:space="preserve">In </w:t>
            </w:r>
            <w:r w:rsidRPr="00CF2DDC">
              <w:rPr>
                <w:rFonts w:ascii="Arial" w:hAnsi="Arial" w:cs="Arial"/>
                <w:i/>
                <w:sz w:val="24"/>
                <w:szCs w:val="24"/>
              </w:rPr>
              <w:t>Namibia Airports Company Limited v Conradie</w:t>
            </w:r>
            <w:r w:rsidR="0053389D">
              <w:rPr>
                <w:rFonts w:ascii="Arial" w:hAnsi="Arial" w:cs="Arial"/>
                <w:i/>
                <w:sz w:val="24"/>
                <w:szCs w:val="24"/>
              </w:rPr>
              <w:t>,</w:t>
            </w:r>
            <w:r w:rsidRPr="00CF2DDC">
              <w:rPr>
                <w:rStyle w:val="FootnoteReference"/>
                <w:rFonts w:ascii="Arial" w:hAnsi="Arial" w:cs="Arial"/>
                <w:sz w:val="24"/>
                <w:szCs w:val="24"/>
              </w:rPr>
              <w:footnoteReference w:id="2"/>
            </w:r>
            <w:r w:rsidRPr="00CF2DDC">
              <w:rPr>
                <w:rFonts w:ascii="Arial" w:hAnsi="Arial" w:cs="Arial"/>
                <w:sz w:val="24"/>
                <w:szCs w:val="24"/>
              </w:rPr>
              <w:t xml:space="preserve"> this court quoted the South African Supreme Court</w:t>
            </w:r>
            <w:r w:rsidR="0053389D">
              <w:rPr>
                <w:rFonts w:ascii="Arial" w:hAnsi="Arial" w:cs="Arial"/>
                <w:sz w:val="24"/>
                <w:szCs w:val="24"/>
              </w:rPr>
              <w:t>,</w:t>
            </w:r>
            <w:r w:rsidRPr="00CF2DDC">
              <w:rPr>
                <w:rFonts w:ascii="Arial" w:hAnsi="Arial" w:cs="Arial"/>
                <w:sz w:val="24"/>
                <w:szCs w:val="24"/>
              </w:rPr>
              <w:t xml:space="preserve"> which held that the court’s discretion in summary judgment applications ‘may be exercised in a defendant’s favour if there is doubt as to whether the plaintiff’s case is unanswerable and there is a reasonable possibility that the defendant’s defence is a good one’.</w:t>
            </w:r>
            <w:r w:rsidRPr="00CF2DDC">
              <w:rPr>
                <w:rStyle w:val="FootnoteReference"/>
                <w:rFonts w:ascii="Arial" w:hAnsi="Arial" w:cs="Arial"/>
                <w:sz w:val="24"/>
                <w:szCs w:val="24"/>
              </w:rPr>
              <w:footnoteReference w:id="3"/>
            </w:r>
          </w:p>
          <w:p w:rsidR="00E74A40" w:rsidRDefault="00E74A40" w:rsidP="00E74A40">
            <w:pPr>
              <w:pStyle w:val="ListParagraph"/>
              <w:spacing w:line="360" w:lineRule="auto"/>
              <w:rPr>
                <w:rFonts w:ascii="Arial" w:hAnsi="Arial" w:cs="Arial"/>
                <w:sz w:val="24"/>
                <w:szCs w:val="24"/>
              </w:rPr>
            </w:pPr>
          </w:p>
          <w:p w:rsidR="00EB68B8" w:rsidRDefault="00EB68B8" w:rsidP="00EB68B8">
            <w:pPr>
              <w:pStyle w:val="ListParagraph"/>
              <w:spacing w:line="360" w:lineRule="auto"/>
              <w:ind w:left="0"/>
              <w:jc w:val="both"/>
              <w:rPr>
                <w:rFonts w:ascii="Arial" w:hAnsi="Arial" w:cs="Arial"/>
                <w:sz w:val="24"/>
                <w:szCs w:val="24"/>
              </w:rPr>
            </w:pPr>
          </w:p>
          <w:p w:rsidR="00EB68B8" w:rsidRDefault="00EB68B8" w:rsidP="00EB68B8">
            <w:pPr>
              <w:pStyle w:val="ListParagraph"/>
              <w:spacing w:line="360" w:lineRule="auto"/>
              <w:ind w:left="0"/>
              <w:jc w:val="both"/>
              <w:rPr>
                <w:rFonts w:ascii="Arial" w:hAnsi="Arial" w:cs="Arial"/>
                <w:sz w:val="24"/>
                <w:szCs w:val="24"/>
              </w:rPr>
            </w:pPr>
          </w:p>
          <w:p w:rsidR="00EB68B8" w:rsidRPr="00EB68B8" w:rsidRDefault="00EB68B8" w:rsidP="00EB68B8">
            <w:pPr>
              <w:pStyle w:val="ListParagraph"/>
              <w:rPr>
                <w:rFonts w:ascii="Arial" w:hAnsi="Arial" w:cs="Arial"/>
                <w:sz w:val="24"/>
                <w:szCs w:val="24"/>
              </w:rPr>
            </w:pPr>
          </w:p>
          <w:p w:rsidR="00E74A40" w:rsidRPr="00466EF2" w:rsidRDefault="00E74A40" w:rsidP="00E74A40">
            <w:pPr>
              <w:pStyle w:val="ListParagraph"/>
              <w:numPr>
                <w:ilvl w:val="0"/>
                <w:numId w:val="8"/>
              </w:numPr>
              <w:spacing w:line="360" w:lineRule="auto"/>
              <w:ind w:left="0" w:firstLine="0"/>
              <w:jc w:val="both"/>
              <w:rPr>
                <w:rFonts w:ascii="Arial" w:hAnsi="Arial" w:cs="Arial"/>
                <w:sz w:val="24"/>
                <w:szCs w:val="24"/>
              </w:rPr>
            </w:pPr>
            <w:r>
              <w:rPr>
                <w:rFonts w:ascii="Arial" w:hAnsi="Arial" w:cs="Arial"/>
                <w:sz w:val="24"/>
                <w:szCs w:val="24"/>
              </w:rPr>
              <w:lastRenderedPageBreak/>
              <w:t>T</w:t>
            </w:r>
            <w:r w:rsidRPr="00023A84">
              <w:rPr>
                <w:rFonts w:ascii="Arial" w:hAnsi="Arial" w:cs="Arial"/>
                <w:sz w:val="24"/>
                <w:szCs w:val="24"/>
              </w:rPr>
              <w:t>he threshold to ward off summary judgment proceedings is</w:t>
            </w:r>
            <w:r w:rsidR="00EB68B8">
              <w:rPr>
                <w:rFonts w:ascii="Arial" w:hAnsi="Arial" w:cs="Arial"/>
                <w:sz w:val="24"/>
                <w:szCs w:val="24"/>
              </w:rPr>
              <w:t>,</w:t>
            </w:r>
            <w:r w:rsidRPr="00023A84">
              <w:rPr>
                <w:rFonts w:ascii="Arial" w:hAnsi="Arial" w:cs="Arial"/>
                <w:sz w:val="24"/>
                <w:szCs w:val="24"/>
              </w:rPr>
              <w:t xml:space="preserve"> </w:t>
            </w:r>
            <w:r w:rsidR="002138AA">
              <w:rPr>
                <w:rFonts w:ascii="Arial" w:hAnsi="Arial" w:cs="Arial"/>
                <w:sz w:val="24"/>
                <w:szCs w:val="24"/>
              </w:rPr>
              <w:t>therefore</w:t>
            </w:r>
            <w:r w:rsidR="00EB68B8">
              <w:rPr>
                <w:rFonts w:ascii="Arial" w:hAnsi="Arial" w:cs="Arial"/>
                <w:sz w:val="24"/>
                <w:szCs w:val="24"/>
              </w:rPr>
              <w:t>,</w:t>
            </w:r>
            <w:r w:rsidR="002138AA">
              <w:rPr>
                <w:rFonts w:ascii="Arial" w:hAnsi="Arial" w:cs="Arial"/>
                <w:sz w:val="24"/>
                <w:szCs w:val="24"/>
              </w:rPr>
              <w:t xml:space="preserve"> </w:t>
            </w:r>
            <w:r w:rsidRPr="00023A84">
              <w:rPr>
                <w:rFonts w:ascii="Arial" w:hAnsi="Arial" w:cs="Arial"/>
                <w:sz w:val="24"/>
                <w:szCs w:val="24"/>
              </w:rPr>
              <w:t xml:space="preserve">very low. </w:t>
            </w:r>
            <w:r w:rsidR="002138AA">
              <w:rPr>
                <w:rFonts w:ascii="Arial" w:hAnsi="Arial" w:cs="Arial"/>
                <w:sz w:val="24"/>
                <w:szCs w:val="24"/>
              </w:rPr>
              <w:t>T</w:t>
            </w:r>
            <w:r w:rsidRPr="00023A84">
              <w:rPr>
                <w:rFonts w:ascii="Arial" w:hAnsi="Arial" w:cs="Arial"/>
                <w:sz w:val="24"/>
                <w:szCs w:val="24"/>
              </w:rPr>
              <w:t>he Supreme Court</w:t>
            </w:r>
            <w:r w:rsidR="00A53FA6">
              <w:rPr>
                <w:rFonts w:ascii="Arial" w:hAnsi="Arial" w:cs="Arial"/>
                <w:sz w:val="24"/>
                <w:szCs w:val="24"/>
              </w:rPr>
              <w:t xml:space="preserve"> in </w:t>
            </w:r>
            <w:r w:rsidR="00A53FA6" w:rsidRPr="00A53FA6">
              <w:rPr>
                <w:rFonts w:ascii="Arial" w:hAnsi="Arial" w:cs="Arial"/>
                <w:i/>
                <w:sz w:val="24"/>
                <w:szCs w:val="24"/>
                <w:lang w:val="en-US"/>
              </w:rPr>
              <w:t>Di Savino v Nedbank Namibia Ltd</w:t>
            </w:r>
            <w:r w:rsidR="00A53FA6">
              <w:rPr>
                <w:rStyle w:val="FootnoteReference"/>
                <w:rFonts w:ascii="Arial" w:hAnsi="Arial" w:cs="Arial"/>
                <w:sz w:val="24"/>
                <w:szCs w:val="24"/>
              </w:rPr>
              <w:footnoteReference w:id="4"/>
            </w:r>
            <w:r w:rsidR="002138AA">
              <w:rPr>
                <w:rFonts w:ascii="Arial" w:hAnsi="Arial" w:cs="Arial"/>
                <w:i/>
                <w:sz w:val="24"/>
                <w:szCs w:val="24"/>
                <w:lang w:val="en-US"/>
              </w:rPr>
              <w:t xml:space="preserve"> </w:t>
            </w:r>
            <w:r w:rsidR="002138AA" w:rsidRPr="002138AA">
              <w:rPr>
                <w:rFonts w:ascii="Arial" w:hAnsi="Arial" w:cs="Arial"/>
                <w:sz w:val="24"/>
                <w:szCs w:val="24"/>
                <w:lang w:val="en-US"/>
              </w:rPr>
              <w:t>stated as follows:</w:t>
            </w:r>
          </w:p>
          <w:p w:rsidR="00EE3ECD" w:rsidRDefault="00EE3ECD" w:rsidP="00E74A40">
            <w:pPr>
              <w:spacing w:line="360" w:lineRule="auto"/>
              <w:jc w:val="both"/>
              <w:rPr>
                <w:rFonts w:ascii="Arial" w:hAnsi="Arial" w:cs="Arial"/>
              </w:rPr>
            </w:pPr>
          </w:p>
          <w:p w:rsidR="00E74A40" w:rsidRDefault="00EE3ECD" w:rsidP="00E74A40">
            <w:pPr>
              <w:spacing w:line="360" w:lineRule="auto"/>
              <w:jc w:val="both"/>
              <w:rPr>
                <w:rFonts w:ascii="Times New Roman" w:hAnsi="Times New Roman"/>
                <w:sz w:val="24"/>
                <w:szCs w:val="24"/>
              </w:rPr>
            </w:pPr>
            <w:r>
              <w:rPr>
                <w:rFonts w:ascii="Arial" w:hAnsi="Arial" w:cs="Arial"/>
              </w:rPr>
              <w:t xml:space="preserve">          </w:t>
            </w:r>
            <w:r w:rsidR="00E74A40">
              <w:rPr>
                <w:rFonts w:ascii="Arial" w:hAnsi="Arial" w:cs="Arial"/>
              </w:rPr>
              <w:t xml:space="preserve"> ‘</w:t>
            </w:r>
            <w:r w:rsidR="00A53FA6">
              <w:rPr>
                <w:rFonts w:ascii="Arial" w:hAnsi="Arial" w:cs="Arial"/>
              </w:rPr>
              <w:t xml:space="preserve">[26] </w:t>
            </w:r>
            <w:r w:rsidR="00A53FA6" w:rsidRPr="00A53FA6">
              <w:rPr>
                <w:rFonts w:ascii="Arial" w:hAnsi="Arial" w:cs="Arial"/>
              </w:rPr>
              <w:t>Where the defence is based on the interpretation of an agreement, the court does not attempt to determine whether or not the interpretation contended for by the defendant is correct.</w:t>
            </w:r>
            <w:r w:rsidR="00A53FA6">
              <w:rPr>
                <w:rFonts w:ascii="Arial" w:hAnsi="Arial" w:cs="Arial"/>
              </w:rPr>
              <w:t xml:space="preserve"> </w:t>
            </w:r>
            <w:r w:rsidR="00E74A40">
              <w:rPr>
                <w:rFonts w:ascii="Arial" w:hAnsi="Arial" w:cs="Arial"/>
              </w:rPr>
              <w:t>What the court enquires into is whether the defendant has put forward a triable and arguable issue in the sense that there is a reasonable possibility that the interpretation contended for by the defendant may succeed at trial and, if successful, will establish a defence that is good in law.</w:t>
            </w:r>
            <w:r w:rsidR="00E74A40">
              <w:rPr>
                <w:rStyle w:val="FootnoteReference"/>
                <w:rFonts w:ascii="Arial" w:hAnsi="Arial" w:cs="Arial"/>
              </w:rPr>
              <w:footnoteReference w:id="5"/>
            </w:r>
            <w:r w:rsidR="00E74A40">
              <w:rPr>
                <w:rFonts w:ascii="Arial" w:hAnsi="Arial" w:cs="Arial"/>
              </w:rPr>
              <w:t xml:space="preserve">  Similarly, where the defendant relies upon a point of law, the point raised must be arguable and establish a defence that is good in law.</w:t>
            </w:r>
            <w:r w:rsidR="00A06EFA">
              <w:rPr>
                <w:rFonts w:ascii="Arial" w:hAnsi="Arial" w:cs="Arial"/>
              </w:rPr>
              <w:t>’</w:t>
            </w:r>
            <w:r w:rsidR="00E74A40">
              <w:rPr>
                <w:rStyle w:val="FootnoteReference"/>
                <w:rFonts w:ascii="Arial" w:hAnsi="Arial" w:cs="Arial"/>
              </w:rPr>
              <w:footnoteReference w:id="6"/>
            </w:r>
            <w:r w:rsidR="00E74A40">
              <w:rPr>
                <w:rFonts w:ascii="Times New Roman" w:hAnsi="Times New Roman"/>
                <w:sz w:val="24"/>
                <w:szCs w:val="24"/>
                <w:lang w:val="en-US"/>
              </w:rPr>
              <w:t xml:space="preserve"> </w:t>
            </w:r>
          </w:p>
          <w:p w:rsidR="00E74A40" w:rsidRDefault="00E74A40" w:rsidP="00E74A40">
            <w:pPr>
              <w:spacing w:line="360" w:lineRule="auto"/>
              <w:jc w:val="both"/>
              <w:rPr>
                <w:rFonts w:ascii="Times New Roman" w:hAnsi="Times New Roman"/>
                <w:sz w:val="24"/>
                <w:szCs w:val="24"/>
              </w:rPr>
            </w:pPr>
          </w:p>
          <w:p w:rsidR="00E74A40" w:rsidRDefault="00E74A40" w:rsidP="00E74A40">
            <w:pPr>
              <w:pStyle w:val="Heading1"/>
              <w:outlineLvl w:val="0"/>
            </w:pPr>
            <w:r w:rsidRPr="00231EFE">
              <w:t>The defence</w:t>
            </w:r>
          </w:p>
          <w:p w:rsidR="00E74A40" w:rsidRPr="00231EFE" w:rsidRDefault="00E74A40" w:rsidP="00E74A40"/>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Pr>
                <w:rFonts w:ascii="Arial" w:hAnsi="Arial" w:cs="Arial"/>
                <w:sz w:val="24"/>
                <w:szCs w:val="24"/>
              </w:rPr>
              <w:t>T</w:t>
            </w:r>
            <w:r w:rsidRPr="00E464EA">
              <w:rPr>
                <w:rFonts w:ascii="Arial" w:hAnsi="Arial" w:cs="Arial"/>
                <w:sz w:val="24"/>
                <w:szCs w:val="24"/>
              </w:rPr>
              <w:t xml:space="preserve">he summary judgment procedure was designed to </w:t>
            </w:r>
            <w:r w:rsidR="0053389D">
              <w:rPr>
                <w:rFonts w:ascii="Arial" w:hAnsi="Arial" w:cs="Arial"/>
                <w:sz w:val="24"/>
                <w:szCs w:val="24"/>
              </w:rPr>
              <w:t xml:space="preserve">determine </w:t>
            </w:r>
            <w:r w:rsidRPr="00E464EA">
              <w:rPr>
                <w:rFonts w:ascii="Arial" w:hAnsi="Arial" w:cs="Arial"/>
                <w:sz w:val="24"/>
                <w:szCs w:val="24"/>
              </w:rPr>
              <w:t>whether ex facie the defendant's affidavit has shown that he has a bona fide defence and not to try the whole issue.</w:t>
            </w:r>
          </w:p>
          <w:p w:rsidR="00E74A40" w:rsidRDefault="00E74A40" w:rsidP="00E74A40">
            <w:pPr>
              <w:pStyle w:val="ListParagraph"/>
              <w:spacing w:line="360" w:lineRule="auto"/>
              <w:ind w:left="0" w:right="152"/>
              <w:contextualSpacing w:val="0"/>
              <w:jc w:val="both"/>
              <w:rPr>
                <w:rFonts w:ascii="Arial" w:hAnsi="Arial" w:cs="Arial"/>
                <w:sz w:val="24"/>
                <w:szCs w:val="24"/>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Pr>
                <w:rFonts w:ascii="Arial" w:hAnsi="Arial" w:cs="Arial"/>
                <w:sz w:val="24"/>
                <w:szCs w:val="24"/>
              </w:rPr>
              <w:t xml:space="preserve">The defendants claim to have a bona fide defence to the plaintiff’s claim for eviction. The defence is </w:t>
            </w:r>
            <w:r w:rsidR="0053389D">
              <w:rPr>
                <w:rFonts w:ascii="Arial" w:hAnsi="Arial" w:cs="Arial"/>
                <w:sz w:val="24"/>
                <w:szCs w:val="24"/>
              </w:rPr>
              <w:t>first</w:t>
            </w:r>
            <w:r>
              <w:rPr>
                <w:rFonts w:ascii="Arial" w:hAnsi="Arial" w:cs="Arial"/>
                <w:sz w:val="24"/>
                <w:szCs w:val="24"/>
              </w:rPr>
              <w:t xml:space="preserve"> that the particulars of claim are excipiable </w:t>
            </w:r>
            <w:r w:rsidR="00CF31B4">
              <w:rPr>
                <w:rFonts w:ascii="Arial" w:hAnsi="Arial" w:cs="Arial"/>
                <w:sz w:val="24"/>
                <w:szCs w:val="24"/>
              </w:rPr>
              <w:t>because it is</w:t>
            </w:r>
            <w:r>
              <w:rPr>
                <w:rFonts w:ascii="Arial" w:hAnsi="Arial" w:cs="Arial"/>
                <w:sz w:val="24"/>
                <w:szCs w:val="24"/>
              </w:rPr>
              <w:t xml:space="preserve"> vague and embarrassing. The defendants plead that the particulars of claim do not comply with rule 45(7) of the Rules of Court in that no allegation is made as to when and where the agreement was entered into and who signed the lease agreement on behalf of the plaintiff and the fourth defendant. Further</w:t>
            </w:r>
            <w:r w:rsidR="00CF31B4">
              <w:rPr>
                <w:rFonts w:ascii="Arial" w:hAnsi="Arial" w:cs="Arial"/>
                <w:sz w:val="24"/>
                <w:szCs w:val="24"/>
              </w:rPr>
              <w:t>, the</w:t>
            </w:r>
            <w:r>
              <w:rPr>
                <w:rFonts w:ascii="Arial" w:hAnsi="Arial" w:cs="Arial"/>
                <w:sz w:val="24"/>
                <w:szCs w:val="24"/>
              </w:rPr>
              <w:t xml:space="preserve"> premises in the lease agreement are identified as a ‘portion of development and/or undeveloped land at the Eros Airport’. The defendants plead that this description could refer to any portion of land at the Eros Airport, yet the plaintiff intends to link the premises in the lease agreement with Annexure B</w:t>
            </w:r>
            <w:r w:rsidR="002138AA">
              <w:rPr>
                <w:rFonts w:ascii="Arial" w:hAnsi="Arial" w:cs="Arial"/>
                <w:sz w:val="24"/>
                <w:szCs w:val="24"/>
              </w:rPr>
              <w:t xml:space="preserve"> to the particulars of claim, alleging that it is the premises in question</w:t>
            </w:r>
            <w:r w:rsidR="00466EF2">
              <w:rPr>
                <w:rFonts w:ascii="Arial" w:hAnsi="Arial" w:cs="Arial"/>
                <w:sz w:val="24"/>
                <w:szCs w:val="24"/>
              </w:rPr>
              <w:t>.</w:t>
            </w:r>
          </w:p>
          <w:p w:rsidR="00E74A40" w:rsidRDefault="00E74A40" w:rsidP="00E74A40">
            <w:pPr>
              <w:pStyle w:val="ListParagraph"/>
              <w:spacing w:line="360" w:lineRule="auto"/>
              <w:ind w:left="0" w:right="152"/>
              <w:contextualSpacing w:val="0"/>
              <w:jc w:val="both"/>
              <w:rPr>
                <w:rFonts w:ascii="Arial" w:hAnsi="Arial" w:cs="Arial"/>
                <w:sz w:val="24"/>
                <w:szCs w:val="24"/>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Pr>
                <w:rFonts w:ascii="Arial" w:hAnsi="Arial" w:cs="Arial"/>
                <w:sz w:val="24"/>
                <w:szCs w:val="24"/>
              </w:rPr>
              <w:t xml:space="preserve">Secondly, the defendants rely on an agreement </w:t>
            </w:r>
            <w:r w:rsidR="002138AA">
              <w:rPr>
                <w:rFonts w:ascii="Arial" w:hAnsi="Arial" w:cs="Arial"/>
                <w:sz w:val="24"/>
                <w:szCs w:val="24"/>
              </w:rPr>
              <w:t xml:space="preserve">entered into </w:t>
            </w:r>
            <w:r>
              <w:rPr>
                <w:rFonts w:ascii="Arial" w:hAnsi="Arial" w:cs="Arial"/>
                <w:sz w:val="24"/>
                <w:szCs w:val="24"/>
              </w:rPr>
              <w:t>between them and one Mr Brian Roos in 2009. Mr Dreyer</w:t>
            </w:r>
            <w:r w:rsidR="002138AA">
              <w:rPr>
                <w:rFonts w:ascii="Arial" w:hAnsi="Arial" w:cs="Arial"/>
                <w:sz w:val="24"/>
                <w:szCs w:val="24"/>
              </w:rPr>
              <w:t>, the sole member of the defendants,</w:t>
            </w:r>
            <w:r>
              <w:rPr>
                <w:rFonts w:ascii="Arial" w:hAnsi="Arial" w:cs="Arial"/>
                <w:sz w:val="24"/>
                <w:szCs w:val="24"/>
              </w:rPr>
              <w:t xml:space="preserve"> states that </w:t>
            </w:r>
            <w:r w:rsidR="00EB68B8" w:rsidRPr="00EB68B8">
              <w:rPr>
                <w:rFonts w:ascii="Arial" w:hAnsi="Arial" w:cs="Arial"/>
                <w:sz w:val="24"/>
                <w:szCs w:val="24"/>
              </w:rPr>
              <w:t>N</w:t>
            </w:r>
            <w:r w:rsidRPr="00EB68B8">
              <w:rPr>
                <w:rFonts w:ascii="Arial" w:hAnsi="Arial" w:cs="Arial"/>
                <w:sz w:val="24"/>
                <w:szCs w:val="24"/>
              </w:rPr>
              <w:t>AS</w:t>
            </w:r>
            <w:r>
              <w:rPr>
                <w:rFonts w:ascii="Arial" w:hAnsi="Arial" w:cs="Arial"/>
                <w:sz w:val="24"/>
                <w:szCs w:val="24"/>
              </w:rPr>
              <w:t xml:space="preserve"> entered into a written lease agreement with Mr Roos for office space in 2009. During 2014/2015</w:t>
            </w:r>
            <w:r w:rsidR="00CF31B4">
              <w:rPr>
                <w:rFonts w:ascii="Arial" w:hAnsi="Arial" w:cs="Arial"/>
                <w:sz w:val="24"/>
                <w:szCs w:val="24"/>
              </w:rPr>
              <w:t>,</w:t>
            </w:r>
            <w:r>
              <w:rPr>
                <w:rFonts w:ascii="Arial" w:hAnsi="Arial" w:cs="Arial"/>
                <w:sz w:val="24"/>
                <w:szCs w:val="24"/>
              </w:rPr>
              <w:t xml:space="preserve"> the parties</w:t>
            </w:r>
            <w:r w:rsidR="00CF31B4">
              <w:rPr>
                <w:rFonts w:ascii="Arial" w:hAnsi="Arial" w:cs="Arial"/>
                <w:sz w:val="24"/>
                <w:szCs w:val="24"/>
              </w:rPr>
              <w:t xml:space="preserve"> entered</w:t>
            </w:r>
            <w:r>
              <w:rPr>
                <w:rFonts w:ascii="Arial" w:hAnsi="Arial" w:cs="Arial"/>
                <w:sz w:val="24"/>
                <w:szCs w:val="24"/>
              </w:rPr>
              <w:t xml:space="preserve"> into a further verbal agreement to include Hangar 1 and the shade ports in their lease agreement. A written agreement was drawn up </w:t>
            </w:r>
            <w:r w:rsidR="00A06EFA" w:rsidRPr="00EB68B8">
              <w:rPr>
                <w:rFonts w:ascii="Arial" w:hAnsi="Arial" w:cs="Arial"/>
                <w:sz w:val="24"/>
                <w:szCs w:val="24"/>
              </w:rPr>
              <w:t>to</w:t>
            </w:r>
            <w:r w:rsidR="00A06EFA">
              <w:rPr>
                <w:rFonts w:ascii="Arial" w:hAnsi="Arial" w:cs="Arial"/>
                <w:sz w:val="24"/>
                <w:szCs w:val="24"/>
              </w:rPr>
              <w:t xml:space="preserve"> </w:t>
            </w:r>
            <w:r>
              <w:rPr>
                <w:rFonts w:ascii="Arial" w:hAnsi="Arial" w:cs="Arial"/>
                <w:sz w:val="24"/>
                <w:szCs w:val="24"/>
              </w:rPr>
              <w:t xml:space="preserve">that effect, this agreement was however never signed. Although the agreement was never signed, the parties conducted themselves in a manner </w:t>
            </w:r>
            <w:r>
              <w:rPr>
                <w:rFonts w:ascii="Arial" w:hAnsi="Arial" w:cs="Arial"/>
                <w:sz w:val="24"/>
                <w:szCs w:val="24"/>
              </w:rPr>
              <w:lastRenderedPageBreak/>
              <w:t xml:space="preserve">that gives rise to an inescapable inference that they are bound by the terms of the lease agreement for Hangar 1 and the shade ports. </w:t>
            </w:r>
            <w:r w:rsidR="002138AA">
              <w:rPr>
                <w:rFonts w:ascii="Arial" w:hAnsi="Arial" w:cs="Arial"/>
                <w:sz w:val="24"/>
                <w:szCs w:val="24"/>
              </w:rPr>
              <w:t>In amplification</w:t>
            </w:r>
            <w:r w:rsidR="00EB68B8">
              <w:rPr>
                <w:rFonts w:ascii="Arial" w:hAnsi="Arial" w:cs="Arial"/>
                <w:sz w:val="24"/>
                <w:szCs w:val="24"/>
              </w:rPr>
              <w:t>,</w:t>
            </w:r>
            <w:r w:rsidR="002138AA">
              <w:rPr>
                <w:rFonts w:ascii="Arial" w:hAnsi="Arial" w:cs="Arial"/>
                <w:sz w:val="24"/>
                <w:szCs w:val="24"/>
              </w:rPr>
              <w:t xml:space="preserve"> Mr Dreyer states that d</w:t>
            </w:r>
            <w:r>
              <w:rPr>
                <w:rFonts w:ascii="Arial" w:hAnsi="Arial" w:cs="Arial"/>
                <w:sz w:val="24"/>
                <w:szCs w:val="24"/>
              </w:rPr>
              <w:t xml:space="preserve">uring 2021 Mr Roos instituted action wherein he sought an order confirming the cancellation of the first defendant’s </w:t>
            </w:r>
            <w:r w:rsidR="00CF31B4">
              <w:rPr>
                <w:rFonts w:ascii="Arial" w:hAnsi="Arial" w:cs="Arial"/>
                <w:sz w:val="24"/>
                <w:szCs w:val="24"/>
              </w:rPr>
              <w:t>lease agreement</w:t>
            </w:r>
            <w:r>
              <w:rPr>
                <w:rFonts w:ascii="Arial" w:hAnsi="Arial" w:cs="Arial"/>
                <w:sz w:val="24"/>
                <w:szCs w:val="24"/>
              </w:rPr>
              <w:t xml:space="preserve"> and an order ejecting the first defendant from the premises. His claim was dismissed due to non-appearance. The defendants plead that the agreement was</w:t>
            </w:r>
            <w:r w:rsidR="00CF31B4">
              <w:rPr>
                <w:rFonts w:ascii="Arial" w:hAnsi="Arial" w:cs="Arial"/>
                <w:sz w:val="24"/>
                <w:szCs w:val="24"/>
              </w:rPr>
              <w:t>,</w:t>
            </w:r>
            <w:r>
              <w:rPr>
                <w:rFonts w:ascii="Arial" w:hAnsi="Arial" w:cs="Arial"/>
                <w:sz w:val="24"/>
                <w:szCs w:val="24"/>
              </w:rPr>
              <w:t xml:space="preserve"> therefore</w:t>
            </w:r>
            <w:r w:rsidR="00EB68B8">
              <w:rPr>
                <w:rFonts w:ascii="Arial" w:hAnsi="Arial" w:cs="Arial"/>
                <w:sz w:val="24"/>
                <w:szCs w:val="24"/>
              </w:rPr>
              <w:t>,</w:t>
            </w:r>
            <w:r>
              <w:rPr>
                <w:rFonts w:ascii="Arial" w:hAnsi="Arial" w:cs="Arial"/>
                <w:sz w:val="24"/>
                <w:szCs w:val="24"/>
              </w:rPr>
              <w:t xml:space="preserve"> never cancelled and is extant. </w:t>
            </w:r>
          </w:p>
          <w:p w:rsidR="00E74A40" w:rsidRDefault="00E74A40" w:rsidP="00E74A40">
            <w:pPr>
              <w:pStyle w:val="ListParagraph"/>
              <w:spacing w:line="360" w:lineRule="auto"/>
              <w:ind w:left="0" w:right="152"/>
              <w:contextualSpacing w:val="0"/>
              <w:jc w:val="both"/>
              <w:rPr>
                <w:rFonts w:ascii="Arial" w:hAnsi="Arial" w:cs="Arial"/>
                <w:sz w:val="24"/>
                <w:szCs w:val="24"/>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Pr>
                <w:rFonts w:ascii="Arial" w:hAnsi="Arial" w:cs="Arial"/>
                <w:sz w:val="24"/>
                <w:szCs w:val="24"/>
              </w:rPr>
              <w:t>The defendants deny that the portion of land in respect of which the plaintiff allegedly signed a lease agreement with the fourth defendant comprises of Hangar 1, Hangar 2 and the shade ports due to an existing agreement between the defendants and Mr Brian Roos. It is the submission of the defendants that if Mr Roos had the locus standi to lease the premises to the first defendant, the plaintiff</w:t>
            </w:r>
            <w:r w:rsidR="002138AA">
              <w:rPr>
                <w:rFonts w:ascii="Arial" w:hAnsi="Arial" w:cs="Arial"/>
                <w:sz w:val="24"/>
                <w:szCs w:val="24"/>
              </w:rPr>
              <w:t xml:space="preserve">’s lease </w:t>
            </w:r>
            <w:r w:rsidR="00466EF2" w:rsidRPr="00EB68B8">
              <w:rPr>
                <w:rFonts w:ascii="Arial" w:hAnsi="Arial" w:cs="Arial"/>
                <w:sz w:val="24"/>
                <w:szCs w:val="24"/>
              </w:rPr>
              <w:t>agreement</w:t>
            </w:r>
            <w:r>
              <w:rPr>
                <w:rFonts w:ascii="Arial" w:hAnsi="Arial" w:cs="Arial"/>
                <w:sz w:val="24"/>
                <w:szCs w:val="24"/>
              </w:rPr>
              <w:t xml:space="preserve"> could not have commenced during 2009</w:t>
            </w:r>
            <w:r w:rsidR="00D055A3">
              <w:rPr>
                <w:rFonts w:ascii="Arial" w:hAnsi="Arial" w:cs="Arial"/>
                <w:sz w:val="24"/>
                <w:szCs w:val="24"/>
              </w:rPr>
              <w:t xml:space="preserve"> (</w:t>
            </w:r>
            <w:r>
              <w:rPr>
                <w:rFonts w:ascii="Arial" w:hAnsi="Arial" w:cs="Arial"/>
                <w:sz w:val="24"/>
                <w:szCs w:val="24"/>
              </w:rPr>
              <w:t>the lease agreement on which the case is premised</w:t>
            </w:r>
            <w:r w:rsidR="00D055A3">
              <w:rPr>
                <w:rFonts w:ascii="Arial" w:hAnsi="Arial" w:cs="Arial"/>
                <w:sz w:val="24"/>
                <w:szCs w:val="24"/>
              </w:rPr>
              <w:t>)</w:t>
            </w:r>
            <w:r>
              <w:rPr>
                <w:rFonts w:ascii="Arial" w:hAnsi="Arial" w:cs="Arial"/>
                <w:sz w:val="24"/>
                <w:szCs w:val="24"/>
              </w:rPr>
              <w:t>.</w:t>
            </w:r>
          </w:p>
          <w:p w:rsidR="00E74A40" w:rsidRPr="00A653AB" w:rsidRDefault="00E74A40" w:rsidP="00E74A40">
            <w:pPr>
              <w:pStyle w:val="ListParagraph"/>
              <w:rPr>
                <w:rFonts w:ascii="Arial" w:hAnsi="Arial" w:cs="Arial"/>
                <w:sz w:val="24"/>
                <w:szCs w:val="24"/>
              </w:rPr>
            </w:pPr>
          </w:p>
          <w:p w:rsidR="00E74A40" w:rsidRDefault="00E74A40" w:rsidP="00E74A40">
            <w:pPr>
              <w:pStyle w:val="ListParagraph"/>
              <w:numPr>
                <w:ilvl w:val="0"/>
                <w:numId w:val="8"/>
              </w:numPr>
              <w:spacing w:line="360" w:lineRule="auto"/>
              <w:ind w:left="0" w:right="152" w:firstLine="0"/>
              <w:contextualSpacing w:val="0"/>
              <w:jc w:val="both"/>
              <w:rPr>
                <w:rFonts w:ascii="Arial" w:hAnsi="Arial" w:cs="Arial"/>
                <w:sz w:val="24"/>
                <w:szCs w:val="24"/>
              </w:rPr>
            </w:pPr>
            <w:r>
              <w:rPr>
                <w:rFonts w:ascii="Arial" w:hAnsi="Arial" w:cs="Arial"/>
                <w:sz w:val="24"/>
                <w:szCs w:val="24"/>
              </w:rPr>
              <w:t xml:space="preserve">A further issue </w:t>
            </w:r>
            <w:r w:rsidR="00CF31B4">
              <w:rPr>
                <w:rFonts w:ascii="Arial" w:hAnsi="Arial" w:cs="Arial"/>
                <w:sz w:val="24"/>
                <w:szCs w:val="24"/>
              </w:rPr>
              <w:t>the defendants raised</w:t>
            </w:r>
            <w:r>
              <w:rPr>
                <w:rFonts w:ascii="Arial" w:hAnsi="Arial" w:cs="Arial"/>
                <w:sz w:val="24"/>
                <w:szCs w:val="24"/>
              </w:rPr>
              <w:t xml:space="preserve"> is the lease agreement upon which the plaintiff relies</w:t>
            </w:r>
            <w:r w:rsidR="00CF31B4">
              <w:rPr>
                <w:rFonts w:ascii="Arial" w:hAnsi="Arial" w:cs="Arial"/>
                <w:sz w:val="24"/>
                <w:szCs w:val="24"/>
              </w:rPr>
              <w:t>, which was</w:t>
            </w:r>
            <w:r>
              <w:rPr>
                <w:rFonts w:ascii="Arial" w:hAnsi="Arial" w:cs="Arial"/>
                <w:sz w:val="24"/>
                <w:szCs w:val="24"/>
              </w:rPr>
              <w:t xml:space="preserve"> backdated to 2009. The agreement was signed between the plaintiff and the fourth defendant on 11 November 2022</w:t>
            </w:r>
            <w:r w:rsidR="00CF31B4">
              <w:rPr>
                <w:rFonts w:ascii="Arial" w:hAnsi="Arial" w:cs="Arial"/>
                <w:sz w:val="24"/>
                <w:szCs w:val="24"/>
              </w:rPr>
              <w:t xml:space="preserve">. </w:t>
            </w:r>
            <w:r w:rsidR="00D055A3">
              <w:rPr>
                <w:rFonts w:ascii="Arial" w:hAnsi="Arial" w:cs="Arial"/>
                <w:sz w:val="24"/>
                <w:szCs w:val="24"/>
              </w:rPr>
              <w:t>However</w:t>
            </w:r>
            <w:r w:rsidR="00CF31B4">
              <w:rPr>
                <w:rFonts w:ascii="Arial" w:hAnsi="Arial" w:cs="Arial"/>
                <w:sz w:val="24"/>
                <w:szCs w:val="24"/>
              </w:rPr>
              <w:t>, the</w:t>
            </w:r>
            <w:r>
              <w:rPr>
                <w:rFonts w:ascii="Arial" w:hAnsi="Arial" w:cs="Arial"/>
                <w:sz w:val="24"/>
                <w:szCs w:val="24"/>
              </w:rPr>
              <w:t xml:space="preserve"> agreement indicates that the </w:t>
            </w:r>
            <w:r w:rsidR="00D055A3">
              <w:rPr>
                <w:rFonts w:ascii="Arial" w:hAnsi="Arial" w:cs="Arial"/>
                <w:sz w:val="24"/>
                <w:szCs w:val="24"/>
              </w:rPr>
              <w:t xml:space="preserve">lease </w:t>
            </w:r>
            <w:r>
              <w:rPr>
                <w:rFonts w:ascii="Arial" w:hAnsi="Arial" w:cs="Arial"/>
                <w:sz w:val="24"/>
                <w:szCs w:val="24"/>
              </w:rPr>
              <w:t>agreement would subsist for an uninterrupted period of 168 months from 1 December 2009 until 30 November 2023.</w:t>
            </w:r>
          </w:p>
          <w:p w:rsidR="00E74A40" w:rsidRPr="00D520A8" w:rsidRDefault="00E74A40" w:rsidP="00E74A40">
            <w:pPr>
              <w:pStyle w:val="ListParagraph"/>
              <w:rPr>
                <w:rFonts w:ascii="Arial" w:hAnsi="Arial" w:cs="Arial"/>
                <w:sz w:val="24"/>
                <w:szCs w:val="24"/>
              </w:rPr>
            </w:pPr>
          </w:p>
          <w:p w:rsidR="00E74A40" w:rsidRPr="00D520A8" w:rsidRDefault="00E74A40" w:rsidP="00E74A40">
            <w:pPr>
              <w:pStyle w:val="ListParagraph"/>
              <w:spacing w:line="360" w:lineRule="auto"/>
              <w:ind w:left="0" w:right="152"/>
              <w:contextualSpacing w:val="0"/>
              <w:jc w:val="both"/>
              <w:rPr>
                <w:rFonts w:ascii="Arial" w:hAnsi="Arial" w:cs="Arial"/>
                <w:sz w:val="24"/>
                <w:szCs w:val="24"/>
                <w:u w:val="single"/>
              </w:rPr>
            </w:pPr>
            <w:r w:rsidRPr="00D520A8">
              <w:rPr>
                <w:rFonts w:ascii="Arial" w:hAnsi="Arial" w:cs="Arial"/>
                <w:sz w:val="24"/>
                <w:szCs w:val="24"/>
                <w:u w:val="single"/>
              </w:rPr>
              <w:t>Discussion</w:t>
            </w:r>
          </w:p>
          <w:p w:rsidR="00E74A40" w:rsidRPr="00D520A8" w:rsidRDefault="00E74A40" w:rsidP="00E74A40">
            <w:pPr>
              <w:pStyle w:val="ListParagraph"/>
              <w:rPr>
                <w:rFonts w:ascii="Arial" w:hAnsi="Arial" w:cs="Arial"/>
                <w:sz w:val="24"/>
                <w:szCs w:val="24"/>
              </w:rPr>
            </w:pPr>
          </w:p>
          <w:p w:rsidR="00E74A40" w:rsidRDefault="00CF31B4" w:rsidP="00E74A40">
            <w:pPr>
              <w:pStyle w:val="ListParagraph"/>
              <w:numPr>
                <w:ilvl w:val="0"/>
                <w:numId w:val="8"/>
              </w:numPr>
              <w:spacing w:line="360" w:lineRule="auto"/>
              <w:ind w:left="0" w:right="152" w:firstLine="0"/>
              <w:contextualSpacing w:val="0"/>
              <w:jc w:val="both"/>
              <w:rPr>
                <w:rFonts w:ascii="Arial" w:hAnsi="Arial" w:cs="Arial"/>
                <w:sz w:val="24"/>
                <w:szCs w:val="24"/>
              </w:rPr>
            </w:pPr>
            <w:r>
              <w:rPr>
                <w:rFonts w:ascii="Arial" w:hAnsi="Arial" w:cs="Arial"/>
                <w:sz w:val="24"/>
                <w:szCs w:val="24"/>
              </w:rPr>
              <w:t>The plaintiff argues</w:t>
            </w:r>
            <w:r w:rsidR="00E74A40">
              <w:rPr>
                <w:rFonts w:ascii="Arial" w:hAnsi="Arial" w:cs="Arial"/>
                <w:sz w:val="24"/>
                <w:szCs w:val="24"/>
              </w:rPr>
              <w:t xml:space="preserve"> that the defendants’ defence is neither bona fide nor good in law. This court must decide if the defence raised by the defendants is arguable and whether</w:t>
            </w:r>
            <w:r>
              <w:rPr>
                <w:rFonts w:ascii="Arial" w:hAnsi="Arial" w:cs="Arial"/>
                <w:sz w:val="24"/>
                <w:szCs w:val="24"/>
              </w:rPr>
              <w:t>,</w:t>
            </w:r>
            <w:r w:rsidR="00E74A40">
              <w:rPr>
                <w:rFonts w:ascii="Arial" w:hAnsi="Arial" w:cs="Arial"/>
                <w:sz w:val="24"/>
                <w:szCs w:val="24"/>
              </w:rPr>
              <w:t xml:space="preserve"> if established</w:t>
            </w:r>
            <w:r w:rsidR="004E20E9">
              <w:rPr>
                <w:rFonts w:ascii="Arial" w:hAnsi="Arial" w:cs="Arial"/>
                <w:sz w:val="24"/>
                <w:szCs w:val="24"/>
              </w:rPr>
              <w:t>,</w:t>
            </w:r>
            <w:r w:rsidR="00E74A40">
              <w:rPr>
                <w:rFonts w:ascii="Arial" w:hAnsi="Arial" w:cs="Arial"/>
                <w:sz w:val="24"/>
                <w:szCs w:val="24"/>
              </w:rPr>
              <w:t xml:space="preserve"> it would be a defence that is good in law. </w:t>
            </w:r>
          </w:p>
          <w:p w:rsidR="00CF31B4" w:rsidRDefault="00CF31B4" w:rsidP="00CF31B4">
            <w:pPr>
              <w:pStyle w:val="ListParagraph"/>
              <w:spacing w:line="360" w:lineRule="auto"/>
              <w:ind w:left="0" w:right="152"/>
              <w:contextualSpacing w:val="0"/>
              <w:jc w:val="both"/>
              <w:rPr>
                <w:rFonts w:ascii="Arial" w:hAnsi="Arial" w:cs="Arial"/>
                <w:sz w:val="24"/>
                <w:szCs w:val="24"/>
              </w:rPr>
            </w:pPr>
          </w:p>
          <w:p w:rsidR="00E74A40" w:rsidRDefault="00D055A3" w:rsidP="00E74A40">
            <w:pPr>
              <w:pStyle w:val="ListParagraph"/>
              <w:numPr>
                <w:ilvl w:val="0"/>
                <w:numId w:val="8"/>
              </w:numPr>
              <w:spacing w:line="360" w:lineRule="auto"/>
              <w:ind w:left="0" w:right="152" w:firstLine="0"/>
              <w:contextualSpacing w:val="0"/>
              <w:jc w:val="both"/>
              <w:rPr>
                <w:rFonts w:ascii="Arial" w:hAnsi="Arial" w:cs="Arial"/>
                <w:sz w:val="24"/>
                <w:szCs w:val="24"/>
              </w:rPr>
            </w:pPr>
            <w:r>
              <w:rPr>
                <w:rFonts w:ascii="Arial" w:hAnsi="Arial" w:cs="Arial"/>
                <w:sz w:val="24"/>
                <w:szCs w:val="24"/>
              </w:rPr>
              <w:t>I</w:t>
            </w:r>
            <w:r w:rsidR="00E74A40" w:rsidRPr="00201D27">
              <w:rPr>
                <w:rFonts w:ascii="Arial" w:hAnsi="Arial" w:cs="Arial"/>
                <w:sz w:val="24"/>
                <w:szCs w:val="24"/>
              </w:rPr>
              <w:t xml:space="preserve">t is clear from the arguments and the papers before this court that there is a dispute of fact between the parties. Each </w:t>
            </w:r>
            <w:r w:rsidR="00CF31B4">
              <w:rPr>
                <w:rFonts w:ascii="Arial" w:hAnsi="Arial" w:cs="Arial"/>
                <w:sz w:val="24"/>
                <w:szCs w:val="24"/>
              </w:rPr>
              <w:t>party</w:t>
            </w:r>
            <w:r w:rsidR="00E74A40" w:rsidRPr="00201D27">
              <w:rPr>
                <w:rFonts w:ascii="Arial" w:hAnsi="Arial" w:cs="Arial"/>
                <w:sz w:val="24"/>
                <w:szCs w:val="24"/>
              </w:rPr>
              <w:t xml:space="preserve"> claims to have a valid lease agreement for the same premises. On the one hand, a lease agreement between the plaintiff and the fourth defendant and</w:t>
            </w:r>
            <w:r w:rsidR="00CF31B4">
              <w:rPr>
                <w:rFonts w:ascii="Arial" w:hAnsi="Arial" w:cs="Arial"/>
                <w:sz w:val="24"/>
                <w:szCs w:val="24"/>
              </w:rPr>
              <w:t>,</w:t>
            </w:r>
            <w:r w:rsidR="00E74A40" w:rsidRPr="00201D27">
              <w:rPr>
                <w:rFonts w:ascii="Arial" w:hAnsi="Arial" w:cs="Arial"/>
                <w:sz w:val="24"/>
                <w:szCs w:val="24"/>
              </w:rPr>
              <w:t xml:space="preserve"> on the other hand</w:t>
            </w:r>
            <w:r w:rsidR="00CF31B4">
              <w:rPr>
                <w:rFonts w:ascii="Arial" w:hAnsi="Arial" w:cs="Arial"/>
                <w:sz w:val="24"/>
                <w:szCs w:val="24"/>
              </w:rPr>
              <w:t>,</w:t>
            </w:r>
            <w:r w:rsidR="00E74A40" w:rsidRPr="00201D27">
              <w:rPr>
                <w:rFonts w:ascii="Arial" w:hAnsi="Arial" w:cs="Arial"/>
                <w:sz w:val="24"/>
                <w:szCs w:val="24"/>
              </w:rPr>
              <w:t xml:space="preserve"> </w:t>
            </w:r>
            <w:r>
              <w:rPr>
                <w:rFonts w:ascii="Arial" w:hAnsi="Arial" w:cs="Arial"/>
                <w:sz w:val="24"/>
                <w:szCs w:val="24"/>
              </w:rPr>
              <w:t xml:space="preserve">a lease agreement </w:t>
            </w:r>
            <w:r w:rsidR="00E74A40" w:rsidRPr="00201D27">
              <w:rPr>
                <w:rFonts w:ascii="Arial" w:hAnsi="Arial" w:cs="Arial"/>
                <w:sz w:val="24"/>
                <w:szCs w:val="24"/>
              </w:rPr>
              <w:t xml:space="preserve">between the first defendant and Mr Roos. </w:t>
            </w:r>
          </w:p>
          <w:p w:rsidR="00E74A40" w:rsidRPr="00201D27" w:rsidRDefault="00E74A40" w:rsidP="00E74A40">
            <w:pPr>
              <w:pStyle w:val="ListParagraph"/>
              <w:spacing w:line="360" w:lineRule="auto"/>
              <w:ind w:left="0" w:right="152"/>
              <w:contextualSpacing w:val="0"/>
              <w:jc w:val="both"/>
              <w:rPr>
                <w:rFonts w:ascii="Arial" w:hAnsi="Arial" w:cs="Arial"/>
                <w:sz w:val="24"/>
                <w:szCs w:val="24"/>
              </w:rPr>
            </w:pPr>
          </w:p>
          <w:p w:rsidR="00D055A3" w:rsidRPr="00A06EFA" w:rsidRDefault="00E74A40" w:rsidP="00D055A3">
            <w:pPr>
              <w:pStyle w:val="ListParagraph"/>
              <w:numPr>
                <w:ilvl w:val="0"/>
                <w:numId w:val="8"/>
              </w:numPr>
              <w:spacing w:line="360" w:lineRule="auto"/>
              <w:ind w:left="0" w:firstLine="0"/>
              <w:contextualSpacing w:val="0"/>
              <w:jc w:val="both"/>
              <w:rPr>
                <w:rFonts w:ascii="Arial" w:hAnsi="Arial" w:cs="Arial"/>
                <w:sz w:val="24"/>
                <w:szCs w:val="24"/>
              </w:rPr>
            </w:pPr>
            <w:r w:rsidRPr="001B06B4">
              <w:rPr>
                <w:rFonts w:ascii="Arial" w:hAnsi="Arial" w:cs="Arial"/>
                <w:sz w:val="24"/>
                <w:szCs w:val="24"/>
              </w:rPr>
              <w:t>There is further a dispute about the identification of the premises as per Annexure B attached to the particulars of claim</w:t>
            </w:r>
            <w:r w:rsidR="00CF31B4" w:rsidRPr="001B06B4">
              <w:rPr>
                <w:rFonts w:ascii="Arial" w:hAnsi="Arial" w:cs="Arial"/>
                <w:sz w:val="24"/>
                <w:szCs w:val="24"/>
              </w:rPr>
              <w:t>,</w:t>
            </w:r>
            <w:r w:rsidRPr="001B06B4">
              <w:rPr>
                <w:rFonts w:ascii="Arial" w:hAnsi="Arial" w:cs="Arial"/>
                <w:sz w:val="24"/>
                <w:szCs w:val="24"/>
              </w:rPr>
              <w:t xml:space="preserve"> but </w:t>
            </w:r>
            <w:r w:rsidR="00D055A3">
              <w:rPr>
                <w:rFonts w:ascii="Arial" w:hAnsi="Arial" w:cs="Arial"/>
                <w:sz w:val="24"/>
                <w:szCs w:val="24"/>
              </w:rPr>
              <w:t>which</w:t>
            </w:r>
            <w:r w:rsidR="00CF31B4" w:rsidRPr="001B06B4">
              <w:rPr>
                <w:rFonts w:ascii="Arial" w:hAnsi="Arial" w:cs="Arial"/>
                <w:sz w:val="24"/>
                <w:szCs w:val="24"/>
              </w:rPr>
              <w:t xml:space="preserve"> </w:t>
            </w:r>
            <w:r w:rsidRPr="001B06B4">
              <w:rPr>
                <w:rFonts w:ascii="Arial" w:hAnsi="Arial" w:cs="Arial"/>
                <w:sz w:val="24"/>
                <w:szCs w:val="24"/>
              </w:rPr>
              <w:t>does not form part of the lease plaintiff’s lease agreement</w:t>
            </w:r>
            <w:r w:rsidR="00D055A3">
              <w:rPr>
                <w:rFonts w:ascii="Arial" w:hAnsi="Arial" w:cs="Arial"/>
                <w:sz w:val="24"/>
                <w:szCs w:val="24"/>
              </w:rPr>
              <w:t xml:space="preserve"> with the fourth defendant</w:t>
            </w:r>
            <w:r w:rsidRPr="001B06B4">
              <w:rPr>
                <w:rFonts w:ascii="Arial" w:hAnsi="Arial" w:cs="Arial"/>
                <w:sz w:val="24"/>
                <w:szCs w:val="24"/>
              </w:rPr>
              <w:t>.</w:t>
            </w:r>
          </w:p>
          <w:p w:rsidR="001B06B4" w:rsidRPr="001B06B4" w:rsidRDefault="001B06B4" w:rsidP="001B06B4">
            <w:pPr>
              <w:pStyle w:val="ListParagraph"/>
              <w:ind w:left="436"/>
              <w:rPr>
                <w:rFonts w:ascii="Arial" w:hAnsi="Arial" w:cs="Arial"/>
                <w:sz w:val="24"/>
                <w:szCs w:val="24"/>
              </w:rPr>
            </w:pPr>
          </w:p>
          <w:p w:rsidR="00E74A40" w:rsidRDefault="00E74A40" w:rsidP="00655D96">
            <w:pPr>
              <w:pStyle w:val="ListParagraph"/>
              <w:numPr>
                <w:ilvl w:val="0"/>
                <w:numId w:val="8"/>
              </w:numPr>
              <w:spacing w:line="360" w:lineRule="auto"/>
              <w:ind w:left="0" w:firstLine="0"/>
              <w:contextualSpacing w:val="0"/>
              <w:jc w:val="both"/>
              <w:rPr>
                <w:rFonts w:ascii="Arial" w:hAnsi="Arial" w:cs="Arial"/>
                <w:sz w:val="24"/>
                <w:szCs w:val="24"/>
              </w:rPr>
            </w:pPr>
            <w:r w:rsidRPr="00A06EFA">
              <w:rPr>
                <w:rFonts w:ascii="Arial" w:hAnsi="Arial" w:cs="Arial"/>
                <w:sz w:val="24"/>
                <w:szCs w:val="24"/>
              </w:rPr>
              <w:lastRenderedPageBreak/>
              <w:t xml:space="preserve">It is trite law that </w:t>
            </w:r>
            <w:r w:rsidR="00A06EFA" w:rsidRPr="00EB68B8">
              <w:rPr>
                <w:rFonts w:ascii="Arial" w:hAnsi="Arial" w:cs="Arial"/>
                <w:sz w:val="24"/>
                <w:szCs w:val="24"/>
              </w:rPr>
              <w:t>in</w:t>
            </w:r>
            <w:r w:rsidR="00A06EFA" w:rsidRPr="00A06EFA">
              <w:rPr>
                <w:rFonts w:ascii="Arial" w:hAnsi="Arial" w:cs="Arial"/>
                <w:sz w:val="24"/>
                <w:szCs w:val="24"/>
              </w:rPr>
              <w:t xml:space="preserve"> </w:t>
            </w:r>
            <w:r w:rsidR="00CF31B4" w:rsidRPr="00A06EFA">
              <w:rPr>
                <w:rFonts w:ascii="Arial" w:hAnsi="Arial" w:cs="Arial"/>
                <w:sz w:val="24"/>
                <w:szCs w:val="24"/>
              </w:rPr>
              <w:t>determining</w:t>
            </w:r>
            <w:r w:rsidRPr="00A06EFA">
              <w:rPr>
                <w:rFonts w:ascii="Arial" w:hAnsi="Arial" w:cs="Arial"/>
                <w:sz w:val="24"/>
                <w:szCs w:val="24"/>
              </w:rPr>
              <w:t xml:space="preserve"> whether a defendant has a bona fide defence</w:t>
            </w:r>
            <w:r w:rsidR="001B06B4" w:rsidRPr="00A06EFA">
              <w:rPr>
                <w:rFonts w:ascii="Arial" w:hAnsi="Arial" w:cs="Arial"/>
                <w:sz w:val="24"/>
                <w:szCs w:val="24"/>
              </w:rPr>
              <w:t xml:space="preserve"> will be sufficient if the defendant swears to a defence, valid in law in a manner that</w:t>
            </w:r>
            <w:r w:rsidRPr="00A06EFA">
              <w:rPr>
                <w:rFonts w:ascii="Arial" w:hAnsi="Arial" w:cs="Arial"/>
                <w:sz w:val="24"/>
                <w:szCs w:val="24"/>
              </w:rPr>
              <w:t xml:space="preserve"> is not inherently or seriously unconvincing.</w:t>
            </w:r>
            <w:r w:rsidR="00A06EFA">
              <w:rPr>
                <w:rStyle w:val="FootnoteReference"/>
                <w:rFonts w:ascii="Arial" w:hAnsi="Arial" w:cs="Arial"/>
                <w:sz w:val="24"/>
                <w:szCs w:val="24"/>
              </w:rPr>
              <w:footnoteReference w:id="7"/>
            </w:r>
            <w:r w:rsidRPr="00A06EFA">
              <w:rPr>
                <w:rFonts w:ascii="Arial" w:hAnsi="Arial" w:cs="Arial"/>
                <w:sz w:val="24"/>
                <w:szCs w:val="24"/>
              </w:rPr>
              <w:t xml:space="preserve"> </w:t>
            </w:r>
          </w:p>
          <w:p w:rsidR="00A06EFA" w:rsidRPr="00A06EFA" w:rsidRDefault="00A06EFA" w:rsidP="00A06EFA">
            <w:pPr>
              <w:pStyle w:val="ListParagraph"/>
              <w:spacing w:line="360" w:lineRule="auto"/>
              <w:ind w:left="0"/>
              <w:contextualSpacing w:val="0"/>
              <w:jc w:val="both"/>
              <w:rPr>
                <w:rFonts w:ascii="Arial" w:hAnsi="Arial" w:cs="Arial"/>
                <w:sz w:val="24"/>
                <w:szCs w:val="24"/>
              </w:rPr>
            </w:pPr>
          </w:p>
          <w:p w:rsidR="00E74A40" w:rsidRDefault="00E74A40" w:rsidP="00E74A40">
            <w:pPr>
              <w:pStyle w:val="ListParagraph"/>
              <w:numPr>
                <w:ilvl w:val="0"/>
                <w:numId w:val="8"/>
              </w:numPr>
              <w:spacing w:line="360" w:lineRule="auto"/>
              <w:ind w:left="0" w:firstLine="0"/>
              <w:jc w:val="both"/>
              <w:rPr>
                <w:rFonts w:ascii="Arial" w:hAnsi="Arial" w:cs="Arial"/>
                <w:sz w:val="24"/>
                <w:szCs w:val="24"/>
              </w:rPr>
            </w:pPr>
            <w:r w:rsidRPr="00E464EA">
              <w:rPr>
                <w:rFonts w:ascii="Arial" w:hAnsi="Arial" w:cs="Arial"/>
                <w:sz w:val="24"/>
                <w:szCs w:val="24"/>
              </w:rPr>
              <w:t xml:space="preserve">The adjudication of a summary judgment application does not include a decision on factual disputes. In </w:t>
            </w:r>
            <w:r w:rsidRPr="001B06B4">
              <w:rPr>
                <w:rFonts w:ascii="Arial" w:hAnsi="Arial" w:cs="Arial"/>
                <w:i/>
                <w:sz w:val="24"/>
                <w:szCs w:val="24"/>
              </w:rPr>
              <w:t>Triplejay Equipment (SWA) (Pty) Ltd v Muller</w:t>
            </w:r>
            <w:r w:rsidR="004E20E9">
              <w:rPr>
                <w:rFonts w:ascii="Arial" w:hAnsi="Arial" w:cs="Arial"/>
                <w:i/>
                <w:sz w:val="24"/>
                <w:szCs w:val="24"/>
              </w:rPr>
              <w:t>,</w:t>
            </w:r>
            <w:r w:rsidR="001B06B4" w:rsidRPr="001B06B4">
              <w:rPr>
                <w:rStyle w:val="FootnoteReference"/>
                <w:rFonts w:ascii="Arial" w:hAnsi="Arial" w:cs="Arial"/>
                <w:i/>
                <w:sz w:val="20"/>
                <w:szCs w:val="20"/>
              </w:rPr>
              <w:footnoteReference w:id="8"/>
            </w:r>
            <w:r w:rsidRPr="001B06B4">
              <w:rPr>
                <w:rFonts w:ascii="Arial" w:hAnsi="Arial" w:cs="Arial"/>
                <w:sz w:val="20"/>
                <w:szCs w:val="20"/>
              </w:rPr>
              <w:t xml:space="preserve"> </w:t>
            </w:r>
            <w:r w:rsidRPr="00E464EA">
              <w:rPr>
                <w:rFonts w:ascii="Arial" w:hAnsi="Arial" w:cs="Arial"/>
                <w:sz w:val="24"/>
                <w:szCs w:val="24"/>
              </w:rPr>
              <w:t xml:space="preserve">the following was </w:t>
            </w:r>
            <w:r>
              <w:rPr>
                <w:rFonts w:ascii="Arial" w:hAnsi="Arial" w:cs="Arial"/>
                <w:sz w:val="24"/>
                <w:szCs w:val="24"/>
              </w:rPr>
              <w:t>said by Badenhorst J:</w:t>
            </w:r>
          </w:p>
          <w:p w:rsidR="00466EF2" w:rsidRPr="00E464EA" w:rsidRDefault="00466EF2" w:rsidP="00466EF2">
            <w:pPr>
              <w:pStyle w:val="ListParagraph"/>
              <w:spacing w:line="360" w:lineRule="auto"/>
              <w:ind w:left="0"/>
              <w:jc w:val="both"/>
              <w:rPr>
                <w:rFonts w:ascii="Arial" w:hAnsi="Arial" w:cs="Arial"/>
                <w:sz w:val="24"/>
                <w:szCs w:val="24"/>
              </w:rPr>
            </w:pPr>
          </w:p>
          <w:p w:rsidR="00E74A40" w:rsidRPr="00201D27" w:rsidRDefault="00E74A40" w:rsidP="00E74A40">
            <w:pPr>
              <w:pStyle w:val="ListParagraph"/>
              <w:spacing w:line="360" w:lineRule="auto"/>
              <w:ind w:left="0" w:firstLine="720"/>
              <w:contextualSpacing w:val="0"/>
              <w:jc w:val="both"/>
              <w:rPr>
                <w:rFonts w:ascii="Arial" w:hAnsi="Arial" w:cs="Arial"/>
              </w:rPr>
            </w:pPr>
            <w:r w:rsidRPr="00201D27">
              <w:rPr>
                <w:rFonts w:ascii="Arial" w:hAnsi="Arial" w:cs="Arial"/>
              </w:rPr>
              <w:t>‘It seems to me quite clear that the summary judgment procedure was designed to whether ex facie the defendant's affidavit, the defendant has shown that he has a bona fide defence and not to try the whole issue.’</w:t>
            </w:r>
          </w:p>
          <w:p w:rsidR="00E74A40" w:rsidRPr="00795331" w:rsidRDefault="00E74A40" w:rsidP="00E74A40">
            <w:pPr>
              <w:pStyle w:val="ListParagraph"/>
              <w:spacing w:line="360" w:lineRule="auto"/>
              <w:ind w:left="0" w:firstLine="720"/>
              <w:contextualSpacing w:val="0"/>
              <w:jc w:val="both"/>
              <w:rPr>
                <w:rFonts w:ascii="Arial" w:hAnsi="Arial" w:cs="Arial"/>
                <w:sz w:val="24"/>
                <w:szCs w:val="24"/>
              </w:rPr>
            </w:pPr>
          </w:p>
          <w:p w:rsidR="00E74A40" w:rsidRDefault="00E74A40" w:rsidP="00EB68B8">
            <w:pPr>
              <w:pStyle w:val="ListParagraph"/>
              <w:numPr>
                <w:ilvl w:val="0"/>
                <w:numId w:val="8"/>
              </w:numPr>
              <w:spacing w:line="360" w:lineRule="auto"/>
              <w:ind w:left="0" w:firstLine="0"/>
              <w:jc w:val="both"/>
              <w:rPr>
                <w:rFonts w:ascii="Arial" w:hAnsi="Arial" w:cs="Arial"/>
                <w:sz w:val="24"/>
                <w:szCs w:val="24"/>
              </w:rPr>
            </w:pPr>
            <w:r w:rsidRPr="00E464EA">
              <w:rPr>
                <w:rFonts w:ascii="Arial" w:hAnsi="Arial" w:cs="Arial"/>
                <w:sz w:val="24"/>
                <w:szCs w:val="24"/>
              </w:rPr>
              <w:t xml:space="preserve">In my view, the nature of the defences raised by </w:t>
            </w:r>
            <w:r>
              <w:rPr>
                <w:rFonts w:ascii="Arial" w:hAnsi="Arial" w:cs="Arial"/>
                <w:sz w:val="24"/>
                <w:szCs w:val="24"/>
              </w:rPr>
              <w:t xml:space="preserve">the </w:t>
            </w:r>
            <w:r w:rsidRPr="00E464EA">
              <w:rPr>
                <w:rFonts w:ascii="Arial" w:hAnsi="Arial" w:cs="Arial"/>
                <w:sz w:val="24"/>
                <w:szCs w:val="24"/>
              </w:rPr>
              <w:t>defendant</w:t>
            </w:r>
            <w:r w:rsidR="00D055A3">
              <w:rPr>
                <w:rFonts w:ascii="Arial" w:hAnsi="Arial" w:cs="Arial"/>
                <w:sz w:val="24"/>
                <w:szCs w:val="24"/>
              </w:rPr>
              <w:t xml:space="preserve"> (more specifically</w:t>
            </w:r>
            <w:r w:rsidR="00EB68B8">
              <w:rPr>
                <w:rFonts w:ascii="Arial" w:hAnsi="Arial" w:cs="Arial"/>
                <w:sz w:val="24"/>
                <w:szCs w:val="24"/>
              </w:rPr>
              <w:t>,</w:t>
            </w:r>
            <w:r w:rsidR="00D055A3">
              <w:rPr>
                <w:rFonts w:ascii="Arial" w:hAnsi="Arial" w:cs="Arial"/>
                <w:sz w:val="24"/>
                <w:szCs w:val="24"/>
              </w:rPr>
              <w:t xml:space="preserve"> the first defendant)</w:t>
            </w:r>
            <w:r w:rsidRPr="00E464EA">
              <w:rPr>
                <w:rFonts w:ascii="Arial" w:hAnsi="Arial" w:cs="Arial"/>
                <w:sz w:val="24"/>
                <w:szCs w:val="24"/>
              </w:rPr>
              <w:t xml:space="preserve"> discloses a bona fide defence.</w:t>
            </w:r>
            <w:r w:rsidR="00D055A3">
              <w:rPr>
                <w:rFonts w:ascii="Arial" w:hAnsi="Arial" w:cs="Arial"/>
                <w:sz w:val="24"/>
                <w:szCs w:val="24"/>
              </w:rPr>
              <w:t xml:space="preserve"> Although the second and third defendants were not party to the alleged lease agreement with Mr Roos from what I can determine, I am of the view that the interest of these entities are intertwined with that of the first defendant as Mr Dreyer is the sole member of all the defendants, conducting his business in respect of all the defendants from the same premises. </w:t>
            </w:r>
            <w:r w:rsidR="00EB68B8" w:rsidRPr="00EB68B8">
              <w:rPr>
                <w:rFonts w:ascii="Arial" w:hAnsi="Arial" w:cs="Arial"/>
                <w:sz w:val="24"/>
                <w:szCs w:val="24"/>
              </w:rPr>
              <w:t>Therefore, I am not prepared to complicate the issues by granting summary judgment regarding</w:t>
            </w:r>
            <w:r w:rsidR="00D055A3">
              <w:rPr>
                <w:rFonts w:ascii="Arial" w:hAnsi="Arial" w:cs="Arial"/>
                <w:sz w:val="24"/>
                <w:szCs w:val="24"/>
              </w:rPr>
              <w:t xml:space="preserve"> the second and th</w:t>
            </w:r>
            <w:r w:rsidR="00466EF2">
              <w:rPr>
                <w:rFonts w:ascii="Arial" w:hAnsi="Arial" w:cs="Arial"/>
                <w:sz w:val="24"/>
                <w:szCs w:val="24"/>
              </w:rPr>
              <w:t>ird defendants at this stage.</w:t>
            </w:r>
          </w:p>
          <w:p w:rsidR="00737C3D" w:rsidRPr="0078733C" w:rsidRDefault="00737C3D" w:rsidP="00474C2A">
            <w:pPr>
              <w:tabs>
                <w:tab w:val="left" w:pos="837"/>
              </w:tabs>
              <w:spacing w:line="360" w:lineRule="auto"/>
              <w:jc w:val="both"/>
              <w:rPr>
                <w:rFonts w:ascii="Arial" w:hAnsi="Arial" w:cs="Arial"/>
                <w:sz w:val="24"/>
                <w:szCs w:val="24"/>
              </w:rPr>
            </w:pPr>
          </w:p>
          <w:p w:rsidR="00737C3D" w:rsidRDefault="00A5475B" w:rsidP="00474C2A">
            <w:pPr>
              <w:tabs>
                <w:tab w:val="left" w:pos="837"/>
              </w:tabs>
              <w:spacing w:line="360" w:lineRule="auto"/>
              <w:jc w:val="both"/>
              <w:rPr>
                <w:rFonts w:ascii="Arial" w:hAnsi="Arial" w:cs="Arial"/>
                <w:sz w:val="24"/>
                <w:szCs w:val="24"/>
              </w:rPr>
            </w:pPr>
            <w:r>
              <w:rPr>
                <w:rFonts w:ascii="Arial" w:hAnsi="Arial" w:cs="Arial"/>
                <w:sz w:val="24"/>
                <w:szCs w:val="24"/>
              </w:rPr>
              <w:t>[</w:t>
            </w:r>
            <w:r w:rsidR="00E74A40">
              <w:rPr>
                <w:rFonts w:ascii="Arial" w:hAnsi="Arial" w:cs="Arial"/>
                <w:sz w:val="24"/>
                <w:szCs w:val="24"/>
              </w:rPr>
              <w:t>26</w:t>
            </w:r>
            <w:r w:rsidR="00737C3D" w:rsidRPr="0078733C">
              <w:rPr>
                <w:rFonts w:ascii="Arial" w:hAnsi="Arial" w:cs="Arial"/>
                <w:sz w:val="24"/>
                <w:szCs w:val="24"/>
              </w:rPr>
              <w:t>]</w:t>
            </w:r>
            <w:r w:rsidR="00737C3D" w:rsidRPr="0078733C">
              <w:rPr>
                <w:rFonts w:ascii="Arial" w:hAnsi="Arial" w:cs="Arial"/>
                <w:sz w:val="24"/>
                <w:szCs w:val="24"/>
              </w:rPr>
              <w:tab/>
            </w:r>
            <w:r w:rsidR="006916C9" w:rsidRPr="0078733C">
              <w:rPr>
                <w:rFonts w:ascii="Arial" w:hAnsi="Arial" w:cs="Arial"/>
                <w:sz w:val="24"/>
                <w:szCs w:val="24"/>
              </w:rPr>
              <w:t>In the result</w:t>
            </w:r>
            <w:r w:rsidR="0000513F" w:rsidRPr="0078733C">
              <w:rPr>
                <w:rFonts w:ascii="Arial" w:hAnsi="Arial" w:cs="Arial"/>
                <w:sz w:val="24"/>
                <w:szCs w:val="24"/>
              </w:rPr>
              <w:t>, I make the order as set out above.</w:t>
            </w:r>
          </w:p>
          <w:p w:rsidR="00C04F28" w:rsidRPr="00CA7995" w:rsidRDefault="00C04F28" w:rsidP="00474C2A">
            <w:pPr>
              <w:tabs>
                <w:tab w:val="left" w:pos="837"/>
              </w:tabs>
              <w:spacing w:line="360" w:lineRule="auto"/>
              <w:jc w:val="both"/>
              <w:rPr>
                <w:rFonts w:ascii="Arial" w:hAnsi="Arial" w:cs="Arial"/>
                <w:sz w:val="24"/>
                <w:szCs w:val="24"/>
              </w:rPr>
            </w:pPr>
          </w:p>
        </w:tc>
      </w:tr>
      <w:tr w:rsidR="00CA7995" w:rsidRPr="00CA7995" w:rsidTr="00E74A40">
        <w:tc>
          <w:tcPr>
            <w:tcW w:w="5388"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E74A40">
        <w:trPr>
          <w:trHeight w:val="1114"/>
        </w:trPr>
        <w:tc>
          <w:tcPr>
            <w:tcW w:w="5388" w:type="dxa"/>
          </w:tcPr>
          <w:p w:rsidR="00B40844" w:rsidRPr="00CA7995" w:rsidRDefault="00B40844" w:rsidP="00937C89">
            <w:pPr>
              <w:spacing w:line="360" w:lineRule="auto"/>
              <w:jc w:val="both"/>
              <w:rPr>
                <w:rFonts w:ascii="Arial" w:hAnsi="Arial" w:cs="Arial"/>
                <w:sz w:val="24"/>
                <w:szCs w:val="24"/>
              </w:rPr>
            </w:pPr>
          </w:p>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E74A40">
        <w:tc>
          <w:tcPr>
            <w:tcW w:w="10632"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E74A40">
        <w:tc>
          <w:tcPr>
            <w:tcW w:w="5388" w:type="dxa"/>
          </w:tcPr>
          <w:p w:rsidR="00B40844" w:rsidRPr="00CA7995" w:rsidRDefault="00D24453" w:rsidP="00937C89">
            <w:pPr>
              <w:spacing w:line="360" w:lineRule="auto"/>
              <w:jc w:val="center"/>
              <w:rPr>
                <w:rFonts w:ascii="Arial" w:hAnsi="Arial" w:cs="Arial"/>
                <w:b/>
                <w:sz w:val="24"/>
                <w:szCs w:val="24"/>
              </w:rPr>
            </w:pPr>
            <w:r>
              <w:rPr>
                <w:rFonts w:ascii="Arial" w:hAnsi="Arial" w:cs="Arial"/>
                <w:b/>
                <w:sz w:val="24"/>
                <w:szCs w:val="24"/>
              </w:rPr>
              <w:t>Plaintiff</w:t>
            </w:r>
          </w:p>
        </w:tc>
        <w:tc>
          <w:tcPr>
            <w:tcW w:w="5244" w:type="dxa"/>
            <w:gridSpan w:val="2"/>
          </w:tcPr>
          <w:p w:rsidR="00B40844" w:rsidRPr="00CA7995" w:rsidRDefault="0000513F" w:rsidP="00937C89">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E74A40">
        <w:tc>
          <w:tcPr>
            <w:tcW w:w="5388" w:type="dxa"/>
          </w:tcPr>
          <w:p w:rsidR="002F1E33" w:rsidRPr="002F1E33" w:rsidRDefault="001B06B4" w:rsidP="00937C89">
            <w:pPr>
              <w:spacing w:line="360" w:lineRule="auto"/>
              <w:jc w:val="center"/>
              <w:rPr>
                <w:rFonts w:ascii="Arial" w:hAnsi="Arial" w:cs="Arial"/>
                <w:sz w:val="24"/>
                <w:szCs w:val="24"/>
              </w:rPr>
            </w:pPr>
            <w:r>
              <w:rPr>
                <w:rFonts w:ascii="Arial" w:hAnsi="Arial" w:cs="Arial"/>
                <w:sz w:val="24"/>
                <w:szCs w:val="24"/>
              </w:rPr>
              <w:t>JP Jones</w:t>
            </w:r>
          </w:p>
          <w:p w:rsidR="002F1E33" w:rsidRDefault="0078733C" w:rsidP="00937C89">
            <w:pPr>
              <w:spacing w:line="360" w:lineRule="auto"/>
              <w:jc w:val="center"/>
              <w:rPr>
                <w:rFonts w:ascii="Arial" w:hAnsi="Arial" w:cs="Arial"/>
                <w:sz w:val="24"/>
                <w:szCs w:val="24"/>
              </w:rPr>
            </w:pPr>
            <w:r w:rsidRPr="002F1E33">
              <w:rPr>
                <w:rFonts w:ascii="Arial" w:hAnsi="Arial" w:cs="Arial"/>
                <w:sz w:val="24"/>
                <w:szCs w:val="24"/>
              </w:rPr>
              <w:t>Instructed by</w:t>
            </w:r>
          </w:p>
          <w:p w:rsidR="001B06B4" w:rsidRDefault="001B06B4" w:rsidP="001B06B4">
            <w:pPr>
              <w:spacing w:line="360" w:lineRule="auto"/>
              <w:jc w:val="center"/>
              <w:rPr>
                <w:rFonts w:ascii="Arial" w:hAnsi="Arial" w:cs="Arial"/>
                <w:sz w:val="24"/>
                <w:szCs w:val="24"/>
              </w:rPr>
            </w:pPr>
            <w:r>
              <w:rPr>
                <w:rFonts w:ascii="Arial" w:hAnsi="Arial" w:cs="Arial"/>
                <w:sz w:val="24"/>
                <w:szCs w:val="24"/>
              </w:rPr>
              <w:t>Koep &amp; Partners</w:t>
            </w:r>
          </w:p>
          <w:p w:rsidR="00B40844" w:rsidRPr="00D24453" w:rsidRDefault="0078733C" w:rsidP="001B06B4">
            <w:pPr>
              <w:spacing w:line="360" w:lineRule="auto"/>
              <w:jc w:val="center"/>
              <w:rPr>
                <w:rFonts w:ascii="Arial" w:hAnsi="Arial" w:cs="Arial"/>
                <w:sz w:val="24"/>
                <w:szCs w:val="24"/>
              </w:rPr>
            </w:pPr>
            <w:r w:rsidRPr="002F1E33">
              <w:rPr>
                <w:rFonts w:ascii="Arial" w:hAnsi="Arial" w:cs="Arial"/>
                <w:sz w:val="24"/>
                <w:szCs w:val="24"/>
              </w:rPr>
              <w:t xml:space="preserve">Windhoek </w:t>
            </w:r>
          </w:p>
        </w:tc>
        <w:tc>
          <w:tcPr>
            <w:tcW w:w="5244" w:type="dxa"/>
            <w:gridSpan w:val="2"/>
          </w:tcPr>
          <w:p w:rsidR="002F1E33" w:rsidRDefault="001B06B4" w:rsidP="002F1E33">
            <w:pPr>
              <w:spacing w:line="360" w:lineRule="auto"/>
              <w:jc w:val="center"/>
              <w:rPr>
                <w:rFonts w:ascii="Arial" w:hAnsi="Arial" w:cs="Arial"/>
                <w:sz w:val="24"/>
                <w:szCs w:val="24"/>
              </w:rPr>
            </w:pPr>
            <w:r>
              <w:rPr>
                <w:rFonts w:ascii="Arial" w:hAnsi="Arial" w:cs="Arial"/>
                <w:sz w:val="24"/>
                <w:szCs w:val="24"/>
              </w:rPr>
              <w:t>M Kemp</w:t>
            </w:r>
          </w:p>
          <w:p w:rsidR="00466EF2" w:rsidRDefault="00466EF2" w:rsidP="002F1E33">
            <w:pPr>
              <w:spacing w:line="360" w:lineRule="auto"/>
              <w:jc w:val="center"/>
              <w:rPr>
                <w:rFonts w:ascii="Arial" w:hAnsi="Arial" w:cs="Arial"/>
                <w:sz w:val="24"/>
                <w:szCs w:val="24"/>
              </w:rPr>
            </w:pPr>
            <w:r>
              <w:rPr>
                <w:rFonts w:ascii="Arial" w:hAnsi="Arial" w:cs="Arial"/>
                <w:sz w:val="24"/>
                <w:szCs w:val="24"/>
              </w:rPr>
              <w:t>of</w:t>
            </w:r>
          </w:p>
          <w:p w:rsidR="001B06B4" w:rsidRDefault="001B06B4" w:rsidP="002F1E33">
            <w:pPr>
              <w:pStyle w:val="BodyText3"/>
            </w:pPr>
            <w:r>
              <w:t>Metcalfe Beukes Attorneys</w:t>
            </w:r>
            <w:r w:rsidR="002F1E33">
              <w:t xml:space="preserve"> </w:t>
            </w:r>
          </w:p>
          <w:p w:rsidR="00B40844" w:rsidRPr="002F1E33" w:rsidRDefault="001B06B4" w:rsidP="002F1E33">
            <w:pPr>
              <w:pStyle w:val="BodyText3"/>
              <w:rPr>
                <w:i/>
              </w:rPr>
            </w:pPr>
            <w:r>
              <w:t>Windhoek</w:t>
            </w:r>
          </w:p>
          <w:p w:rsidR="0000513F" w:rsidRPr="00CA7995" w:rsidRDefault="0000513F" w:rsidP="00937C89">
            <w:pPr>
              <w:spacing w:line="360" w:lineRule="auto"/>
              <w:jc w:val="center"/>
              <w:rPr>
                <w:rFonts w:ascii="Arial" w:hAnsi="Arial" w:cs="Arial"/>
                <w:sz w:val="24"/>
                <w:szCs w:val="24"/>
              </w:rPr>
            </w:pPr>
          </w:p>
        </w:tc>
      </w:tr>
    </w:tbl>
    <w:p w:rsidR="00B845CF" w:rsidRDefault="00B845CF"/>
    <w:sectPr w:rsidR="00B845CF" w:rsidSect="00002E9A">
      <w:headerReference w:type="default" r:id="rId9"/>
      <w:footerReference w:type="default" r:id="rId10"/>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45" w:rsidRDefault="00731745" w:rsidP="00B40844">
      <w:pPr>
        <w:spacing w:after="0" w:line="240" w:lineRule="auto"/>
      </w:pPr>
      <w:r>
        <w:separator/>
      </w:r>
    </w:p>
  </w:endnote>
  <w:endnote w:type="continuationSeparator" w:id="0">
    <w:p w:rsidR="00731745" w:rsidRDefault="00731745"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A3" w:rsidRPr="00F674F4" w:rsidRDefault="00D055A3">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45" w:rsidRDefault="00731745" w:rsidP="00B40844">
      <w:pPr>
        <w:spacing w:after="0" w:line="240" w:lineRule="auto"/>
      </w:pPr>
      <w:r>
        <w:separator/>
      </w:r>
    </w:p>
  </w:footnote>
  <w:footnote w:type="continuationSeparator" w:id="0">
    <w:p w:rsidR="00731745" w:rsidRDefault="00731745" w:rsidP="00B40844">
      <w:pPr>
        <w:spacing w:after="0" w:line="240" w:lineRule="auto"/>
      </w:pPr>
      <w:r>
        <w:continuationSeparator/>
      </w:r>
    </w:p>
  </w:footnote>
  <w:footnote w:id="1">
    <w:p w:rsidR="00D055A3" w:rsidRPr="00A53FA6" w:rsidRDefault="00D055A3" w:rsidP="00A53FA6">
      <w:pPr>
        <w:pStyle w:val="FootnoteText"/>
        <w:spacing w:line="360" w:lineRule="auto"/>
        <w:rPr>
          <w:rFonts w:ascii="Arial" w:hAnsi="Arial" w:cs="Arial"/>
        </w:rPr>
      </w:pPr>
      <w:r w:rsidRPr="00A53FA6">
        <w:rPr>
          <w:rStyle w:val="FootnoteReference"/>
          <w:rFonts w:ascii="Arial" w:hAnsi="Arial" w:cs="Arial"/>
        </w:rPr>
        <w:footnoteRef/>
      </w:r>
      <w:r w:rsidRPr="00A53FA6">
        <w:rPr>
          <w:rFonts w:ascii="Arial" w:hAnsi="Arial" w:cs="Arial"/>
        </w:rPr>
        <w:t xml:space="preserve"> Herbstein &amp; van Winsen: </w:t>
      </w:r>
      <w:r w:rsidRPr="00A53FA6">
        <w:rPr>
          <w:rFonts w:ascii="Arial" w:hAnsi="Arial" w:cs="Arial"/>
          <w:i/>
          <w:iCs/>
        </w:rPr>
        <w:t>The Civil Practice of the High Courts of South Africa</w:t>
      </w:r>
      <w:r w:rsidRPr="00A53FA6">
        <w:rPr>
          <w:rFonts w:ascii="Arial" w:hAnsi="Arial" w:cs="Arial"/>
        </w:rPr>
        <w:t xml:space="preserve"> 5</w:t>
      </w:r>
      <w:r w:rsidRPr="00A53FA6">
        <w:rPr>
          <w:rFonts w:ascii="Arial" w:hAnsi="Arial" w:cs="Arial"/>
          <w:vertAlign w:val="superscript"/>
        </w:rPr>
        <w:t>th</w:t>
      </w:r>
      <w:r w:rsidRPr="00A53FA6">
        <w:rPr>
          <w:rFonts w:ascii="Arial" w:hAnsi="Arial" w:cs="Arial"/>
        </w:rPr>
        <w:t xml:space="preserve"> Ed at 516.</w:t>
      </w:r>
    </w:p>
  </w:footnote>
  <w:footnote w:id="2">
    <w:p w:rsidR="00D055A3" w:rsidRPr="00A53FA6" w:rsidRDefault="00D055A3" w:rsidP="00A53FA6">
      <w:pPr>
        <w:pStyle w:val="FootnoteText"/>
        <w:spacing w:line="360" w:lineRule="auto"/>
        <w:rPr>
          <w:rFonts w:ascii="Arial" w:hAnsi="Arial" w:cs="Arial"/>
        </w:rPr>
      </w:pPr>
      <w:r w:rsidRPr="00A53FA6">
        <w:rPr>
          <w:rStyle w:val="FootnoteReference"/>
          <w:rFonts w:ascii="Arial" w:hAnsi="Arial" w:cs="Arial"/>
        </w:rPr>
        <w:footnoteRef/>
      </w:r>
      <w:r w:rsidRPr="00A53FA6">
        <w:rPr>
          <w:rFonts w:ascii="Arial" w:hAnsi="Arial" w:cs="Arial"/>
        </w:rPr>
        <w:t xml:space="preserve"> </w:t>
      </w:r>
      <w:r w:rsidRPr="00A53FA6">
        <w:rPr>
          <w:rFonts w:ascii="Arial" w:hAnsi="Arial" w:cs="Arial"/>
          <w:i/>
        </w:rPr>
        <w:t>Namibia Airports Company Limited v Conradie</w:t>
      </w:r>
      <w:r w:rsidRPr="00A53FA6">
        <w:rPr>
          <w:rFonts w:ascii="Arial" w:hAnsi="Arial" w:cs="Arial"/>
        </w:rPr>
        <w:t xml:space="preserve"> 2007 (1) NR 375 (HC) para 22.</w:t>
      </w:r>
    </w:p>
  </w:footnote>
  <w:footnote w:id="3">
    <w:p w:rsidR="00D055A3" w:rsidRPr="00A53FA6" w:rsidRDefault="00D055A3" w:rsidP="00A53FA6">
      <w:pPr>
        <w:pStyle w:val="FootnoteText"/>
        <w:spacing w:line="360" w:lineRule="auto"/>
        <w:rPr>
          <w:rFonts w:ascii="Arial" w:hAnsi="Arial" w:cs="Arial"/>
        </w:rPr>
      </w:pPr>
      <w:r w:rsidRPr="00A53FA6">
        <w:rPr>
          <w:rStyle w:val="FootnoteReference"/>
          <w:rFonts w:ascii="Arial" w:hAnsi="Arial" w:cs="Arial"/>
        </w:rPr>
        <w:footnoteRef/>
      </w:r>
      <w:r w:rsidRPr="00A53FA6">
        <w:rPr>
          <w:rFonts w:ascii="Arial" w:hAnsi="Arial" w:cs="Arial"/>
        </w:rPr>
        <w:t xml:space="preserve"> </w:t>
      </w:r>
      <w:r w:rsidRPr="00A53FA6">
        <w:rPr>
          <w:rFonts w:ascii="Arial" w:hAnsi="Arial" w:cs="Arial"/>
          <w:i/>
        </w:rPr>
        <w:t xml:space="preserve">Tesven CC and Another v South African Bank of Athens </w:t>
      </w:r>
      <w:r w:rsidRPr="00A53FA6">
        <w:rPr>
          <w:rFonts w:ascii="Arial" w:hAnsi="Arial" w:cs="Arial"/>
        </w:rPr>
        <w:t>2000 (1) 268 (SCA) at 277 H – I.</w:t>
      </w:r>
    </w:p>
  </w:footnote>
  <w:footnote w:id="4">
    <w:p w:rsidR="00D055A3" w:rsidRDefault="00D055A3" w:rsidP="00A53FA6">
      <w:pPr>
        <w:pStyle w:val="FootnoteText"/>
        <w:spacing w:line="360" w:lineRule="auto"/>
      </w:pPr>
      <w:r w:rsidRPr="00A53FA6">
        <w:rPr>
          <w:rStyle w:val="FootnoteReference"/>
          <w:rFonts w:ascii="Arial" w:hAnsi="Arial" w:cs="Arial"/>
        </w:rPr>
        <w:footnoteRef/>
      </w:r>
      <w:r w:rsidRPr="00A53FA6">
        <w:rPr>
          <w:rFonts w:ascii="Arial" w:hAnsi="Arial" w:cs="Arial"/>
        </w:rPr>
        <w:t xml:space="preserve"> </w:t>
      </w:r>
      <w:r w:rsidRPr="00A53FA6">
        <w:rPr>
          <w:rFonts w:ascii="Arial" w:hAnsi="Arial" w:cs="Arial"/>
          <w:i/>
          <w:lang w:val="en-US"/>
        </w:rPr>
        <w:t xml:space="preserve">Di Savino v Nedbank Namibia Ltd </w:t>
      </w:r>
      <w:r w:rsidRPr="00A53FA6">
        <w:rPr>
          <w:rFonts w:ascii="Arial" w:hAnsi="Arial" w:cs="Arial"/>
          <w:color w:val="000000" w:themeColor="text1"/>
          <w:lang w:val="en-US"/>
        </w:rPr>
        <w:t>2012 (2) NR 507 (SC).</w:t>
      </w:r>
    </w:p>
  </w:footnote>
  <w:footnote w:id="5">
    <w:p w:rsidR="00D055A3" w:rsidRPr="00231EFE" w:rsidRDefault="00D055A3" w:rsidP="00EE3ECD">
      <w:pPr>
        <w:pStyle w:val="FootnoteText"/>
        <w:spacing w:line="360" w:lineRule="auto"/>
        <w:jc w:val="both"/>
        <w:rPr>
          <w:rFonts w:ascii="Arial" w:hAnsi="Arial" w:cs="Arial"/>
          <w:lang w:val="en-US"/>
        </w:rPr>
      </w:pPr>
      <w:r>
        <w:rPr>
          <w:rStyle w:val="FootnoteReference"/>
          <w:rFonts w:ascii="Arial" w:hAnsi="Arial" w:cs="Arial"/>
        </w:rPr>
        <w:footnoteRef/>
      </w:r>
      <w:r>
        <w:rPr>
          <w:rFonts w:ascii="Arial" w:hAnsi="Arial" w:cs="Arial"/>
        </w:rPr>
        <w:t xml:space="preserve"> </w:t>
      </w:r>
      <w:r w:rsidRPr="00231EFE">
        <w:rPr>
          <w:rFonts w:ascii="Arial" w:hAnsi="Arial" w:cs="Arial"/>
          <w:i/>
        </w:rPr>
        <w:t>Shingadia v Shingadia</w:t>
      </w:r>
      <w:r w:rsidRPr="00231EFE">
        <w:rPr>
          <w:rFonts w:ascii="Arial" w:hAnsi="Arial" w:cs="Arial"/>
        </w:rPr>
        <w:t xml:space="preserve"> 1966 (3) SA 24 (R) at 26A – B; </w:t>
      </w:r>
      <w:r w:rsidRPr="00231EFE">
        <w:rPr>
          <w:rFonts w:ascii="Arial" w:hAnsi="Arial" w:cs="Arial"/>
          <w:i/>
        </w:rPr>
        <w:t xml:space="preserve">Tesven CC and Another v South African Bank of Athens </w:t>
      </w:r>
      <w:r w:rsidR="00A06EFA">
        <w:rPr>
          <w:rFonts w:ascii="Arial" w:hAnsi="Arial" w:cs="Arial"/>
        </w:rPr>
        <w:t xml:space="preserve">2000 (1) SA 268 (SCA) </w:t>
      </w:r>
      <w:r w:rsidRPr="00231EFE">
        <w:rPr>
          <w:rFonts w:ascii="Arial" w:hAnsi="Arial" w:cs="Arial"/>
        </w:rPr>
        <w:t xml:space="preserve">[1999] 4 All SA 396) at para 26; </w:t>
      </w:r>
      <w:r w:rsidRPr="00231EFE">
        <w:rPr>
          <w:rFonts w:ascii="Arial" w:hAnsi="Arial" w:cs="Arial"/>
          <w:i/>
        </w:rPr>
        <w:t>Shepstone v Shepstone</w:t>
      </w:r>
      <w:r w:rsidRPr="00231EFE">
        <w:rPr>
          <w:rFonts w:ascii="Arial" w:hAnsi="Arial" w:cs="Arial"/>
        </w:rPr>
        <w:t xml:space="preserve"> 1974 (2) SA 462 (N) at 467A; </w:t>
      </w:r>
      <w:r w:rsidRPr="00231EFE">
        <w:rPr>
          <w:rFonts w:ascii="Arial" w:hAnsi="Arial" w:cs="Arial"/>
          <w:i/>
        </w:rPr>
        <w:t>Marsh and Another v Standard Bank of SA Ltd</w:t>
      </w:r>
      <w:r w:rsidRPr="00231EFE">
        <w:rPr>
          <w:rFonts w:ascii="Arial" w:hAnsi="Arial" w:cs="Arial"/>
        </w:rPr>
        <w:t xml:space="preserve"> 2000 (4) SA 947 (W) at 949.</w:t>
      </w:r>
    </w:p>
  </w:footnote>
  <w:footnote w:id="6">
    <w:p w:rsidR="00D055A3" w:rsidRDefault="00D055A3" w:rsidP="00EE3ECD">
      <w:pPr>
        <w:pStyle w:val="FootnoteText"/>
        <w:spacing w:line="360" w:lineRule="auto"/>
        <w:rPr>
          <w:rFonts w:ascii="Calibri" w:hAnsi="Calibri" w:cs="Times New Roman"/>
          <w:lang w:val="en-US"/>
        </w:rPr>
      </w:pPr>
      <w:r w:rsidRPr="00231EFE">
        <w:rPr>
          <w:rStyle w:val="FootnoteReference"/>
          <w:rFonts w:ascii="Arial" w:hAnsi="Arial" w:cs="Arial"/>
        </w:rPr>
        <w:footnoteRef/>
      </w:r>
      <w:r w:rsidRPr="00231EFE">
        <w:rPr>
          <w:rFonts w:ascii="Arial" w:hAnsi="Arial" w:cs="Arial"/>
        </w:rPr>
        <w:t xml:space="preserve"> </w:t>
      </w:r>
      <w:r w:rsidRPr="00231EFE">
        <w:rPr>
          <w:rFonts w:ascii="Arial" w:hAnsi="Arial" w:cs="Arial"/>
          <w:i/>
          <w:lang w:val="en-US"/>
        </w:rPr>
        <w:t xml:space="preserve">Di Savino v Nedbank Namibia Ltd </w:t>
      </w:r>
      <w:r w:rsidRPr="00231EFE">
        <w:rPr>
          <w:rFonts w:ascii="Arial" w:hAnsi="Arial" w:cs="Arial"/>
          <w:color w:val="000000" w:themeColor="text1"/>
          <w:lang w:val="en-US"/>
        </w:rPr>
        <w:t>2012 (2) NR 507 (SC)</w:t>
      </w:r>
      <w:r w:rsidRPr="00231EFE">
        <w:rPr>
          <w:rFonts w:ascii="Arial" w:hAnsi="Arial" w:cs="Arial"/>
          <w:i/>
          <w:lang w:val="en-US"/>
        </w:rPr>
        <w:t xml:space="preserve"> </w:t>
      </w:r>
      <w:r w:rsidRPr="00231EFE">
        <w:rPr>
          <w:rFonts w:ascii="Arial" w:hAnsi="Arial" w:cs="Arial"/>
          <w:lang w:val="en-US"/>
        </w:rPr>
        <w:t>at [26].</w:t>
      </w:r>
    </w:p>
  </w:footnote>
  <w:footnote w:id="7">
    <w:p w:rsidR="00A06EFA" w:rsidRPr="00A06EFA" w:rsidRDefault="00A06EFA">
      <w:pPr>
        <w:pStyle w:val="FootnoteText"/>
        <w:rPr>
          <w:lang w:val="en-US"/>
        </w:rPr>
      </w:pPr>
      <w:r>
        <w:rPr>
          <w:rStyle w:val="FootnoteReference"/>
        </w:rPr>
        <w:footnoteRef/>
      </w:r>
      <w:r>
        <w:t xml:space="preserve"> </w:t>
      </w:r>
      <w:r w:rsidRPr="00A06EFA">
        <w:rPr>
          <w:rFonts w:ascii="Arial" w:hAnsi="Arial" w:cs="Arial"/>
          <w:i/>
        </w:rPr>
        <w:t>Breitenbach v Fiat SA (Edms) Bpk</w:t>
      </w:r>
      <w:r w:rsidRPr="00A06EFA">
        <w:t xml:space="preserve"> 1976 (2) SA 226 (T) at 228B.)</w:t>
      </w:r>
    </w:p>
  </w:footnote>
  <w:footnote w:id="8">
    <w:p w:rsidR="00D055A3" w:rsidRDefault="00D055A3">
      <w:pPr>
        <w:pStyle w:val="FootnoteText"/>
      </w:pPr>
      <w:r>
        <w:rPr>
          <w:rStyle w:val="FootnoteReference"/>
        </w:rPr>
        <w:footnoteRef/>
      </w:r>
      <w:r>
        <w:t xml:space="preserve"> </w:t>
      </w:r>
      <w:r w:rsidRPr="001B06B4">
        <w:rPr>
          <w:rFonts w:ascii="Arial" w:hAnsi="Arial" w:cs="Arial"/>
          <w:i/>
        </w:rPr>
        <w:t>Triplejay Eq</w:t>
      </w:r>
      <w:r w:rsidR="00A06EFA">
        <w:rPr>
          <w:rFonts w:ascii="Arial" w:hAnsi="Arial" w:cs="Arial"/>
          <w:i/>
        </w:rPr>
        <w:t>uipment (SWA) (Pty) Ltd v Muller</w:t>
      </w:r>
      <w:r w:rsidRPr="001B06B4">
        <w:rPr>
          <w:rFonts w:ascii="Arial" w:hAnsi="Arial" w:cs="Arial"/>
        </w:rPr>
        <w:t xml:space="preserve"> 1962 (3) SA 115 (SWA) at 116B</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59610"/>
      <w:docPartObj>
        <w:docPartGallery w:val="Page Numbers (Top of Page)"/>
        <w:docPartUnique/>
      </w:docPartObj>
    </w:sdtPr>
    <w:sdtEndPr>
      <w:rPr>
        <w:noProof/>
      </w:rPr>
    </w:sdtEndPr>
    <w:sdtContent>
      <w:p w:rsidR="00D055A3" w:rsidRDefault="00D055A3">
        <w:pPr>
          <w:pStyle w:val="Header"/>
          <w:jc w:val="right"/>
        </w:pPr>
        <w:r>
          <w:fldChar w:fldCharType="begin"/>
        </w:r>
        <w:r>
          <w:instrText xml:space="preserve"> PAGE   \* MERGEFORMAT </w:instrText>
        </w:r>
        <w:r>
          <w:fldChar w:fldCharType="separate"/>
        </w:r>
        <w:r w:rsidR="00BE5FC0">
          <w:rPr>
            <w:noProof/>
          </w:rPr>
          <w:t>2</w:t>
        </w:r>
        <w:r>
          <w:rPr>
            <w:noProof/>
          </w:rPr>
          <w:fldChar w:fldCharType="end"/>
        </w:r>
      </w:p>
    </w:sdtContent>
  </w:sdt>
  <w:p w:rsidR="00D055A3" w:rsidRDefault="00D05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1B3917AA"/>
    <w:multiLevelType w:val="hybridMultilevel"/>
    <w:tmpl w:val="23DE46CA"/>
    <w:lvl w:ilvl="0" w:tplc="04FA36EA">
      <w:start w:val="1"/>
      <w:numFmt w:val="decimal"/>
      <w:lvlText w:val="%1."/>
      <w:lvlJc w:val="left"/>
      <w:pPr>
        <w:ind w:left="465" w:hanging="465"/>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9C3478"/>
    <w:multiLevelType w:val="hybridMultilevel"/>
    <w:tmpl w:val="A18A982C"/>
    <w:lvl w:ilvl="0" w:tplc="C0AABED8">
      <w:start w:val="1"/>
      <w:numFmt w:val="decimal"/>
      <w:lvlText w:val="[%1]"/>
      <w:lvlJc w:val="left"/>
      <w:pPr>
        <w:ind w:left="644"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1"/>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E9A"/>
    <w:rsid w:val="0000513F"/>
    <w:rsid w:val="000142CE"/>
    <w:rsid w:val="00015808"/>
    <w:rsid w:val="00030A66"/>
    <w:rsid w:val="00052806"/>
    <w:rsid w:val="00053646"/>
    <w:rsid w:val="00065E38"/>
    <w:rsid w:val="000929C5"/>
    <w:rsid w:val="000A6E7F"/>
    <w:rsid w:val="000C03BB"/>
    <w:rsid w:val="000D3C9C"/>
    <w:rsid w:val="000E7B64"/>
    <w:rsid w:val="000F1066"/>
    <w:rsid w:val="000F1377"/>
    <w:rsid w:val="000F39A3"/>
    <w:rsid w:val="000F681E"/>
    <w:rsid w:val="00116AFB"/>
    <w:rsid w:val="001223B7"/>
    <w:rsid w:val="00124C63"/>
    <w:rsid w:val="00152FEA"/>
    <w:rsid w:val="001744E0"/>
    <w:rsid w:val="0018718C"/>
    <w:rsid w:val="001A7411"/>
    <w:rsid w:val="001B06B4"/>
    <w:rsid w:val="001B3825"/>
    <w:rsid w:val="001E097B"/>
    <w:rsid w:val="002138AA"/>
    <w:rsid w:val="00217744"/>
    <w:rsid w:val="00224808"/>
    <w:rsid w:val="002317B0"/>
    <w:rsid w:val="0023549A"/>
    <w:rsid w:val="002536EA"/>
    <w:rsid w:val="0026588D"/>
    <w:rsid w:val="00276736"/>
    <w:rsid w:val="002A4AA3"/>
    <w:rsid w:val="002B38E0"/>
    <w:rsid w:val="002C1EF6"/>
    <w:rsid w:val="002D20C5"/>
    <w:rsid w:val="002E738E"/>
    <w:rsid w:val="002F1E33"/>
    <w:rsid w:val="0031523D"/>
    <w:rsid w:val="00322F39"/>
    <w:rsid w:val="00323AAF"/>
    <w:rsid w:val="00323E22"/>
    <w:rsid w:val="00340EA6"/>
    <w:rsid w:val="003413C7"/>
    <w:rsid w:val="00341C0F"/>
    <w:rsid w:val="0035617B"/>
    <w:rsid w:val="00371B8F"/>
    <w:rsid w:val="0038382D"/>
    <w:rsid w:val="00384B95"/>
    <w:rsid w:val="003A18AD"/>
    <w:rsid w:val="003A49EA"/>
    <w:rsid w:val="003C2574"/>
    <w:rsid w:val="003D165C"/>
    <w:rsid w:val="003D3059"/>
    <w:rsid w:val="003D5B62"/>
    <w:rsid w:val="003E6780"/>
    <w:rsid w:val="00404B70"/>
    <w:rsid w:val="00412278"/>
    <w:rsid w:val="00426C60"/>
    <w:rsid w:val="00431A65"/>
    <w:rsid w:val="004352E5"/>
    <w:rsid w:val="004358E2"/>
    <w:rsid w:val="00436C2B"/>
    <w:rsid w:val="0045751A"/>
    <w:rsid w:val="00463486"/>
    <w:rsid w:val="004665B1"/>
    <w:rsid w:val="00466B36"/>
    <w:rsid w:val="00466EF2"/>
    <w:rsid w:val="00474C2A"/>
    <w:rsid w:val="00475B7A"/>
    <w:rsid w:val="004907E4"/>
    <w:rsid w:val="004936A7"/>
    <w:rsid w:val="004A1B08"/>
    <w:rsid w:val="004A2D48"/>
    <w:rsid w:val="004A532D"/>
    <w:rsid w:val="004C1FBF"/>
    <w:rsid w:val="004C646F"/>
    <w:rsid w:val="004E20E9"/>
    <w:rsid w:val="00503F36"/>
    <w:rsid w:val="005060A3"/>
    <w:rsid w:val="0053389D"/>
    <w:rsid w:val="00535F29"/>
    <w:rsid w:val="00536EFF"/>
    <w:rsid w:val="00552964"/>
    <w:rsid w:val="00562322"/>
    <w:rsid w:val="005629DA"/>
    <w:rsid w:val="005676AD"/>
    <w:rsid w:val="00594F6C"/>
    <w:rsid w:val="005A4D90"/>
    <w:rsid w:val="005B62A0"/>
    <w:rsid w:val="005C0E24"/>
    <w:rsid w:val="005C21D7"/>
    <w:rsid w:val="005C3354"/>
    <w:rsid w:val="005C7B1B"/>
    <w:rsid w:val="005D7BD0"/>
    <w:rsid w:val="005F325C"/>
    <w:rsid w:val="005F32EB"/>
    <w:rsid w:val="00610BF1"/>
    <w:rsid w:val="006115E2"/>
    <w:rsid w:val="00672C76"/>
    <w:rsid w:val="006916C9"/>
    <w:rsid w:val="00695745"/>
    <w:rsid w:val="006976D9"/>
    <w:rsid w:val="006A0BA4"/>
    <w:rsid w:val="006B7521"/>
    <w:rsid w:val="006C63EF"/>
    <w:rsid w:val="006D0991"/>
    <w:rsid w:val="006D7450"/>
    <w:rsid w:val="006E0FD4"/>
    <w:rsid w:val="00702C62"/>
    <w:rsid w:val="00703171"/>
    <w:rsid w:val="00731745"/>
    <w:rsid w:val="00736DA4"/>
    <w:rsid w:val="00737C3D"/>
    <w:rsid w:val="00746C0C"/>
    <w:rsid w:val="00766C68"/>
    <w:rsid w:val="0078274D"/>
    <w:rsid w:val="007853D8"/>
    <w:rsid w:val="0078733C"/>
    <w:rsid w:val="00793E9C"/>
    <w:rsid w:val="007950C8"/>
    <w:rsid w:val="00796B9C"/>
    <w:rsid w:val="007B5FB1"/>
    <w:rsid w:val="007D0792"/>
    <w:rsid w:val="007D6C74"/>
    <w:rsid w:val="007F68C4"/>
    <w:rsid w:val="008006A3"/>
    <w:rsid w:val="00805692"/>
    <w:rsid w:val="00812409"/>
    <w:rsid w:val="00816D5D"/>
    <w:rsid w:val="00821A0C"/>
    <w:rsid w:val="008275AC"/>
    <w:rsid w:val="00835300"/>
    <w:rsid w:val="0084650C"/>
    <w:rsid w:val="00882F73"/>
    <w:rsid w:val="00890A20"/>
    <w:rsid w:val="00892D9A"/>
    <w:rsid w:val="008A1447"/>
    <w:rsid w:val="008B171D"/>
    <w:rsid w:val="008C2200"/>
    <w:rsid w:val="008E0730"/>
    <w:rsid w:val="008F5871"/>
    <w:rsid w:val="008F59A0"/>
    <w:rsid w:val="0091061F"/>
    <w:rsid w:val="009279BE"/>
    <w:rsid w:val="00937C89"/>
    <w:rsid w:val="009617AA"/>
    <w:rsid w:val="009733A9"/>
    <w:rsid w:val="009919F6"/>
    <w:rsid w:val="00997C11"/>
    <w:rsid w:val="009A7A59"/>
    <w:rsid w:val="009B2B9B"/>
    <w:rsid w:val="009C35C9"/>
    <w:rsid w:val="009C6F3F"/>
    <w:rsid w:val="009D27E8"/>
    <w:rsid w:val="00A06EFA"/>
    <w:rsid w:val="00A10E40"/>
    <w:rsid w:val="00A15CD1"/>
    <w:rsid w:val="00A22E0F"/>
    <w:rsid w:val="00A26B7B"/>
    <w:rsid w:val="00A3327E"/>
    <w:rsid w:val="00A50F13"/>
    <w:rsid w:val="00A53FA6"/>
    <w:rsid w:val="00A5475B"/>
    <w:rsid w:val="00A66511"/>
    <w:rsid w:val="00A75ED6"/>
    <w:rsid w:val="00A86B1F"/>
    <w:rsid w:val="00AA3ECB"/>
    <w:rsid w:val="00AC0621"/>
    <w:rsid w:val="00AD72DD"/>
    <w:rsid w:val="00B01B6C"/>
    <w:rsid w:val="00B121EA"/>
    <w:rsid w:val="00B40844"/>
    <w:rsid w:val="00B463CA"/>
    <w:rsid w:val="00B47800"/>
    <w:rsid w:val="00B50C99"/>
    <w:rsid w:val="00B56E34"/>
    <w:rsid w:val="00B5737E"/>
    <w:rsid w:val="00B601AD"/>
    <w:rsid w:val="00B61AC7"/>
    <w:rsid w:val="00B808CB"/>
    <w:rsid w:val="00B845CF"/>
    <w:rsid w:val="00B92DE7"/>
    <w:rsid w:val="00B9407E"/>
    <w:rsid w:val="00BB13F4"/>
    <w:rsid w:val="00BB3273"/>
    <w:rsid w:val="00BC5931"/>
    <w:rsid w:val="00BE31AD"/>
    <w:rsid w:val="00BE5FC0"/>
    <w:rsid w:val="00C04F28"/>
    <w:rsid w:val="00C06EB4"/>
    <w:rsid w:val="00C13028"/>
    <w:rsid w:val="00C2633E"/>
    <w:rsid w:val="00C44F65"/>
    <w:rsid w:val="00C73D5D"/>
    <w:rsid w:val="00CA7995"/>
    <w:rsid w:val="00CC7431"/>
    <w:rsid w:val="00CD62C0"/>
    <w:rsid w:val="00CE33A0"/>
    <w:rsid w:val="00CE5E5B"/>
    <w:rsid w:val="00CF31B4"/>
    <w:rsid w:val="00CF413C"/>
    <w:rsid w:val="00D055A3"/>
    <w:rsid w:val="00D113DD"/>
    <w:rsid w:val="00D14EF6"/>
    <w:rsid w:val="00D24453"/>
    <w:rsid w:val="00D25285"/>
    <w:rsid w:val="00D30D4D"/>
    <w:rsid w:val="00D37DAA"/>
    <w:rsid w:val="00D5070E"/>
    <w:rsid w:val="00D547B6"/>
    <w:rsid w:val="00D6224D"/>
    <w:rsid w:val="00D80947"/>
    <w:rsid w:val="00D837ED"/>
    <w:rsid w:val="00D91FF4"/>
    <w:rsid w:val="00D960EA"/>
    <w:rsid w:val="00DB5AA2"/>
    <w:rsid w:val="00DD76E7"/>
    <w:rsid w:val="00E0573A"/>
    <w:rsid w:val="00E11E88"/>
    <w:rsid w:val="00E221FD"/>
    <w:rsid w:val="00E22651"/>
    <w:rsid w:val="00E33022"/>
    <w:rsid w:val="00E41BE5"/>
    <w:rsid w:val="00E533BE"/>
    <w:rsid w:val="00E540B7"/>
    <w:rsid w:val="00E62DB3"/>
    <w:rsid w:val="00E74A40"/>
    <w:rsid w:val="00E83C8A"/>
    <w:rsid w:val="00E96F9E"/>
    <w:rsid w:val="00EA2DE2"/>
    <w:rsid w:val="00EB1AE0"/>
    <w:rsid w:val="00EB68B8"/>
    <w:rsid w:val="00EC29B1"/>
    <w:rsid w:val="00ED5B76"/>
    <w:rsid w:val="00ED7008"/>
    <w:rsid w:val="00ED76B2"/>
    <w:rsid w:val="00EE3ECD"/>
    <w:rsid w:val="00EF184A"/>
    <w:rsid w:val="00EF2FFD"/>
    <w:rsid w:val="00F0235A"/>
    <w:rsid w:val="00F05CAB"/>
    <w:rsid w:val="00F0783D"/>
    <w:rsid w:val="00F258A0"/>
    <w:rsid w:val="00F502F0"/>
    <w:rsid w:val="00F62BCA"/>
    <w:rsid w:val="00F65529"/>
    <w:rsid w:val="00F65903"/>
    <w:rsid w:val="00F72231"/>
    <w:rsid w:val="00F7691A"/>
    <w:rsid w:val="00F82EDF"/>
    <w:rsid w:val="00F8480F"/>
    <w:rsid w:val="00F92D04"/>
    <w:rsid w:val="00FA07D9"/>
    <w:rsid w:val="00FB2E9E"/>
    <w:rsid w:val="00FB5F14"/>
    <w:rsid w:val="00FC2237"/>
    <w:rsid w:val="00FC5FC0"/>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E74A40"/>
    <w:pPr>
      <w:keepNext/>
      <w:spacing w:after="0" w:line="360" w:lineRule="auto"/>
      <w:outlineLvl w:val="0"/>
    </w:pPr>
    <w:rPr>
      <w:rFonts w:ascii="Arial" w:hAnsi="Arial" w:cs="Arial"/>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Legal opinion Footnote Text,HCR: - Footnote text,Footnote Text Char1,Footnote Text Char Char,Footnote Text Char1 Char Char,Footnote Text Char Char Char Char,Footnote Text Char1 Char Char Char Char"/>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Legal opinion Footnote Text Char,HCR: - Footnote text Char,Footnote Text Char1 Char,Footnote Text Char Char Char,Footnote Text Char1 Char Char Char,Footnote Text Char Char Char Char Char,Footnote Text Char1 Char Char Char Char Char"/>
    <w:basedOn w:val="DefaultParagraphFont"/>
    <w:link w:val="FootnoteText"/>
    <w:uiPriority w:val="99"/>
    <w:rsid w:val="00B40844"/>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Bullet Main"/>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BodyTextIndent2">
    <w:name w:val="Body Text Indent 2"/>
    <w:basedOn w:val="Normal"/>
    <w:link w:val="BodyTextIndent2Char"/>
    <w:uiPriority w:val="99"/>
    <w:unhideWhenUsed/>
    <w:rsid w:val="006C63EF"/>
    <w:pPr>
      <w:spacing w:after="0" w:line="360" w:lineRule="auto"/>
      <w:ind w:left="20" w:hanging="20"/>
      <w:jc w:val="both"/>
    </w:pPr>
    <w:rPr>
      <w:rFonts w:ascii="Arial" w:hAnsi="Arial" w:cs="Arial"/>
    </w:rPr>
  </w:style>
  <w:style w:type="character" w:customStyle="1" w:styleId="BodyTextIndent2Char">
    <w:name w:val="Body Text Indent 2 Char"/>
    <w:basedOn w:val="DefaultParagraphFont"/>
    <w:link w:val="BodyTextIndent2"/>
    <w:uiPriority w:val="99"/>
    <w:rsid w:val="006C63EF"/>
    <w:rPr>
      <w:rFonts w:ascii="Arial" w:hAnsi="Arial" w:cs="Arial"/>
      <w:lang w:val="en-ZA"/>
    </w:rPr>
  </w:style>
  <w:style w:type="paragraph" w:styleId="Header">
    <w:name w:val="header"/>
    <w:basedOn w:val="Normal"/>
    <w:link w:val="HeaderChar"/>
    <w:uiPriority w:val="99"/>
    <w:unhideWhenUsed/>
    <w:rsid w:val="006C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3EF"/>
    <w:rPr>
      <w:lang w:val="en-ZA"/>
    </w:rPr>
  </w:style>
  <w:style w:type="paragraph" w:styleId="BodyText3">
    <w:name w:val="Body Text 3"/>
    <w:basedOn w:val="Normal"/>
    <w:link w:val="BodyText3Char"/>
    <w:uiPriority w:val="99"/>
    <w:unhideWhenUsed/>
    <w:rsid w:val="002F1E33"/>
    <w:pPr>
      <w:spacing w:after="0" w:line="360" w:lineRule="auto"/>
      <w:jc w:val="center"/>
    </w:pPr>
    <w:rPr>
      <w:rFonts w:ascii="Arial" w:hAnsi="Arial" w:cs="Arial"/>
      <w:sz w:val="24"/>
      <w:szCs w:val="24"/>
    </w:rPr>
  </w:style>
  <w:style w:type="character" w:customStyle="1" w:styleId="BodyText3Char">
    <w:name w:val="Body Text 3 Char"/>
    <w:basedOn w:val="DefaultParagraphFont"/>
    <w:link w:val="BodyText3"/>
    <w:uiPriority w:val="99"/>
    <w:rsid w:val="002F1E33"/>
    <w:rPr>
      <w:rFonts w:ascii="Arial" w:hAnsi="Arial" w:cs="Arial"/>
      <w:sz w:val="24"/>
      <w:szCs w:val="24"/>
      <w:lang w:val="en-ZA"/>
    </w:rPr>
  </w:style>
  <w:style w:type="character" w:customStyle="1" w:styleId="ListParagraphChar">
    <w:name w:val="List Paragraph Char"/>
    <w:aliases w:val="Bullet Main Char"/>
    <w:link w:val="ListParagraph"/>
    <w:uiPriority w:val="34"/>
    <w:locked/>
    <w:rsid w:val="00E74A40"/>
    <w:rPr>
      <w:lang w:val="en-ZA"/>
    </w:rPr>
  </w:style>
  <w:style w:type="character" w:customStyle="1" w:styleId="Heading1Char">
    <w:name w:val="Heading 1 Char"/>
    <w:basedOn w:val="DefaultParagraphFont"/>
    <w:link w:val="Heading1"/>
    <w:uiPriority w:val="9"/>
    <w:rsid w:val="00E74A40"/>
    <w:rPr>
      <w:rFonts w:ascii="Arial" w:hAnsi="Arial" w:cs="Arial"/>
      <w:sz w:val="24"/>
      <w:szCs w:val="24"/>
      <w:u w:val="single"/>
    </w:rPr>
  </w:style>
  <w:style w:type="character" w:styleId="Emphasis">
    <w:name w:val="Emphasis"/>
    <w:basedOn w:val="DefaultParagraphFont"/>
    <w:uiPriority w:val="20"/>
    <w:qFormat/>
    <w:rsid w:val="00E74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2023-07-12T18:30:00+00:00</Judgment_x0020_Date>
    <Year xmlns="c1afb1bd-f2fb-40fd-9abb-aea55b4d7662">2023</Year>
  </documentManagement>
</p:properties>
</file>

<file path=customXml/itemProps1.xml><?xml version="1.0" encoding="utf-8"?>
<ds:datastoreItem xmlns:ds="http://schemas.openxmlformats.org/officeDocument/2006/customXml" ds:itemID="{CC233273-4B95-431E-951C-9FCC3A6B919C}"/>
</file>

<file path=customXml/itemProps2.xml><?xml version="1.0" encoding="utf-8"?>
<ds:datastoreItem xmlns:ds="http://schemas.openxmlformats.org/officeDocument/2006/customXml" ds:itemID="{C8709FEF-D0C7-46EA-B673-541D0392B6A3}"/>
</file>

<file path=customXml/itemProps3.xml><?xml version="1.0" encoding="utf-8"?>
<ds:datastoreItem xmlns:ds="http://schemas.openxmlformats.org/officeDocument/2006/customXml" ds:itemID="{3D36C1D4-5307-4B9D-9DA3-257B8B7ED09B}"/>
</file>

<file path=customXml/itemProps4.xml><?xml version="1.0" encoding="utf-8"?>
<ds:datastoreItem xmlns:ds="http://schemas.openxmlformats.org/officeDocument/2006/customXml" ds:itemID="{388CC172-F6D6-4947-B590-B1616F252344}"/>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 Aircraft CC v Namibia Aviation Services CC (HC-MD-CIV-ACT-CON-2023-00476) [2023] NAHCMD 397 (13 July 2023)</dc:title>
  <dc:subject/>
  <dc:creator>shomany keister</dc:creator>
  <cp:keywords/>
  <dc:description/>
  <cp:lastModifiedBy>Charlet Mokomele</cp:lastModifiedBy>
  <cp:revision>3</cp:revision>
  <cp:lastPrinted>2023-07-10T07:40:00Z</cp:lastPrinted>
  <dcterms:created xsi:type="dcterms:W3CDTF">2023-07-13T14:35:00Z</dcterms:created>
  <dcterms:modified xsi:type="dcterms:W3CDTF">2023-07-13T14:36:00Z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