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BC" w:rsidRPr="00904E6D" w:rsidRDefault="00FF6DBC" w:rsidP="00FF6DB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04E6D">
        <w:rPr>
          <w:rFonts w:ascii="Arial" w:eastAsia="Calibri" w:hAnsi="Arial" w:cs="Arial"/>
          <w:b/>
          <w:sz w:val="24"/>
          <w:szCs w:val="24"/>
        </w:rPr>
        <w:t xml:space="preserve">REPUBLIC OF NAMIBIA </w:t>
      </w:r>
    </w:p>
    <w:p w:rsidR="00FF6DBC" w:rsidRPr="00904E6D" w:rsidRDefault="00FF6DBC" w:rsidP="00FF6DBC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904E6D">
        <w:rPr>
          <w:rFonts w:ascii="Calibri" w:eastAsia="Calibri" w:hAnsi="Calibri" w:cs="Times New Roman"/>
          <w:b/>
          <w:noProof/>
          <w:sz w:val="32"/>
          <w:szCs w:val="32"/>
          <w:lang w:val="en-GB" w:eastAsia="en-GB"/>
        </w:rPr>
        <w:drawing>
          <wp:inline distT="0" distB="0" distL="0" distR="0" wp14:anchorId="049DD30E" wp14:editId="35B667F3">
            <wp:extent cx="1272540" cy="1325880"/>
            <wp:effectExtent l="0" t="0" r="3810" b="7620"/>
            <wp:docPr id="1" name="Picture 1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DBC" w:rsidRPr="00904E6D" w:rsidRDefault="00FF6DBC" w:rsidP="00FF6DBC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04E6D">
        <w:rPr>
          <w:rFonts w:ascii="Arial" w:eastAsia="Calibri" w:hAnsi="Arial" w:cs="Arial"/>
          <w:b/>
          <w:sz w:val="24"/>
          <w:szCs w:val="24"/>
        </w:rPr>
        <w:t>IN THE HIGH COURT OF NAMIBIA, MAIN DIVISION</w:t>
      </w:r>
    </w:p>
    <w:p w:rsidR="00FF6DBC" w:rsidRPr="00904E6D" w:rsidRDefault="00FF6DBC" w:rsidP="00FF6DBC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04E6D">
        <w:rPr>
          <w:rFonts w:ascii="Arial" w:eastAsia="Calibri" w:hAnsi="Arial" w:cs="Arial"/>
          <w:b/>
          <w:sz w:val="24"/>
          <w:szCs w:val="24"/>
        </w:rPr>
        <w:t>JUDGMENT</w:t>
      </w:r>
    </w:p>
    <w:p w:rsidR="00FF6DBC" w:rsidRPr="00904E6D" w:rsidRDefault="00FF6DBC" w:rsidP="00FF6DB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tbl>
      <w:tblPr>
        <w:tblStyle w:val="TableGrid1"/>
        <w:tblW w:w="9720" w:type="dxa"/>
        <w:tblInd w:w="-275" w:type="dxa"/>
        <w:tblLook w:val="04A0" w:firstRow="1" w:lastRow="0" w:firstColumn="1" w:lastColumn="0" w:noHBand="0" w:noVBand="1"/>
      </w:tblPr>
      <w:tblGrid>
        <w:gridCol w:w="4770"/>
        <w:gridCol w:w="1029"/>
        <w:gridCol w:w="3921"/>
      </w:tblGrid>
      <w:tr w:rsidR="00904E6D" w:rsidRPr="00904E6D" w:rsidTr="007845CC">
        <w:trPr>
          <w:trHeight w:val="744"/>
        </w:trPr>
        <w:tc>
          <w:tcPr>
            <w:tcW w:w="5799" w:type="dxa"/>
            <w:gridSpan w:val="2"/>
            <w:vMerge w:val="restart"/>
          </w:tcPr>
          <w:p w:rsidR="00FF6DBC" w:rsidRPr="00904E6D" w:rsidRDefault="00FF6DBC" w:rsidP="00FF6DBC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04E6D">
              <w:rPr>
                <w:rFonts w:ascii="Arial" w:eastAsia="Calibri" w:hAnsi="Arial" w:cs="Arial"/>
                <w:b/>
                <w:sz w:val="24"/>
                <w:szCs w:val="24"/>
              </w:rPr>
              <w:t>Case Title:</w:t>
            </w:r>
          </w:p>
          <w:p w:rsidR="00FF6DBC" w:rsidRPr="00904E6D" w:rsidRDefault="007845CC" w:rsidP="00FF6DBC">
            <w:pPr>
              <w:tabs>
                <w:tab w:val="left" w:pos="6750"/>
              </w:tabs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04E6D">
              <w:rPr>
                <w:rFonts w:ascii="Arial" w:eastAsia="Times New Roman" w:hAnsi="Arial" w:cs="Arial"/>
                <w:sz w:val="24"/>
                <w:szCs w:val="24"/>
              </w:rPr>
              <w:t>First National Bank of Namibia Limited           Applicant</w:t>
            </w:r>
          </w:p>
          <w:p w:rsidR="00FF6DBC" w:rsidRPr="00904E6D" w:rsidRDefault="00FF6DBC" w:rsidP="00FF6DBC">
            <w:pPr>
              <w:tabs>
                <w:tab w:val="left" w:pos="6750"/>
              </w:tabs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04E6D">
              <w:rPr>
                <w:rFonts w:ascii="Arial" w:eastAsia="Times New Roman" w:hAnsi="Arial" w:cs="Arial"/>
                <w:sz w:val="24"/>
                <w:szCs w:val="24"/>
              </w:rPr>
              <w:t xml:space="preserve">vs </w:t>
            </w:r>
          </w:p>
          <w:p w:rsidR="00FF6DBC" w:rsidRPr="00904E6D" w:rsidRDefault="007845CC" w:rsidP="00FF6DBC">
            <w:pPr>
              <w:tabs>
                <w:tab w:val="left" w:pos="6750"/>
              </w:tabs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proofErr w:type="spellStart"/>
            <w:r w:rsidRPr="00904E6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Clif</w:t>
            </w:r>
            <w:proofErr w:type="spellEnd"/>
            <w:r w:rsidRPr="00904E6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04E6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Mbinozondunge</w:t>
            </w:r>
            <w:proofErr w:type="spellEnd"/>
            <w:r w:rsidRPr="00904E6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04E6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Kazombiaze</w:t>
            </w:r>
            <w:proofErr w:type="spellEnd"/>
            <w:r w:rsidRPr="00904E6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              Respondent</w:t>
            </w:r>
          </w:p>
        </w:tc>
        <w:tc>
          <w:tcPr>
            <w:tcW w:w="3921" w:type="dxa"/>
          </w:tcPr>
          <w:p w:rsidR="00FF6DBC" w:rsidRPr="00904E6D" w:rsidRDefault="00FF6DBC" w:rsidP="00FF6DBC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04E6D">
              <w:rPr>
                <w:rFonts w:ascii="Arial" w:eastAsia="Calibri" w:hAnsi="Arial" w:cs="Arial"/>
                <w:b/>
                <w:sz w:val="24"/>
                <w:szCs w:val="24"/>
              </w:rPr>
              <w:t>Case No:</w:t>
            </w:r>
          </w:p>
          <w:p w:rsidR="00FF6DBC" w:rsidRPr="00904E6D" w:rsidRDefault="00FF6DBC" w:rsidP="00FF6DBC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r w:rsidRPr="00904E6D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HC-MD-CIV-ACT-</w:t>
            </w:r>
            <w:r w:rsidR="00A52EBA" w:rsidRPr="00904E6D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CON- 2023/01030</w:t>
            </w:r>
          </w:p>
        </w:tc>
      </w:tr>
      <w:tr w:rsidR="00904E6D" w:rsidRPr="00904E6D" w:rsidTr="007845CC">
        <w:trPr>
          <w:trHeight w:val="872"/>
        </w:trPr>
        <w:tc>
          <w:tcPr>
            <w:tcW w:w="5799" w:type="dxa"/>
            <w:gridSpan w:val="2"/>
            <w:vMerge/>
          </w:tcPr>
          <w:p w:rsidR="00FF6DBC" w:rsidRPr="00904E6D" w:rsidRDefault="00FF6DBC" w:rsidP="00FF6DBC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21" w:type="dxa"/>
          </w:tcPr>
          <w:p w:rsidR="00FF6DBC" w:rsidRPr="00904E6D" w:rsidRDefault="00FF6DBC" w:rsidP="00FF6DBC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04E6D">
              <w:rPr>
                <w:rFonts w:ascii="Arial" w:eastAsia="Calibri" w:hAnsi="Arial" w:cs="Arial"/>
                <w:b/>
                <w:sz w:val="24"/>
                <w:szCs w:val="24"/>
              </w:rPr>
              <w:t>Division of Court:</w:t>
            </w:r>
          </w:p>
          <w:p w:rsidR="007845CC" w:rsidRPr="00904E6D" w:rsidRDefault="007845CC" w:rsidP="00FF6DBC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04E6D">
              <w:rPr>
                <w:rFonts w:ascii="Arial" w:eastAsia="Calibri" w:hAnsi="Arial" w:cs="Arial"/>
                <w:sz w:val="24"/>
                <w:szCs w:val="24"/>
              </w:rPr>
              <w:t>High Court</w:t>
            </w:r>
          </w:p>
          <w:p w:rsidR="00FF6DBC" w:rsidRPr="00904E6D" w:rsidRDefault="007845CC" w:rsidP="00FF6DBC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04E6D">
              <w:rPr>
                <w:rFonts w:ascii="Arial" w:eastAsia="Calibri" w:hAnsi="Arial" w:cs="Arial"/>
                <w:sz w:val="24"/>
                <w:szCs w:val="24"/>
              </w:rPr>
              <w:t>(Main Division)</w:t>
            </w:r>
          </w:p>
        </w:tc>
      </w:tr>
      <w:tr w:rsidR="00904E6D" w:rsidRPr="00904E6D" w:rsidTr="007845CC">
        <w:trPr>
          <w:trHeight w:val="645"/>
        </w:trPr>
        <w:tc>
          <w:tcPr>
            <w:tcW w:w="5799" w:type="dxa"/>
            <w:gridSpan w:val="2"/>
            <w:vMerge w:val="restart"/>
          </w:tcPr>
          <w:p w:rsidR="00FF6DBC" w:rsidRPr="00904E6D" w:rsidRDefault="00FF6DBC" w:rsidP="00FF6DBC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04E6D">
              <w:rPr>
                <w:rFonts w:ascii="Arial" w:eastAsia="Calibri" w:hAnsi="Arial" w:cs="Arial"/>
                <w:b/>
                <w:sz w:val="24"/>
                <w:szCs w:val="24"/>
              </w:rPr>
              <w:t>Heard before:</w:t>
            </w:r>
          </w:p>
          <w:p w:rsidR="00FF6DBC" w:rsidRPr="00904E6D" w:rsidRDefault="007845CC" w:rsidP="00FF6DBC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04E6D">
              <w:rPr>
                <w:rFonts w:ascii="Arial" w:eastAsia="Calibri" w:hAnsi="Arial" w:cs="Arial"/>
                <w:sz w:val="24"/>
                <w:szCs w:val="24"/>
              </w:rPr>
              <w:t xml:space="preserve">Honourable Lady Justice </w:t>
            </w:r>
            <w:proofErr w:type="spellStart"/>
            <w:r w:rsidRPr="00904E6D">
              <w:rPr>
                <w:rFonts w:ascii="Arial" w:eastAsia="Calibri" w:hAnsi="Arial" w:cs="Arial"/>
                <w:sz w:val="24"/>
                <w:szCs w:val="24"/>
              </w:rPr>
              <w:t>Claasen</w:t>
            </w:r>
            <w:proofErr w:type="spellEnd"/>
          </w:p>
        </w:tc>
        <w:tc>
          <w:tcPr>
            <w:tcW w:w="3921" w:type="dxa"/>
          </w:tcPr>
          <w:p w:rsidR="00FF6DBC" w:rsidRPr="00904E6D" w:rsidRDefault="00FF6DBC" w:rsidP="00FF6DBC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04E6D">
              <w:rPr>
                <w:rFonts w:ascii="Arial" w:eastAsia="Calibri" w:hAnsi="Arial" w:cs="Arial"/>
                <w:b/>
                <w:sz w:val="24"/>
                <w:szCs w:val="24"/>
              </w:rPr>
              <w:t>Date of hearing:</w:t>
            </w:r>
          </w:p>
          <w:p w:rsidR="00FF6DBC" w:rsidRPr="00904E6D" w:rsidRDefault="00A52EBA" w:rsidP="00FF6DBC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04E6D">
              <w:rPr>
                <w:rFonts w:ascii="Arial" w:eastAsia="Calibri" w:hAnsi="Arial" w:cs="Arial"/>
                <w:sz w:val="24"/>
                <w:szCs w:val="24"/>
              </w:rPr>
              <w:t xml:space="preserve">28 </w:t>
            </w:r>
            <w:r w:rsidR="00904E6D" w:rsidRPr="00904E6D">
              <w:rPr>
                <w:rFonts w:ascii="Arial" w:eastAsia="Calibri" w:hAnsi="Arial" w:cs="Arial"/>
                <w:sz w:val="24"/>
                <w:szCs w:val="24"/>
              </w:rPr>
              <w:t>June</w:t>
            </w:r>
            <w:r w:rsidR="00FF6DBC" w:rsidRPr="00904E6D">
              <w:rPr>
                <w:rFonts w:ascii="Arial" w:eastAsia="Calibri" w:hAnsi="Arial" w:cs="Arial"/>
                <w:sz w:val="24"/>
                <w:szCs w:val="24"/>
              </w:rPr>
              <w:t xml:space="preserve"> 2023</w:t>
            </w:r>
          </w:p>
        </w:tc>
      </w:tr>
      <w:tr w:rsidR="00904E6D" w:rsidRPr="00904E6D" w:rsidTr="007845CC">
        <w:trPr>
          <w:trHeight w:val="588"/>
        </w:trPr>
        <w:tc>
          <w:tcPr>
            <w:tcW w:w="5799" w:type="dxa"/>
            <w:gridSpan w:val="2"/>
            <w:vMerge/>
          </w:tcPr>
          <w:p w:rsidR="00FF6DBC" w:rsidRPr="00904E6D" w:rsidRDefault="00FF6DBC" w:rsidP="00FF6DBC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921" w:type="dxa"/>
          </w:tcPr>
          <w:p w:rsidR="00FF6DBC" w:rsidRPr="00904E6D" w:rsidRDefault="00FF6DBC" w:rsidP="00FF6DBC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04E6D">
              <w:rPr>
                <w:rFonts w:ascii="Arial" w:eastAsia="Calibri" w:hAnsi="Arial" w:cs="Arial"/>
                <w:b/>
                <w:sz w:val="24"/>
                <w:szCs w:val="24"/>
              </w:rPr>
              <w:t xml:space="preserve">Delivered on: </w:t>
            </w:r>
          </w:p>
          <w:p w:rsidR="00FF6DBC" w:rsidRPr="00904E6D" w:rsidRDefault="00A52EBA" w:rsidP="00FF6DBC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04E6D">
              <w:rPr>
                <w:rFonts w:ascii="Arial" w:eastAsia="Calibri" w:hAnsi="Arial" w:cs="Arial"/>
                <w:sz w:val="24"/>
                <w:szCs w:val="24"/>
              </w:rPr>
              <w:t xml:space="preserve">14 </w:t>
            </w:r>
            <w:r w:rsidR="00904E6D" w:rsidRPr="00904E6D">
              <w:rPr>
                <w:rFonts w:ascii="Arial" w:eastAsia="Calibri" w:hAnsi="Arial" w:cs="Arial"/>
                <w:sz w:val="24"/>
                <w:szCs w:val="24"/>
              </w:rPr>
              <w:t xml:space="preserve">July </w:t>
            </w:r>
            <w:r w:rsidR="00FF6DBC" w:rsidRPr="00904E6D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</w:tc>
      </w:tr>
      <w:tr w:rsidR="00904E6D" w:rsidRPr="00904E6D" w:rsidTr="00B1387A">
        <w:trPr>
          <w:trHeight w:val="710"/>
        </w:trPr>
        <w:tc>
          <w:tcPr>
            <w:tcW w:w="9720" w:type="dxa"/>
            <w:gridSpan w:val="3"/>
          </w:tcPr>
          <w:p w:rsidR="00FF6DBC" w:rsidRPr="00904E6D" w:rsidRDefault="00FF6DBC" w:rsidP="00FD0AC8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04E6D">
              <w:rPr>
                <w:rFonts w:ascii="Arial" w:eastAsia="Times New Roman" w:hAnsi="Arial" w:cs="Arial"/>
                <w:b/>
                <w:sz w:val="24"/>
                <w:szCs w:val="24"/>
              </w:rPr>
              <w:t>Neutral citation</w:t>
            </w:r>
            <w:r w:rsidR="00A52EBA" w:rsidRPr="00904E6D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  <w:r w:rsidR="00A52EBA" w:rsidRPr="00904E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bookmarkStart w:id="0" w:name="_GoBack"/>
            <w:r w:rsidR="00A52EBA" w:rsidRPr="00904E6D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First National Bank Of Namibia Limited v </w:t>
            </w:r>
            <w:proofErr w:type="spellStart"/>
            <w:r w:rsidR="00A52EBA" w:rsidRPr="00904E6D">
              <w:rPr>
                <w:rFonts w:ascii="Arial" w:eastAsia="Times New Roman" w:hAnsi="Arial" w:cs="Arial"/>
                <w:i/>
                <w:sz w:val="24"/>
                <w:szCs w:val="24"/>
              </w:rPr>
              <w:t>Kazombiaze</w:t>
            </w:r>
            <w:proofErr w:type="spellEnd"/>
            <w:r w:rsidRPr="00904E6D">
              <w:rPr>
                <w:rFonts w:ascii="Arial" w:eastAsia="Times New Roman" w:hAnsi="Arial" w:cs="Arial"/>
                <w:sz w:val="24"/>
                <w:szCs w:val="24"/>
              </w:rPr>
              <w:t xml:space="preserve"> (HC-MD-CIV-ACT-</w:t>
            </w:r>
            <w:r w:rsidR="007845CC" w:rsidRPr="00904E6D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</w:t>
            </w:r>
            <w:r w:rsidR="007845CC" w:rsidRPr="00904E6D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="007845CC" w:rsidRPr="00904E6D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       </w:t>
            </w:r>
            <w:r w:rsidR="004F60F0" w:rsidRPr="00904E6D">
              <w:rPr>
                <w:rFonts w:ascii="Arial" w:eastAsia="Times New Roman" w:hAnsi="Arial" w:cs="Arial"/>
                <w:sz w:val="24"/>
                <w:szCs w:val="24"/>
              </w:rPr>
              <w:t>CON</w:t>
            </w:r>
            <w:r w:rsidRPr="00904E6D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F60F0" w:rsidRPr="00904E6D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A52EBA" w:rsidRPr="00904E6D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904E6D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="00A52EBA" w:rsidRPr="00904E6D">
              <w:rPr>
                <w:rFonts w:ascii="Arial" w:eastAsia="Times New Roman" w:hAnsi="Arial" w:cs="Arial"/>
                <w:sz w:val="24"/>
                <w:szCs w:val="24"/>
              </w:rPr>
              <w:t>01030</w:t>
            </w:r>
            <w:r w:rsidRPr="00904E6D">
              <w:rPr>
                <w:rFonts w:ascii="Arial" w:eastAsia="Times New Roman" w:hAnsi="Arial" w:cs="Arial"/>
                <w:sz w:val="24"/>
                <w:szCs w:val="24"/>
              </w:rPr>
              <w:t>) [</w:t>
            </w:r>
            <w:r w:rsidR="004F60F0" w:rsidRPr="00904E6D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  <w:r w:rsidRPr="00904E6D">
              <w:rPr>
                <w:rFonts w:ascii="Arial" w:eastAsia="Times New Roman" w:hAnsi="Arial" w:cs="Arial"/>
                <w:sz w:val="24"/>
                <w:szCs w:val="24"/>
              </w:rPr>
              <w:t xml:space="preserve">] NAHCMD </w:t>
            </w:r>
            <w:r w:rsidR="00FD0AC8">
              <w:rPr>
                <w:rFonts w:ascii="Arial" w:eastAsia="Times New Roman" w:hAnsi="Arial" w:cs="Arial"/>
                <w:sz w:val="24"/>
                <w:szCs w:val="24"/>
              </w:rPr>
              <w:t>401</w:t>
            </w:r>
            <w:r w:rsidRPr="00904E6D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="00FD0AC8">
              <w:rPr>
                <w:rFonts w:ascii="Arial" w:eastAsia="Times New Roman" w:hAnsi="Arial" w:cs="Arial"/>
                <w:sz w:val="24"/>
                <w:szCs w:val="24"/>
              </w:rPr>
              <w:t>14</w:t>
            </w:r>
            <w:r w:rsidR="00A52EBA" w:rsidRPr="00904E6D">
              <w:rPr>
                <w:rFonts w:ascii="Arial" w:eastAsia="Times New Roman" w:hAnsi="Arial" w:cs="Arial"/>
                <w:sz w:val="24"/>
                <w:szCs w:val="24"/>
              </w:rPr>
              <w:t xml:space="preserve"> July</w:t>
            </w:r>
            <w:r w:rsidR="004F60F0" w:rsidRPr="00904E6D">
              <w:rPr>
                <w:rFonts w:ascii="Arial" w:eastAsia="Times New Roman" w:hAnsi="Arial" w:cs="Arial"/>
                <w:sz w:val="24"/>
                <w:szCs w:val="24"/>
              </w:rPr>
              <w:t xml:space="preserve"> 2023</w:t>
            </w:r>
            <w:r w:rsidRPr="00904E6D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bookmarkEnd w:id="0"/>
          </w:p>
        </w:tc>
      </w:tr>
      <w:tr w:rsidR="00904E6D" w:rsidRPr="00904E6D" w:rsidTr="00B1387A">
        <w:tc>
          <w:tcPr>
            <w:tcW w:w="9720" w:type="dxa"/>
            <w:gridSpan w:val="3"/>
          </w:tcPr>
          <w:p w:rsidR="00904E6D" w:rsidRPr="00904E6D" w:rsidRDefault="00FF6DBC" w:rsidP="004F60F0">
            <w:pPr>
              <w:spacing w:before="24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04E6D">
              <w:rPr>
                <w:rFonts w:ascii="Arial" w:eastAsia="Calibri" w:hAnsi="Arial" w:cs="Arial"/>
                <w:b/>
                <w:sz w:val="24"/>
                <w:szCs w:val="24"/>
              </w:rPr>
              <w:t>The order:</w:t>
            </w:r>
          </w:p>
          <w:p w:rsidR="00904E6D" w:rsidRPr="00904E6D" w:rsidRDefault="00904E6D" w:rsidP="00904E6D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A52EBA" w:rsidRPr="00904E6D" w:rsidRDefault="004F60F0" w:rsidP="00A52EBA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04E6D">
              <w:rPr>
                <w:rFonts w:ascii="Arial" w:eastAsia="Calibri" w:hAnsi="Arial" w:cs="Arial"/>
                <w:sz w:val="24"/>
                <w:szCs w:val="24"/>
              </w:rPr>
              <w:t>The application f</w:t>
            </w:r>
            <w:r w:rsidR="00A52EBA" w:rsidRPr="00904E6D">
              <w:rPr>
                <w:rFonts w:ascii="Arial" w:eastAsia="Calibri" w:hAnsi="Arial" w:cs="Arial"/>
                <w:sz w:val="24"/>
                <w:szCs w:val="24"/>
              </w:rPr>
              <w:t>or summary judgment is granted</w:t>
            </w:r>
            <w:r w:rsidRPr="00904E6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904E6D" w:rsidRPr="00904E6D" w:rsidRDefault="00904E6D" w:rsidP="00904E6D">
            <w:pPr>
              <w:spacing w:line="360" w:lineRule="auto"/>
              <w:ind w:left="72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52EBA" w:rsidRPr="00904E6D" w:rsidRDefault="00A52EBA" w:rsidP="00A52EBA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04E6D">
              <w:rPr>
                <w:rFonts w:ascii="Arial" w:eastAsia="Calibri" w:hAnsi="Arial" w:cs="Arial"/>
                <w:sz w:val="24"/>
                <w:szCs w:val="24"/>
              </w:rPr>
              <w:t>Payment in the amount of N$52 425.64</w:t>
            </w:r>
            <w:r w:rsidR="00904E6D" w:rsidRPr="00904E6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904E6D" w:rsidRPr="00904E6D" w:rsidRDefault="00904E6D" w:rsidP="00904E6D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52EBA" w:rsidRPr="00904E6D" w:rsidRDefault="00A52EBA" w:rsidP="00A52EBA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04E6D">
              <w:rPr>
                <w:rFonts w:ascii="Arial" w:eastAsia="Calibri" w:hAnsi="Arial" w:cs="Arial"/>
                <w:sz w:val="24"/>
                <w:szCs w:val="24"/>
              </w:rPr>
              <w:t>Interest thereon at the prime rate of 15.30</w:t>
            </w:r>
            <w:r w:rsidR="00904E6D" w:rsidRPr="00904E6D">
              <w:rPr>
                <w:rFonts w:ascii="Arial" w:eastAsia="Calibri" w:hAnsi="Arial" w:cs="Arial"/>
                <w:sz w:val="24"/>
                <w:szCs w:val="24"/>
              </w:rPr>
              <w:t xml:space="preserve"> percent</w:t>
            </w:r>
            <w:r w:rsidRPr="00904E6D">
              <w:rPr>
                <w:rFonts w:ascii="Arial" w:eastAsia="Calibri" w:hAnsi="Arial" w:cs="Arial"/>
                <w:sz w:val="24"/>
                <w:szCs w:val="24"/>
              </w:rPr>
              <w:t xml:space="preserve"> per annum as from 3 January 2023 until date of final payment.</w:t>
            </w:r>
          </w:p>
          <w:p w:rsidR="00904E6D" w:rsidRPr="00904E6D" w:rsidRDefault="00904E6D" w:rsidP="00904E6D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F6DBC" w:rsidRPr="00904E6D" w:rsidRDefault="00A52EBA" w:rsidP="00A52EBA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04E6D">
              <w:rPr>
                <w:rFonts w:ascii="Arial" w:eastAsia="Calibri" w:hAnsi="Arial" w:cs="Arial"/>
                <w:sz w:val="24"/>
                <w:szCs w:val="24"/>
              </w:rPr>
              <w:lastRenderedPageBreak/>
              <w:t>Cost of suit on attorney own client scale.</w:t>
            </w:r>
            <w:r w:rsidR="00FF6DBC" w:rsidRPr="00904E6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904E6D" w:rsidRPr="00904E6D" w:rsidRDefault="00904E6D" w:rsidP="00904E6D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4077A" w:rsidRPr="00904E6D" w:rsidRDefault="00E4077A" w:rsidP="007845CC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04E6D">
              <w:rPr>
                <w:rFonts w:ascii="Arial" w:eastAsia="Calibri" w:hAnsi="Arial" w:cs="Arial"/>
                <w:sz w:val="24"/>
                <w:szCs w:val="24"/>
              </w:rPr>
              <w:t xml:space="preserve">The matter is </w:t>
            </w:r>
            <w:r w:rsidR="007845CC" w:rsidRPr="00904E6D">
              <w:rPr>
                <w:rFonts w:ascii="Arial" w:eastAsia="Calibri" w:hAnsi="Arial" w:cs="Arial"/>
                <w:sz w:val="24"/>
                <w:szCs w:val="24"/>
              </w:rPr>
              <w:t>finalised and removed from the roll</w:t>
            </w:r>
            <w:r w:rsidRPr="00904E6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904E6D" w:rsidRPr="00904E6D" w:rsidTr="00B1387A">
        <w:tc>
          <w:tcPr>
            <w:tcW w:w="9720" w:type="dxa"/>
            <w:gridSpan w:val="3"/>
          </w:tcPr>
          <w:p w:rsidR="00FF6DBC" w:rsidRPr="00904E6D" w:rsidRDefault="00904E6D" w:rsidP="006A6BEC">
            <w:pPr>
              <w:tabs>
                <w:tab w:val="right" w:pos="9504"/>
              </w:tabs>
              <w:spacing w:before="24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Reasons for order</w:t>
            </w:r>
            <w:r w:rsidR="00FF6DBC" w:rsidRPr="00904E6D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  <w:r w:rsidR="006A6BEC" w:rsidRPr="00904E6D">
              <w:rPr>
                <w:rFonts w:ascii="Arial" w:eastAsia="Calibri" w:hAnsi="Arial" w:cs="Arial"/>
                <w:b/>
                <w:sz w:val="24"/>
                <w:szCs w:val="24"/>
              </w:rPr>
              <w:tab/>
            </w:r>
          </w:p>
        </w:tc>
      </w:tr>
      <w:tr w:rsidR="00904E6D" w:rsidRPr="00904E6D" w:rsidTr="00B1387A">
        <w:tc>
          <w:tcPr>
            <w:tcW w:w="9720" w:type="dxa"/>
            <w:gridSpan w:val="3"/>
          </w:tcPr>
          <w:p w:rsidR="00B271C2" w:rsidRDefault="00240FCD" w:rsidP="00240FCD">
            <w:pPr>
              <w:pStyle w:val="ListParagraph"/>
              <w:spacing w:before="240" w:line="360" w:lineRule="auto"/>
              <w:ind w:left="-12"/>
              <w:contextualSpacing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04E6D">
              <w:rPr>
                <w:rFonts w:ascii="Arial" w:eastAsia="Calibri" w:hAnsi="Arial" w:cs="Arial"/>
                <w:sz w:val="24"/>
                <w:szCs w:val="24"/>
              </w:rPr>
              <w:t>[1]</w:t>
            </w:r>
            <w:r w:rsidRPr="00904E6D">
              <w:rPr>
                <w:rFonts w:ascii="Arial" w:eastAsia="Calibri" w:hAnsi="Arial" w:cs="Arial"/>
                <w:sz w:val="24"/>
                <w:szCs w:val="24"/>
              </w:rPr>
              <w:tab/>
              <w:t xml:space="preserve"> </w:t>
            </w:r>
            <w:r w:rsidR="00757F1B" w:rsidRPr="00904E6D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="00655291" w:rsidRPr="00904E6D">
              <w:rPr>
                <w:rFonts w:ascii="Arial" w:eastAsia="Calibri" w:hAnsi="Arial" w:cs="Arial"/>
                <w:sz w:val="24"/>
                <w:szCs w:val="24"/>
              </w:rPr>
              <w:t>his is an applic</w:t>
            </w:r>
            <w:r w:rsidR="003176E8" w:rsidRPr="00904E6D">
              <w:rPr>
                <w:rFonts w:ascii="Arial" w:eastAsia="Calibri" w:hAnsi="Arial" w:cs="Arial"/>
                <w:sz w:val="24"/>
                <w:szCs w:val="24"/>
              </w:rPr>
              <w:t xml:space="preserve">ation for summary judgment for the payment of N$52 425.64 outstanding on a </w:t>
            </w:r>
            <w:r w:rsidR="00655291" w:rsidRPr="00904E6D">
              <w:rPr>
                <w:rFonts w:ascii="Arial" w:eastAsia="Calibri" w:hAnsi="Arial" w:cs="Arial"/>
                <w:sz w:val="24"/>
                <w:szCs w:val="24"/>
              </w:rPr>
              <w:t xml:space="preserve">written loan agreement </w:t>
            </w:r>
            <w:r w:rsidR="003176E8" w:rsidRPr="00904E6D">
              <w:rPr>
                <w:rFonts w:ascii="Arial" w:eastAsia="Calibri" w:hAnsi="Arial" w:cs="Arial"/>
                <w:sz w:val="24"/>
                <w:szCs w:val="24"/>
              </w:rPr>
              <w:t xml:space="preserve">that was </w:t>
            </w:r>
            <w:r w:rsidR="00655291" w:rsidRPr="00904E6D">
              <w:rPr>
                <w:rFonts w:ascii="Arial" w:eastAsia="Calibri" w:hAnsi="Arial" w:cs="Arial"/>
                <w:sz w:val="24"/>
                <w:szCs w:val="24"/>
              </w:rPr>
              <w:t>concluded between the parties. The plaintiff avers that the defendant ha</w:t>
            </w:r>
            <w:r w:rsidR="002C5887" w:rsidRPr="00904E6D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="00655291" w:rsidRPr="00904E6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3176E8" w:rsidRPr="00904E6D">
              <w:rPr>
                <w:rFonts w:ascii="Arial" w:eastAsia="Calibri" w:hAnsi="Arial" w:cs="Arial"/>
                <w:sz w:val="24"/>
                <w:szCs w:val="24"/>
              </w:rPr>
              <w:t xml:space="preserve">committed breach of contract as he failed to pay the amounts due and has defended the matter merely </w:t>
            </w:r>
            <w:r w:rsidR="002C5887" w:rsidRPr="00904E6D">
              <w:rPr>
                <w:rFonts w:ascii="Arial" w:eastAsia="Calibri" w:hAnsi="Arial" w:cs="Arial"/>
                <w:sz w:val="24"/>
                <w:szCs w:val="24"/>
              </w:rPr>
              <w:t xml:space="preserve">to delay the </w:t>
            </w:r>
            <w:r w:rsidR="003176E8" w:rsidRPr="00904E6D">
              <w:rPr>
                <w:rFonts w:ascii="Arial" w:eastAsia="Calibri" w:hAnsi="Arial" w:cs="Arial"/>
                <w:sz w:val="24"/>
                <w:szCs w:val="24"/>
              </w:rPr>
              <w:t>case.</w:t>
            </w:r>
          </w:p>
          <w:p w:rsidR="00904E6D" w:rsidRPr="00904E6D" w:rsidRDefault="00904E6D" w:rsidP="00904E6D">
            <w:pPr>
              <w:pStyle w:val="ListParagraph"/>
              <w:spacing w:before="240"/>
              <w:ind w:left="-12"/>
              <w:contextualSpacing w:val="0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  <w:p w:rsidR="002C5887" w:rsidRDefault="00BE283C" w:rsidP="00BA5AC5">
            <w:pPr>
              <w:spacing w:before="24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04E6D">
              <w:rPr>
                <w:rFonts w:ascii="Arial" w:eastAsia="Calibri" w:hAnsi="Arial" w:cs="Arial"/>
                <w:sz w:val="24"/>
                <w:szCs w:val="24"/>
              </w:rPr>
              <w:t>[2]</w:t>
            </w:r>
            <w:r w:rsidRPr="00904E6D">
              <w:rPr>
                <w:rFonts w:ascii="Arial" w:eastAsia="Calibri" w:hAnsi="Arial" w:cs="Arial"/>
                <w:sz w:val="24"/>
                <w:szCs w:val="24"/>
              </w:rPr>
              <w:tab/>
            </w:r>
            <w:r w:rsidR="00655291" w:rsidRPr="00904E6D">
              <w:rPr>
                <w:rFonts w:ascii="Arial" w:eastAsia="Calibri" w:hAnsi="Arial" w:cs="Arial"/>
                <w:sz w:val="24"/>
                <w:szCs w:val="24"/>
              </w:rPr>
              <w:t xml:space="preserve">Having launched the application, the defendant was afforded an opportunity to file an opposing affidavit, but failed to do so. On the hearing date </w:t>
            </w:r>
            <w:r w:rsidR="002C5887" w:rsidRPr="00904E6D">
              <w:rPr>
                <w:rFonts w:ascii="Arial" w:eastAsia="Calibri" w:hAnsi="Arial" w:cs="Arial"/>
                <w:sz w:val="24"/>
                <w:szCs w:val="24"/>
              </w:rPr>
              <w:t xml:space="preserve">of the interlocutory application </w:t>
            </w:r>
            <w:r w:rsidR="00655291" w:rsidRPr="00904E6D">
              <w:rPr>
                <w:rFonts w:ascii="Arial" w:eastAsia="Calibri" w:hAnsi="Arial" w:cs="Arial"/>
                <w:sz w:val="24"/>
                <w:szCs w:val="24"/>
              </w:rPr>
              <w:t>the court granted leave for the defendant to present his defe</w:t>
            </w:r>
            <w:r w:rsidR="002C5887" w:rsidRPr="00904E6D">
              <w:rPr>
                <w:rFonts w:ascii="Arial" w:eastAsia="Calibri" w:hAnsi="Arial" w:cs="Arial"/>
                <w:sz w:val="24"/>
                <w:szCs w:val="24"/>
              </w:rPr>
              <w:t>nce orally</w:t>
            </w:r>
            <w:r w:rsidR="00904E6D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2C5887" w:rsidRPr="00904E6D">
              <w:rPr>
                <w:rFonts w:ascii="Arial" w:eastAsia="Calibri" w:hAnsi="Arial" w:cs="Arial"/>
                <w:sz w:val="24"/>
                <w:szCs w:val="24"/>
              </w:rPr>
              <w:t xml:space="preserve"> as contemplated in rule 60(5)(</w:t>
            </w:r>
            <w:r w:rsidR="002C5887" w:rsidRPr="00904E6D">
              <w:rPr>
                <w:rFonts w:ascii="Arial" w:eastAsia="Calibri" w:hAnsi="Arial" w:cs="Arial"/>
                <w:i/>
                <w:sz w:val="24"/>
                <w:szCs w:val="24"/>
              </w:rPr>
              <w:t>b</w:t>
            </w:r>
            <w:r w:rsidR="002C5887" w:rsidRPr="00904E6D">
              <w:rPr>
                <w:rFonts w:ascii="Arial" w:eastAsia="Calibri" w:hAnsi="Arial" w:cs="Arial"/>
                <w:sz w:val="24"/>
                <w:szCs w:val="24"/>
              </w:rPr>
              <w:t>)(ii).</w:t>
            </w:r>
            <w:r w:rsidR="007845CC" w:rsidRPr="00904E6D">
              <w:rPr>
                <w:rStyle w:val="FootnoteReference"/>
                <w:rFonts w:ascii="Arial" w:eastAsia="Calibri" w:hAnsi="Arial" w:cs="Arial"/>
                <w:sz w:val="24"/>
                <w:szCs w:val="24"/>
              </w:rPr>
              <w:footnoteReference w:id="1"/>
            </w:r>
          </w:p>
          <w:p w:rsidR="00904E6D" w:rsidRPr="00904E6D" w:rsidRDefault="00904E6D" w:rsidP="00904E6D">
            <w:pPr>
              <w:spacing w:before="24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04E6D" w:rsidRDefault="00240FCD" w:rsidP="00904E6D">
            <w:pPr>
              <w:spacing w:before="24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04E6D"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655291" w:rsidRPr="00904E6D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B442A6" w:rsidRPr="00904E6D">
              <w:rPr>
                <w:rFonts w:ascii="Arial" w:eastAsia="Calibri" w:hAnsi="Arial" w:cs="Arial"/>
                <w:sz w:val="24"/>
                <w:szCs w:val="24"/>
              </w:rPr>
              <w:t>]</w:t>
            </w:r>
            <w:r w:rsidR="00B442A6" w:rsidRPr="00904E6D">
              <w:rPr>
                <w:rFonts w:ascii="Arial" w:eastAsia="Calibri" w:hAnsi="Arial" w:cs="Arial"/>
                <w:sz w:val="24"/>
                <w:szCs w:val="24"/>
              </w:rPr>
              <w:tab/>
            </w:r>
            <w:r w:rsidR="002C5887" w:rsidRPr="00904E6D">
              <w:rPr>
                <w:rFonts w:ascii="Arial" w:eastAsia="Calibri" w:hAnsi="Arial" w:cs="Arial"/>
                <w:sz w:val="24"/>
                <w:szCs w:val="24"/>
              </w:rPr>
              <w:t xml:space="preserve">The defendant testified that he is </w:t>
            </w:r>
            <w:r w:rsidR="00655291" w:rsidRPr="00904E6D">
              <w:rPr>
                <w:rFonts w:ascii="Arial" w:eastAsia="Calibri" w:hAnsi="Arial" w:cs="Arial"/>
                <w:sz w:val="24"/>
                <w:szCs w:val="24"/>
              </w:rPr>
              <w:t>responsible for the debt</w:t>
            </w:r>
            <w:r w:rsidR="002C5887" w:rsidRPr="00904E6D">
              <w:rPr>
                <w:rFonts w:ascii="Arial" w:eastAsia="Calibri" w:hAnsi="Arial" w:cs="Arial"/>
                <w:sz w:val="24"/>
                <w:szCs w:val="24"/>
              </w:rPr>
              <w:t xml:space="preserve"> and that the reason why he has not made payments thereon is because he is unemployed and e</w:t>
            </w:r>
            <w:r w:rsidR="009369E9" w:rsidRPr="00904E6D">
              <w:rPr>
                <w:rFonts w:ascii="Arial" w:eastAsia="Calibri" w:hAnsi="Arial" w:cs="Arial"/>
                <w:sz w:val="24"/>
                <w:szCs w:val="24"/>
              </w:rPr>
              <w:t>arns a meagre income through a small business that he started.</w:t>
            </w:r>
          </w:p>
          <w:p w:rsidR="00904E6D" w:rsidRPr="00904E6D" w:rsidRDefault="00904E6D" w:rsidP="00904E6D">
            <w:pPr>
              <w:spacing w:before="24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369E9" w:rsidRPr="00904E6D" w:rsidRDefault="009369E9" w:rsidP="00BA5AC5">
            <w:pPr>
              <w:spacing w:before="24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04E6D">
              <w:rPr>
                <w:rFonts w:ascii="Arial" w:eastAsia="Calibri" w:hAnsi="Arial" w:cs="Arial"/>
                <w:sz w:val="24"/>
                <w:szCs w:val="24"/>
              </w:rPr>
              <w:t>[4]</w:t>
            </w:r>
            <w:r w:rsidRPr="00904E6D">
              <w:rPr>
                <w:rFonts w:ascii="Arial" w:eastAsia="Calibri" w:hAnsi="Arial" w:cs="Arial"/>
                <w:sz w:val="24"/>
                <w:szCs w:val="24"/>
              </w:rPr>
              <w:tab/>
            </w:r>
            <w:r w:rsidR="002C5887" w:rsidRPr="00904E6D">
              <w:rPr>
                <w:rFonts w:ascii="Arial" w:eastAsia="Calibri" w:hAnsi="Arial" w:cs="Arial"/>
                <w:sz w:val="24"/>
                <w:szCs w:val="24"/>
              </w:rPr>
              <w:t xml:space="preserve">Summary judgment is based on a trite argument that there are no </w:t>
            </w:r>
            <w:proofErr w:type="spellStart"/>
            <w:r w:rsidR="002C5887" w:rsidRPr="00904E6D">
              <w:rPr>
                <w:rFonts w:ascii="Arial" w:eastAsia="Calibri" w:hAnsi="Arial" w:cs="Arial"/>
                <w:sz w:val="24"/>
                <w:szCs w:val="24"/>
              </w:rPr>
              <w:t>triable</w:t>
            </w:r>
            <w:proofErr w:type="spellEnd"/>
            <w:r w:rsidR="002C5887" w:rsidRPr="00904E6D">
              <w:rPr>
                <w:rFonts w:ascii="Arial" w:eastAsia="Calibri" w:hAnsi="Arial" w:cs="Arial"/>
                <w:sz w:val="24"/>
                <w:szCs w:val="24"/>
              </w:rPr>
              <w:t xml:space="preserve"> issues of fact and the motion is initiated by a plaintiff that contends that all the necessary factual issues are settled and need not be tried. </w:t>
            </w:r>
            <w:r w:rsidR="00D70F00" w:rsidRPr="00904E6D">
              <w:rPr>
                <w:rFonts w:ascii="Arial" w:eastAsia="Calibri" w:hAnsi="Arial" w:cs="Arial"/>
                <w:sz w:val="24"/>
                <w:szCs w:val="24"/>
              </w:rPr>
              <w:t>There is no doubt in my mind that the claim resorts under the types of claims on which summary judgment can be granted.</w:t>
            </w:r>
            <w:r w:rsidR="002C5887" w:rsidRPr="00904E6D">
              <w:rPr>
                <w:rFonts w:ascii="Arial" w:eastAsia="Calibri" w:hAnsi="Arial" w:cs="Arial"/>
                <w:sz w:val="24"/>
                <w:szCs w:val="24"/>
              </w:rPr>
              <w:t xml:space="preserve"> Having considered the evidence by the defendant, he raised no </w:t>
            </w:r>
            <w:proofErr w:type="spellStart"/>
            <w:r w:rsidR="002C5887" w:rsidRPr="00904E6D">
              <w:rPr>
                <w:rFonts w:ascii="Arial" w:eastAsia="Calibri" w:hAnsi="Arial" w:cs="Arial"/>
                <w:sz w:val="24"/>
                <w:szCs w:val="24"/>
              </w:rPr>
              <w:t>triable</w:t>
            </w:r>
            <w:proofErr w:type="spellEnd"/>
            <w:r w:rsidR="002C5887" w:rsidRPr="00904E6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="002C5887" w:rsidRPr="00904E6D">
              <w:rPr>
                <w:rFonts w:ascii="Arial" w:eastAsia="Calibri" w:hAnsi="Arial" w:cs="Arial"/>
                <w:sz w:val="24"/>
                <w:szCs w:val="24"/>
              </w:rPr>
              <w:t>defense</w:t>
            </w:r>
            <w:proofErr w:type="spellEnd"/>
            <w:r w:rsidR="002C5887" w:rsidRPr="00904E6D">
              <w:rPr>
                <w:rFonts w:ascii="Arial" w:eastAsia="Calibri" w:hAnsi="Arial" w:cs="Arial"/>
                <w:sz w:val="24"/>
                <w:szCs w:val="24"/>
              </w:rPr>
              <w:t xml:space="preserve"> as regards his liability on the debt and has essentially admitted to being responsible for the debt. </w:t>
            </w:r>
            <w:r w:rsidR="00D70F00" w:rsidRPr="00904E6D">
              <w:rPr>
                <w:rFonts w:ascii="Arial" w:eastAsia="Calibri" w:hAnsi="Arial" w:cs="Arial"/>
                <w:sz w:val="24"/>
                <w:szCs w:val="24"/>
              </w:rPr>
              <w:t>As such the court is satisfied that the plaintiff has made out a case for the relief it prayed for.</w:t>
            </w:r>
          </w:p>
          <w:p w:rsidR="003176E8" w:rsidRPr="00904E6D" w:rsidRDefault="003176E8" w:rsidP="00022CAB">
            <w:pPr>
              <w:spacing w:before="24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04E6D">
              <w:rPr>
                <w:rFonts w:ascii="Arial" w:eastAsia="Calibri" w:hAnsi="Arial" w:cs="Arial"/>
                <w:sz w:val="24"/>
                <w:szCs w:val="24"/>
              </w:rPr>
              <w:lastRenderedPageBreak/>
              <w:t>[5]</w:t>
            </w:r>
            <w:r w:rsidRPr="00904E6D">
              <w:rPr>
                <w:rFonts w:ascii="Arial" w:eastAsia="Calibri" w:hAnsi="Arial" w:cs="Arial"/>
                <w:sz w:val="24"/>
                <w:szCs w:val="24"/>
              </w:rPr>
              <w:tab/>
              <w:t>In the result it is ordered:</w:t>
            </w:r>
          </w:p>
          <w:p w:rsidR="00022CAB" w:rsidRPr="00904E6D" w:rsidRDefault="00022CAB" w:rsidP="00022CAB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176E8" w:rsidRDefault="003176E8" w:rsidP="003176E8">
            <w:pPr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04E6D">
              <w:rPr>
                <w:rFonts w:ascii="Arial" w:eastAsia="Calibri" w:hAnsi="Arial" w:cs="Arial"/>
                <w:sz w:val="24"/>
                <w:szCs w:val="24"/>
              </w:rPr>
              <w:t>The application for summary judgment is granted.</w:t>
            </w:r>
          </w:p>
          <w:p w:rsidR="00904E6D" w:rsidRPr="00904E6D" w:rsidRDefault="00904E6D" w:rsidP="00904E6D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176E8" w:rsidRDefault="003176E8" w:rsidP="003176E8">
            <w:pPr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04E6D">
              <w:rPr>
                <w:rFonts w:ascii="Arial" w:eastAsia="Calibri" w:hAnsi="Arial" w:cs="Arial"/>
                <w:sz w:val="24"/>
                <w:szCs w:val="24"/>
              </w:rPr>
              <w:t>Payment in the amount of N$52 425.64</w:t>
            </w:r>
            <w:r w:rsidR="00904E6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904E6D" w:rsidRPr="00904E6D" w:rsidRDefault="00904E6D" w:rsidP="00904E6D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176E8" w:rsidRDefault="003176E8" w:rsidP="003176E8">
            <w:pPr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04E6D">
              <w:rPr>
                <w:rFonts w:ascii="Arial" w:eastAsia="Calibri" w:hAnsi="Arial" w:cs="Arial"/>
                <w:sz w:val="24"/>
                <w:szCs w:val="24"/>
              </w:rPr>
              <w:t>Interest thereon at the prime rate of 15.30% per annum as from 3 January 2023 until date of final payment.</w:t>
            </w:r>
          </w:p>
          <w:p w:rsidR="00904E6D" w:rsidRPr="00904E6D" w:rsidRDefault="00904E6D" w:rsidP="00904E6D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176E8" w:rsidRDefault="003176E8" w:rsidP="003176E8">
            <w:pPr>
              <w:numPr>
                <w:ilvl w:val="0"/>
                <w:numId w:val="6"/>
              </w:numPr>
              <w:spacing w:before="240" w:line="36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04E6D">
              <w:rPr>
                <w:rFonts w:ascii="Arial" w:eastAsia="Calibri" w:hAnsi="Arial" w:cs="Arial"/>
                <w:sz w:val="24"/>
                <w:szCs w:val="24"/>
              </w:rPr>
              <w:t xml:space="preserve">Cost of suit on attorney own client scale. </w:t>
            </w:r>
          </w:p>
          <w:p w:rsidR="00904E6D" w:rsidRPr="00904E6D" w:rsidRDefault="00904E6D" w:rsidP="00904E6D">
            <w:pPr>
              <w:spacing w:before="24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176E8" w:rsidRPr="00904E6D" w:rsidRDefault="003176E8" w:rsidP="003176E8">
            <w:pPr>
              <w:spacing w:before="240" w:line="360" w:lineRule="auto"/>
              <w:ind w:left="36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04E6D">
              <w:rPr>
                <w:rFonts w:ascii="Arial" w:eastAsia="Calibri" w:hAnsi="Arial" w:cs="Arial"/>
                <w:sz w:val="24"/>
                <w:szCs w:val="24"/>
              </w:rPr>
              <w:t xml:space="preserve">5. </w:t>
            </w:r>
            <w:r w:rsidR="00022CAB" w:rsidRPr="00904E6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904E6D">
              <w:rPr>
                <w:rFonts w:ascii="Arial" w:eastAsia="Calibri" w:hAnsi="Arial" w:cs="Arial"/>
                <w:sz w:val="24"/>
                <w:szCs w:val="24"/>
              </w:rPr>
              <w:t>The matter is considered finalised and it is removed from the roll</w:t>
            </w:r>
          </w:p>
          <w:p w:rsidR="00FC09B3" w:rsidRPr="00904E6D" w:rsidRDefault="00FC09B3" w:rsidP="00D70F0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04E6D" w:rsidRPr="00904E6D" w:rsidTr="00904E6D">
        <w:trPr>
          <w:trHeight w:val="1848"/>
        </w:trPr>
        <w:tc>
          <w:tcPr>
            <w:tcW w:w="4770" w:type="dxa"/>
          </w:tcPr>
          <w:p w:rsidR="00FF6DBC" w:rsidRPr="00904E6D" w:rsidRDefault="00904E6D" w:rsidP="00904E6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04E6D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Judge’s signature</w:t>
            </w:r>
          </w:p>
          <w:p w:rsidR="00FF6DBC" w:rsidRPr="00904E6D" w:rsidRDefault="00FF6DBC" w:rsidP="00FF6DBC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F6DBC" w:rsidRPr="00904E6D" w:rsidRDefault="00FF6DBC" w:rsidP="00FF6DBC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50" w:type="dxa"/>
            <w:gridSpan w:val="2"/>
          </w:tcPr>
          <w:p w:rsidR="00FF6DBC" w:rsidRPr="00904E6D" w:rsidRDefault="00904E6D" w:rsidP="00FF6DBC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04E6D">
              <w:rPr>
                <w:rFonts w:ascii="Arial" w:eastAsia="Calibri" w:hAnsi="Arial" w:cs="Arial"/>
                <w:b/>
                <w:sz w:val="24"/>
                <w:szCs w:val="24"/>
              </w:rPr>
              <w:t>Note to the parties:</w:t>
            </w:r>
          </w:p>
        </w:tc>
      </w:tr>
      <w:tr w:rsidR="00904E6D" w:rsidRPr="00904E6D" w:rsidTr="00B1387A">
        <w:trPr>
          <w:trHeight w:val="1114"/>
        </w:trPr>
        <w:tc>
          <w:tcPr>
            <w:tcW w:w="4770" w:type="dxa"/>
          </w:tcPr>
          <w:p w:rsidR="00904E6D" w:rsidRPr="00904E6D" w:rsidRDefault="00904E6D" w:rsidP="00904E6D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50" w:type="dxa"/>
            <w:gridSpan w:val="2"/>
          </w:tcPr>
          <w:p w:rsidR="00904E6D" w:rsidRPr="00904E6D" w:rsidRDefault="00904E6D" w:rsidP="00FF6DBC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904E6D" w:rsidRPr="00904E6D" w:rsidTr="00B1387A">
        <w:tc>
          <w:tcPr>
            <w:tcW w:w="9720" w:type="dxa"/>
            <w:gridSpan w:val="3"/>
          </w:tcPr>
          <w:p w:rsidR="00FF6DBC" w:rsidRPr="00904E6D" w:rsidRDefault="00FF6DBC" w:rsidP="00FF6DBC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04E6D">
              <w:rPr>
                <w:rFonts w:ascii="Arial" w:eastAsia="Calibri" w:hAnsi="Arial" w:cs="Arial"/>
                <w:b/>
                <w:sz w:val="24"/>
                <w:szCs w:val="24"/>
              </w:rPr>
              <w:t>Counsel:</w:t>
            </w:r>
          </w:p>
        </w:tc>
      </w:tr>
      <w:tr w:rsidR="00904E6D" w:rsidRPr="00904E6D" w:rsidTr="00B1387A">
        <w:tc>
          <w:tcPr>
            <w:tcW w:w="4770" w:type="dxa"/>
          </w:tcPr>
          <w:p w:rsidR="00FF6DBC" w:rsidRPr="00904E6D" w:rsidRDefault="00FF6DBC" w:rsidP="00FF6DBC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04E6D">
              <w:rPr>
                <w:rFonts w:ascii="Arial" w:eastAsia="Calibri" w:hAnsi="Arial" w:cs="Arial"/>
                <w:b/>
                <w:sz w:val="24"/>
                <w:szCs w:val="24"/>
              </w:rPr>
              <w:t>Applicant</w:t>
            </w:r>
          </w:p>
        </w:tc>
        <w:tc>
          <w:tcPr>
            <w:tcW w:w="4950" w:type="dxa"/>
            <w:gridSpan w:val="2"/>
          </w:tcPr>
          <w:p w:rsidR="00FF6DBC" w:rsidRPr="00904E6D" w:rsidRDefault="00FF6DBC" w:rsidP="00FF6DBC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04E6D">
              <w:rPr>
                <w:rFonts w:ascii="Arial" w:eastAsia="Calibri" w:hAnsi="Arial" w:cs="Arial"/>
                <w:b/>
                <w:sz w:val="24"/>
                <w:szCs w:val="24"/>
              </w:rPr>
              <w:t xml:space="preserve"> Respondent</w:t>
            </w:r>
          </w:p>
        </w:tc>
      </w:tr>
      <w:tr w:rsidR="00904E6D" w:rsidRPr="00904E6D" w:rsidTr="00B1387A">
        <w:tc>
          <w:tcPr>
            <w:tcW w:w="4770" w:type="dxa"/>
          </w:tcPr>
          <w:p w:rsidR="00FF6DBC" w:rsidRPr="00904E6D" w:rsidRDefault="007E56FE" w:rsidP="00FF6DBC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04E6D">
              <w:rPr>
                <w:rFonts w:ascii="Arial" w:eastAsia="Calibri" w:hAnsi="Arial" w:cs="Arial"/>
                <w:sz w:val="24"/>
                <w:szCs w:val="24"/>
              </w:rPr>
              <w:t xml:space="preserve">K </w:t>
            </w:r>
            <w:proofErr w:type="spellStart"/>
            <w:r w:rsidRPr="00904E6D">
              <w:rPr>
                <w:rFonts w:ascii="Arial" w:eastAsia="Calibri" w:hAnsi="Arial" w:cs="Arial"/>
                <w:sz w:val="24"/>
                <w:szCs w:val="24"/>
              </w:rPr>
              <w:t>Angula</w:t>
            </w:r>
            <w:proofErr w:type="spellEnd"/>
          </w:p>
          <w:p w:rsidR="007E56FE" w:rsidRPr="00904E6D" w:rsidRDefault="007E56FE" w:rsidP="00FF6DBC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04E6D">
              <w:rPr>
                <w:rFonts w:ascii="Arial" w:eastAsia="Calibri" w:hAnsi="Arial" w:cs="Arial"/>
                <w:sz w:val="24"/>
                <w:szCs w:val="24"/>
              </w:rPr>
              <w:t>AngulCo</w:t>
            </w:r>
            <w:proofErr w:type="spellEnd"/>
            <w:r w:rsidRPr="00904E6D">
              <w:rPr>
                <w:rFonts w:ascii="Arial" w:eastAsia="Calibri" w:hAnsi="Arial" w:cs="Arial"/>
                <w:sz w:val="24"/>
                <w:szCs w:val="24"/>
              </w:rPr>
              <w:t xml:space="preserve"> Inc.</w:t>
            </w:r>
          </w:p>
          <w:p w:rsidR="007E56FE" w:rsidRPr="00904E6D" w:rsidRDefault="007E56FE" w:rsidP="00FF6DBC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04E6D">
              <w:rPr>
                <w:rFonts w:ascii="Arial" w:eastAsia="Calibri" w:hAnsi="Arial" w:cs="Arial"/>
                <w:sz w:val="24"/>
                <w:szCs w:val="24"/>
              </w:rPr>
              <w:t>Windhoek</w:t>
            </w:r>
          </w:p>
        </w:tc>
        <w:tc>
          <w:tcPr>
            <w:tcW w:w="4950" w:type="dxa"/>
            <w:gridSpan w:val="2"/>
          </w:tcPr>
          <w:p w:rsidR="00FF6DBC" w:rsidRPr="00904E6D" w:rsidRDefault="007E56FE" w:rsidP="00FF6DBC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04E6D">
              <w:rPr>
                <w:rFonts w:ascii="Arial" w:eastAsia="Calibri" w:hAnsi="Arial" w:cs="Arial"/>
                <w:sz w:val="24"/>
                <w:szCs w:val="24"/>
              </w:rPr>
              <w:t>Clif</w:t>
            </w:r>
            <w:proofErr w:type="spellEnd"/>
            <w:r w:rsidRPr="00904E6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904E6D">
              <w:rPr>
                <w:rFonts w:ascii="Arial" w:eastAsia="Calibri" w:hAnsi="Arial" w:cs="Arial"/>
                <w:sz w:val="24"/>
                <w:szCs w:val="24"/>
              </w:rPr>
              <w:t>Mbinozondunge</w:t>
            </w:r>
            <w:proofErr w:type="spellEnd"/>
            <w:r w:rsidRPr="00904E6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904E6D">
              <w:rPr>
                <w:rFonts w:ascii="Arial" w:eastAsia="Calibri" w:hAnsi="Arial" w:cs="Arial"/>
                <w:sz w:val="24"/>
                <w:szCs w:val="24"/>
              </w:rPr>
              <w:t>Kazombaize</w:t>
            </w:r>
            <w:proofErr w:type="spellEnd"/>
          </w:p>
          <w:p w:rsidR="007E56FE" w:rsidRPr="00904E6D" w:rsidRDefault="007E56FE" w:rsidP="00FF6DBC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04E6D">
              <w:rPr>
                <w:rFonts w:ascii="Arial" w:eastAsia="Calibri" w:hAnsi="Arial" w:cs="Arial"/>
                <w:sz w:val="24"/>
                <w:szCs w:val="24"/>
              </w:rPr>
              <w:t>In Person</w:t>
            </w:r>
          </w:p>
          <w:p w:rsidR="005221EF" w:rsidRPr="00904E6D" w:rsidRDefault="005221EF" w:rsidP="00904E6D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FF6DBC" w:rsidRPr="00904E6D" w:rsidRDefault="00FF6DBC" w:rsidP="00FF6DB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FF6DBC" w:rsidRPr="00904E6D" w:rsidRDefault="00FF6DBC" w:rsidP="00FF6DBC">
      <w:pPr>
        <w:rPr>
          <w:rFonts w:ascii="Arial" w:eastAsia="Calibri" w:hAnsi="Arial" w:cs="Arial"/>
          <w:sz w:val="24"/>
          <w:szCs w:val="24"/>
          <w:lang w:val="en-US"/>
        </w:rPr>
      </w:pPr>
    </w:p>
    <w:p w:rsidR="00FF6DBC" w:rsidRPr="00904E6D" w:rsidRDefault="00FF6DBC" w:rsidP="00FF6DBC">
      <w:pPr>
        <w:rPr>
          <w:rFonts w:ascii="Arial" w:eastAsia="Calibri" w:hAnsi="Arial" w:cs="Arial"/>
          <w:sz w:val="24"/>
          <w:szCs w:val="24"/>
          <w:lang w:val="en-US"/>
        </w:rPr>
      </w:pPr>
    </w:p>
    <w:p w:rsidR="00FF6DBC" w:rsidRPr="00904E6D" w:rsidRDefault="00FF6DBC" w:rsidP="00FF6DBC">
      <w:pPr>
        <w:rPr>
          <w:rFonts w:ascii="Arial" w:eastAsia="Calibri" w:hAnsi="Arial" w:cs="Arial"/>
          <w:sz w:val="24"/>
          <w:szCs w:val="24"/>
          <w:lang w:val="en-US"/>
        </w:rPr>
      </w:pPr>
    </w:p>
    <w:p w:rsidR="0094406E" w:rsidRPr="00904E6D" w:rsidRDefault="0094406E">
      <w:pPr>
        <w:rPr>
          <w:rFonts w:ascii="Arial" w:hAnsi="Arial" w:cs="Arial"/>
        </w:rPr>
      </w:pPr>
    </w:p>
    <w:sectPr w:rsidR="0094406E" w:rsidRPr="00904E6D" w:rsidSect="00921456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8DC" w:rsidRDefault="005968DC" w:rsidP="00FF6DBC">
      <w:pPr>
        <w:spacing w:after="0" w:line="240" w:lineRule="auto"/>
      </w:pPr>
      <w:r>
        <w:separator/>
      </w:r>
    </w:p>
  </w:endnote>
  <w:endnote w:type="continuationSeparator" w:id="0">
    <w:p w:rsidR="005968DC" w:rsidRDefault="005968DC" w:rsidP="00FF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8DC" w:rsidRDefault="005968DC" w:rsidP="00FF6DBC">
      <w:pPr>
        <w:spacing w:after="0" w:line="240" w:lineRule="auto"/>
      </w:pPr>
      <w:r>
        <w:separator/>
      </w:r>
    </w:p>
  </w:footnote>
  <w:footnote w:type="continuationSeparator" w:id="0">
    <w:p w:rsidR="005968DC" w:rsidRDefault="005968DC" w:rsidP="00FF6DBC">
      <w:pPr>
        <w:spacing w:after="0" w:line="240" w:lineRule="auto"/>
      </w:pPr>
      <w:r>
        <w:continuationSeparator/>
      </w:r>
    </w:p>
  </w:footnote>
  <w:footnote w:id="1">
    <w:p w:rsidR="007845CC" w:rsidRDefault="007845CC" w:rsidP="007845C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>Rules of the High Court of Namibia: High Court</w:t>
      </w:r>
      <w:r>
        <w:rPr>
          <w:rFonts w:ascii="Arial" w:hAnsi="Arial" w:cs="Arial"/>
        </w:rPr>
        <w:tab/>
        <w:t xml:space="preserve">Act, </w:t>
      </w:r>
      <w:r w:rsidRPr="007845CC">
        <w:rPr>
          <w:rFonts w:ascii="Arial" w:hAnsi="Arial" w:cs="Arial"/>
        </w:rPr>
        <w:t>1990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4874228"/>
      <w:docPartObj>
        <w:docPartGallery w:val="Page Numbers (Top of Page)"/>
        <w:docPartUnique/>
      </w:docPartObj>
    </w:sdtPr>
    <w:sdtEndPr>
      <w:rPr>
        <w:rFonts w:ascii="Arial Narrow" w:hAnsi="Arial Narrow"/>
        <w:noProof/>
      </w:rPr>
    </w:sdtEndPr>
    <w:sdtContent>
      <w:p w:rsidR="00921456" w:rsidRPr="00921456" w:rsidRDefault="00EF32BA">
        <w:pPr>
          <w:pStyle w:val="Header"/>
          <w:jc w:val="right"/>
          <w:rPr>
            <w:rFonts w:ascii="Arial Narrow" w:hAnsi="Arial Narrow"/>
          </w:rPr>
        </w:pPr>
        <w:r w:rsidRPr="00921456">
          <w:rPr>
            <w:rFonts w:ascii="Arial Narrow" w:hAnsi="Arial Narrow"/>
          </w:rPr>
          <w:fldChar w:fldCharType="begin"/>
        </w:r>
        <w:r w:rsidRPr="00921456">
          <w:rPr>
            <w:rFonts w:ascii="Arial Narrow" w:hAnsi="Arial Narrow"/>
          </w:rPr>
          <w:instrText xml:space="preserve"> PAGE   \* MERGEFORMAT </w:instrText>
        </w:r>
        <w:r w:rsidRPr="00921456">
          <w:rPr>
            <w:rFonts w:ascii="Arial Narrow" w:hAnsi="Arial Narrow"/>
          </w:rPr>
          <w:fldChar w:fldCharType="separate"/>
        </w:r>
        <w:r w:rsidR="00FD0AC8">
          <w:rPr>
            <w:rFonts w:ascii="Arial Narrow" w:hAnsi="Arial Narrow"/>
            <w:noProof/>
          </w:rPr>
          <w:t>3</w:t>
        </w:r>
        <w:r w:rsidRPr="00921456">
          <w:rPr>
            <w:rFonts w:ascii="Arial Narrow" w:hAnsi="Arial Narrow"/>
            <w:noProof/>
          </w:rPr>
          <w:fldChar w:fldCharType="end"/>
        </w:r>
      </w:p>
    </w:sdtContent>
  </w:sdt>
  <w:p w:rsidR="00921456" w:rsidRDefault="005968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F2302"/>
    <w:multiLevelType w:val="hybridMultilevel"/>
    <w:tmpl w:val="9B4AD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85EC2"/>
    <w:multiLevelType w:val="hybridMultilevel"/>
    <w:tmpl w:val="D85238F4"/>
    <w:lvl w:ilvl="0" w:tplc="F4120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E841A0"/>
    <w:multiLevelType w:val="hybridMultilevel"/>
    <w:tmpl w:val="14CAF1B8"/>
    <w:lvl w:ilvl="0" w:tplc="0BE245A4">
      <w:start w:val="4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81507"/>
    <w:multiLevelType w:val="hybridMultilevel"/>
    <w:tmpl w:val="E24CF7AA"/>
    <w:lvl w:ilvl="0" w:tplc="0128B9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D57F5"/>
    <w:multiLevelType w:val="hybridMultilevel"/>
    <w:tmpl w:val="F114255A"/>
    <w:lvl w:ilvl="0" w:tplc="5876FE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71E12"/>
    <w:multiLevelType w:val="hybridMultilevel"/>
    <w:tmpl w:val="FD847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BC"/>
    <w:rsid w:val="00022CAB"/>
    <w:rsid w:val="00023B28"/>
    <w:rsid w:val="00065A94"/>
    <w:rsid w:val="001939CC"/>
    <w:rsid w:val="001A43E5"/>
    <w:rsid w:val="00240FCD"/>
    <w:rsid w:val="002942A1"/>
    <w:rsid w:val="002C5887"/>
    <w:rsid w:val="00314799"/>
    <w:rsid w:val="00314A82"/>
    <w:rsid w:val="003176E8"/>
    <w:rsid w:val="0032039A"/>
    <w:rsid w:val="003419C7"/>
    <w:rsid w:val="003D5CE2"/>
    <w:rsid w:val="003F29B4"/>
    <w:rsid w:val="003F6655"/>
    <w:rsid w:val="003F6B59"/>
    <w:rsid w:val="004407F6"/>
    <w:rsid w:val="004D1588"/>
    <w:rsid w:val="004F60F0"/>
    <w:rsid w:val="005221EF"/>
    <w:rsid w:val="00572763"/>
    <w:rsid w:val="005968DC"/>
    <w:rsid w:val="005B5A1D"/>
    <w:rsid w:val="005D0D5C"/>
    <w:rsid w:val="006378E6"/>
    <w:rsid w:val="00655291"/>
    <w:rsid w:val="006A6BEC"/>
    <w:rsid w:val="006C1280"/>
    <w:rsid w:val="006C3868"/>
    <w:rsid w:val="006D122E"/>
    <w:rsid w:val="007055C1"/>
    <w:rsid w:val="00716576"/>
    <w:rsid w:val="007255D5"/>
    <w:rsid w:val="00732BFA"/>
    <w:rsid w:val="00736FDF"/>
    <w:rsid w:val="0073711E"/>
    <w:rsid w:val="00751C4F"/>
    <w:rsid w:val="00757F1B"/>
    <w:rsid w:val="007601C6"/>
    <w:rsid w:val="00760F6C"/>
    <w:rsid w:val="007845CC"/>
    <w:rsid w:val="00786840"/>
    <w:rsid w:val="0079156B"/>
    <w:rsid w:val="007C6F21"/>
    <w:rsid w:val="007D3F53"/>
    <w:rsid w:val="007E56FE"/>
    <w:rsid w:val="00904E6D"/>
    <w:rsid w:val="009369E9"/>
    <w:rsid w:val="0094406E"/>
    <w:rsid w:val="009671C8"/>
    <w:rsid w:val="009C2284"/>
    <w:rsid w:val="00A52EBA"/>
    <w:rsid w:val="00A74945"/>
    <w:rsid w:val="00B271C2"/>
    <w:rsid w:val="00B34876"/>
    <w:rsid w:val="00B442A6"/>
    <w:rsid w:val="00BA5AC5"/>
    <w:rsid w:val="00BE283C"/>
    <w:rsid w:val="00C6012B"/>
    <w:rsid w:val="00C7580E"/>
    <w:rsid w:val="00C9467D"/>
    <w:rsid w:val="00CC7AF5"/>
    <w:rsid w:val="00D02C39"/>
    <w:rsid w:val="00D4666D"/>
    <w:rsid w:val="00D67622"/>
    <w:rsid w:val="00D70F00"/>
    <w:rsid w:val="00D9270F"/>
    <w:rsid w:val="00DC2F1E"/>
    <w:rsid w:val="00DE3B89"/>
    <w:rsid w:val="00E4077A"/>
    <w:rsid w:val="00EA7CF4"/>
    <w:rsid w:val="00ED4515"/>
    <w:rsid w:val="00EE4C03"/>
    <w:rsid w:val="00EF17EC"/>
    <w:rsid w:val="00EF32BA"/>
    <w:rsid w:val="00F20678"/>
    <w:rsid w:val="00F31C1C"/>
    <w:rsid w:val="00F42267"/>
    <w:rsid w:val="00FB310B"/>
    <w:rsid w:val="00FC09B3"/>
    <w:rsid w:val="00FD0AC8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4BE9B-994D-456C-9831-4029E29F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6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DBC"/>
  </w:style>
  <w:style w:type="paragraph" w:customStyle="1" w:styleId="FootnoteText1">
    <w:name w:val="Footnote Text1"/>
    <w:basedOn w:val="Normal"/>
    <w:next w:val="FootnoteText"/>
    <w:link w:val="FootnoteTextChar"/>
    <w:uiPriority w:val="99"/>
    <w:unhideWhenUsed/>
    <w:rsid w:val="00FF6DBC"/>
    <w:pPr>
      <w:spacing w:after="0" w:line="240" w:lineRule="auto"/>
    </w:pPr>
    <w:rPr>
      <w:rFonts w:ascii="Calibri" w:hAnsi="Calibri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FF6DBC"/>
    <w:rPr>
      <w:rFonts w:ascii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FF6DBC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FF6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F6DBC"/>
    <w:rPr>
      <w:color w:val="0000FF"/>
      <w:u w:val="single"/>
    </w:rPr>
  </w:style>
  <w:style w:type="paragraph" w:styleId="FootnoteText">
    <w:name w:val="footnote text"/>
    <w:basedOn w:val="Normal"/>
    <w:link w:val="FootnoteTextChar1"/>
    <w:uiPriority w:val="99"/>
    <w:unhideWhenUsed/>
    <w:rsid w:val="00FF6DBC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FF6DBC"/>
    <w:rPr>
      <w:sz w:val="20"/>
      <w:szCs w:val="20"/>
    </w:rPr>
  </w:style>
  <w:style w:type="table" w:styleId="TableGrid">
    <w:name w:val="Table Grid"/>
    <w:basedOn w:val="TableNormal"/>
    <w:uiPriority w:val="39"/>
    <w:rsid w:val="00FF6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2C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E0F99B3F8644397ECB0C536651393" ma:contentTypeVersion="11" ma:contentTypeDescription="Create a new document." ma:contentTypeScope="" ma:versionID="b673f0f333acfa81009044480645c58a">
  <xsd:schema xmlns:xsd="http://www.w3.org/2001/XMLSchema" xmlns:xs="http://www.w3.org/2001/XMLSchema" xmlns:p="http://schemas.microsoft.com/office/2006/metadata/properties" xmlns:ns2="17a0f4bd-1162-49ac-b85f-dfe96a90bc01" xmlns:ns3="c1afb1bd-f2fb-40fd-9abb-aea55b4d7662" targetNamespace="http://schemas.microsoft.com/office/2006/metadata/properties" ma:root="true" ma:fieldsID="293dc9c623f9aa83555c564965efc2da" ns2:_="" ns3:_="">
    <xsd:import namespace="17a0f4bd-1162-49ac-b85f-dfe96a90bc01"/>
    <xsd:import namespace="c1afb1bd-f2fb-40fd-9abb-aea55b4d7662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fb1bd-f2fb-40fd-9abb-aea55b4d7662" elementFormDefault="qualified">
    <xsd:import namespace="http://schemas.microsoft.com/office/2006/documentManagement/types"/>
    <xsd:import namespace="http://schemas.microsoft.com/office/infopath/2007/PartnerControls"/>
    <xsd:element name="Year" ma:index="13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dgment_x0020_Date xmlns="17a0f4bd-1162-49ac-b85f-dfe96a90bc01">2023-07-13T18:30:00+00:00</Judgment_x0020_Date>
    <Year xmlns="c1afb1bd-f2fb-40fd-9abb-aea55b4d7662">2023</Year>
  </documentManagement>
</p:properties>
</file>

<file path=customXml/itemProps1.xml><?xml version="1.0" encoding="utf-8"?>
<ds:datastoreItem xmlns:ds="http://schemas.openxmlformats.org/officeDocument/2006/customXml" ds:itemID="{E32D8A80-8940-48B1-837D-A97EA4CD6CFE}"/>
</file>

<file path=customXml/itemProps2.xml><?xml version="1.0" encoding="utf-8"?>
<ds:datastoreItem xmlns:ds="http://schemas.openxmlformats.org/officeDocument/2006/customXml" ds:itemID="{87715B04-20D6-4BFD-A65D-735171945555}"/>
</file>

<file path=customXml/itemProps3.xml><?xml version="1.0" encoding="utf-8"?>
<ds:datastoreItem xmlns:ds="http://schemas.openxmlformats.org/officeDocument/2006/customXml" ds:itemID="{34491F0D-D61B-4D2F-A561-5FA91F90B780}"/>
</file>

<file path=customXml/itemProps4.xml><?xml version="1.0" encoding="utf-8"?>
<ds:datastoreItem xmlns:ds="http://schemas.openxmlformats.org/officeDocument/2006/customXml" ds:itemID="{AD71349F-649B-47B7-A751-DCF0CD0D32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National Bank Of Namibia Limited v Kazombiaze (HC-MD-CIV-ACT- CON-2023-01030) [2023] NAHCMD 401 (14 July 2023)</dc:title>
  <dc:subject/>
  <dc:creator>Sti Jan</dc:creator>
  <cp:keywords/>
  <dc:description/>
  <cp:lastModifiedBy>Ernestine N. Jansen</cp:lastModifiedBy>
  <cp:revision>2</cp:revision>
  <cp:lastPrinted>2023-07-14T07:59:00Z</cp:lastPrinted>
  <dcterms:created xsi:type="dcterms:W3CDTF">2023-07-14T09:39:00Z</dcterms:created>
  <dcterms:modified xsi:type="dcterms:W3CDTF">2023-07-14T09:39:00Z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0x0101000ECE0F99B3F8644397ECB0C536651393</vt:lpwstr>
  </property>
</Properties>
</file>