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44" w:rsidRPr="006E026B" w:rsidRDefault="00B40844" w:rsidP="004358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REPUBLIC OF NAMIBIA</w:t>
      </w:r>
    </w:p>
    <w:p w:rsidR="00B40844" w:rsidRPr="00EA2DE2" w:rsidRDefault="00B40844" w:rsidP="00B40844">
      <w:pPr>
        <w:spacing w:after="0" w:line="360" w:lineRule="auto"/>
        <w:jc w:val="both"/>
        <w:rPr>
          <w:rFonts w:ascii="Arial Narrow" w:hAnsi="Arial Narrow"/>
          <w:sz w:val="10"/>
          <w:szCs w:val="1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A8CF2A1" wp14:editId="7C44D916">
            <wp:simplePos x="0" y="0"/>
            <wp:positionH relativeFrom="column">
              <wp:posOffset>2270760</wp:posOffset>
            </wp:positionH>
            <wp:positionV relativeFrom="paragraph">
              <wp:posOffset>80286</wp:posOffset>
            </wp:positionV>
            <wp:extent cx="1270000" cy="1320800"/>
            <wp:effectExtent l="0" t="0" r="6350" b="0"/>
            <wp:wrapSquare wrapText="bothSides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D92">
        <w:rPr>
          <w:rFonts w:ascii="Arial Narrow" w:hAnsi="Arial Narrow"/>
          <w:b/>
          <w:sz w:val="32"/>
          <w:szCs w:val="32"/>
        </w:rPr>
        <w:br w:type="textWrapping" w:clear="all"/>
      </w:r>
    </w:p>
    <w:p w:rsidR="00B40844" w:rsidRPr="006E026B" w:rsidRDefault="00B40844" w:rsidP="00B4084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B40844" w:rsidRPr="00EA2DE2" w:rsidRDefault="00B40844" w:rsidP="00B40844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</w:p>
    <w:p w:rsidR="00B40844" w:rsidRDefault="008006A3" w:rsidP="00B408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RULING</w:t>
      </w:r>
    </w:p>
    <w:p w:rsidR="00D965B8" w:rsidRDefault="00D965B8" w:rsidP="00B408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DIRECTI</w:t>
      </w:r>
      <w:r w:rsidR="00C851CA">
        <w:rPr>
          <w:rFonts w:ascii="Arial" w:hAnsi="Arial" w:cs="Arial"/>
          <w:b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 xml:space="preserve"> 61</w:t>
      </w:r>
    </w:p>
    <w:p w:rsidR="00B40844" w:rsidRPr="00D965B8" w:rsidRDefault="00B40844" w:rsidP="00B408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770"/>
        <w:gridCol w:w="462"/>
        <w:gridCol w:w="4974"/>
      </w:tblGrid>
      <w:tr w:rsidR="00CA7995" w:rsidRPr="00CA7995" w:rsidTr="00136505">
        <w:trPr>
          <w:trHeight w:val="997"/>
        </w:trPr>
        <w:tc>
          <w:tcPr>
            <w:tcW w:w="5232" w:type="dxa"/>
            <w:gridSpan w:val="2"/>
            <w:vMerge w:val="restart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B40844" w:rsidRPr="00346731" w:rsidRDefault="00346731" w:rsidP="002569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731">
              <w:rPr>
                <w:rFonts w:ascii="Arial" w:hAnsi="Arial" w:cs="Arial"/>
                <w:sz w:val="24"/>
                <w:szCs w:val="24"/>
              </w:rPr>
              <w:t>STANDARD BANK NAMIBIA LTD</w:t>
            </w:r>
            <w:r w:rsidR="00136505" w:rsidRPr="003467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// </w:t>
            </w:r>
            <w:r w:rsidRPr="00346731">
              <w:rPr>
                <w:rFonts w:ascii="Arial" w:hAnsi="Arial" w:cs="Arial"/>
                <w:sz w:val="24"/>
                <w:szCs w:val="24"/>
              </w:rPr>
              <w:t>VERNON MARK MORKEL</w:t>
            </w:r>
          </w:p>
        </w:tc>
        <w:tc>
          <w:tcPr>
            <w:tcW w:w="4974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B40844" w:rsidRPr="00346731" w:rsidRDefault="00346731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6731">
              <w:rPr>
                <w:rFonts w:ascii="Arial" w:hAnsi="Arial" w:cs="Arial"/>
                <w:sz w:val="24"/>
                <w:szCs w:val="24"/>
              </w:rPr>
              <w:t>HC-MD-CIV-ACT-CON-2022/05190</w:t>
            </w:r>
          </w:p>
        </w:tc>
      </w:tr>
      <w:tr w:rsidR="00CA7995" w:rsidRPr="00CA7995" w:rsidTr="00136505">
        <w:trPr>
          <w:trHeight w:val="968"/>
        </w:trPr>
        <w:tc>
          <w:tcPr>
            <w:tcW w:w="5232" w:type="dxa"/>
            <w:gridSpan w:val="2"/>
            <w:vMerge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sz w:val="24"/>
                <w:szCs w:val="24"/>
              </w:rPr>
              <w:t>HIGH COURT (MAIN DIVISION)</w:t>
            </w:r>
          </w:p>
        </w:tc>
      </w:tr>
      <w:tr w:rsidR="00CA7995" w:rsidRPr="00CA7995" w:rsidTr="00136505">
        <w:trPr>
          <w:trHeight w:val="965"/>
        </w:trPr>
        <w:tc>
          <w:tcPr>
            <w:tcW w:w="5232" w:type="dxa"/>
            <w:gridSpan w:val="2"/>
            <w:vMerge w:val="restart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B40844" w:rsidRPr="00CA7995" w:rsidRDefault="00B40844" w:rsidP="001365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sz w:val="24"/>
                <w:szCs w:val="24"/>
              </w:rPr>
              <w:t xml:space="preserve">HONOURABLE MR JUSTICE </w:t>
            </w:r>
            <w:r w:rsidR="00136505">
              <w:rPr>
                <w:rFonts w:ascii="Arial" w:hAnsi="Arial" w:cs="Arial"/>
                <w:sz w:val="24"/>
                <w:szCs w:val="24"/>
              </w:rPr>
              <w:t>PARKER</w:t>
            </w:r>
            <w:r w:rsidRPr="00CA79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36505">
              <w:rPr>
                <w:rFonts w:ascii="Arial" w:hAnsi="Arial" w:cs="Arial"/>
                <w:sz w:val="24"/>
                <w:szCs w:val="24"/>
              </w:rPr>
              <w:t>ACTING</w:t>
            </w:r>
          </w:p>
        </w:tc>
        <w:tc>
          <w:tcPr>
            <w:tcW w:w="4974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Date of hearing:</w:t>
            </w:r>
          </w:p>
          <w:p w:rsidR="00B40844" w:rsidRPr="00CA7995" w:rsidRDefault="002569DB" w:rsidP="003558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558A3">
              <w:rPr>
                <w:rFonts w:ascii="Arial" w:hAnsi="Arial" w:cs="Arial"/>
                <w:sz w:val="24"/>
                <w:szCs w:val="24"/>
              </w:rPr>
              <w:t>8</w:t>
            </w:r>
            <w:r w:rsidR="00C263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B40844" w:rsidRPr="00CA799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C263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7995" w:rsidRPr="00CA7995" w:rsidTr="00136505">
        <w:trPr>
          <w:trHeight w:val="991"/>
        </w:trPr>
        <w:tc>
          <w:tcPr>
            <w:tcW w:w="5232" w:type="dxa"/>
            <w:gridSpan w:val="2"/>
            <w:vMerge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4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B40844" w:rsidRPr="00CA7995" w:rsidRDefault="002569DB" w:rsidP="002569D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1365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B40844" w:rsidRPr="00CA799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C263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7995" w:rsidRPr="00CA7995" w:rsidTr="00136505">
        <w:trPr>
          <w:trHeight w:val="876"/>
        </w:trPr>
        <w:tc>
          <w:tcPr>
            <w:tcW w:w="10206" w:type="dxa"/>
            <w:gridSpan w:val="3"/>
          </w:tcPr>
          <w:p w:rsidR="00B40844" w:rsidRPr="00CA7995" w:rsidRDefault="00B40844" w:rsidP="00896BA9">
            <w:pPr>
              <w:spacing w:line="360" w:lineRule="auto"/>
              <w:ind w:left="2302" w:hanging="2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="004E3B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673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Standard Bank</w:t>
            </w:r>
            <w:r w:rsidR="003558A3" w:rsidRPr="003558A3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Namibia Limited</w:t>
            </w:r>
            <w:r w:rsidRPr="003558A3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34673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Morkel</w:t>
            </w:r>
            <w:proofErr w:type="spellEnd"/>
            <w:r w:rsidRPr="00CA799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46731" w:rsidRPr="00346731">
              <w:rPr>
                <w:rFonts w:ascii="Arial" w:hAnsi="Arial" w:cs="Arial"/>
                <w:sz w:val="24"/>
                <w:szCs w:val="24"/>
              </w:rPr>
              <w:t>HC-MD-CIV-ACT-CON-2022/05190</w:t>
            </w:r>
            <w:r w:rsidRPr="00CA7995">
              <w:rPr>
                <w:rFonts w:ascii="Arial" w:hAnsi="Arial" w:cs="Arial"/>
                <w:sz w:val="24"/>
                <w:szCs w:val="24"/>
              </w:rPr>
              <w:t>)</w:t>
            </w:r>
            <w:r w:rsidRPr="00CA7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7995">
              <w:rPr>
                <w:rFonts w:ascii="Arial" w:hAnsi="Arial" w:cs="Arial"/>
                <w:sz w:val="24"/>
                <w:szCs w:val="24"/>
              </w:rPr>
              <w:t>[202</w:t>
            </w:r>
            <w:r w:rsidR="00B47800">
              <w:rPr>
                <w:rFonts w:ascii="Arial" w:hAnsi="Arial" w:cs="Arial"/>
                <w:sz w:val="24"/>
                <w:szCs w:val="24"/>
              </w:rPr>
              <w:t>3</w:t>
            </w:r>
            <w:r w:rsidRPr="00CA7995">
              <w:rPr>
                <w:rFonts w:ascii="Arial" w:hAnsi="Arial" w:cs="Arial"/>
                <w:sz w:val="24"/>
                <w:szCs w:val="24"/>
              </w:rPr>
              <w:t xml:space="preserve">] NAHCMD </w:t>
            </w:r>
            <w:r w:rsidR="00C851CA">
              <w:rPr>
                <w:rFonts w:ascii="Arial" w:hAnsi="Arial" w:cs="Arial"/>
                <w:sz w:val="24"/>
                <w:szCs w:val="24"/>
              </w:rPr>
              <w:t>406</w:t>
            </w:r>
            <w:r w:rsidRPr="00CA799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569DB">
              <w:rPr>
                <w:rFonts w:ascii="Arial" w:hAnsi="Arial" w:cs="Arial"/>
                <w:sz w:val="24"/>
                <w:szCs w:val="24"/>
              </w:rPr>
              <w:t>17</w:t>
            </w:r>
            <w:r w:rsidR="001365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9DB">
              <w:rPr>
                <w:rFonts w:ascii="Arial" w:hAnsi="Arial" w:cs="Arial"/>
                <w:sz w:val="24"/>
                <w:szCs w:val="24"/>
              </w:rPr>
              <w:t>July</w:t>
            </w:r>
            <w:r w:rsidR="00B47800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CA799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7995" w:rsidRPr="00CA7995" w:rsidTr="00136505">
        <w:tc>
          <w:tcPr>
            <w:tcW w:w="10206" w:type="dxa"/>
            <w:gridSpan w:val="3"/>
          </w:tcPr>
          <w:p w:rsidR="00B40844" w:rsidRPr="00B47800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0844" w:rsidRDefault="004E3BFB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40844" w:rsidRPr="00CA7995">
              <w:rPr>
                <w:rFonts w:ascii="Arial" w:hAnsi="Arial" w:cs="Arial"/>
                <w:b/>
                <w:sz w:val="24"/>
                <w:szCs w:val="24"/>
              </w:rPr>
              <w:t>rder:</w:t>
            </w:r>
          </w:p>
          <w:p w:rsidR="004E3BFB" w:rsidRPr="00CA7995" w:rsidRDefault="004E3BFB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0031" w:rsidRPr="00CF0031" w:rsidRDefault="00CF0031" w:rsidP="00CF0031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6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031">
              <w:rPr>
                <w:rFonts w:ascii="Arial" w:hAnsi="Arial" w:cs="Arial"/>
                <w:sz w:val="24"/>
                <w:szCs w:val="24"/>
              </w:rPr>
              <w:t>The defendant shall make to the plaintiff payment in the amount of N$2 592 112,82 together with compound interest at the rate of 8.25</w:t>
            </w:r>
            <w:r w:rsidR="00C851CA">
              <w:rPr>
                <w:rFonts w:ascii="Arial" w:hAnsi="Arial" w:cs="Arial"/>
                <w:sz w:val="24"/>
                <w:szCs w:val="24"/>
              </w:rPr>
              <w:t xml:space="preserve"> per</w:t>
            </w:r>
            <w:r w:rsidR="00896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1CA">
              <w:rPr>
                <w:rFonts w:ascii="Arial" w:hAnsi="Arial" w:cs="Arial"/>
                <w:sz w:val="24"/>
                <w:szCs w:val="24"/>
              </w:rPr>
              <w:t>cent</w:t>
            </w:r>
            <w:r w:rsidRPr="00CF0031">
              <w:rPr>
                <w:rFonts w:ascii="Arial" w:hAnsi="Arial" w:cs="Arial"/>
                <w:sz w:val="24"/>
                <w:szCs w:val="24"/>
              </w:rPr>
              <w:t xml:space="preserve"> per annum as from 14 September 2022 until</w:t>
            </w:r>
            <w:r w:rsidR="00C851CA">
              <w:rPr>
                <w:rFonts w:ascii="Arial" w:hAnsi="Arial" w:cs="Arial"/>
                <w:sz w:val="24"/>
                <w:szCs w:val="24"/>
              </w:rPr>
              <w:t xml:space="preserve"> date of full and final payment.</w:t>
            </w:r>
            <w:r w:rsidRPr="00CF003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CF0031" w:rsidRDefault="00CF0031" w:rsidP="00CF0031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0031" w:rsidRPr="006830DB" w:rsidRDefault="00CF0031" w:rsidP="00CF0031">
            <w:pPr>
              <w:pStyle w:val="ListParagraph"/>
              <w:numPr>
                <w:ilvl w:val="0"/>
                <w:numId w:val="10"/>
              </w:numPr>
              <w:spacing w:line="360" w:lineRule="auto"/>
              <w:ind w:hanging="6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defendant shall pay costs on the attorne</w:t>
            </w:r>
            <w:r w:rsidR="00C851CA">
              <w:rPr>
                <w:rFonts w:ascii="Arial" w:hAnsi="Arial" w:cs="Arial"/>
                <w:sz w:val="24"/>
                <w:szCs w:val="24"/>
              </w:rPr>
              <w:t>y-client scale to the plaintiff.</w:t>
            </w:r>
          </w:p>
          <w:p w:rsidR="00CF0031" w:rsidRPr="00604628" w:rsidRDefault="00CF0031" w:rsidP="00CF0031">
            <w:pPr>
              <w:pStyle w:val="ListParagraph"/>
              <w:ind w:left="743" w:hanging="710"/>
              <w:rPr>
                <w:rFonts w:ascii="Arial" w:hAnsi="Arial" w:cs="Arial"/>
                <w:sz w:val="24"/>
                <w:szCs w:val="24"/>
              </w:rPr>
            </w:pPr>
          </w:p>
          <w:p w:rsidR="00CF0031" w:rsidRPr="00604628" w:rsidRDefault="00CF0031" w:rsidP="00CF003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43" w:hanging="7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 is finalised and is removed from the roll.</w:t>
            </w:r>
          </w:p>
          <w:p w:rsidR="008C2200" w:rsidRPr="00B47800" w:rsidRDefault="008C2200" w:rsidP="00B4780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3"/>
              <w:jc w:val="both"/>
              <w:rPr>
                <w:rFonts w:ascii="Arial" w:hAnsi="Arial" w:cs="Arial"/>
              </w:rPr>
            </w:pPr>
          </w:p>
        </w:tc>
      </w:tr>
      <w:tr w:rsidR="00CA7995" w:rsidRPr="00CA7995" w:rsidTr="00136505">
        <w:trPr>
          <w:trHeight w:val="548"/>
        </w:trPr>
        <w:tc>
          <w:tcPr>
            <w:tcW w:w="10206" w:type="dxa"/>
            <w:gridSpan w:val="3"/>
          </w:tcPr>
          <w:p w:rsidR="00B40844" w:rsidRDefault="003B03B0" w:rsidP="00937C89">
            <w:pPr>
              <w:tabs>
                <w:tab w:val="right" w:pos="969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40844" w:rsidRPr="00CA7995">
              <w:rPr>
                <w:rFonts w:ascii="Arial" w:hAnsi="Arial" w:cs="Arial"/>
                <w:b/>
                <w:sz w:val="24"/>
                <w:szCs w:val="24"/>
              </w:rPr>
              <w:t>easons for the above order:</w:t>
            </w:r>
          </w:p>
          <w:p w:rsidR="00C647EC" w:rsidRPr="00CA7995" w:rsidRDefault="00C647EC" w:rsidP="00937C89">
            <w:pPr>
              <w:tabs>
                <w:tab w:val="right" w:pos="969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7995" w:rsidRPr="00CA7995" w:rsidTr="00136505">
        <w:tc>
          <w:tcPr>
            <w:tcW w:w="10206" w:type="dxa"/>
            <w:gridSpan w:val="3"/>
          </w:tcPr>
          <w:p w:rsidR="00B40844" w:rsidRDefault="003B03B0" w:rsidP="00ED76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PARKER AJ:</w:t>
            </w:r>
          </w:p>
          <w:p w:rsidR="003B03B0" w:rsidRPr="00CA7995" w:rsidRDefault="003B03B0" w:rsidP="00ED76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844" w:rsidRDefault="00B40844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7995">
              <w:rPr>
                <w:rFonts w:ascii="Arial" w:hAnsi="Arial" w:cs="Arial"/>
                <w:sz w:val="24"/>
                <w:szCs w:val="24"/>
              </w:rPr>
              <w:t>[1]</w:t>
            </w:r>
            <w:r w:rsidRPr="00CA7995">
              <w:rPr>
                <w:rFonts w:ascii="Arial" w:hAnsi="Arial" w:cs="Arial"/>
                <w:sz w:val="24"/>
                <w:szCs w:val="24"/>
              </w:rPr>
              <w:tab/>
            </w:r>
            <w:r w:rsidR="00F2599B">
              <w:rPr>
                <w:rFonts w:ascii="Arial" w:hAnsi="Arial" w:cs="Arial"/>
                <w:sz w:val="24"/>
                <w:szCs w:val="24"/>
              </w:rPr>
              <w:t>In the instant summary judgment application, the plaintiff sought summary</w:t>
            </w:r>
            <w:r w:rsidR="005E7A0F">
              <w:rPr>
                <w:rFonts w:ascii="Arial" w:hAnsi="Arial" w:cs="Arial"/>
                <w:sz w:val="24"/>
                <w:szCs w:val="24"/>
              </w:rPr>
              <w:t xml:space="preserve"> judgment against the defendant</w:t>
            </w:r>
            <w:r w:rsidR="00F2599B">
              <w:rPr>
                <w:rFonts w:ascii="Arial" w:hAnsi="Arial" w:cs="Arial"/>
                <w:sz w:val="24"/>
                <w:szCs w:val="24"/>
              </w:rPr>
              <w:t xml:space="preserve"> in terms </w:t>
            </w:r>
            <w:r w:rsidR="00422167">
              <w:rPr>
                <w:rFonts w:ascii="Arial" w:hAnsi="Arial" w:cs="Arial"/>
                <w:sz w:val="24"/>
                <w:szCs w:val="24"/>
              </w:rPr>
              <w:t>appearing in the particulars of claim.</w:t>
            </w:r>
          </w:p>
          <w:p w:rsidR="00FC2237" w:rsidRDefault="00FC2237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22167" w:rsidRPr="00EC6B73" w:rsidRDefault="00672C76" w:rsidP="00422167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E22">
              <w:rPr>
                <w:rFonts w:ascii="Arial" w:hAnsi="Arial" w:cs="Arial"/>
                <w:sz w:val="24"/>
                <w:szCs w:val="24"/>
              </w:rPr>
              <w:t>[2]</w:t>
            </w:r>
            <w:r w:rsidR="000A6E7F"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422167">
              <w:rPr>
                <w:rFonts w:ascii="Arial" w:hAnsi="Arial" w:cs="Arial"/>
                <w:sz w:val="24"/>
                <w:szCs w:val="24"/>
              </w:rPr>
              <w:t xml:space="preserve">I stated in </w:t>
            </w:r>
            <w:r w:rsidR="00422167" w:rsidRPr="00EC6B73">
              <w:rPr>
                <w:rFonts w:ascii="Arial" w:hAnsi="Arial" w:cs="Arial"/>
                <w:i/>
                <w:sz w:val="24"/>
                <w:szCs w:val="24"/>
              </w:rPr>
              <w:t xml:space="preserve">Namibia Wildlife Resorts Limited v </w:t>
            </w:r>
            <w:proofErr w:type="spellStart"/>
            <w:r w:rsidR="00422167" w:rsidRPr="00EC6B73">
              <w:rPr>
                <w:rFonts w:ascii="Arial" w:hAnsi="Arial" w:cs="Arial"/>
                <w:i/>
                <w:sz w:val="24"/>
                <w:szCs w:val="24"/>
              </w:rPr>
              <w:t>Maxuilili-Ankama</w:t>
            </w:r>
            <w:proofErr w:type="spellEnd"/>
            <w:r w:rsidR="00422167">
              <w:rPr>
                <w:rStyle w:val="FootnoteReference"/>
                <w:rFonts w:ascii="Arial" w:hAnsi="Arial" w:cs="Arial"/>
                <w:i/>
                <w:sz w:val="24"/>
                <w:szCs w:val="24"/>
              </w:rPr>
              <w:footnoteReference w:id="1"/>
            </w:r>
            <w:r w:rsidR="00422167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422167">
              <w:rPr>
                <w:rFonts w:ascii="Arial" w:hAnsi="Arial"/>
                <w:sz w:val="24"/>
                <w:szCs w:val="24"/>
              </w:rPr>
              <w:t>the purpose of an order in terms of rule 60 of the rules of court is to enable a plaintiff to obtain a summary judgment without trial</w:t>
            </w:r>
            <w:r w:rsidR="00C851CA">
              <w:rPr>
                <w:rFonts w:ascii="Arial" w:hAnsi="Arial"/>
                <w:sz w:val="24"/>
                <w:szCs w:val="24"/>
              </w:rPr>
              <w:t>,</w:t>
            </w:r>
            <w:r w:rsidR="00422167">
              <w:rPr>
                <w:rFonts w:ascii="Arial" w:hAnsi="Arial"/>
                <w:sz w:val="24"/>
                <w:szCs w:val="24"/>
              </w:rPr>
              <w:t xml:space="preserve"> if the plaintiff can prove his or her claim clearly and if the defendant is unable to set up a bona fide defence</w:t>
            </w:r>
            <w:r w:rsidR="000D3710">
              <w:rPr>
                <w:rFonts w:ascii="Arial" w:hAnsi="Arial"/>
                <w:sz w:val="24"/>
                <w:szCs w:val="24"/>
              </w:rPr>
              <w:t xml:space="preserve"> which is good in law</w:t>
            </w:r>
            <w:r w:rsidR="00422167">
              <w:rPr>
                <w:rFonts w:ascii="Arial" w:hAnsi="Arial"/>
                <w:sz w:val="24"/>
                <w:szCs w:val="24"/>
              </w:rPr>
              <w:t xml:space="preserve"> or raise an issue against the claim which ought to be tried. Thus, summary judgment may be granted only where the court is satisfied that the plaintiff’s case is unanswerable,</w:t>
            </w:r>
            <w:r w:rsidR="00422167">
              <w:rPr>
                <w:rStyle w:val="FootnoteReference"/>
                <w:rFonts w:ascii="Arial" w:hAnsi="Arial"/>
                <w:sz w:val="24"/>
                <w:szCs w:val="24"/>
              </w:rPr>
              <w:footnoteReference w:id="2"/>
            </w:r>
            <w:r w:rsidR="00422167">
              <w:rPr>
                <w:rFonts w:ascii="Arial" w:hAnsi="Arial" w:cs="Arial"/>
                <w:sz w:val="24"/>
                <w:szCs w:val="24"/>
              </w:rPr>
              <w:t xml:space="preserve"> in the sense that the defendant has not set up a bona fide defence </w:t>
            </w:r>
            <w:r w:rsidR="000D3710">
              <w:rPr>
                <w:rFonts w:ascii="Arial" w:hAnsi="Arial"/>
                <w:sz w:val="24"/>
                <w:szCs w:val="24"/>
              </w:rPr>
              <w:t xml:space="preserve">which is good in law </w:t>
            </w:r>
            <w:r w:rsidR="00422167">
              <w:rPr>
                <w:rFonts w:ascii="Arial" w:hAnsi="Arial" w:cs="Arial"/>
                <w:sz w:val="24"/>
                <w:szCs w:val="24"/>
              </w:rPr>
              <w:t>or has not raised issues that ought to be tried.</w:t>
            </w:r>
            <w:r w:rsidR="0042216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  <w:p w:rsidR="00224808" w:rsidRDefault="00224808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808" w:rsidRDefault="002D20C5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422167">
              <w:rPr>
                <w:rFonts w:ascii="Arial" w:hAnsi="Arial" w:cs="Arial"/>
                <w:sz w:val="24"/>
                <w:szCs w:val="24"/>
              </w:rPr>
              <w:t>The defendant failed to file opposing papers to set up a bona fide defence which is good in law and has not raised issues that ought to be tried.</w:t>
            </w:r>
            <w:r w:rsidR="0042216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  <w:r w:rsidR="00422167">
              <w:rPr>
                <w:rFonts w:ascii="Arial" w:hAnsi="Arial" w:cs="Arial"/>
                <w:sz w:val="24"/>
                <w:szCs w:val="24"/>
              </w:rPr>
              <w:t xml:space="preserve">  Accordingly, I hold that the defendant has not established that the plaintiff’s case is not unanswerable.</w:t>
            </w:r>
            <w:r w:rsidR="00422167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5"/>
            </w:r>
          </w:p>
          <w:p w:rsidR="00FC2237" w:rsidRDefault="00FC2237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2C76" w:rsidRPr="00EC6B73" w:rsidRDefault="002D20C5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[4]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422167">
              <w:rPr>
                <w:rFonts w:ascii="Arial" w:hAnsi="Arial" w:cs="Arial"/>
                <w:sz w:val="24"/>
                <w:szCs w:val="24"/>
              </w:rPr>
              <w:t>Based on these reasons, I conclude that the plaintiff is entitled to ju</w:t>
            </w:r>
            <w:r w:rsidR="005E7A0F">
              <w:rPr>
                <w:rFonts w:ascii="Arial" w:hAnsi="Arial" w:cs="Arial"/>
                <w:sz w:val="24"/>
                <w:szCs w:val="24"/>
              </w:rPr>
              <w:t>dgment.  In the result, I grant</w:t>
            </w:r>
            <w:r w:rsidR="00422167">
              <w:rPr>
                <w:rFonts w:ascii="Arial" w:hAnsi="Arial" w:cs="Arial"/>
                <w:sz w:val="24"/>
                <w:szCs w:val="24"/>
              </w:rPr>
              <w:t xml:space="preserve"> the application and order as follows:</w:t>
            </w:r>
          </w:p>
          <w:p w:rsidR="00604628" w:rsidRDefault="00604628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628" w:rsidRPr="00604628" w:rsidRDefault="00604628" w:rsidP="00604628">
            <w:pPr>
              <w:spacing w:line="360" w:lineRule="auto"/>
              <w:ind w:left="743" w:hanging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323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422167">
              <w:rPr>
                <w:rFonts w:ascii="Arial" w:hAnsi="Arial" w:cs="Arial"/>
                <w:sz w:val="24"/>
                <w:szCs w:val="24"/>
              </w:rPr>
              <w:t xml:space="preserve">The defendant shall make to the plaintiff payment in the amount of </w:t>
            </w:r>
            <w:r w:rsidR="005E7A0F">
              <w:rPr>
                <w:rFonts w:ascii="Arial" w:hAnsi="Arial" w:cs="Arial"/>
                <w:sz w:val="24"/>
                <w:szCs w:val="24"/>
              </w:rPr>
              <w:t>N$</w:t>
            </w:r>
            <w:r w:rsidR="00422167">
              <w:rPr>
                <w:rFonts w:ascii="Arial" w:hAnsi="Arial" w:cs="Arial"/>
                <w:sz w:val="24"/>
                <w:szCs w:val="24"/>
              </w:rPr>
              <w:t>2 592 112,82 together with compound interest at the rate of 8.25</w:t>
            </w:r>
            <w:r w:rsidR="00C851CA">
              <w:rPr>
                <w:rFonts w:ascii="Arial" w:hAnsi="Arial" w:cs="Arial"/>
                <w:sz w:val="24"/>
                <w:szCs w:val="24"/>
              </w:rPr>
              <w:t xml:space="preserve"> per</w:t>
            </w:r>
            <w:r w:rsidR="00F605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1CA">
              <w:rPr>
                <w:rFonts w:ascii="Arial" w:hAnsi="Arial" w:cs="Arial"/>
                <w:sz w:val="24"/>
                <w:szCs w:val="24"/>
              </w:rPr>
              <w:t>cent</w:t>
            </w:r>
            <w:r w:rsidR="00422167">
              <w:rPr>
                <w:rFonts w:ascii="Arial" w:hAnsi="Arial" w:cs="Arial"/>
                <w:sz w:val="24"/>
                <w:szCs w:val="24"/>
              </w:rPr>
              <w:t xml:space="preserve"> per annum as from 14 September 2022 until</w:t>
            </w:r>
            <w:r w:rsidR="00C851CA">
              <w:rPr>
                <w:rFonts w:ascii="Arial" w:hAnsi="Arial" w:cs="Arial"/>
                <w:sz w:val="24"/>
                <w:szCs w:val="24"/>
              </w:rPr>
              <w:t xml:space="preserve"> date of full and final payment.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85792" w:rsidRDefault="00A85792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5792" w:rsidRPr="006830DB" w:rsidRDefault="00422167" w:rsidP="00CF0031">
            <w:pPr>
              <w:pStyle w:val="ListParagraph"/>
              <w:numPr>
                <w:ilvl w:val="0"/>
                <w:numId w:val="11"/>
              </w:numPr>
              <w:spacing w:line="36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defendant shall pay costs on the attorne</w:t>
            </w:r>
            <w:r w:rsidR="00C851CA">
              <w:rPr>
                <w:rFonts w:ascii="Arial" w:hAnsi="Arial" w:cs="Arial"/>
                <w:sz w:val="24"/>
                <w:szCs w:val="24"/>
              </w:rPr>
              <w:t>y-client scale to the plaintiff.</w:t>
            </w:r>
          </w:p>
          <w:p w:rsidR="00604628" w:rsidRPr="00604628" w:rsidRDefault="00604628" w:rsidP="00604628">
            <w:pPr>
              <w:pStyle w:val="ListParagraph"/>
              <w:ind w:left="743" w:hanging="710"/>
              <w:rPr>
                <w:rFonts w:ascii="Arial" w:hAnsi="Arial" w:cs="Arial"/>
                <w:sz w:val="24"/>
                <w:szCs w:val="24"/>
              </w:rPr>
            </w:pPr>
          </w:p>
          <w:p w:rsidR="00604628" w:rsidRPr="00604628" w:rsidRDefault="00604628" w:rsidP="00CF003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43" w:hanging="7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 is finalised and is removed from the roll.</w:t>
            </w:r>
          </w:p>
          <w:p w:rsidR="00C04F28" w:rsidRPr="00CA7995" w:rsidRDefault="00C04F28" w:rsidP="00A8579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995" w:rsidRPr="00CA7995" w:rsidTr="00136505">
        <w:tc>
          <w:tcPr>
            <w:tcW w:w="4770" w:type="dxa"/>
          </w:tcPr>
          <w:p w:rsidR="00B40844" w:rsidRPr="00CA7995" w:rsidRDefault="00B40844" w:rsidP="00ED76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Judge’s signature:</w:t>
            </w:r>
          </w:p>
        </w:tc>
        <w:tc>
          <w:tcPr>
            <w:tcW w:w="5436" w:type="dxa"/>
            <w:gridSpan w:val="2"/>
          </w:tcPr>
          <w:p w:rsidR="00B40844" w:rsidRPr="00CA7995" w:rsidRDefault="00B40844" w:rsidP="00937C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CA7995" w:rsidRPr="00CA7995" w:rsidTr="00136505">
        <w:trPr>
          <w:trHeight w:val="1114"/>
        </w:trPr>
        <w:tc>
          <w:tcPr>
            <w:tcW w:w="4770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6" w:type="dxa"/>
            <w:gridSpan w:val="2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sz w:val="24"/>
                <w:szCs w:val="24"/>
              </w:rPr>
              <w:t>Not applicable.</w:t>
            </w:r>
          </w:p>
        </w:tc>
      </w:tr>
      <w:tr w:rsidR="00CA7995" w:rsidRPr="00CA7995" w:rsidTr="00136505">
        <w:tc>
          <w:tcPr>
            <w:tcW w:w="10206" w:type="dxa"/>
            <w:gridSpan w:val="3"/>
          </w:tcPr>
          <w:p w:rsidR="00B40844" w:rsidRPr="00CA7995" w:rsidRDefault="00B40844" w:rsidP="00937C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Counsel:</w:t>
            </w:r>
          </w:p>
        </w:tc>
      </w:tr>
      <w:tr w:rsidR="00CA7995" w:rsidRPr="00CA7995" w:rsidTr="00136505">
        <w:tc>
          <w:tcPr>
            <w:tcW w:w="4770" w:type="dxa"/>
          </w:tcPr>
          <w:p w:rsidR="00B40844" w:rsidRPr="00CA7995" w:rsidRDefault="00695549" w:rsidP="00937C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Plaintiff</w:t>
            </w:r>
          </w:p>
        </w:tc>
        <w:tc>
          <w:tcPr>
            <w:tcW w:w="5436" w:type="dxa"/>
            <w:gridSpan w:val="2"/>
          </w:tcPr>
          <w:p w:rsidR="00B40844" w:rsidRPr="00CA7995" w:rsidRDefault="00695549" w:rsidP="00937C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Defendant</w:t>
            </w:r>
          </w:p>
        </w:tc>
      </w:tr>
      <w:tr w:rsidR="00CA7995" w:rsidRPr="00CA7995" w:rsidTr="00136505">
        <w:tc>
          <w:tcPr>
            <w:tcW w:w="4770" w:type="dxa"/>
          </w:tcPr>
          <w:p w:rsidR="00346731" w:rsidRPr="007002B1" w:rsidRDefault="007002B1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2B1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002B1">
              <w:rPr>
                <w:rFonts w:ascii="Arial" w:hAnsi="Arial" w:cs="Arial"/>
                <w:sz w:val="24"/>
                <w:szCs w:val="24"/>
              </w:rPr>
              <w:t>yashanu</w:t>
            </w:r>
            <w:proofErr w:type="spellEnd"/>
          </w:p>
          <w:p w:rsidR="00B40844" w:rsidRPr="00F605BE" w:rsidRDefault="003558A3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5BE">
              <w:rPr>
                <w:rFonts w:ascii="Arial" w:hAnsi="Arial" w:cs="Arial"/>
                <w:sz w:val="24"/>
                <w:szCs w:val="24"/>
              </w:rPr>
              <w:t>of</w:t>
            </w:r>
          </w:p>
          <w:p w:rsidR="00B40844" w:rsidRPr="00136505" w:rsidRDefault="007002B1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2B1">
              <w:rPr>
                <w:rFonts w:ascii="Arial" w:hAnsi="Arial" w:cs="Arial"/>
                <w:sz w:val="24"/>
                <w:szCs w:val="24"/>
              </w:rPr>
              <w:t>Koep</w:t>
            </w:r>
            <w:proofErr w:type="spellEnd"/>
            <w:r w:rsidRPr="007002B1">
              <w:rPr>
                <w:rFonts w:ascii="Arial" w:hAnsi="Arial" w:cs="Arial"/>
                <w:sz w:val="24"/>
                <w:szCs w:val="24"/>
              </w:rPr>
              <w:t xml:space="preserve"> &amp; Partne</w:t>
            </w:r>
            <w:bookmarkStart w:id="0" w:name="_GoBack"/>
            <w:bookmarkEnd w:id="0"/>
            <w:r w:rsidRPr="007002B1">
              <w:rPr>
                <w:rFonts w:ascii="Arial" w:hAnsi="Arial" w:cs="Arial"/>
                <w:sz w:val="24"/>
                <w:szCs w:val="24"/>
              </w:rPr>
              <w:t>rs</w:t>
            </w:r>
            <w:r w:rsidR="00136505" w:rsidRPr="003558A3">
              <w:rPr>
                <w:rFonts w:ascii="Arial" w:hAnsi="Arial" w:cs="Arial"/>
                <w:sz w:val="24"/>
                <w:szCs w:val="24"/>
              </w:rPr>
              <w:t>,</w:t>
            </w:r>
            <w:r w:rsidR="00136505" w:rsidRPr="00136505">
              <w:rPr>
                <w:rFonts w:ascii="Arial" w:hAnsi="Arial" w:cs="Arial"/>
                <w:sz w:val="24"/>
                <w:szCs w:val="24"/>
              </w:rPr>
              <w:t xml:space="preserve"> Windhoek</w:t>
            </w:r>
          </w:p>
          <w:p w:rsidR="00B40844" w:rsidRPr="00D24453" w:rsidRDefault="00B40844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6" w:type="dxa"/>
            <w:gridSpan w:val="2"/>
          </w:tcPr>
          <w:p w:rsidR="009E2A0F" w:rsidRDefault="009E2A0F" w:rsidP="001365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844" w:rsidRPr="00136505" w:rsidRDefault="009E2A0F" w:rsidP="001365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</w:t>
            </w:r>
          </w:p>
          <w:p w:rsidR="00B40844" w:rsidRPr="00CA7995" w:rsidRDefault="00B40844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5CF" w:rsidRDefault="00B845CF"/>
    <w:sectPr w:rsidR="00B845CF" w:rsidSect="00340EA6">
      <w:headerReference w:type="default" r:id="rId9"/>
      <w:footerReference w:type="default" r:id="rId10"/>
      <w:pgSz w:w="11906" w:h="16838"/>
      <w:pgMar w:top="993" w:right="1440" w:bottom="851" w:left="1440" w:header="708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A4" w:rsidRDefault="006B53A4" w:rsidP="00B40844">
      <w:pPr>
        <w:spacing w:after="0" w:line="240" w:lineRule="auto"/>
      </w:pPr>
      <w:r>
        <w:separator/>
      </w:r>
    </w:p>
  </w:endnote>
  <w:endnote w:type="continuationSeparator" w:id="0">
    <w:p w:rsidR="006B53A4" w:rsidRDefault="006B53A4" w:rsidP="00B4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89" w:rsidRPr="00F674F4" w:rsidRDefault="00937C8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A4" w:rsidRDefault="006B53A4" w:rsidP="00B40844">
      <w:pPr>
        <w:spacing w:after="0" w:line="240" w:lineRule="auto"/>
      </w:pPr>
      <w:r>
        <w:separator/>
      </w:r>
    </w:p>
  </w:footnote>
  <w:footnote w:type="continuationSeparator" w:id="0">
    <w:p w:rsidR="006B53A4" w:rsidRDefault="006B53A4" w:rsidP="00B40844">
      <w:pPr>
        <w:spacing w:after="0" w:line="240" w:lineRule="auto"/>
      </w:pPr>
      <w:r>
        <w:continuationSeparator/>
      </w:r>
    </w:p>
  </w:footnote>
  <w:footnote w:id="1">
    <w:p w:rsidR="00422167" w:rsidRPr="005E7A0F" w:rsidRDefault="00422167" w:rsidP="00422167">
      <w:pPr>
        <w:pStyle w:val="FootnoteText"/>
        <w:rPr>
          <w:rFonts w:ascii="Arial" w:hAnsi="Arial" w:cs="Arial"/>
        </w:rPr>
      </w:pPr>
      <w:r w:rsidRPr="00035FE3">
        <w:rPr>
          <w:rStyle w:val="FootnoteReference"/>
          <w:rFonts w:ascii="Arial" w:hAnsi="Arial" w:cs="Arial"/>
        </w:rPr>
        <w:footnoteRef/>
      </w:r>
      <w:r w:rsidRPr="00035FE3">
        <w:rPr>
          <w:rFonts w:ascii="Arial" w:hAnsi="Arial" w:cs="Arial"/>
        </w:rPr>
        <w:t xml:space="preserve"> </w:t>
      </w:r>
      <w:r w:rsidRPr="005E7A0F">
        <w:rPr>
          <w:rFonts w:ascii="Arial" w:hAnsi="Arial" w:cs="Arial"/>
          <w:i/>
        </w:rPr>
        <w:t xml:space="preserve">Namibia Wildlife Resorts Limited v </w:t>
      </w:r>
      <w:proofErr w:type="spellStart"/>
      <w:r w:rsidRPr="005E7A0F">
        <w:rPr>
          <w:rFonts w:ascii="Arial" w:hAnsi="Arial" w:cs="Arial"/>
          <w:i/>
        </w:rPr>
        <w:t>Maxuilili-Ankama</w:t>
      </w:r>
      <w:proofErr w:type="spellEnd"/>
      <w:r w:rsidRPr="005E7A0F">
        <w:rPr>
          <w:rFonts w:ascii="Arial" w:hAnsi="Arial" w:cs="Arial"/>
        </w:rPr>
        <w:t xml:space="preserve"> [2023] NAHCMD 94 (7 March 2023)</w:t>
      </w:r>
      <w:r w:rsidR="005E7A0F" w:rsidRPr="005E7A0F">
        <w:rPr>
          <w:rFonts w:ascii="Arial" w:hAnsi="Arial" w:cs="Arial"/>
        </w:rPr>
        <w:t xml:space="preserve"> para 10</w:t>
      </w:r>
      <w:r w:rsidRPr="005E7A0F">
        <w:rPr>
          <w:rFonts w:ascii="Arial" w:hAnsi="Arial" w:cs="Arial"/>
        </w:rPr>
        <w:t>.</w:t>
      </w:r>
    </w:p>
  </w:footnote>
  <w:footnote w:id="2">
    <w:p w:rsidR="00422167" w:rsidRPr="005E7A0F" w:rsidRDefault="00422167" w:rsidP="00422167">
      <w:pPr>
        <w:pStyle w:val="FootnoteText"/>
        <w:rPr>
          <w:rFonts w:ascii="Arial" w:hAnsi="Arial" w:cs="Arial"/>
        </w:rPr>
      </w:pPr>
      <w:r w:rsidRPr="005E7A0F">
        <w:rPr>
          <w:rStyle w:val="FootnoteReference"/>
          <w:rFonts w:ascii="Arial" w:hAnsi="Arial" w:cs="Arial"/>
        </w:rPr>
        <w:footnoteRef/>
      </w:r>
      <w:r w:rsidRPr="005E7A0F">
        <w:rPr>
          <w:rFonts w:ascii="Arial" w:hAnsi="Arial" w:cs="Arial"/>
        </w:rPr>
        <w:t xml:space="preserve"> </w:t>
      </w:r>
      <w:r w:rsidRPr="005E7A0F">
        <w:rPr>
          <w:rFonts w:ascii="Arial" w:hAnsi="Arial" w:cs="Arial"/>
          <w:i/>
        </w:rPr>
        <w:t xml:space="preserve">FNB Limited v </w:t>
      </w:r>
      <w:proofErr w:type="spellStart"/>
      <w:r w:rsidRPr="005E7A0F">
        <w:rPr>
          <w:rFonts w:ascii="Arial" w:hAnsi="Arial" w:cs="Arial"/>
          <w:i/>
        </w:rPr>
        <w:t>Louw</w:t>
      </w:r>
      <w:proofErr w:type="spellEnd"/>
      <w:r w:rsidRPr="005E7A0F">
        <w:rPr>
          <w:rFonts w:ascii="Arial" w:hAnsi="Arial" w:cs="Arial"/>
        </w:rPr>
        <w:t xml:space="preserve"> [2015] NAHCMD 139 (12 June 2015).</w:t>
      </w:r>
    </w:p>
  </w:footnote>
  <w:footnote w:id="3">
    <w:p w:rsidR="00422167" w:rsidRPr="005E7A0F" w:rsidRDefault="00422167" w:rsidP="00422167">
      <w:pPr>
        <w:pStyle w:val="FootnoteText"/>
        <w:rPr>
          <w:rFonts w:ascii="Arial" w:hAnsi="Arial" w:cs="Arial"/>
        </w:rPr>
      </w:pPr>
      <w:r w:rsidRPr="005E7A0F">
        <w:rPr>
          <w:rStyle w:val="FootnoteReference"/>
          <w:rFonts w:ascii="Arial" w:hAnsi="Arial" w:cs="Arial"/>
        </w:rPr>
        <w:footnoteRef/>
      </w:r>
      <w:r w:rsidRPr="005E7A0F">
        <w:rPr>
          <w:rFonts w:ascii="Arial" w:hAnsi="Arial" w:cs="Arial"/>
        </w:rPr>
        <w:t xml:space="preserve"> </w:t>
      </w:r>
      <w:r w:rsidRPr="005E7A0F">
        <w:rPr>
          <w:rFonts w:ascii="Arial" w:hAnsi="Arial" w:cs="Arial"/>
          <w:i/>
        </w:rPr>
        <w:t>Namibia Wildlife Resorts</w:t>
      </w:r>
      <w:r w:rsidRPr="005E7A0F">
        <w:rPr>
          <w:rFonts w:ascii="Arial" w:hAnsi="Arial" w:cs="Arial"/>
        </w:rPr>
        <w:t xml:space="preserve"> footnote 2.</w:t>
      </w:r>
    </w:p>
  </w:footnote>
  <w:footnote w:id="4">
    <w:p w:rsidR="00422167" w:rsidRPr="005E7A0F" w:rsidRDefault="00422167">
      <w:pPr>
        <w:pStyle w:val="FootnoteText"/>
        <w:rPr>
          <w:rFonts w:ascii="Arial" w:hAnsi="Arial" w:cs="Arial"/>
        </w:rPr>
      </w:pPr>
      <w:r w:rsidRPr="005E7A0F">
        <w:rPr>
          <w:rStyle w:val="FootnoteReference"/>
          <w:rFonts w:ascii="Arial" w:hAnsi="Arial" w:cs="Arial"/>
        </w:rPr>
        <w:footnoteRef/>
      </w:r>
      <w:r w:rsidRPr="005E7A0F">
        <w:rPr>
          <w:rFonts w:ascii="Arial" w:hAnsi="Arial" w:cs="Arial"/>
        </w:rPr>
        <w:t xml:space="preserve"> </w:t>
      </w:r>
      <w:r w:rsidRPr="005E7A0F">
        <w:rPr>
          <w:rFonts w:ascii="Arial" w:hAnsi="Arial" w:cs="Arial"/>
          <w:i/>
        </w:rPr>
        <w:t xml:space="preserve">Namibia Wildlife Resorts Limited v </w:t>
      </w:r>
      <w:proofErr w:type="spellStart"/>
      <w:r w:rsidRPr="005E7A0F">
        <w:rPr>
          <w:rFonts w:ascii="Arial" w:hAnsi="Arial" w:cs="Arial"/>
          <w:i/>
        </w:rPr>
        <w:t>Maxuilili-Ankama</w:t>
      </w:r>
      <w:proofErr w:type="spellEnd"/>
      <w:r w:rsidRPr="005E7A0F">
        <w:rPr>
          <w:rFonts w:ascii="Arial" w:hAnsi="Arial" w:cs="Arial"/>
          <w:i/>
        </w:rPr>
        <w:t xml:space="preserve"> </w:t>
      </w:r>
      <w:r w:rsidRPr="005E7A0F">
        <w:rPr>
          <w:rFonts w:ascii="Arial" w:hAnsi="Arial" w:cs="Arial"/>
        </w:rPr>
        <w:t>footnote 1.</w:t>
      </w:r>
    </w:p>
  </w:footnote>
  <w:footnote w:id="5">
    <w:p w:rsidR="00422167" w:rsidRPr="005E7A0F" w:rsidRDefault="00422167">
      <w:pPr>
        <w:pStyle w:val="FootnoteText"/>
        <w:rPr>
          <w:rFonts w:ascii="Arial" w:hAnsi="Arial" w:cs="Arial"/>
        </w:rPr>
      </w:pPr>
      <w:r w:rsidRPr="005E7A0F">
        <w:rPr>
          <w:rStyle w:val="FootnoteReference"/>
          <w:rFonts w:ascii="Arial" w:hAnsi="Arial" w:cs="Arial"/>
        </w:rPr>
        <w:footnoteRef/>
      </w:r>
      <w:r w:rsidRPr="005E7A0F">
        <w:rPr>
          <w:rFonts w:ascii="Arial" w:hAnsi="Arial" w:cs="Arial"/>
        </w:rPr>
        <w:t xml:space="preserve"> </w:t>
      </w:r>
      <w:r w:rsidRPr="005E7A0F">
        <w:rPr>
          <w:rFonts w:ascii="Arial" w:hAnsi="Arial" w:cs="Arial"/>
          <w:i/>
        </w:rPr>
        <w:t xml:space="preserve">FNB Limited v </w:t>
      </w:r>
      <w:proofErr w:type="spellStart"/>
      <w:r w:rsidRPr="005E7A0F">
        <w:rPr>
          <w:rFonts w:ascii="Arial" w:hAnsi="Arial" w:cs="Arial"/>
          <w:i/>
        </w:rPr>
        <w:t>Louw</w:t>
      </w:r>
      <w:proofErr w:type="spellEnd"/>
      <w:r w:rsidRPr="005E7A0F">
        <w:rPr>
          <w:rFonts w:ascii="Arial" w:hAnsi="Arial" w:cs="Arial"/>
        </w:rPr>
        <w:t xml:space="preserve"> footnote</w:t>
      </w:r>
      <w:r w:rsidR="005E7A0F">
        <w:rPr>
          <w:rFonts w:ascii="Arial" w:hAnsi="Arial" w:cs="Arial"/>
        </w:rPr>
        <w:t xml:space="preserve"> </w:t>
      </w:r>
      <w:r w:rsidRPr="005E7A0F">
        <w:rPr>
          <w:rFonts w:ascii="Arial" w:hAnsi="Arial" w:cs="Arial"/>
        </w:rPr>
        <w:t>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575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447" w:rsidRDefault="00157447">
        <w:pPr>
          <w:pStyle w:val="Header"/>
          <w:jc w:val="right"/>
        </w:pPr>
        <w:r w:rsidRPr="00157447">
          <w:rPr>
            <w:rFonts w:ascii="Arial" w:hAnsi="Arial" w:cs="Arial"/>
            <w:sz w:val="24"/>
            <w:szCs w:val="24"/>
          </w:rPr>
          <w:fldChar w:fldCharType="begin"/>
        </w:r>
        <w:r w:rsidRPr="0015744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57447">
          <w:rPr>
            <w:rFonts w:ascii="Arial" w:hAnsi="Arial" w:cs="Arial"/>
            <w:sz w:val="24"/>
            <w:szCs w:val="24"/>
          </w:rPr>
          <w:fldChar w:fldCharType="separate"/>
        </w:r>
        <w:r w:rsidR="00F605BE">
          <w:rPr>
            <w:rFonts w:ascii="Arial" w:hAnsi="Arial" w:cs="Arial"/>
            <w:noProof/>
            <w:sz w:val="24"/>
            <w:szCs w:val="24"/>
          </w:rPr>
          <w:t>3</w:t>
        </w:r>
        <w:r w:rsidRPr="0015744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157447" w:rsidRDefault="00157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584"/>
    <w:multiLevelType w:val="hybridMultilevel"/>
    <w:tmpl w:val="BB623718"/>
    <w:lvl w:ilvl="0" w:tplc="294CA37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02E0581"/>
    <w:multiLevelType w:val="hybridMultilevel"/>
    <w:tmpl w:val="B426A390"/>
    <w:lvl w:ilvl="0" w:tplc="04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04B82690"/>
    <w:multiLevelType w:val="hybridMultilevel"/>
    <w:tmpl w:val="77A4533A"/>
    <w:lvl w:ilvl="0" w:tplc="CD98B92C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38C34F4F"/>
    <w:multiLevelType w:val="hybridMultilevel"/>
    <w:tmpl w:val="AFFAA764"/>
    <w:lvl w:ilvl="0" w:tplc="947E1C80">
      <w:start w:val="1"/>
      <w:numFmt w:val="lowerLetter"/>
      <w:lvlText w:val="(%1)"/>
      <w:lvlJc w:val="left"/>
      <w:pPr>
        <w:ind w:left="945" w:hanging="585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00F2"/>
    <w:multiLevelType w:val="hybridMultilevel"/>
    <w:tmpl w:val="EB6AC1A2"/>
    <w:lvl w:ilvl="0" w:tplc="CFD80FC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660E4"/>
    <w:multiLevelType w:val="hybridMultilevel"/>
    <w:tmpl w:val="F4D073DA"/>
    <w:lvl w:ilvl="0" w:tplc="19901F1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45C86"/>
    <w:multiLevelType w:val="hybridMultilevel"/>
    <w:tmpl w:val="A20064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93CAC"/>
    <w:multiLevelType w:val="hybridMultilevel"/>
    <w:tmpl w:val="343E8924"/>
    <w:lvl w:ilvl="0" w:tplc="294CA37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1740DAB"/>
    <w:multiLevelType w:val="hybridMultilevel"/>
    <w:tmpl w:val="AF5A905A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37C55"/>
    <w:multiLevelType w:val="hybridMultilevel"/>
    <w:tmpl w:val="79C4B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A7B9E"/>
    <w:multiLevelType w:val="hybridMultilevel"/>
    <w:tmpl w:val="D11E27FA"/>
    <w:lvl w:ilvl="0" w:tplc="57745A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44"/>
    <w:rsid w:val="00001CE5"/>
    <w:rsid w:val="00012EEF"/>
    <w:rsid w:val="000142CE"/>
    <w:rsid w:val="00015808"/>
    <w:rsid w:val="000200BD"/>
    <w:rsid w:val="00030A66"/>
    <w:rsid w:val="00035FE3"/>
    <w:rsid w:val="00052806"/>
    <w:rsid w:val="00053646"/>
    <w:rsid w:val="00061672"/>
    <w:rsid w:val="000929C5"/>
    <w:rsid w:val="000A6E7F"/>
    <w:rsid w:val="000D3710"/>
    <w:rsid w:val="000E7C99"/>
    <w:rsid w:val="000F2FD9"/>
    <w:rsid w:val="000F39A3"/>
    <w:rsid w:val="000F681E"/>
    <w:rsid w:val="00116AFB"/>
    <w:rsid w:val="00117280"/>
    <w:rsid w:val="001223B7"/>
    <w:rsid w:val="00124C63"/>
    <w:rsid w:val="00136505"/>
    <w:rsid w:val="00152FEA"/>
    <w:rsid w:val="00153ED0"/>
    <w:rsid w:val="00157447"/>
    <w:rsid w:val="0018718C"/>
    <w:rsid w:val="001B3825"/>
    <w:rsid w:val="001B5539"/>
    <w:rsid w:val="001B6FC8"/>
    <w:rsid w:val="001E097B"/>
    <w:rsid w:val="001E2A2D"/>
    <w:rsid w:val="00217744"/>
    <w:rsid w:val="00224808"/>
    <w:rsid w:val="002317B0"/>
    <w:rsid w:val="0023549A"/>
    <w:rsid w:val="002536EA"/>
    <w:rsid w:val="002569DB"/>
    <w:rsid w:val="00276736"/>
    <w:rsid w:val="002863C2"/>
    <w:rsid w:val="002A4AA3"/>
    <w:rsid w:val="002B3034"/>
    <w:rsid w:val="002B38E0"/>
    <w:rsid w:val="002C1EF6"/>
    <w:rsid w:val="002D20C5"/>
    <w:rsid w:val="002D407B"/>
    <w:rsid w:val="002E738E"/>
    <w:rsid w:val="00301CC7"/>
    <w:rsid w:val="0031523D"/>
    <w:rsid w:val="00322F39"/>
    <w:rsid w:val="00323AAF"/>
    <w:rsid w:val="00323E22"/>
    <w:rsid w:val="00340EA6"/>
    <w:rsid w:val="00346731"/>
    <w:rsid w:val="003558A3"/>
    <w:rsid w:val="00371B8F"/>
    <w:rsid w:val="0038382D"/>
    <w:rsid w:val="003A18AD"/>
    <w:rsid w:val="003B03B0"/>
    <w:rsid w:val="003B3CA5"/>
    <w:rsid w:val="003C2574"/>
    <w:rsid w:val="003D165C"/>
    <w:rsid w:val="003D3059"/>
    <w:rsid w:val="00404B70"/>
    <w:rsid w:val="00412278"/>
    <w:rsid w:val="00422167"/>
    <w:rsid w:val="00426C60"/>
    <w:rsid w:val="00431A65"/>
    <w:rsid w:val="004352E5"/>
    <w:rsid w:val="004358E2"/>
    <w:rsid w:val="00436C2B"/>
    <w:rsid w:val="004416D0"/>
    <w:rsid w:val="00463486"/>
    <w:rsid w:val="004665B1"/>
    <w:rsid w:val="00466B36"/>
    <w:rsid w:val="00474C2A"/>
    <w:rsid w:val="00475B7A"/>
    <w:rsid w:val="00476A49"/>
    <w:rsid w:val="00490505"/>
    <w:rsid w:val="004907E4"/>
    <w:rsid w:val="004936A7"/>
    <w:rsid w:val="004A2D48"/>
    <w:rsid w:val="004C646F"/>
    <w:rsid w:val="004E3BFB"/>
    <w:rsid w:val="005019F0"/>
    <w:rsid w:val="00503F36"/>
    <w:rsid w:val="00523D75"/>
    <w:rsid w:val="00535F29"/>
    <w:rsid w:val="00536EFF"/>
    <w:rsid w:val="00544777"/>
    <w:rsid w:val="005629DA"/>
    <w:rsid w:val="00594F6C"/>
    <w:rsid w:val="005A4D90"/>
    <w:rsid w:val="005B62A0"/>
    <w:rsid w:val="005C0E24"/>
    <w:rsid w:val="005C21D7"/>
    <w:rsid w:val="005C3354"/>
    <w:rsid w:val="005E584F"/>
    <w:rsid w:val="005E7A0F"/>
    <w:rsid w:val="005F325C"/>
    <w:rsid w:val="005F32EB"/>
    <w:rsid w:val="00604628"/>
    <w:rsid w:val="00610BF1"/>
    <w:rsid w:val="006115E2"/>
    <w:rsid w:val="00672C76"/>
    <w:rsid w:val="006830DB"/>
    <w:rsid w:val="0069227A"/>
    <w:rsid w:val="00695549"/>
    <w:rsid w:val="00695745"/>
    <w:rsid w:val="006976D9"/>
    <w:rsid w:val="006A0BA4"/>
    <w:rsid w:val="006A1E08"/>
    <w:rsid w:val="006B53A4"/>
    <w:rsid w:val="006B5854"/>
    <w:rsid w:val="006B7521"/>
    <w:rsid w:val="006D0991"/>
    <w:rsid w:val="006D7450"/>
    <w:rsid w:val="006E0FD4"/>
    <w:rsid w:val="006F07B3"/>
    <w:rsid w:val="007002B1"/>
    <w:rsid w:val="00700B1F"/>
    <w:rsid w:val="00702C62"/>
    <w:rsid w:val="00703171"/>
    <w:rsid w:val="00730A0B"/>
    <w:rsid w:val="00730ECB"/>
    <w:rsid w:val="00736DA4"/>
    <w:rsid w:val="00746C0C"/>
    <w:rsid w:val="00766B6F"/>
    <w:rsid w:val="00766C68"/>
    <w:rsid w:val="007824DD"/>
    <w:rsid w:val="0078274D"/>
    <w:rsid w:val="007853D8"/>
    <w:rsid w:val="007950C8"/>
    <w:rsid w:val="0079789B"/>
    <w:rsid w:val="007979CA"/>
    <w:rsid w:val="007C7A12"/>
    <w:rsid w:val="007D0792"/>
    <w:rsid w:val="007D6C74"/>
    <w:rsid w:val="007E43B6"/>
    <w:rsid w:val="007F68C4"/>
    <w:rsid w:val="008006A3"/>
    <w:rsid w:val="00812409"/>
    <w:rsid w:val="00816D5D"/>
    <w:rsid w:val="008206BE"/>
    <w:rsid w:val="00821A0C"/>
    <w:rsid w:val="008275AC"/>
    <w:rsid w:val="00835300"/>
    <w:rsid w:val="0087368D"/>
    <w:rsid w:val="00882F73"/>
    <w:rsid w:val="00890A20"/>
    <w:rsid w:val="00892D9A"/>
    <w:rsid w:val="00896BA9"/>
    <w:rsid w:val="008A1447"/>
    <w:rsid w:val="008B2925"/>
    <w:rsid w:val="008C2200"/>
    <w:rsid w:val="008E0730"/>
    <w:rsid w:val="008F59A0"/>
    <w:rsid w:val="009241FD"/>
    <w:rsid w:val="009279BE"/>
    <w:rsid w:val="00937C89"/>
    <w:rsid w:val="009733A9"/>
    <w:rsid w:val="009919F6"/>
    <w:rsid w:val="00997C11"/>
    <w:rsid w:val="009A7A59"/>
    <w:rsid w:val="009C35C9"/>
    <w:rsid w:val="009C6F3F"/>
    <w:rsid w:val="009D27E8"/>
    <w:rsid w:val="009E2A0F"/>
    <w:rsid w:val="009E444A"/>
    <w:rsid w:val="00A10E40"/>
    <w:rsid w:val="00A15CD1"/>
    <w:rsid w:val="00A22E0F"/>
    <w:rsid w:val="00A2391E"/>
    <w:rsid w:val="00A26B7B"/>
    <w:rsid w:val="00A3327E"/>
    <w:rsid w:val="00A50F13"/>
    <w:rsid w:val="00A57FE5"/>
    <w:rsid w:val="00A66511"/>
    <w:rsid w:val="00A75ED6"/>
    <w:rsid w:val="00A83422"/>
    <w:rsid w:val="00A85792"/>
    <w:rsid w:val="00A922A7"/>
    <w:rsid w:val="00A9498C"/>
    <w:rsid w:val="00AA3ECB"/>
    <w:rsid w:val="00AD72DD"/>
    <w:rsid w:val="00AF3CC5"/>
    <w:rsid w:val="00AF42EC"/>
    <w:rsid w:val="00B01B6C"/>
    <w:rsid w:val="00B121EA"/>
    <w:rsid w:val="00B40844"/>
    <w:rsid w:val="00B47800"/>
    <w:rsid w:val="00B50C99"/>
    <w:rsid w:val="00B56E34"/>
    <w:rsid w:val="00B5737E"/>
    <w:rsid w:val="00B61AC7"/>
    <w:rsid w:val="00B808CB"/>
    <w:rsid w:val="00B845CF"/>
    <w:rsid w:val="00B92DE7"/>
    <w:rsid w:val="00B9407E"/>
    <w:rsid w:val="00BB13F4"/>
    <w:rsid w:val="00BB3273"/>
    <w:rsid w:val="00BC5931"/>
    <w:rsid w:val="00BE31AD"/>
    <w:rsid w:val="00C04F28"/>
    <w:rsid w:val="00C06EB4"/>
    <w:rsid w:val="00C2633E"/>
    <w:rsid w:val="00C53CDF"/>
    <w:rsid w:val="00C647EC"/>
    <w:rsid w:val="00C64FEF"/>
    <w:rsid w:val="00C73D5D"/>
    <w:rsid w:val="00C851CA"/>
    <w:rsid w:val="00CA7995"/>
    <w:rsid w:val="00CB1183"/>
    <w:rsid w:val="00CC7431"/>
    <w:rsid w:val="00CD62C0"/>
    <w:rsid w:val="00CF0031"/>
    <w:rsid w:val="00D04B6F"/>
    <w:rsid w:val="00D113DD"/>
    <w:rsid w:val="00D231FE"/>
    <w:rsid w:val="00D24453"/>
    <w:rsid w:val="00D25285"/>
    <w:rsid w:val="00D30D4D"/>
    <w:rsid w:val="00D37DAA"/>
    <w:rsid w:val="00D5070E"/>
    <w:rsid w:val="00D547B6"/>
    <w:rsid w:val="00D6224D"/>
    <w:rsid w:val="00D80947"/>
    <w:rsid w:val="00D960EA"/>
    <w:rsid w:val="00D965B8"/>
    <w:rsid w:val="00DA2283"/>
    <w:rsid w:val="00DB5AA2"/>
    <w:rsid w:val="00DD76E7"/>
    <w:rsid w:val="00E0573A"/>
    <w:rsid w:val="00E221FD"/>
    <w:rsid w:val="00E41BE5"/>
    <w:rsid w:val="00E533BE"/>
    <w:rsid w:val="00E5361F"/>
    <w:rsid w:val="00E62DB3"/>
    <w:rsid w:val="00E96F9E"/>
    <w:rsid w:val="00EA2DE2"/>
    <w:rsid w:val="00EB1AE0"/>
    <w:rsid w:val="00EC6B73"/>
    <w:rsid w:val="00ED5B76"/>
    <w:rsid w:val="00ED7008"/>
    <w:rsid w:val="00ED76B2"/>
    <w:rsid w:val="00EF184A"/>
    <w:rsid w:val="00EF2FFD"/>
    <w:rsid w:val="00F0235A"/>
    <w:rsid w:val="00F05CAB"/>
    <w:rsid w:val="00F0783D"/>
    <w:rsid w:val="00F20FFA"/>
    <w:rsid w:val="00F21EDB"/>
    <w:rsid w:val="00F2599B"/>
    <w:rsid w:val="00F4726A"/>
    <w:rsid w:val="00F605BE"/>
    <w:rsid w:val="00F6175C"/>
    <w:rsid w:val="00F65529"/>
    <w:rsid w:val="00F65903"/>
    <w:rsid w:val="00F72231"/>
    <w:rsid w:val="00F7691A"/>
    <w:rsid w:val="00F82EDF"/>
    <w:rsid w:val="00F92D04"/>
    <w:rsid w:val="00FB2E9E"/>
    <w:rsid w:val="00FB5F14"/>
    <w:rsid w:val="00FC2237"/>
    <w:rsid w:val="00FC6F2E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BFDA3-0F1F-46D3-90C9-5D095530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4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84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44"/>
    <w:rPr>
      <w:lang w:val="en-ZA"/>
    </w:rPr>
  </w:style>
  <w:style w:type="paragraph" w:styleId="FootnoteText">
    <w:name w:val="footnote text"/>
    <w:basedOn w:val="Normal"/>
    <w:link w:val="FootnoteTextChar"/>
    <w:uiPriority w:val="99"/>
    <w:unhideWhenUsed/>
    <w:rsid w:val="00B40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844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unhideWhenUsed/>
    <w:rsid w:val="00B408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4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12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78"/>
    <w:rPr>
      <w:rFonts w:ascii="Segoe UI" w:hAnsi="Segoe UI" w:cs="Segoe UI"/>
      <w:sz w:val="18"/>
      <w:szCs w:val="18"/>
      <w:lang w:val="en-ZA"/>
    </w:rPr>
  </w:style>
  <w:style w:type="paragraph" w:customStyle="1" w:styleId="I">
    <w:name w:val="I"/>
    <w:uiPriority w:val="99"/>
    <w:rsid w:val="00FB2E9E"/>
    <w:pPr>
      <w:widowControl w:val="0"/>
      <w:tabs>
        <w:tab w:val="left" w:pos="578"/>
        <w:tab w:val="left" w:pos="862"/>
        <w:tab w:val="left" w:pos="1440"/>
        <w:tab w:val="left" w:pos="2013"/>
        <w:tab w:val="left" w:pos="2591"/>
        <w:tab w:val="left" w:pos="3311"/>
      </w:tabs>
      <w:autoSpaceDE w:val="0"/>
      <w:autoSpaceDN w:val="0"/>
      <w:adjustRightInd w:val="0"/>
      <w:spacing w:after="181" w:line="240" w:lineRule="auto"/>
      <w:ind w:left="578" w:hanging="578"/>
    </w:pPr>
    <w:rPr>
      <w:rFonts w:ascii="Arial" w:eastAsiaTheme="minorEastAsia" w:hAnsi="Arial" w:cs="Arial"/>
      <w:sz w:val="24"/>
      <w:szCs w:val="24"/>
    </w:rPr>
  </w:style>
  <w:style w:type="paragraph" w:customStyle="1" w:styleId="Pb">
    <w:name w:val="Pb"/>
    <w:uiPriority w:val="99"/>
    <w:rsid w:val="00FB2E9E"/>
    <w:pPr>
      <w:widowControl w:val="0"/>
      <w:pBdr>
        <w:top w:val="single" w:sz="6" w:space="2" w:color="008080"/>
      </w:pBdr>
      <w:autoSpaceDE w:val="0"/>
      <w:autoSpaceDN w:val="0"/>
      <w:adjustRightInd w:val="0"/>
      <w:spacing w:after="181" w:line="240" w:lineRule="auto"/>
      <w:jc w:val="right"/>
    </w:pPr>
    <w:rPr>
      <w:rFonts w:ascii="Arial" w:eastAsiaTheme="minorEastAsia" w:hAnsi="Arial" w:cs="Arial"/>
      <w:b/>
      <w:bCs/>
      <w:color w:val="808080"/>
      <w:sz w:val="18"/>
      <w:szCs w:val="18"/>
    </w:rPr>
  </w:style>
  <w:style w:type="paragraph" w:customStyle="1" w:styleId="TTI">
    <w:name w:val="TTI"/>
    <w:uiPriority w:val="99"/>
    <w:rsid w:val="00FB2E9E"/>
    <w:pPr>
      <w:widowControl w:val="0"/>
      <w:tabs>
        <w:tab w:val="left" w:pos="283"/>
        <w:tab w:val="left" w:pos="713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1" w:line="240" w:lineRule="auto"/>
      <w:ind w:left="1293" w:hanging="1293"/>
    </w:pPr>
    <w:rPr>
      <w:rFonts w:ascii="Arial" w:eastAsiaTheme="minorEastAsia" w:hAnsi="Arial" w:cs="Arial"/>
      <w:sz w:val="24"/>
      <w:szCs w:val="24"/>
    </w:rPr>
  </w:style>
  <w:style w:type="character" w:customStyle="1" w:styleId="Mc">
    <w:name w:val="Mc"/>
    <w:uiPriority w:val="99"/>
    <w:rsid w:val="00FB2E9E"/>
    <w:rPr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15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47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2023-07-16T18:30:00+00:00</Judgment_x0020_Date>
    <Year xmlns="c1afb1bd-f2fb-40fd-9abb-aea55b4d7662">2023</Year>
  </documentManagement>
</p:properties>
</file>

<file path=customXml/itemProps1.xml><?xml version="1.0" encoding="utf-8"?>
<ds:datastoreItem xmlns:ds="http://schemas.openxmlformats.org/officeDocument/2006/customXml" ds:itemID="{EE485B33-3548-422D-A252-9CE76C5275AD}"/>
</file>

<file path=customXml/itemProps2.xml><?xml version="1.0" encoding="utf-8"?>
<ds:datastoreItem xmlns:ds="http://schemas.openxmlformats.org/officeDocument/2006/customXml" ds:itemID="{5FAAEE7C-FA6B-4EC0-95EB-C6A969F5486B}"/>
</file>

<file path=customXml/itemProps3.xml><?xml version="1.0" encoding="utf-8"?>
<ds:datastoreItem xmlns:ds="http://schemas.openxmlformats.org/officeDocument/2006/customXml" ds:itemID="{4A0F5970-B5FB-4236-800E-A511D724A5D9}"/>
</file>

<file path=customXml/itemProps4.xml><?xml version="1.0" encoding="utf-8"?>
<ds:datastoreItem xmlns:ds="http://schemas.openxmlformats.org/officeDocument/2006/customXml" ds:itemID="{726DD4C4-A651-41BA-A53F-AF9435C80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Bank Namibia Limited v Morkel (HC-MD-CIV-ACT-CON-202205190) [2023] NAHCMD 406 (17 July 2023)</dc:title>
  <dc:subject/>
  <dc:creator>shomany keister</dc:creator>
  <cp:keywords/>
  <dc:description/>
  <cp:lastModifiedBy>Lusia Simon</cp:lastModifiedBy>
  <cp:revision>13</cp:revision>
  <cp:lastPrinted>2023-07-17T10:39:00Z</cp:lastPrinted>
  <dcterms:created xsi:type="dcterms:W3CDTF">2023-07-10T13:05:00Z</dcterms:created>
  <dcterms:modified xsi:type="dcterms:W3CDTF">2023-07-17T10:42:00Z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