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571F92" w:rsidRDefault="00A91522" w:rsidP="00A41625">
      <w:pPr>
        <w:spacing w:after="0" w:line="240" w:lineRule="auto"/>
        <w:jc w:val="center"/>
        <w:rPr>
          <w:rFonts w:ascii="Arial" w:hAnsi="Arial" w:cs="Arial"/>
          <w:b/>
          <w:sz w:val="24"/>
          <w:szCs w:val="24"/>
          <w:lang w:val="en-US"/>
        </w:rPr>
      </w:pPr>
      <w:r w:rsidRPr="00571F92">
        <w:rPr>
          <w:rFonts w:ascii="Arial" w:hAnsi="Arial" w:cs="Arial"/>
          <w:b/>
          <w:sz w:val="24"/>
          <w:szCs w:val="24"/>
          <w:lang w:val="en-US"/>
        </w:rPr>
        <w:t>REPUBLIC OF NAMIBIA</w:t>
      </w:r>
    </w:p>
    <w:p w:rsidR="00A91522" w:rsidRPr="00571F92" w:rsidRDefault="00A91522" w:rsidP="00A41625">
      <w:pPr>
        <w:spacing w:after="0" w:line="240" w:lineRule="auto"/>
        <w:jc w:val="center"/>
        <w:rPr>
          <w:rFonts w:ascii="Arial" w:hAnsi="Arial" w:cs="Arial"/>
          <w:b/>
          <w:sz w:val="24"/>
          <w:szCs w:val="24"/>
          <w:lang w:val="en-US"/>
        </w:rPr>
      </w:pPr>
      <w:r w:rsidRPr="00571F92">
        <w:rPr>
          <w:rFonts w:ascii="Arial" w:hAnsi="Arial" w:cs="Arial"/>
          <w:b/>
          <w:noProof/>
          <w:sz w:val="24"/>
          <w:szCs w:val="24"/>
          <w:lang w:eastAsia="en-ZA"/>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571F92" w:rsidRDefault="00A91522" w:rsidP="00A41625">
      <w:pPr>
        <w:spacing w:after="0" w:line="240" w:lineRule="auto"/>
        <w:jc w:val="center"/>
        <w:rPr>
          <w:rFonts w:ascii="Arial" w:hAnsi="Arial" w:cs="Arial"/>
          <w:b/>
          <w:sz w:val="24"/>
          <w:szCs w:val="24"/>
          <w:lang w:val="en-US"/>
        </w:rPr>
      </w:pPr>
    </w:p>
    <w:p w:rsidR="00A91522" w:rsidRPr="00571F92" w:rsidRDefault="00A91522" w:rsidP="00A41625">
      <w:pPr>
        <w:spacing w:after="0" w:line="240" w:lineRule="auto"/>
        <w:jc w:val="center"/>
        <w:rPr>
          <w:rFonts w:ascii="Arial" w:hAnsi="Arial" w:cs="Arial"/>
          <w:b/>
          <w:sz w:val="24"/>
          <w:szCs w:val="24"/>
          <w:lang w:val="en-US"/>
        </w:rPr>
      </w:pPr>
      <w:r w:rsidRPr="00571F92">
        <w:rPr>
          <w:rFonts w:ascii="Arial" w:hAnsi="Arial" w:cs="Arial"/>
          <w:b/>
          <w:sz w:val="24"/>
          <w:szCs w:val="24"/>
          <w:lang w:val="en-US"/>
        </w:rPr>
        <w:t>IN THE HIGH COURT OF NAMIBIA, MAIN DIVISION, WINDHOEK</w:t>
      </w:r>
    </w:p>
    <w:p w:rsidR="00A41625" w:rsidRDefault="00A41625" w:rsidP="00A41625">
      <w:pPr>
        <w:spacing w:after="0" w:line="240" w:lineRule="auto"/>
        <w:jc w:val="center"/>
        <w:rPr>
          <w:rFonts w:ascii="Arial" w:hAnsi="Arial" w:cs="Arial"/>
          <w:b/>
          <w:sz w:val="24"/>
          <w:szCs w:val="24"/>
          <w:lang w:val="en-US"/>
        </w:rPr>
      </w:pPr>
    </w:p>
    <w:p w:rsidR="00A41625" w:rsidRDefault="00A41625" w:rsidP="00A41625">
      <w:pPr>
        <w:spacing w:after="0" w:line="240" w:lineRule="auto"/>
        <w:jc w:val="center"/>
        <w:rPr>
          <w:rFonts w:ascii="Arial" w:hAnsi="Arial" w:cs="Arial"/>
          <w:b/>
          <w:sz w:val="24"/>
          <w:szCs w:val="24"/>
          <w:lang w:val="en-US"/>
        </w:rPr>
      </w:pPr>
      <w:r>
        <w:rPr>
          <w:rFonts w:ascii="Arial" w:hAnsi="Arial" w:cs="Arial"/>
          <w:b/>
          <w:sz w:val="24"/>
          <w:szCs w:val="24"/>
          <w:lang w:val="en-US"/>
        </w:rPr>
        <w:t>RULING</w:t>
      </w:r>
    </w:p>
    <w:p w:rsidR="00A41625" w:rsidRDefault="00A41625" w:rsidP="00A41625">
      <w:pPr>
        <w:spacing w:after="0" w:line="240" w:lineRule="auto"/>
        <w:jc w:val="center"/>
        <w:rPr>
          <w:rFonts w:ascii="Arial" w:hAnsi="Arial" w:cs="Arial"/>
          <w:b/>
          <w:sz w:val="24"/>
          <w:szCs w:val="24"/>
          <w:lang w:val="en-US"/>
        </w:rPr>
      </w:pPr>
    </w:p>
    <w:p w:rsidR="00A91522" w:rsidRDefault="00667ED0" w:rsidP="00A41625">
      <w:pPr>
        <w:spacing w:after="0" w:line="240" w:lineRule="auto"/>
        <w:jc w:val="center"/>
        <w:rPr>
          <w:rFonts w:ascii="Arial" w:hAnsi="Arial" w:cs="Arial"/>
          <w:b/>
          <w:sz w:val="24"/>
          <w:szCs w:val="24"/>
          <w:lang w:val="en-US"/>
        </w:rPr>
      </w:pPr>
      <w:r>
        <w:rPr>
          <w:rFonts w:ascii="Arial" w:hAnsi="Arial" w:cs="Arial"/>
          <w:b/>
          <w:sz w:val="24"/>
          <w:szCs w:val="24"/>
          <w:lang w:val="en-US"/>
        </w:rPr>
        <w:t>PRACTICE DIRECTIONS</w:t>
      </w:r>
    </w:p>
    <w:p w:rsidR="00FD1E17" w:rsidRPr="00571F92" w:rsidRDefault="00FD1E17" w:rsidP="00571F92">
      <w:pPr>
        <w:spacing w:after="0" w:line="360" w:lineRule="auto"/>
        <w:jc w:val="center"/>
        <w:rPr>
          <w:rFonts w:ascii="Arial" w:hAnsi="Arial" w:cs="Arial"/>
          <w:b/>
          <w:sz w:val="24"/>
          <w:szCs w:val="24"/>
          <w:lang w:val="en-US"/>
        </w:rPr>
      </w:pPr>
    </w:p>
    <w:tbl>
      <w:tblPr>
        <w:tblStyle w:val="TableGrid"/>
        <w:tblW w:w="10490" w:type="dxa"/>
        <w:tblInd w:w="-714" w:type="dxa"/>
        <w:tblLayout w:type="fixed"/>
        <w:tblLook w:val="04A0" w:firstRow="1" w:lastRow="0" w:firstColumn="1" w:lastColumn="0" w:noHBand="0" w:noVBand="1"/>
      </w:tblPr>
      <w:tblGrid>
        <w:gridCol w:w="5245"/>
        <w:gridCol w:w="1134"/>
        <w:gridCol w:w="4111"/>
      </w:tblGrid>
      <w:tr w:rsidR="00F96C8E" w:rsidRPr="00571F92" w:rsidTr="0002731C">
        <w:trPr>
          <w:trHeight w:val="599"/>
        </w:trPr>
        <w:tc>
          <w:tcPr>
            <w:tcW w:w="6379" w:type="dxa"/>
            <w:gridSpan w:val="2"/>
            <w:vMerge w:val="restart"/>
            <w:tcBorders>
              <w:top w:val="single" w:sz="4" w:space="0" w:color="auto"/>
              <w:left w:val="single" w:sz="4" w:space="0" w:color="auto"/>
              <w:right w:val="single" w:sz="4" w:space="0" w:color="auto"/>
            </w:tcBorders>
            <w:hideMark/>
          </w:tcPr>
          <w:p w:rsidR="00F96C8E" w:rsidRPr="00571F92" w:rsidRDefault="00F96C8E" w:rsidP="00571F92">
            <w:pPr>
              <w:spacing w:after="0" w:line="360" w:lineRule="auto"/>
              <w:jc w:val="both"/>
              <w:rPr>
                <w:rFonts w:ascii="Arial" w:hAnsi="Arial" w:cs="Arial"/>
                <w:b/>
                <w:sz w:val="24"/>
                <w:szCs w:val="24"/>
              </w:rPr>
            </w:pPr>
            <w:r w:rsidRPr="00571F92">
              <w:rPr>
                <w:rFonts w:ascii="Arial" w:hAnsi="Arial" w:cs="Arial"/>
                <w:b/>
                <w:sz w:val="24"/>
                <w:szCs w:val="24"/>
              </w:rPr>
              <w:t>Case Title:</w:t>
            </w:r>
          </w:p>
          <w:p w:rsidR="00B42D21" w:rsidRPr="004A1792" w:rsidRDefault="00B42D21" w:rsidP="00571F92">
            <w:pPr>
              <w:spacing w:after="0" w:line="360" w:lineRule="auto"/>
              <w:jc w:val="both"/>
              <w:rPr>
                <w:rFonts w:ascii="Arial" w:hAnsi="Arial" w:cs="Arial"/>
                <w:b/>
                <w:sz w:val="16"/>
                <w:szCs w:val="16"/>
              </w:rPr>
            </w:pPr>
          </w:p>
          <w:p w:rsidR="00123FEC" w:rsidRPr="00667ED0" w:rsidRDefault="00667ED0" w:rsidP="00571F92">
            <w:pPr>
              <w:spacing w:after="0" w:line="360" w:lineRule="auto"/>
              <w:rPr>
                <w:rFonts w:ascii="Arial" w:hAnsi="Arial" w:cs="Arial"/>
                <w:sz w:val="24"/>
                <w:szCs w:val="24"/>
                <w:shd w:val="clear" w:color="auto" w:fill="FFFFFF"/>
                <w:lang w:val="en-ZA"/>
              </w:rPr>
            </w:pPr>
            <w:proofErr w:type="spellStart"/>
            <w:r w:rsidRPr="00667ED0">
              <w:rPr>
                <w:rFonts w:ascii="Arial" w:hAnsi="Arial" w:cs="Arial"/>
                <w:sz w:val="24"/>
                <w:szCs w:val="24"/>
                <w:shd w:val="clear" w:color="auto" w:fill="FFFFFF"/>
                <w:lang w:val="en-ZA"/>
              </w:rPr>
              <w:t>Tecmed</w:t>
            </w:r>
            <w:proofErr w:type="spellEnd"/>
            <w:r w:rsidRPr="00667ED0">
              <w:rPr>
                <w:rFonts w:ascii="Arial" w:hAnsi="Arial" w:cs="Arial"/>
                <w:sz w:val="24"/>
                <w:szCs w:val="24"/>
                <w:shd w:val="clear" w:color="auto" w:fill="FFFFFF"/>
                <w:lang w:val="en-ZA"/>
              </w:rPr>
              <w:t xml:space="preserve"> West Medical Distributors (Pty) Ltd</w:t>
            </w:r>
            <w:r w:rsidR="00123FEC" w:rsidRPr="00571F92">
              <w:rPr>
                <w:rFonts w:ascii="Arial" w:hAnsi="Arial" w:cs="Arial"/>
                <w:sz w:val="24"/>
                <w:szCs w:val="24"/>
                <w:shd w:val="clear" w:color="auto" w:fill="FFFFFF"/>
              </w:rPr>
              <w:tab/>
            </w:r>
            <w:r>
              <w:rPr>
                <w:rFonts w:ascii="Arial" w:hAnsi="Arial" w:cs="Arial"/>
                <w:sz w:val="24"/>
                <w:szCs w:val="24"/>
                <w:shd w:val="clear" w:color="auto" w:fill="FFFFFF"/>
              </w:rPr>
              <w:t xml:space="preserve">     </w:t>
            </w:r>
            <w:r w:rsidR="00123FEC" w:rsidRPr="00571F92">
              <w:rPr>
                <w:rFonts w:ascii="Arial" w:hAnsi="Arial" w:cs="Arial"/>
                <w:sz w:val="24"/>
                <w:szCs w:val="24"/>
                <w:shd w:val="clear" w:color="auto" w:fill="FFFFFF"/>
              </w:rPr>
              <w:t>Plaintiff</w:t>
            </w:r>
          </w:p>
          <w:p w:rsidR="00123FEC" w:rsidRPr="004A1792" w:rsidRDefault="00123FEC" w:rsidP="00571F92">
            <w:pPr>
              <w:spacing w:after="0" w:line="360" w:lineRule="auto"/>
              <w:rPr>
                <w:rFonts w:ascii="Arial" w:hAnsi="Arial" w:cs="Arial"/>
                <w:sz w:val="16"/>
                <w:szCs w:val="16"/>
                <w:shd w:val="clear" w:color="auto" w:fill="FFFFFF"/>
              </w:rPr>
            </w:pPr>
          </w:p>
          <w:p w:rsidR="00123FEC" w:rsidRPr="00571F92" w:rsidRDefault="00123FEC" w:rsidP="00571F92">
            <w:pPr>
              <w:spacing w:after="0" w:line="360" w:lineRule="auto"/>
              <w:rPr>
                <w:rFonts w:ascii="Arial" w:hAnsi="Arial" w:cs="Arial"/>
                <w:sz w:val="24"/>
                <w:szCs w:val="24"/>
                <w:shd w:val="clear" w:color="auto" w:fill="FFFFFF"/>
              </w:rPr>
            </w:pPr>
            <w:r w:rsidRPr="00571F92">
              <w:rPr>
                <w:rFonts w:ascii="Arial" w:hAnsi="Arial" w:cs="Arial"/>
                <w:sz w:val="24"/>
                <w:szCs w:val="24"/>
                <w:shd w:val="clear" w:color="auto" w:fill="FFFFFF"/>
              </w:rPr>
              <w:t>and</w:t>
            </w:r>
          </w:p>
          <w:p w:rsidR="00123FEC" w:rsidRPr="004A1792" w:rsidRDefault="00123FEC" w:rsidP="00571F92">
            <w:pPr>
              <w:spacing w:after="0" w:line="360" w:lineRule="auto"/>
              <w:rPr>
                <w:rFonts w:ascii="Arial" w:hAnsi="Arial" w:cs="Arial"/>
                <w:sz w:val="16"/>
                <w:szCs w:val="16"/>
                <w:shd w:val="clear" w:color="auto" w:fill="FFFFFF"/>
              </w:rPr>
            </w:pPr>
          </w:p>
          <w:p w:rsidR="00F96C8E" w:rsidRPr="00571F92" w:rsidRDefault="00667ED0" w:rsidP="00571F92">
            <w:pPr>
              <w:spacing w:after="0" w:line="360" w:lineRule="auto"/>
              <w:rPr>
                <w:rFonts w:ascii="Arial" w:hAnsi="Arial" w:cs="Arial"/>
                <w:sz w:val="24"/>
                <w:szCs w:val="24"/>
                <w:shd w:val="clear" w:color="auto" w:fill="FFFFFF"/>
              </w:rPr>
            </w:pPr>
            <w:r w:rsidRPr="00667ED0">
              <w:rPr>
                <w:rFonts w:ascii="Arial" w:hAnsi="Arial" w:cs="Arial"/>
                <w:sz w:val="24"/>
                <w:szCs w:val="24"/>
                <w:shd w:val="clear" w:color="auto" w:fill="FFFFFF"/>
                <w:lang w:val="en-ZA"/>
              </w:rPr>
              <w:t xml:space="preserve">Edward </w:t>
            </w:r>
            <w:proofErr w:type="spellStart"/>
            <w:r w:rsidRPr="00667ED0">
              <w:rPr>
                <w:rFonts w:ascii="Arial" w:hAnsi="Arial" w:cs="Arial"/>
                <w:sz w:val="24"/>
                <w:szCs w:val="24"/>
                <w:shd w:val="clear" w:color="auto" w:fill="FFFFFF"/>
                <w:lang w:val="en-ZA"/>
              </w:rPr>
              <w:t>Fynn</w:t>
            </w:r>
            <w:proofErr w:type="spellEnd"/>
            <w:r w:rsidRPr="00571F92">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r w:rsidR="0086087A" w:rsidRPr="00571F92">
              <w:rPr>
                <w:rFonts w:ascii="Arial" w:hAnsi="Arial" w:cs="Arial"/>
                <w:sz w:val="24"/>
                <w:szCs w:val="24"/>
                <w:shd w:val="clear" w:color="auto" w:fill="FFFFFF"/>
              </w:rPr>
              <w:t>Defendant</w:t>
            </w:r>
          </w:p>
        </w:tc>
        <w:tc>
          <w:tcPr>
            <w:tcW w:w="4111" w:type="dxa"/>
            <w:tcBorders>
              <w:top w:val="single" w:sz="4" w:space="0" w:color="auto"/>
              <w:left w:val="single" w:sz="4" w:space="0" w:color="auto"/>
              <w:bottom w:val="single" w:sz="4" w:space="0" w:color="auto"/>
              <w:right w:val="single" w:sz="4" w:space="0" w:color="auto"/>
            </w:tcBorders>
          </w:tcPr>
          <w:p w:rsidR="0090553E" w:rsidRPr="00571F92" w:rsidRDefault="00F96C8E" w:rsidP="00571F92">
            <w:pPr>
              <w:spacing w:after="0" w:line="360" w:lineRule="auto"/>
              <w:ind w:left="1616" w:hanging="1559"/>
              <w:jc w:val="both"/>
              <w:rPr>
                <w:rFonts w:ascii="Arial" w:hAnsi="Arial" w:cs="Arial"/>
                <w:b/>
                <w:sz w:val="24"/>
                <w:szCs w:val="24"/>
              </w:rPr>
            </w:pPr>
            <w:r w:rsidRPr="00571F92">
              <w:rPr>
                <w:rFonts w:ascii="Arial" w:hAnsi="Arial" w:cs="Arial"/>
                <w:b/>
                <w:sz w:val="24"/>
                <w:szCs w:val="24"/>
              </w:rPr>
              <w:t>C</w:t>
            </w:r>
            <w:r w:rsidR="00923BA4" w:rsidRPr="00571F92">
              <w:rPr>
                <w:rFonts w:ascii="Arial" w:hAnsi="Arial" w:cs="Arial"/>
                <w:b/>
                <w:sz w:val="24"/>
                <w:szCs w:val="24"/>
              </w:rPr>
              <w:t>ase No:</w:t>
            </w:r>
          </w:p>
          <w:p w:rsidR="00F96C8E" w:rsidRPr="00571F92" w:rsidRDefault="00667ED0" w:rsidP="00571F92">
            <w:pPr>
              <w:spacing w:after="0" w:line="360" w:lineRule="auto"/>
              <w:ind w:left="34" w:firstLine="23"/>
              <w:jc w:val="both"/>
              <w:rPr>
                <w:rFonts w:ascii="Arial" w:hAnsi="Arial" w:cs="Arial"/>
                <w:sz w:val="24"/>
                <w:szCs w:val="24"/>
              </w:rPr>
            </w:pPr>
            <w:r w:rsidRPr="00667ED0">
              <w:rPr>
                <w:rFonts w:ascii="Arial" w:hAnsi="Arial" w:cs="Arial"/>
                <w:sz w:val="24"/>
                <w:szCs w:val="24"/>
                <w:lang w:val="en-GB"/>
              </w:rPr>
              <w:t>HC-MD-CIV-ACT-CON-2023/00184</w:t>
            </w:r>
          </w:p>
        </w:tc>
      </w:tr>
      <w:tr w:rsidR="00F96C8E" w:rsidRPr="00571F92" w:rsidTr="0002731C">
        <w:tc>
          <w:tcPr>
            <w:tcW w:w="6379" w:type="dxa"/>
            <w:gridSpan w:val="2"/>
            <w:vMerge/>
            <w:tcBorders>
              <w:left w:val="single" w:sz="4" w:space="0" w:color="auto"/>
              <w:right w:val="single" w:sz="4" w:space="0" w:color="auto"/>
            </w:tcBorders>
            <w:vAlign w:val="center"/>
            <w:hideMark/>
          </w:tcPr>
          <w:p w:rsidR="00F96C8E" w:rsidRPr="00571F92" w:rsidRDefault="00F96C8E" w:rsidP="00571F92">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96C8E" w:rsidRPr="00571F92" w:rsidRDefault="00F96C8E" w:rsidP="00571F92">
            <w:pPr>
              <w:spacing w:after="0" w:line="360" w:lineRule="auto"/>
              <w:jc w:val="both"/>
              <w:rPr>
                <w:rFonts w:ascii="Arial" w:hAnsi="Arial" w:cs="Arial"/>
                <w:b/>
                <w:sz w:val="24"/>
                <w:szCs w:val="24"/>
              </w:rPr>
            </w:pPr>
            <w:r w:rsidRPr="00571F92">
              <w:rPr>
                <w:rFonts w:ascii="Arial" w:hAnsi="Arial" w:cs="Arial"/>
                <w:b/>
                <w:sz w:val="24"/>
                <w:szCs w:val="24"/>
              </w:rPr>
              <w:t>Division of Court:</w:t>
            </w:r>
          </w:p>
          <w:p w:rsidR="00F96C8E" w:rsidRPr="00571F92" w:rsidRDefault="00F96C8E" w:rsidP="00571F92">
            <w:pPr>
              <w:spacing w:after="0" w:line="360" w:lineRule="auto"/>
              <w:jc w:val="both"/>
              <w:rPr>
                <w:rFonts w:ascii="Arial" w:hAnsi="Arial" w:cs="Arial"/>
                <w:sz w:val="24"/>
                <w:szCs w:val="24"/>
              </w:rPr>
            </w:pPr>
            <w:r w:rsidRPr="00571F92">
              <w:rPr>
                <w:rFonts w:ascii="Arial" w:hAnsi="Arial" w:cs="Arial"/>
                <w:sz w:val="24"/>
                <w:szCs w:val="24"/>
              </w:rPr>
              <w:t>Main Division</w:t>
            </w:r>
          </w:p>
        </w:tc>
      </w:tr>
      <w:tr w:rsidR="00F96C8E" w:rsidRPr="00571F92" w:rsidTr="0002731C">
        <w:tc>
          <w:tcPr>
            <w:tcW w:w="6379" w:type="dxa"/>
            <w:gridSpan w:val="2"/>
            <w:vMerge/>
            <w:tcBorders>
              <w:left w:val="single" w:sz="4" w:space="0" w:color="auto"/>
              <w:bottom w:val="single" w:sz="4" w:space="0" w:color="auto"/>
              <w:right w:val="single" w:sz="4" w:space="0" w:color="auto"/>
            </w:tcBorders>
            <w:vAlign w:val="center"/>
          </w:tcPr>
          <w:p w:rsidR="00F96C8E" w:rsidRPr="00571F92" w:rsidRDefault="00F96C8E" w:rsidP="00571F92">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6C8E" w:rsidRPr="00667ED0" w:rsidRDefault="00667ED0" w:rsidP="00571F92">
            <w:pPr>
              <w:spacing w:after="0" w:line="360" w:lineRule="auto"/>
              <w:jc w:val="both"/>
              <w:rPr>
                <w:rFonts w:ascii="Arial" w:hAnsi="Arial" w:cs="Arial"/>
                <w:sz w:val="24"/>
                <w:szCs w:val="24"/>
              </w:rPr>
            </w:pPr>
            <w:r>
              <w:rPr>
                <w:rFonts w:ascii="Arial" w:hAnsi="Arial" w:cs="Arial"/>
                <w:b/>
                <w:sz w:val="24"/>
                <w:szCs w:val="24"/>
              </w:rPr>
              <w:t>Heard</w:t>
            </w:r>
            <w:r w:rsidR="00F96C8E" w:rsidRPr="00571F92">
              <w:rPr>
                <w:rFonts w:ascii="Arial" w:hAnsi="Arial" w:cs="Arial"/>
                <w:b/>
                <w:sz w:val="24"/>
                <w:szCs w:val="24"/>
              </w:rPr>
              <w:t>:</w:t>
            </w:r>
            <w:r w:rsidRPr="00667ED0">
              <w:rPr>
                <w:rFonts w:ascii="Arial" w:hAnsi="Arial" w:cs="Arial"/>
                <w:sz w:val="24"/>
                <w:szCs w:val="24"/>
                <w:lang w:val="en-ZA"/>
              </w:rPr>
              <w:t xml:space="preserve"> 8 June 2028</w:t>
            </w:r>
          </w:p>
          <w:p w:rsidR="00667ED0" w:rsidRDefault="00667ED0" w:rsidP="00571F92">
            <w:pPr>
              <w:spacing w:after="0" w:line="360" w:lineRule="auto"/>
              <w:jc w:val="both"/>
              <w:rPr>
                <w:rFonts w:ascii="Arial" w:hAnsi="Arial" w:cs="Arial"/>
                <w:b/>
                <w:sz w:val="24"/>
                <w:szCs w:val="24"/>
              </w:rPr>
            </w:pPr>
            <w:r>
              <w:rPr>
                <w:rFonts w:ascii="Arial" w:hAnsi="Arial" w:cs="Arial"/>
                <w:b/>
                <w:sz w:val="24"/>
                <w:szCs w:val="24"/>
              </w:rPr>
              <w:t xml:space="preserve">Supplementary heads: </w:t>
            </w:r>
          </w:p>
          <w:p w:rsidR="00F96C8E" w:rsidRPr="00667ED0" w:rsidRDefault="00667ED0" w:rsidP="00571F92">
            <w:pPr>
              <w:spacing w:after="0" w:line="360" w:lineRule="auto"/>
              <w:jc w:val="both"/>
              <w:rPr>
                <w:rFonts w:ascii="Arial" w:hAnsi="Arial" w:cs="Arial"/>
                <w:sz w:val="24"/>
                <w:szCs w:val="24"/>
              </w:rPr>
            </w:pPr>
            <w:r w:rsidRPr="00667ED0">
              <w:rPr>
                <w:rFonts w:ascii="Arial" w:hAnsi="Arial" w:cs="Arial"/>
                <w:sz w:val="24"/>
                <w:szCs w:val="24"/>
              </w:rPr>
              <w:t>15 June 2023</w:t>
            </w:r>
          </w:p>
        </w:tc>
      </w:tr>
      <w:tr w:rsidR="00A91522" w:rsidRPr="00571F92" w:rsidTr="0002731C">
        <w:tc>
          <w:tcPr>
            <w:tcW w:w="6379" w:type="dxa"/>
            <w:gridSpan w:val="2"/>
            <w:tcBorders>
              <w:top w:val="single" w:sz="4" w:space="0" w:color="auto"/>
              <w:left w:val="single" w:sz="4" w:space="0" w:color="auto"/>
              <w:bottom w:val="single" w:sz="4" w:space="0" w:color="auto"/>
              <w:right w:val="single" w:sz="4" w:space="0" w:color="auto"/>
            </w:tcBorders>
          </w:tcPr>
          <w:p w:rsidR="00A91522" w:rsidRPr="00571F92" w:rsidRDefault="00A91522" w:rsidP="00571F92">
            <w:pPr>
              <w:spacing w:after="0" w:line="360" w:lineRule="auto"/>
              <w:jc w:val="both"/>
              <w:rPr>
                <w:rFonts w:ascii="Arial" w:hAnsi="Arial" w:cs="Arial"/>
                <w:b/>
                <w:sz w:val="24"/>
                <w:szCs w:val="24"/>
              </w:rPr>
            </w:pPr>
            <w:r w:rsidRPr="00571F92">
              <w:rPr>
                <w:rFonts w:ascii="Arial" w:hAnsi="Arial" w:cs="Arial"/>
                <w:b/>
                <w:sz w:val="24"/>
                <w:szCs w:val="24"/>
              </w:rPr>
              <w:t>Heard before:</w:t>
            </w:r>
          </w:p>
          <w:p w:rsidR="00A91522" w:rsidRPr="00571F92" w:rsidRDefault="00A91522" w:rsidP="00571F92">
            <w:pPr>
              <w:spacing w:after="0" w:line="360" w:lineRule="auto"/>
              <w:jc w:val="both"/>
              <w:rPr>
                <w:rFonts w:ascii="Arial" w:hAnsi="Arial" w:cs="Arial"/>
                <w:sz w:val="24"/>
                <w:szCs w:val="24"/>
              </w:rPr>
            </w:pPr>
            <w:proofErr w:type="spellStart"/>
            <w:r w:rsidRPr="00571F92">
              <w:rPr>
                <w:rFonts w:ascii="Arial" w:hAnsi="Arial" w:cs="Arial"/>
                <w:sz w:val="24"/>
                <w:szCs w:val="24"/>
              </w:rPr>
              <w:t>Honourable</w:t>
            </w:r>
            <w:proofErr w:type="spellEnd"/>
            <w:r w:rsidR="00E166C8" w:rsidRPr="00571F92">
              <w:rPr>
                <w:rFonts w:ascii="Arial" w:hAnsi="Arial" w:cs="Arial"/>
                <w:sz w:val="24"/>
                <w:szCs w:val="24"/>
              </w:rPr>
              <w:t xml:space="preserve">  </w:t>
            </w:r>
            <w:proofErr w:type="spellStart"/>
            <w:r w:rsidR="00BA57F3">
              <w:rPr>
                <w:rFonts w:ascii="Arial" w:hAnsi="Arial" w:cs="Arial"/>
                <w:sz w:val="24"/>
                <w:szCs w:val="24"/>
              </w:rPr>
              <w:t>Mr</w:t>
            </w:r>
            <w:proofErr w:type="spellEnd"/>
            <w:r w:rsidR="0044408B" w:rsidRPr="00571F92">
              <w:rPr>
                <w:rFonts w:ascii="Arial" w:hAnsi="Arial" w:cs="Arial"/>
                <w:sz w:val="24"/>
                <w:szCs w:val="24"/>
              </w:rPr>
              <w:t xml:space="preserve"> Justice </w:t>
            </w:r>
            <w:proofErr w:type="spellStart"/>
            <w:r w:rsidR="0044408B" w:rsidRPr="00571F92">
              <w:rPr>
                <w:rFonts w:ascii="Arial" w:hAnsi="Arial" w:cs="Arial"/>
                <w:sz w:val="24"/>
                <w:szCs w:val="24"/>
              </w:rPr>
              <w:t>U</w:t>
            </w:r>
            <w:r w:rsidR="00667ED0">
              <w:rPr>
                <w:rFonts w:ascii="Arial" w:hAnsi="Arial" w:cs="Arial"/>
                <w:sz w:val="24"/>
                <w:szCs w:val="24"/>
              </w:rPr>
              <w:t>eitele</w:t>
            </w:r>
            <w:proofErr w:type="spellEnd"/>
          </w:p>
        </w:tc>
        <w:tc>
          <w:tcPr>
            <w:tcW w:w="4111" w:type="dxa"/>
            <w:tcBorders>
              <w:top w:val="single" w:sz="4" w:space="0" w:color="auto"/>
              <w:left w:val="single" w:sz="4" w:space="0" w:color="auto"/>
              <w:bottom w:val="single" w:sz="4" w:space="0" w:color="auto"/>
              <w:right w:val="single" w:sz="4" w:space="0" w:color="auto"/>
            </w:tcBorders>
          </w:tcPr>
          <w:p w:rsidR="00A91522" w:rsidRPr="00571F92" w:rsidRDefault="00667ED0" w:rsidP="00571F92">
            <w:pPr>
              <w:spacing w:after="0" w:line="360" w:lineRule="auto"/>
              <w:jc w:val="both"/>
              <w:rPr>
                <w:rFonts w:ascii="Arial" w:hAnsi="Arial" w:cs="Arial"/>
                <w:b/>
                <w:sz w:val="24"/>
                <w:szCs w:val="24"/>
              </w:rPr>
            </w:pPr>
            <w:r>
              <w:rPr>
                <w:rFonts w:ascii="Arial" w:hAnsi="Arial" w:cs="Arial"/>
                <w:b/>
                <w:sz w:val="24"/>
                <w:szCs w:val="24"/>
              </w:rPr>
              <w:t>Delivered</w:t>
            </w:r>
            <w:r w:rsidR="00A91522" w:rsidRPr="00571F92">
              <w:rPr>
                <w:rFonts w:ascii="Arial" w:hAnsi="Arial" w:cs="Arial"/>
                <w:b/>
                <w:sz w:val="24"/>
                <w:szCs w:val="24"/>
              </w:rPr>
              <w:t>:</w:t>
            </w:r>
          </w:p>
          <w:p w:rsidR="00A91522" w:rsidRPr="00571F92" w:rsidRDefault="00667ED0" w:rsidP="00571F92">
            <w:pPr>
              <w:spacing w:after="0" w:line="360" w:lineRule="auto"/>
              <w:jc w:val="both"/>
              <w:rPr>
                <w:rFonts w:ascii="Arial" w:hAnsi="Arial" w:cs="Arial"/>
                <w:sz w:val="24"/>
                <w:szCs w:val="24"/>
              </w:rPr>
            </w:pPr>
            <w:r>
              <w:rPr>
                <w:rFonts w:ascii="Arial" w:hAnsi="Arial" w:cs="Arial"/>
                <w:sz w:val="24"/>
                <w:szCs w:val="24"/>
              </w:rPr>
              <w:t>1</w:t>
            </w:r>
            <w:r w:rsidR="00BA57F3">
              <w:rPr>
                <w:rFonts w:ascii="Arial" w:hAnsi="Arial" w:cs="Arial"/>
                <w:sz w:val="24"/>
                <w:szCs w:val="24"/>
              </w:rPr>
              <w:t>8</w:t>
            </w:r>
            <w:r>
              <w:rPr>
                <w:rFonts w:ascii="Arial" w:hAnsi="Arial" w:cs="Arial"/>
                <w:sz w:val="24"/>
                <w:szCs w:val="24"/>
              </w:rPr>
              <w:t xml:space="preserve"> July 2023</w:t>
            </w:r>
          </w:p>
        </w:tc>
      </w:tr>
      <w:tr w:rsidR="00A91522" w:rsidRPr="00571F9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571F92" w:rsidRDefault="00A91522" w:rsidP="00667ED0">
            <w:pPr>
              <w:tabs>
                <w:tab w:val="right" w:pos="9360"/>
              </w:tabs>
              <w:spacing w:after="0" w:line="360" w:lineRule="auto"/>
              <w:ind w:left="1877" w:hanging="1877"/>
              <w:jc w:val="both"/>
              <w:rPr>
                <w:rFonts w:ascii="Arial" w:hAnsi="Arial" w:cs="Arial"/>
                <w:sz w:val="24"/>
                <w:szCs w:val="24"/>
              </w:rPr>
            </w:pPr>
            <w:r w:rsidRPr="00571F92">
              <w:rPr>
                <w:rFonts w:ascii="Arial" w:hAnsi="Arial" w:cs="Arial"/>
                <w:b/>
                <w:sz w:val="24"/>
                <w:szCs w:val="24"/>
              </w:rPr>
              <w:t>Neutral citation</w:t>
            </w:r>
            <w:r w:rsidRPr="00571F92">
              <w:rPr>
                <w:rFonts w:ascii="Arial" w:hAnsi="Arial" w:cs="Arial"/>
                <w:sz w:val="24"/>
                <w:szCs w:val="24"/>
              </w:rPr>
              <w:t>:</w:t>
            </w:r>
            <w:r w:rsidR="00667ED0">
              <w:rPr>
                <w:rFonts w:ascii="Arial" w:hAnsi="Arial" w:cs="Arial"/>
                <w:sz w:val="24"/>
                <w:szCs w:val="24"/>
              </w:rPr>
              <w:tab/>
              <w:t xml:space="preserve"> </w:t>
            </w:r>
            <w:proofErr w:type="spellStart"/>
            <w:r w:rsidR="00667ED0" w:rsidRPr="00667ED0">
              <w:rPr>
                <w:rFonts w:ascii="Arial" w:hAnsi="Arial" w:cs="Arial"/>
                <w:i/>
                <w:sz w:val="24"/>
                <w:szCs w:val="24"/>
                <w:lang w:val="en-ZA"/>
              </w:rPr>
              <w:t>Tecmed</w:t>
            </w:r>
            <w:proofErr w:type="spellEnd"/>
            <w:r w:rsidR="00667ED0" w:rsidRPr="00667ED0">
              <w:rPr>
                <w:rFonts w:ascii="Arial" w:hAnsi="Arial" w:cs="Arial"/>
                <w:i/>
                <w:sz w:val="24"/>
                <w:szCs w:val="24"/>
                <w:lang w:val="en-ZA"/>
              </w:rPr>
              <w:t xml:space="preserve"> West Medical Distributors (Pty) Ltd v </w:t>
            </w:r>
            <w:proofErr w:type="spellStart"/>
            <w:r w:rsidR="00667ED0" w:rsidRPr="00667ED0">
              <w:rPr>
                <w:rFonts w:ascii="Arial" w:hAnsi="Arial" w:cs="Arial"/>
                <w:sz w:val="24"/>
                <w:szCs w:val="24"/>
                <w:lang w:val="en-ZA"/>
              </w:rPr>
              <w:t>Fynn</w:t>
            </w:r>
            <w:proofErr w:type="spellEnd"/>
            <w:r w:rsidR="00667ED0" w:rsidRPr="00667ED0">
              <w:rPr>
                <w:rFonts w:ascii="Arial" w:hAnsi="Arial" w:cs="Arial"/>
                <w:sz w:val="24"/>
                <w:szCs w:val="24"/>
                <w:lang w:val="en-ZA"/>
              </w:rPr>
              <w:t xml:space="preserve"> (HC-MD-CIV-ACT-CON-20</w:t>
            </w:r>
            <w:r w:rsidR="005437EE">
              <w:rPr>
                <w:rFonts w:ascii="Arial" w:hAnsi="Arial" w:cs="Arial"/>
                <w:sz w:val="24"/>
                <w:szCs w:val="24"/>
                <w:lang w:val="en-ZA"/>
              </w:rPr>
              <w:t xml:space="preserve">23/00184) [2023] NAHCMD 408 </w:t>
            </w:r>
            <w:r w:rsidR="00BA57F3">
              <w:rPr>
                <w:rFonts w:ascii="Arial" w:hAnsi="Arial" w:cs="Arial"/>
                <w:sz w:val="24"/>
                <w:szCs w:val="24"/>
                <w:lang w:val="en-ZA"/>
              </w:rPr>
              <w:t>(18</w:t>
            </w:r>
            <w:r w:rsidR="00667ED0" w:rsidRPr="00667ED0">
              <w:rPr>
                <w:rFonts w:ascii="Arial" w:hAnsi="Arial" w:cs="Arial"/>
                <w:sz w:val="24"/>
                <w:szCs w:val="24"/>
                <w:lang w:val="en-ZA"/>
              </w:rPr>
              <w:t xml:space="preserve"> July 2023)</w:t>
            </w:r>
          </w:p>
        </w:tc>
      </w:tr>
      <w:tr w:rsidR="00A91522" w:rsidRPr="00571F9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734384" w:rsidRPr="00571F92" w:rsidRDefault="00DC4D07" w:rsidP="00571F92">
            <w:pPr>
              <w:spacing w:after="0" w:line="360" w:lineRule="auto"/>
              <w:jc w:val="both"/>
              <w:rPr>
                <w:rFonts w:ascii="Arial" w:hAnsi="Arial" w:cs="Arial"/>
                <w:b/>
                <w:sz w:val="24"/>
                <w:szCs w:val="24"/>
              </w:rPr>
            </w:pPr>
            <w:r w:rsidRPr="00571F92">
              <w:rPr>
                <w:rFonts w:ascii="Arial" w:hAnsi="Arial" w:cs="Arial"/>
                <w:b/>
                <w:sz w:val="24"/>
                <w:szCs w:val="24"/>
              </w:rPr>
              <w:t>O</w:t>
            </w:r>
            <w:r w:rsidR="00A21211" w:rsidRPr="00571F92">
              <w:rPr>
                <w:rFonts w:ascii="Arial" w:hAnsi="Arial" w:cs="Arial"/>
                <w:b/>
                <w:sz w:val="24"/>
                <w:szCs w:val="24"/>
              </w:rPr>
              <w:t>rder:</w:t>
            </w:r>
          </w:p>
        </w:tc>
      </w:tr>
      <w:tr w:rsidR="00A91522" w:rsidRPr="00571F9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667ED0" w:rsidRPr="004A1792" w:rsidRDefault="00667ED0" w:rsidP="00667ED0">
            <w:pPr>
              <w:tabs>
                <w:tab w:val="left" w:pos="0"/>
              </w:tabs>
              <w:spacing w:after="0" w:line="360" w:lineRule="auto"/>
              <w:jc w:val="both"/>
              <w:rPr>
                <w:rFonts w:ascii="Arial" w:eastAsia="MS Mincho" w:hAnsi="Arial" w:cs="Arial"/>
                <w:sz w:val="16"/>
                <w:szCs w:val="16"/>
              </w:rPr>
            </w:pPr>
          </w:p>
          <w:p w:rsidR="00667ED0" w:rsidRPr="00667ED0" w:rsidRDefault="00667ED0" w:rsidP="00667ED0">
            <w:pPr>
              <w:numPr>
                <w:ilvl w:val="0"/>
                <w:numId w:val="46"/>
              </w:numPr>
              <w:spacing w:after="0" w:line="360" w:lineRule="auto"/>
              <w:ind w:hanging="720"/>
              <w:contextualSpacing/>
              <w:jc w:val="both"/>
              <w:rPr>
                <w:rFonts w:ascii="Arial" w:eastAsia="MS Mincho" w:hAnsi="Arial" w:cs="Arial"/>
                <w:sz w:val="24"/>
                <w:szCs w:val="24"/>
                <w:lang w:val="en-GB"/>
              </w:rPr>
            </w:pPr>
            <w:r w:rsidRPr="00667ED0">
              <w:rPr>
                <w:rFonts w:ascii="Arial" w:eastAsia="MS Mincho" w:hAnsi="Arial" w:cs="Arial"/>
                <w:sz w:val="24"/>
                <w:szCs w:val="24"/>
                <w:lang w:val="en-GB"/>
              </w:rPr>
              <w:t xml:space="preserve">The defendant must pay </w:t>
            </w:r>
            <w:r w:rsidR="00205069">
              <w:rPr>
                <w:rFonts w:ascii="Arial" w:eastAsia="MS Mincho" w:hAnsi="Arial" w:cs="Arial"/>
                <w:sz w:val="24"/>
                <w:szCs w:val="24"/>
                <w:lang w:val="en-GB"/>
              </w:rPr>
              <w:t>to the plaintiff the amount N$4 784 445</w:t>
            </w:r>
            <w:proofErr w:type="gramStart"/>
            <w:r w:rsidR="00205069">
              <w:rPr>
                <w:rFonts w:ascii="Arial" w:eastAsia="MS Mincho" w:hAnsi="Arial" w:cs="Arial"/>
                <w:sz w:val="24"/>
                <w:szCs w:val="24"/>
                <w:lang w:val="en-GB"/>
              </w:rPr>
              <w:t>,</w:t>
            </w:r>
            <w:r w:rsidRPr="00667ED0">
              <w:rPr>
                <w:rFonts w:ascii="Arial" w:eastAsia="MS Mincho" w:hAnsi="Arial" w:cs="Arial"/>
                <w:sz w:val="24"/>
                <w:szCs w:val="24"/>
                <w:lang w:val="en-GB"/>
              </w:rPr>
              <w:t>43</w:t>
            </w:r>
            <w:proofErr w:type="gramEnd"/>
            <w:r w:rsidRPr="00667ED0">
              <w:rPr>
                <w:rFonts w:ascii="Arial" w:eastAsia="MS Mincho" w:hAnsi="Arial" w:cs="Arial"/>
                <w:sz w:val="24"/>
                <w:szCs w:val="24"/>
                <w:lang w:val="en-GB"/>
              </w:rPr>
              <w:t>, plus interest at the rate of 20%</w:t>
            </w:r>
            <w:r w:rsidR="00205069">
              <w:rPr>
                <w:rFonts w:ascii="Arial" w:eastAsia="MS Mincho" w:hAnsi="Arial" w:cs="Arial"/>
                <w:sz w:val="24"/>
                <w:szCs w:val="24"/>
                <w:lang w:val="en-GB"/>
              </w:rPr>
              <w:t xml:space="preserve"> per annum on the amount of N$4 784 445,</w:t>
            </w:r>
            <w:r w:rsidRPr="00667ED0">
              <w:rPr>
                <w:rFonts w:ascii="Arial" w:eastAsia="MS Mincho" w:hAnsi="Arial" w:cs="Arial"/>
                <w:sz w:val="24"/>
                <w:szCs w:val="24"/>
                <w:lang w:val="en-GB"/>
              </w:rPr>
              <w:t>43 reckoned from 19 July 2023 to date of final payment.</w:t>
            </w:r>
          </w:p>
          <w:p w:rsidR="00667ED0" w:rsidRDefault="00667ED0" w:rsidP="00667ED0">
            <w:pPr>
              <w:numPr>
                <w:ilvl w:val="0"/>
                <w:numId w:val="46"/>
              </w:numPr>
              <w:tabs>
                <w:tab w:val="left" w:pos="709"/>
              </w:tabs>
              <w:spacing w:after="0" w:line="360" w:lineRule="auto"/>
              <w:ind w:hanging="720"/>
              <w:contextualSpacing/>
              <w:jc w:val="both"/>
              <w:rPr>
                <w:rFonts w:ascii="Arial" w:eastAsia="MS Mincho" w:hAnsi="Arial" w:cs="Arial"/>
                <w:sz w:val="24"/>
                <w:szCs w:val="24"/>
                <w:lang w:val="en-GB"/>
              </w:rPr>
            </w:pPr>
            <w:r w:rsidRPr="00667ED0">
              <w:rPr>
                <w:rFonts w:ascii="Arial" w:eastAsia="MS Mincho" w:hAnsi="Arial" w:cs="Arial"/>
                <w:sz w:val="24"/>
                <w:szCs w:val="24"/>
                <w:lang w:val="en-GB"/>
              </w:rPr>
              <w:t>The defendant must pay the plaintiff</w:t>
            </w:r>
            <w:r w:rsidR="004A1792">
              <w:rPr>
                <w:rFonts w:ascii="Arial" w:eastAsia="MS Mincho" w:hAnsi="Arial" w:cs="Arial"/>
                <w:sz w:val="24"/>
                <w:szCs w:val="24"/>
                <w:lang w:val="en-GB"/>
              </w:rPr>
              <w:t>’s</w:t>
            </w:r>
            <w:r w:rsidRPr="00667ED0">
              <w:rPr>
                <w:rFonts w:ascii="Arial" w:eastAsia="MS Mincho" w:hAnsi="Arial" w:cs="Arial"/>
                <w:sz w:val="24"/>
                <w:szCs w:val="24"/>
                <w:lang w:val="en-GB"/>
              </w:rPr>
              <w:t xml:space="preserve"> costs of suit</w:t>
            </w:r>
            <w:r w:rsidR="00BA57F3">
              <w:rPr>
                <w:rFonts w:ascii="Arial" w:eastAsia="MS Mincho" w:hAnsi="Arial" w:cs="Arial"/>
                <w:sz w:val="24"/>
                <w:szCs w:val="24"/>
                <w:lang w:val="en-GB"/>
              </w:rPr>
              <w:t>,</w:t>
            </w:r>
            <w:r w:rsidRPr="00667ED0">
              <w:rPr>
                <w:rFonts w:ascii="Arial" w:eastAsia="MS Mincho" w:hAnsi="Arial" w:cs="Arial"/>
                <w:sz w:val="24"/>
                <w:szCs w:val="24"/>
                <w:lang w:val="en-GB"/>
              </w:rPr>
              <w:t xml:space="preserve"> such costs to include the costs of one instructing and one instructed legal practitioner.</w:t>
            </w:r>
          </w:p>
          <w:p w:rsidR="00667ED0" w:rsidRPr="00667ED0" w:rsidRDefault="00667ED0" w:rsidP="004A1792">
            <w:pPr>
              <w:numPr>
                <w:ilvl w:val="0"/>
                <w:numId w:val="46"/>
              </w:numPr>
              <w:tabs>
                <w:tab w:val="left" w:pos="709"/>
              </w:tabs>
              <w:spacing w:after="0" w:line="360" w:lineRule="auto"/>
              <w:ind w:hanging="720"/>
              <w:contextualSpacing/>
              <w:jc w:val="both"/>
              <w:rPr>
                <w:rFonts w:ascii="Arial" w:eastAsia="MS Mincho" w:hAnsi="Arial" w:cs="Arial"/>
                <w:sz w:val="24"/>
                <w:szCs w:val="24"/>
                <w:lang w:val="en-GB"/>
              </w:rPr>
            </w:pPr>
            <w:r w:rsidRPr="00667ED0">
              <w:rPr>
                <w:rFonts w:ascii="Arial" w:eastAsia="MS Mincho" w:hAnsi="Arial" w:cs="Arial"/>
                <w:sz w:val="24"/>
                <w:szCs w:val="24"/>
                <w:lang w:val="en-GB"/>
              </w:rPr>
              <w:t>The matter is regarded as finalised and is removed from the roll.</w:t>
            </w:r>
          </w:p>
        </w:tc>
      </w:tr>
      <w:tr w:rsidR="00DC4D07" w:rsidRPr="00571F9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71F92" w:rsidRDefault="00DC4D07" w:rsidP="00571F92">
            <w:pPr>
              <w:spacing w:after="0" w:line="360" w:lineRule="auto"/>
              <w:ind w:left="743" w:hanging="743"/>
              <w:jc w:val="both"/>
              <w:rPr>
                <w:rFonts w:ascii="Arial" w:hAnsi="Arial" w:cs="Arial"/>
                <w:sz w:val="24"/>
                <w:szCs w:val="24"/>
              </w:rPr>
            </w:pPr>
            <w:r w:rsidRPr="00571F92">
              <w:rPr>
                <w:rFonts w:ascii="Arial" w:hAnsi="Arial" w:cs="Arial"/>
                <w:b/>
                <w:sz w:val="24"/>
                <w:szCs w:val="24"/>
              </w:rPr>
              <w:t>Reasons for order:</w:t>
            </w:r>
          </w:p>
        </w:tc>
      </w:tr>
      <w:tr w:rsidR="00A91522" w:rsidRPr="00571F92" w:rsidTr="008019A9">
        <w:tc>
          <w:tcPr>
            <w:tcW w:w="10490" w:type="dxa"/>
            <w:gridSpan w:val="3"/>
            <w:tcBorders>
              <w:top w:val="single" w:sz="4" w:space="0" w:color="auto"/>
              <w:left w:val="single" w:sz="4" w:space="0" w:color="auto"/>
              <w:bottom w:val="single" w:sz="4" w:space="0" w:color="auto"/>
              <w:right w:val="single" w:sz="4" w:space="0" w:color="auto"/>
            </w:tcBorders>
          </w:tcPr>
          <w:p w:rsidR="00571F92" w:rsidRPr="004A1792" w:rsidRDefault="00571F92" w:rsidP="00571F92">
            <w:pPr>
              <w:spacing w:after="0" w:line="360" w:lineRule="auto"/>
              <w:jc w:val="both"/>
              <w:rPr>
                <w:rFonts w:ascii="Arial" w:hAnsi="Arial" w:cs="Arial"/>
                <w:sz w:val="16"/>
                <w:szCs w:val="16"/>
              </w:rPr>
            </w:pPr>
          </w:p>
          <w:p w:rsidR="00667ED0" w:rsidRPr="00667ED0" w:rsidRDefault="00667ED0" w:rsidP="00667ED0">
            <w:pPr>
              <w:spacing w:after="0" w:line="360" w:lineRule="auto"/>
              <w:rPr>
                <w:rFonts w:ascii="Arial" w:eastAsia="MS Mincho" w:hAnsi="Arial" w:cs="Arial"/>
                <w:sz w:val="24"/>
                <w:szCs w:val="24"/>
                <w:lang w:val="en-GB"/>
              </w:rPr>
            </w:pPr>
            <w:r w:rsidRPr="00667ED0">
              <w:rPr>
                <w:rFonts w:ascii="Arial" w:eastAsia="MS Mincho" w:hAnsi="Arial" w:cs="Arial"/>
                <w:sz w:val="24"/>
                <w:szCs w:val="24"/>
                <w:lang w:val="en-GB"/>
              </w:rPr>
              <w:t>UEITELE J:</w:t>
            </w:r>
          </w:p>
          <w:p w:rsidR="00667ED0" w:rsidRPr="004A1792" w:rsidRDefault="00667ED0" w:rsidP="00667ED0">
            <w:pPr>
              <w:spacing w:after="0" w:line="360" w:lineRule="auto"/>
              <w:jc w:val="both"/>
              <w:rPr>
                <w:rFonts w:ascii="Arial" w:eastAsia="MS Mincho" w:hAnsi="Arial" w:cs="Arial"/>
                <w:sz w:val="16"/>
                <w:szCs w:val="16"/>
                <w:u w:val="single"/>
                <w:lang w:val="en-GB"/>
              </w:rPr>
            </w:pPr>
          </w:p>
          <w:p w:rsidR="00667ED0" w:rsidRPr="00667ED0" w:rsidRDefault="00667ED0" w:rsidP="00667ED0">
            <w:pPr>
              <w:spacing w:after="0" w:line="360" w:lineRule="auto"/>
              <w:jc w:val="both"/>
              <w:rPr>
                <w:rFonts w:ascii="Arial" w:eastAsia="MS Mincho" w:hAnsi="Arial" w:cs="Arial"/>
                <w:sz w:val="24"/>
                <w:szCs w:val="24"/>
                <w:u w:val="single"/>
                <w:lang w:val="en-GB"/>
              </w:rPr>
            </w:pPr>
            <w:r w:rsidRPr="00667ED0">
              <w:rPr>
                <w:rFonts w:ascii="Arial" w:eastAsia="MS Mincho" w:hAnsi="Arial" w:cs="Arial"/>
                <w:sz w:val="24"/>
                <w:szCs w:val="24"/>
                <w:u w:val="single"/>
                <w:lang w:val="en-GB"/>
              </w:rPr>
              <w:t>Introduction and background</w:t>
            </w:r>
          </w:p>
          <w:p w:rsidR="00667ED0" w:rsidRPr="004A1792" w:rsidRDefault="00667ED0" w:rsidP="00667ED0">
            <w:pPr>
              <w:spacing w:after="0" w:line="360" w:lineRule="auto"/>
              <w:jc w:val="both"/>
              <w:rPr>
                <w:rFonts w:ascii="Arial" w:eastAsia="MS Mincho" w:hAnsi="Arial" w:cs="Arial"/>
                <w:sz w:val="16"/>
                <w:szCs w:val="16"/>
                <w:lang w:val="en-GB"/>
              </w:rPr>
            </w:pPr>
          </w:p>
          <w:p w:rsidR="00667ED0" w:rsidRPr="00667ED0" w:rsidRDefault="00667ED0" w:rsidP="00667ED0">
            <w:pPr>
              <w:spacing w:after="0" w:line="360" w:lineRule="auto"/>
              <w:jc w:val="both"/>
              <w:rPr>
                <w:rFonts w:ascii="Arial" w:eastAsia="MS Mincho" w:hAnsi="Arial" w:cs="Arial"/>
                <w:sz w:val="24"/>
                <w:szCs w:val="24"/>
              </w:rPr>
            </w:pPr>
            <w:r w:rsidRPr="00667ED0">
              <w:rPr>
                <w:rFonts w:ascii="Arial" w:eastAsia="MS Mincho" w:hAnsi="Arial" w:cs="Arial"/>
                <w:sz w:val="24"/>
                <w:szCs w:val="24"/>
                <w:lang w:val="en-GB"/>
              </w:rPr>
              <w:t>[1]</w:t>
            </w:r>
            <w:r w:rsidRPr="00667ED0">
              <w:rPr>
                <w:rFonts w:ascii="Arial" w:eastAsia="MS Mincho" w:hAnsi="Arial" w:cs="Arial"/>
                <w:sz w:val="24"/>
                <w:szCs w:val="24"/>
                <w:lang w:val="en-GB"/>
              </w:rPr>
              <w:tab/>
              <w:t xml:space="preserve">The applicant is the plaintiff in the main action. It is a private company registered in Namibia and is in the business of selling and distributing medical equipment. The respondent is the </w:t>
            </w:r>
            <w:r w:rsidRPr="00667ED0">
              <w:rPr>
                <w:rFonts w:ascii="Arial" w:eastAsia="MS Mincho" w:hAnsi="Arial" w:cs="Arial"/>
                <w:sz w:val="24"/>
                <w:szCs w:val="24"/>
                <w:lang w:val="en-GB"/>
              </w:rPr>
              <w:lastRenderedPageBreak/>
              <w:t xml:space="preserve">defendant in the main action and he is a general medical practitioner, practising in Windhoek under the name and style of </w:t>
            </w:r>
            <w:proofErr w:type="spellStart"/>
            <w:r w:rsidRPr="00667ED0">
              <w:rPr>
                <w:rFonts w:ascii="Arial" w:eastAsia="MS Mincho" w:hAnsi="Arial" w:cs="Arial"/>
                <w:sz w:val="24"/>
                <w:szCs w:val="24"/>
              </w:rPr>
              <w:t>Fynn</w:t>
            </w:r>
            <w:proofErr w:type="spellEnd"/>
            <w:r w:rsidRPr="00667ED0">
              <w:rPr>
                <w:rFonts w:ascii="Arial" w:eastAsia="MS Mincho" w:hAnsi="Arial" w:cs="Arial"/>
                <w:sz w:val="24"/>
                <w:szCs w:val="24"/>
              </w:rPr>
              <w:t xml:space="preserve"> and Associates Radiology.</w:t>
            </w:r>
            <w:r w:rsidR="0026253B">
              <w:rPr>
                <w:rFonts w:ascii="Arial" w:eastAsia="MS Mincho" w:hAnsi="Arial" w:cs="Arial"/>
                <w:sz w:val="24"/>
                <w:szCs w:val="24"/>
              </w:rPr>
              <w:t xml:space="preserve"> I will, for</w:t>
            </w:r>
            <w:r w:rsidRPr="00667ED0">
              <w:rPr>
                <w:rFonts w:ascii="Arial" w:eastAsia="MS Mincho" w:hAnsi="Arial" w:cs="Arial"/>
                <w:sz w:val="24"/>
                <w:szCs w:val="24"/>
              </w:rPr>
              <w:t xml:space="preserve"> sake of convenience, refer to the applicant as t</w:t>
            </w:r>
            <w:r w:rsidR="0026253B">
              <w:rPr>
                <w:rFonts w:ascii="Arial" w:eastAsia="MS Mincho" w:hAnsi="Arial" w:cs="Arial"/>
                <w:sz w:val="24"/>
                <w:szCs w:val="24"/>
              </w:rPr>
              <w:t>he plaintiff and the respondent</w:t>
            </w:r>
            <w:r w:rsidRPr="00667ED0">
              <w:rPr>
                <w:rFonts w:ascii="Arial" w:eastAsia="MS Mincho" w:hAnsi="Arial" w:cs="Arial"/>
                <w:sz w:val="24"/>
                <w:szCs w:val="24"/>
              </w:rPr>
              <w:t xml:space="preserve"> as the defendant.</w:t>
            </w:r>
          </w:p>
          <w:p w:rsidR="00667ED0" w:rsidRPr="00667ED0" w:rsidRDefault="00667ED0" w:rsidP="00667ED0">
            <w:pPr>
              <w:spacing w:after="0" w:line="360" w:lineRule="auto"/>
              <w:jc w:val="both"/>
              <w:rPr>
                <w:rFonts w:ascii="Arial" w:eastAsia="MS Mincho" w:hAnsi="Arial" w:cs="Arial"/>
                <w:sz w:val="24"/>
                <w:szCs w:val="24"/>
              </w:rPr>
            </w:pPr>
          </w:p>
          <w:p w:rsidR="00667ED0" w:rsidRPr="00667ED0" w:rsidRDefault="00667ED0" w:rsidP="00667ED0">
            <w:pPr>
              <w:spacing w:after="0" w:line="360" w:lineRule="auto"/>
              <w:jc w:val="both"/>
              <w:rPr>
                <w:rFonts w:ascii="Arial" w:eastAsia="MS Mincho" w:hAnsi="Arial" w:cs="Arial"/>
                <w:sz w:val="24"/>
                <w:szCs w:val="24"/>
              </w:rPr>
            </w:pPr>
            <w:r w:rsidRPr="00667ED0">
              <w:rPr>
                <w:rFonts w:ascii="Arial" w:eastAsia="MS Mincho" w:hAnsi="Arial" w:cs="Arial"/>
                <w:sz w:val="24"/>
                <w:szCs w:val="24"/>
              </w:rPr>
              <w:t>[2]</w:t>
            </w:r>
            <w:r w:rsidRPr="00667ED0">
              <w:rPr>
                <w:rFonts w:ascii="Arial" w:eastAsia="MS Mincho" w:hAnsi="Arial" w:cs="Arial"/>
                <w:sz w:val="24"/>
                <w:szCs w:val="24"/>
              </w:rPr>
              <w:tab/>
              <w:t xml:space="preserve">On 29 July 2020, and at Windhoek, the plaintiff and the defendant concluded an agreement in terms of which the plaintiff sold and the defendant bought two </w:t>
            </w:r>
            <w:proofErr w:type="spellStart"/>
            <w:r w:rsidRPr="00667ED0">
              <w:rPr>
                <w:rFonts w:ascii="Arial" w:eastAsia="MS Mincho" w:hAnsi="Arial" w:cs="Arial"/>
                <w:sz w:val="24"/>
                <w:szCs w:val="24"/>
              </w:rPr>
              <w:t>Aquilion</w:t>
            </w:r>
            <w:proofErr w:type="spellEnd"/>
            <w:r w:rsidRPr="00667ED0">
              <w:rPr>
                <w:rFonts w:ascii="Arial" w:eastAsia="MS Mincho" w:hAnsi="Arial" w:cs="Arial"/>
                <w:sz w:val="24"/>
                <w:szCs w:val="24"/>
              </w:rPr>
              <w:t xml:space="preserve"> Start 16 Slice CT Scanners (together with all anc</w:t>
            </w:r>
            <w:r w:rsidR="0026253B">
              <w:rPr>
                <w:rFonts w:ascii="Arial" w:eastAsia="MS Mincho" w:hAnsi="Arial" w:cs="Arial"/>
                <w:sz w:val="24"/>
                <w:szCs w:val="24"/>
              </w:rPr>
              <w:t>illary software and material) (</w:t>
            </w:r>
            <w:r w:rsidR="00964161">
              <w:rPr>
                <w:rFonts w:ascii="Arial" w:eastAsia="MS Mincho" w:hAnsi="Arial" w:cs="Arial"/>
                <w:sz w:val="24"/>
                <w:szCs w:val="24"/>
              </w:rPr>
              <w:t xml:space="preserve">herein </w:t>
            </w:r>
            <w:r w:rsidR="0026253B">
              <w:rPr>
                <w:rFonts w:ascii="Arial" w:eastAsia="MS Mincho" w:hAnsi="Arial" w:cs="Arial"/>
                <w:sz w:val="24"/>
                <w:szCs w:val="24"/>
              </w:rPr>
              <w:t>‘scanners’</w:t>
            </w:r>
            <w:r w:rsidRPr="00667ED0">
              <w:rPr>
                <w:rFonts w:ascii="Arial" w:eastAsia="MS Mincho" w:hAnsi="Arial" w:cs="Arial"/>
                <w:sz w:val="24"/>
                <w:szCs w:val="24"/>
              </w:rPr>
              <w:t xml:space="preserve">), for </w:t>
            </w:r>
            <w:r w:rsidR="0026253B">
              <w:rPr>
                <w:rFonts w:ascii="Arial" w:eastAsia="MS Mincho" w:hAnsi="Arial" w:cs="Arial"/>
                <w:sz w:val="24"/>
                <w:szCs w:val="24"/>
              </w:rPr>
              <w:t>a purchase consideration of N$7 078 367,38 (inclusive of VAT) (</w:t>
            </w:r>
            <w:r w:rsidR="00964161">
              <w:rPr>
                <w:rFonts w:ascii="Arial" w:eastAsia="MS Mincho" w:hAnsi="Arial" w:cs="Arial"/>
                <w:sz w:val="24"/>
                <w:szCs w:val="24"/>
              </w:rPr>
              <w:t xml:space="preserve"> herein </w:t>
            </w:r>
            <w:r w:rsidR="0026253B">
              <w:rPr>
                <w:rFonts w:ascii="Arial" w:eastAsia="MS Mincho" w:hAnsi="Arial" w:cs="Arial"/>
                <w:sz w:val="24"/>
                <w:szCs w:val="24"/>
              </w:rPr>
              <w:t>‘</w:t>
            </w:r>
            <w:r w:rsidRPr="00667ED0">
              <w:rPr>
                <w:rFonts w:ascii="Arial" w:eastAsia="MS Mincho" w:hAnsi="Arial" w:cs="Arial"/>
                <w:sz w:val="24"/>
                <w:szCs w:val="24"/>
              </w:rPr>
              <w:t>purchase</w:t>
            </w:r>
            <w:r w:rsidR="0026253B">
              <w:rPr>
                <w:rFonts w:ascii="Arial" w:eastAsia="MS Mincho" w:hAnsi="Arial" w:cs="Arial"/>
                <w:sz w:val="24"/>
                <w:szCs w:val="24"/>
              </w:rPr>
              <w:t xml:space="preserve"> price’</w:t>
            </w:r>
            <w:r w:rsidRPr="00667ED0">
              <w:rPr>
                <w:rFonts w:ascii="Arial" w:eastAsia="MS Mincho" w:hAnsi="Arial" w:cs="Arial"/>
                <w:sz w:val="24"/>
                <w:szCs w:val="24"/>
              </w:rPr>
              <w:t>).</w:t>
            </w:r>
          </w:p>
          <w:p w:rsidR="00667ED0" w:rsidRPr="00667ED0" w:rsidRDefault="00667ED0" w:rsidP="00667ED0">
            <w:pPr>
              <w:spacing w:after="0" w:line="360" w:lineRule="auto"/>
              <w:jc w:val="both"/>
              <w:rPr>
                <w:rFonts w:ascii="Arial" w:eastAsia="MS Mincho" w:hAnsi="Arial" w:cs="Arial"/>
                <w:sz w:val="24"/>
                <w:szCs w:val="24"/>
              </w:rPr>
            </w:pPr>
          </w:p>
          <w:p w:rsidR="00667ED0" w:rsidRPr="00667ED0" w:rsidRDefault="00667ED0" w:rsidP="00667ED0">
            <w:pPr>
              <w:spacing w:after="0" w:line="360" w:lineRule="auto"/>
              <w:jc w:val="both"/>
              <w:rPr>
                <w:rFonts w:ascii="Arial" w:eastAsia="MS Mincho" w:hAnsi="Arial" w:cs="Arial"/>
                <w:sz w:val="24"/>
                <w:szCs w:val="24"/>
              </w:rPr>
            </w:pPr>
            <w:r w:rsidRPr="00667ED0">
              <w:rPr>
                <w:rFonts w:ascii="Arial" w:eastAsia="MS Mincho" w:hAnsi="Arial" w:cs="Arial"/>
                <w:sz w:val="24"/>
                <w:szCs w:val="24"/>
              </w:rPr>
              <w:t>[3]</w:t>
            </w:r>
            <w:r w:rsidRPr="00667ED0">
              <w:rPr>
                <w:rFonts w:ascii="Arial" w:eastAsia="MS Mincho" w:hAnsi="Arial" w:cs="Arial"/>
                <w:sz w:val="24"/>
                <w:szCs w:val="24"/>
              </w:rPr>
              <w:tab/>
              <w:t>In terms of the agreement</w:t>
            </w:r>
            <w:r w:rsidR="0026253B">
              <w:rPr>
                <w:rFonts w:ascii="Arial" w:eastAsia="MS Mincho" w:hAnsi="Arial" w:cs="Arial"/>
                <w:sz w:val="24"/>
                <w:szCs w:val="24"/>
              </w:rPr>
              <w:t>,</w:t>
            </w:r>
            <w:r w:rsidRPr="00667ED0">
              <w:rPr>
                <w:rFonts w:ascii="Arial" w:eastAsia="MS Mincho" w:hAnsi="Arial" w:cs="Arial"/>
                <w:sz w:val="24"/>
                <w:szCs w:val="24"/>
              </w:rPr>
              <w:t xml:space="preserve"> the defendant had to pay the plaintiff the purchase price of the scanners upon the defendant's acceptance of the quotation proposal and within 30 days of receipt of an invoice for the scanners. In the event that the defendant fails to pay the invoices on the due date, the outstanding amounts would bear interest on a basis of prime plus 3% per annum charged per month on the outstanding balance.</w:t>
            </w:r>
          </w:p>
          <w:p w:rsidR="00667ED0" w:rsidRPr="00667ED0" w:rsidRDefault="00667ED0" w:rsidP="00667ED0">
            <w:pPr>
              <w:spacing w:after="0" w:line="360" w:lineRule="auto"/>
              <w:jc w:val="both"/>
              <w:rPr>
                <w:rFonts w:ascii="Arial" w:eastAsia="MS Mincho" w:hAnsi="Arial" w:cs="Arial"/>
                <w:sz w:val="24"/>
                <w:szCs w:val="24"/>
              </w:rPr>
            </w:pPr>
          </w:p>
          <w:p w:rsidR="00667ED0" w:rsidRPr="00667ED0" w:rsidRDefault="00667ED0" w:rsidP="00667ED0">
            <w:pPr>
              <w:spacing w:after="0" w:line="360" w:lineRule="auto"/>
              <w:jc w:val="both"/>
              <w:rPr>
                <w:rFonts w:ascii="Arial" w:eastAsia="MS Mincho" w:hAnsi="Arial" w:cs="Arial"/>
                <w:sz w:val="24"/>
                <w:szCs w:val="24"/>
              </w:rPr>
            </w:pPr>
            <w:r w:rsidRPr="00667ED0">
              <w:rPr>
                <w:rFonts w:ascii="Arial" w:eastAsia="MS Mincho" w:hAnsi="Arial" w:cs="Arial"/>
                <w:sz w:val="24"/>
                <w:szCs w:val="24"/>
              </w:rPr>
              <w:t>[4]</w:t>
            </w:r>
            <w:r w:rsidRPr="00667ED0">
              <w:rPr>
                <w:rFonts w:ascii="Arial" w:eastAsia="MS Mincho" w:hAnsi="Arial" w:cs="Arial"/>
                <w:sz w:val="24"/>
                <w:szCs w:val="24"/>
              </w:rPr>
              <w:tab/>
              <w:t>From the pleadings, it appears that by January 2022, that is approximately 18 months after the scanners were sold</w:t>
            </w:r>
            <w:r w:rsidR="00CA45B2">
              <w:rPr>
                <w:rFonts w:ascii="Arial" w:eastAsia="MS Mincho" w:hAnsi="Arial" w:cs="Arial"/>
                <w:sz w:val="24"/>
                <w:szCs w:val="24"/>
              </w:rPr>
              <w:t xml:space="preserve"> to the defendant, the latter had only paid N$2 193 921,</w:t>
            </w:r>
            <w:r w:rsidRPr="00667ED0">
              <w:rPr>
                <w:rFonts w:ascii="Arial" w:eastAsia="MS Mincho" w:hAnsi="Arial" w:cs="Arial"/>
                <w:sz w:val="24"/>
                <w:szCs w:val="24"/>
              </w:rPr>
              <w:t xml:space="preserve">95 of the purchase consideration of </w:t>
            </w:r>
            <w:r w:rsidR="00CA45B2">
              <w:rPr>
                <w:rFonts w:ascii="Arial" w:eastAsia="MS Mincho" w:hAnsi="Arial" w:cs="Arial"/>
                <w:sz w:val="24"/>
                <w:szCs w:val="24"/>
              </w:rPr>
              <w:t>N$7 078 367,</w:t>
            </w:r>
            <w:r w:rsidRPr="00667ED0">
              <w:rPr>
                <w:rFonts w:ascii="Arial" w:eastAsia="MS Mincho" w:hAnsi="Arial" w:cs="Arial"/>
                <w:sz w:val="24"/>
                <w:szCs w:val="24"/>
              </w:rPr>
              <w:t xml:space="preserve">38 </w:t>
            </w:r>
            <w:r w:rsidR="00CA45B2">
              <w:rPr>
                <w:rFonts w:ascii="Arial" w:eastAsia="MS Mincho" w:hAnsi="Arial" w:cs="Arial"/>
                <w:sz w:val="24"/>
                <w:szCs w:val="24"/>
              </w:rPr>
              <w:t>leaving a balance of N$4 884 445,</w:t>
            </w:r>
            <w:r w:rsidRPr="00667ED0">
              <w:rPr>
                <w:rFonts w:ascii="Arial" w:eastAsia="MS Mincho" w:hAnsi="Arial" w:cs="Arial"/>
                <w:sz w:val="24"/>
                <w:szCs w:val="24"/>
              </w:rPr>
              <w:t xml:space="preserve">43. </w:t>
            </w:r>
          </w:p>
          <w:p w:rsidR="00667ED0" w:rsidRPr="00667ED0" w:rsidRDefault="00667ED0" w:rsidP="00667ED0">
            <w:pPr>
              <w:spacing w:after="0" w:line="360" w:lineRule="auto"/>
              <w:jc w:val="both"/>
              <w:rPr>
                <w:rFonts w:ascii="Arial" w:eastAsia="MS Mincho" w:hAnsi="Arial" w:cs="Arial"/>
                <w:sz w:val="24"/>
                <w:szCs w:val="24"/>
              </w:rPr>
            </w:pPr>
          </w:p>
          <w:p w:rsidR="00667ED0" w:rsidRPr="00667ED0" w:rsidRDefault="00667ED0" w:rsidP="00667ED0">
            <w:pPr>
              <w:spacing w:after="0" w:line="360" w:lineRule="auto"/>
              <w:jc w:val="both"/>
              <w:rPr>
                <w:rFonts w:ascii="Arial" w:eastAsia="MS Mincho" w:hAnsi="Arial" w:cs="Arial"/>
                <w:sz w:val="24"/>
                <w:szCs w:val="24"/>
              </w:rPr>
            </w:pPr>
            <w:r w:rsidRPr="00667ED0">
              <w:rPr>
                <w:rFonts w:ascii="Arial" w:eastAsia="MS Mincho" w:hAnsi="Arial" w:cs="Arial"/>
                <w:sz w:val="24"/>
                <w:szCs w:val="24"/>
              </w:rPr>
              <w:t>[5]</w:t>
            </w:r>
            <w:r w:rsidRPr="00667ED0">
              <w:rPr>
                <w:rFonts w:ascii="Arial" w:eastAsia="MS Mincho" w:hAnsi="Arial" w:cs="Arial"/>
                <w:sz w:val="24"/>
                <w:szCs w:val="24"/>
              </w:rPr>
              <w:tab/>
              <w:t xml:space="preserve">On 22 February 2022 the parties, that is, the defendant and a certain </w:t>
            </w:r>
            <w:proofErr w:type="spellStart"/>
            <w:r w:rsidRPr="00667ED0">
              <w:rPr>
                <w:rFonts w:ascii="Arial" w:eastAsia="MS Mincho" w:hAnsi="Arial" w:cs="Arial"/>
                <w:sz w:val="24"/>
                <w:szCs w:val="24"/>
              </w:rPr>
              <w:t>Mr</w:t>
            </w:r>
            <w:proofErr w:type="spellEnd"/>
            <w:r w:rsidRPr="00667ED0">
              <w:rPr>
                <w:rFonts w:ascii="Arial" w:eastAsia="MS Mincho" w:hAnsi="Arial" w:cs="Arial"/>
                <w:sz w:val="24"/>
                <w:szCs w:val="24"/>
              </w:rPr>
              <w:t xml:space="preserve"> Theron</w:t>
            </w:r>
            <w:r w:rsidR="00CA45B2">
              <w:rPr>
                <w:rFonts w:ascii="Arial" w:eastAsia="MS Mincho" w:hAnsi="Arial" w:cs="Arial"/>
                <w:sz w:val="24"/>
                <w:szCs w:val="24"/>
              </w:rPr>
              <w:t>,</w:t>
            </w:r>
            <w:r w:rsidRPr="00667ED0">
              <w:rPr>
                <w:rFonts w:ascii="Arial" w:eastAsia="MS Mincho" w:hAnsi="Arial" w:cs="Arial"/>
                <w:sz w:val="24"/>
                <w:szCs w:val="24"/>
              </w:rPr>
              <w:t xml:space="preserve"> representing the plaintiff</w:t>
            </w:r>
            <w:r w:rsidR="00CA45B2">
              <w:rPr>
                <w:rFonts w:ascii="Arial" w:eastAsia="MS Mincho" w:hAnsi="Arial" w:cs="Arial"/>
                <w:sz w:val="24"/>
                <w:szCs w:val="24"/>
              </w:rPr>
              <w:t>,</w:t>
            </w:r>
            <w:r w:rsidRPr="00667ED0">
              <w:rPr>
                <w:rFonts w:ascii="Arial" w:eastAsia="MS Mincho" w:hAnsi="Arial" w:cs="Arial"/>
                <w:sz w:val="24"/>
                <w:szCs w:val="24"/>
              </w:rPr>
              <w:t xml:space="preserve"> signed a document titled ‘</w:t>
            </w:r>
            <w:r w:rsidRPr="00667ED0">
              <w:rPr>
                <w:rFonts w:ascii="Arial" w:eastAsia="MS Mincho" w:hAnsi="Arial" w:cs="Arial"/>
                <w:i/>
                <w:sz w:val="24"/>
                <w:szCs w:val="24"/>
              </w:rPr>
              <w:t>Payment Term for Canon Hid Performance CT Scanners and UPS's’</w:t>
            </w:r>
            <w:r w:rsidRPr="00667ED0">
              <w:rPr>
                <w:rFonts w:ascii="Arial" w:eastAsia="MS Mincho" w:hAnsi="Arial" w:cs="Arial"/>
                <w:sz w:val="24"/>
                <w:szCs w:val="24"/>
              </w:rPr>
              <w:t>. The document reads</w:t>
            </w:r>
            <w:r w:rsidR="00CA45B2">
              <w:rPr>
                <w:rFonts w:ascii="Arial" w:eastAsia="MS Mincho" w:hAnsi="Arial" w:cs="Arial"/>
                <w:sz w:val="24"/>
                <w:szCs w:val="24"/>
              </w:rPr>
              <w:t xml:space="preserve"> as follows (</w:t>
            </w:r>
            <w:r w:rsidRPr="00667ED0">
              <w:rPr>
                <w:rFonts w:ascii="Arial" w:eastAsia="MS Mincho" w:hAnsi="Arial" w:cs="Arial"/>
                <w:sz w:val="24"/>
                <w:szCs w:val="24"/>
              </w:rPr>
              <w:t>I quote verbatim</w:t>
            </w:r>
            <w:r w:rsidR="00CA45B2">
              <w:rPr>
                <w:rFonts w:ascii="Arial" w:eastAsia="MS Mincho" w:hAnsi="Arial" w:cs="Arial"/>
                <w:sz w:val="24"/>
                <w:szCs w:val="24"/>
              </w:rPr>
              <w:t>)</w:t>
            </w:r>
            <w:r w:rsidRPr="00667ED0">
              <w:rPr>
                <w:rFonts w:ascii="Arial" w:eastAsia="MS Mincho" w:hAnsi="Arial" w:cs="Arial"/>
                <w:sz w:val="24"/>
                <w:szCs w:val="24"/>
              </w:rPr>
              <w:t>:</w:t>
            </w:r>
          </w:p>
          <w:p w:rsidR="00667ED0" w:rsidRPr="00667ED0" w:rsidRDefault="00667ED0" w:rsidP="00667ED0">
            <w:pPr>
              <w:spacing w:after="0" w:line="360" w:lineRule="auto"/>
              <w:jc w:val="both"/>
              <w:rPr>
                <w:rFonts w:ascii="Arial" w:eastAsia="MS Mincho" w:hAnsi="Arial" w:cs="Arial"/>
                <w:sz w:val="24"/>
                <w:szCs w:val="24"/>
                <w:u w:val="single"/>
              </w:rPr>
            </w:pPr>
          </w:p>
          <w:p w:rsidR="00667ED0" w:rsidRDefault="00667ED0" w:rsidP="00667ED0">
            <w:pPr>
              <w:spacing w:after="0" w:line="360" w:lineRule="auto"/>
              <w:ind w:firstLine="709"/>
              <w:jc w:val="both"/>
              <w:rPr>
                <w:rFonts w:ascii="Arial" w:eastAsia="MS Mincho" w:hAnsi="Arial" w:cs="Arial"/>
              </w:rPr>
            </w:pPr>
            <w:r w:rsidRPr="00667ED0">
              <w:rPr>
                <w:rFonts w:ascii="Arial" w:eastAsia="MS Mincho" w:hAnsi="Arial" w:cs="Arial"/>
              </w:rPr>
              <w:t xml:space="preserve">‘I the undersigned agree to the terms of payment for the above-mentioned equipment purchased from </w:t>
            </w:r>
            <w:proofErr w:type="spellStart"/>
            <w:r w:rsidRPr="00667ED0">
              <w:rPr>
                <w:rFonts w:ascii="Arial" w:eastAsia="MS Mincho" w:hAnsi="Arial" w:cs="Arial"/>
              </w:rPr>
              <w:t>Te</w:t>
            </w:r>
            <w:r w:rsidR="004A1792">
              <w:rPr>
                <w:rFonts w:ascii="Arial" w:eastAsia="MS Mincho" w:hAnsi="Arial" w:cs="Arial"/>
              </w:rPr>
              <w:t>c</w:t>
            </w:r>
            <w:r w:rsidRPr="00667ED0">
              <w:rPr>
                <w:rFonts w:ascii="Arial" w:eastAsia="MS Mincho" w:hAnsi="Arial" w:cs="Arial"/>
              </w:rPr>
              <w:t>med</w:t>
            </w:r>
            <w:proofErr w:type="spellEnd"/>
            <w:r w:rsidRPr="00667ED0">
              <w:rPr>
                <w:rFonts w:ascii="Arial" w:eastAsia="MS Mincho" w:hAnsi="Arial" w:cs="Arial"/>
              </w:rPr>
              <w:t xml:space="preserve"> West Medical Distributor PTY LTD as set out below.</w:t>
            </w:r>
          </w:p>
          <w:p w:rsidR="003E4805" w:rsidRPr="00667ED0" w:rsidRDefault="003E4805" w:rsidP="00667ED0">
            <w:pPr>
              <w:spacing w:after="0" w:line="360" w:lineRule="auto"/>
              <w:ind w:firstLine="709"/>
              <w:jc w:val="both"/>
              <w:rPr>
                <w:rFonts w:ascii="Arial" w:eastAsia="MS Mincho" w:hAnsi="Arial" w:cs="Arial"/>
              </w:rPr>
            </w:pPr>
          </w:p>
          <w:p w:rsidR="00667ED0" w:rsidRPr="00667ED0" w:rsidRDefault="00667ED0" w:rsidP="00667ED0">
            <w:pPr>
              <w:spacing w:after="0" w:line="360" w:lineRule="auto"/>
              <w:jc w:val="both"/>
              <w:rPr>
                <w:rFonts w:ascii="Arial" w:eastAsia="MS Mincho" w:hAnsi="Arial" w:cs="Arial"/>
              </w:rPr>
            </w:pPr>
            <w:proofErr w:type="spellStart"/>
            <w:r w:rsidRPr="00667ED0">
              <w:rPr>
                <w:rFonts w:ascii="Arial" w:eastAsia="MS Mincho" w:hAnsi="Arial" w:cs="Arial"/>
              </w:rPr>
              <w:t>Aquilion</w:t>
            </w:r>
            <w:proofErr w:type="spellEnd"/>
            <w:r w:rsidRPr="00667ED0">
              <w:rPr>
                <w:rFonts w:ascii="Arial" w:eastAsia="MS Mincho" w:hAnsi="Arial" w:cs="Arial"/>
              </w:rPr>
              <w:t xml:space="preserve"> Start CT Scanners:</w:t>
            </w:r>
            <w:r w:rsidRPr="00667ED0">
              <w:rPr>
                <w:rFonts w:ascii="Arial" w:eastAsia="MS Mincho" w:hAnsi="Arial" w:cs="Arial"/>
              </w:rPr>
              <w:tab/>
            </w:r>
            <w:r w:rsidRPr="00667ED0">
              <w:rPr>
                <w:rFonts w:ascii="Arial" w:eastAsia="MS Mincho" w:hAnsi="Arial" w:cs="Arial"/>
              </w:rPr>
              <w:tab/>
            </w:r>
            <w:r w:rsidRPr="00667ED0">
              <w:rPr>
                <w:rFonts w:ascii="Arial" w:eastAsia="MS Mincho" w:hAnsi="Arial" w:cs="Arial"/>
              </w:rPr>
              <w:tab/>
            </w:r>
            <w:r w:rsidRPr="00667ED0">
              <w:rPr>
                <w:rFonts w:ascii="Arial" w:eastAsia="MS Mincho" w:hAnsi="Arial" w:cs="Arial"/>
              </w:rPr>
              <w:tab/>
              <w:t>N$ 3,539,183.68 (</w:t>
            </w:r>
            <w:proofErr w:type="spellStart"/>
            <w:r w:rsidRPr="00667ED0">
              <w:rPr>
                <w:rFonts w:ascii="Arial" w:eastAsia="MS Mincho" w:hAnsi="Arial" w:cs="Arial"/>
              </w:rPr>
              <w:t>Incl</w:t>
            </w:r>
            <w:proofErr w:type="spellEnd"/>
            <w:r w:rsidRPr="00667ED0">
              <w:rPr>
                <w:rFonts w:ascii="Arial" w:eastAsia="MS Mincho" w:hAnsi="Arial" w:cs="Arial"/>
              </w:rPr>
              <w:t xml:space="preserve"> Vat)</w:t>
            </w:r>
          </w:p>
          <w:p w:rsidR="00667ED0" w:rsidRPr="00667ED0" w:rsidRDefault="00667ED0" w:rsidP="003E4805">
            <w:pPr>
              <w:tabs>
                <w:tab w:val="left" w:pos="4996"/>
              </w:tabs>
              <w:spacing w:after="0" w:line="360" w:lineRule="auto"/>
              <w:jc w:val="both"/>
              <w:rPr>
                <w:rFonts w:ascii="Arial" w:eastAsia="MS Mincho" w:hAnsi="Arial" w:cs="Arial"/>
              </w:rPr>
            </w:pPr>
            <w:proofErr w:type="spellStart"/>
            <w:r w:rsidRPr="00667ED0">
              <w:rPr>
                <w:rFonts w:ascii="Arial" w:eastAsia="MS Mincho" w:hAnsi="Arial" w:cs="Arial"/>
              </w:rPr>
              <w:t>Tescorn</w:t>
            </w:r>
            <w:proofErr w:type="spellEnd"/>
            <w:r w:rsidRPr="00667ED0">
              <w:rPr>
                <w:rFonts w:ascii="Arial" w:eastAsia="MS Mincho" w:hAnsi="Arial" w:cs="Arial"/>
              </w:rPr>
              <w:t xml:space="preserve"> 10KVA Single Phase UPS's:</w:t>
            </w:r>
            <w:r w:rsidRPr="00667ED0">
              <w:rPr>
                <w:rFonts w:ascii="Arial" w:eastAsia="MS Mincho" w:hAnsi="Arial" w:cs="Arial"/>
              </w:rPr>
              <w:tab/>
              <w:t>N$   171,587.89 (</w:t>
            </w:r>
            <w:proofErr w:type="spellStart"/>
            <w:r w:rsidRPr="00667ED0">
              <w:rPr>
                <w:rFonts w:ascii="Arial" w:eastAsia="MS Mincho" w:hAnsi="Arial" w:cs="Arial"/>
              </w:rPr>
              <w:t>Incl</w:t>
            </w:r>
            <w:proofErr w:type="spellEnd"/>
            <w:r w:rsidRPr="00667ED0">
              <w:rPr>
                <w:rFonts w:ascii="Arial" w:eastAsia="MS Mincho" w:hAnsi="Arial" w:cs="Arial"/>
              </w:rPr>
              <w:t xml:space="preserve"> Vat)</w:t>
            </w:r>
          </w:p>
          <w:p w:rsidR="00667ED0" w:rsidRPr="00667ED0" w:rsidRDefault="00667ED0" w:rsidP="00667ED0">
            <w:pPr>
              <w:spacing w:after="0" w:line="360" w:lineRule="auto"/>
              <w:jc w:val="both"/>
              <w:rPr>
                <w:rFonts w:ascii="Arial" w:eastAsia="MS Mincho" w:hAnsi="Arial" w:cs="Arial"/>
              </w:rPr>
            </w:pPr>
            <w:r w:rsidRPr="00667ED0">
              <w:rPr>
                <w:rFonts w:ascii="Arial" w:eastAsia="MS Mincho" w:hAnsi="Arial" w:cs="Arial"/>
              </w:rPr>
              <w:t>Lead glass and Doors:</w:t>
            </w:r>
            <w:r w:rsidRPr="00667ED0">
              <w:rPr>
                <w:rFonts w:ascii="Arial" w:eastAsia="MS Mincho" w:hAnsi="Arial" w:cs="Arial"/>
              </w:rPr>
              <w:tab/>
            </w:r>
            <w:r w:rsidRPr="00667ED0">
              <w:rPr>
                <w:rFonts w:ascii="Arial" w:eastAsia="MS Mincho" w:hAnsi="Arial" w:cs="Arial"/>
              </w:rPr>
              <w:tab/>
            </w:r>
            <w:r w:rsidRPr="00667ED0">
              <w:rPr>
                <w:rFonts w:ascii="Arial" w:eastAsia="MS Mincho" w:hAnsi="Arial" w:cs="Arial"/>
              </w:rPr>
              <w:tab/>
            </w:r>
            <w:r w:rsidRPr="00667ED0">
              <w:rPr>
                <w:rFonts w:ascii="Arial" w:eastAsia="MS Mincho" w:hAnsi="Arial" w:cs="Arial"/>
              </w:rPr>
              <w:tab/>
              <w:t>N$    257,986.11 (</w:t>
            </w:r>
            <w:proofErr w:type="spellStart"/>
            <w:r w:rsidRPr="00667ED0">
              <w:rPr>
                <w:rFonts w:ascii="Arial" w:eastAsia="MS Mincho" w:hAnsi="Arial" w:cs="Arial"/>
              </w:rPr>
              <w:t>Incl</w:t>
            </w:r>
            <w:proofErr w:type="spellEnd"/>
            <w:r w:rsidRPr="00667ED0">
              <w:rPr>
                <w:rFonts w:ascii="Arial" w:eastAsia="MS Mincho" w:hAnsi="Arial" w:cs="Arial"/>
              </w:rPr>
              <w:t xml:space="preserve"> Vat)</w:t>
            </w:r>
          </w:p>
          <w:p w:rsidR="00667ED0" w:rsidRPr="00667ED0" w:rsidRDefault="00667ED0" w:rsidP="00667ED0">
            <w:pPr>
              <w:spacing w:after="0" w:line="360" w:lineRule="auto"/>
              <w:jc w:val="both"/>
              <w:rPr>
                <w:rFonts w:ascii="Arial" w:eastAsia="MS Mincho" w:hAnsi="Arial" w:cs="Arial"/>
              </w:rPr>
            </w:pPr>
            <w:proofErr w:type="spellStart"/>
            <w:r w:rsidRPr="00667ED0">
              <w:rPr>
                <w:rFonts w:ascii="Arial" w:eastAsia="MS Mincho" w:hAnsi="Arial" w:cs="Arial"/>
              </w:rPr>
              <w:t>Millensys</w:t>
            </w:r>
            <w:proofErr w:type="spellEnd"/>
            <w:r w:rsidRPr="00667ED0">
              <w:rPr>
                <w:rFonts w:ascii="Arial" w:eastAsia="MS Mincho" w:hAnsi="Arial" w:cs="Arial"/>
              </w:rPr>
              <w:t xml:space="preserve"> </w:t>
            </w:r>
            <w:proofErr w:type="spellStart"/>
            <w:r w:rsidRPr="00667ED0">
              <w:rPr>
                <w:rFonts w:ascii="Arial" w:eastAsia="MS Mincho" w:hAnsi="Arial" w:cs="Arial"/>
              </w:rPr>
              <w:t>Mipublisher</w:t>
            </w:r>
            <w:proofErr w:type="spellEnd"/>
            <w:r w:rsidRPr="00667ED0">
              <w:rPr>
                <w:rFonts w:ascii="Arial" w:eastAsia="MS Mincho" w:hAnsi="Arial" w:cs="Arial"/>
              </w:rPr>
              <w:t>:</w:t>
            </w:r>
            <w:r w:rsidRPr="00667ED0">
              <w:rPr>
                <w:rFonts w:ascii="Arial" w:eastAsia="MS Mincho" w:hAnsi="Arial" w:cs="Arial"/>
              </w:rPr>
              <w:tab/>
            </w:r>
            <w:r w:rsidRPr="00667ED0">
              <w:rPr>
                <w:rFonts w:ascii="Arial" w:eastAsia="MS Mincho" w:hAnsi="Arial" w:cs="Arial"/>
              </w:rPr>
              <w:tab/>
            </w:r>
            <w:r w:rsidRPr="00667ED0">
              <w:rPr>
                <w:rFonts w:ascii="Arial" w:eastAsia="MS Mincho" w:hAnsi="Arial" w:cs="Arial"/>
              </w:rPr>
              <w:tab/>
            </w:r>
            <w:r w:rsidRPr="00667ED0">
              <w:rPr>
                <w:rFonts w:ascii="Arial" w:eastAsia="MS Mincho" w:hAnsi="Arial" w:cs="Arial"/>
              </w:rPr>
              <w:tab/>
            </w:r>
            <w:r w:rsidRPr="00667ED0">
              <w:rPr>
                <w:rFonts w:ascii="Arial" w:eastAsia="MS Mincho" w:hAnsi="Arial" w:cs="Arial"/>
              </w:rPr>
              <w:tab/>
              <w:t>N$   629,339.64 (</w:t>
            </w:r>
            <w:proofErr w:type="spellStart"/>
            <w:r w:rsidRPr="00667ED0">
              <w:rPr>
                <w:rFonts w:ascii="Arial" w:eastAsia="MS Mincho" w:hAnsi="Arial" w:cs="Arial"/>
              </w:rPr>
              <w:t>Incl</w:t>
            </w:r>
            <w:proofErr w:type="spellEnd"/>
            <w:r w:rsidRPr="00667ED0">
              <w:rPr>
                <w:rFonts w:ascii="Arial" w:eastAsia="MS Mincho" w:hAnsi="Arial" w:cs="Arial"/>
              </w:rPr>
              <w:t xml:space="preserve"> Vat)</w:t>
            </w:r>
          </w:p>
          <w:p w:rsidR="00667ED0" w:rsidRPr="00667ED0" w:rsidRDefault="00667ED0" w:rsidP="00667ED0">
            <w:pPr>
              <w:spacing w:after="0" w:line="360" w:lineRule="auto"/>
              <w:jc w:val="both"/>
              <w:rPr>
                <w:rFonts w:ascii="Arial" w:eastAsia="MS Mincho" w:hAnsi="Arial" w:cs="Arial"/>
              </w:rPr>
            </w:pPr>
            <w:r w:rsidRPr="00667ED0">
              <w:rPr>
                <w:rFonts w:ascii="Arial" w:eastAsia="MS Mincho" w:hAnsi="Arial" w:cs="Arial"/>
              </w:rPr>
              <w:t>AGFA CR30 MX:</w:t>
            </w:r>
            <w:r w:rsidRPr="00667ED0">
              <w:rPr>
                <w:rFonts w:ascii="Arial" w:eastAsia="MS Mincho" w:hAnsi="Arial" w:cs="Arial"/>
              </w:rPr>
              <w:tab/>
            </w:r>
            <w:r w:rsidRPr="00667ED0">
              <w:rPr>
                <w:rFonts w:ascii="Arial" w:eastAsia="MS Mincho" w:hAnsi="Arial" w:cs="Arial"/>
              </w:rPr>
              <w:tab/>
            </w:r>
            <w:r w:rsidRPr="00667ED0">
              <w:rPr>
                <w:rFonts w:ascii="Arial" w:eastAsia="MS Mincho" w:hAnsi="Arial" w:cs="Arial"/>
              </w:rPr>
              <w:tab/>
            </w:r>
            <w:r w:rsidRPr="00667ED0">
              <w:rPr>
                <w:rFonts w:ascii="Arial" w:eastAsia="MS Mincho" w:hAnsi="Arial" w:cs="Arial"/>
              </w:rPr>
              <w:tab/>
            </w:r>
            <w:r w:rsidRPr="00667ED0">
              <w:rPr>
                <w:rFonts w:ascii="Arial" w:eastAsia="MS Mincho" w:hAnsi="Arial" w:cs="Arial"/>
              </w:rPr>
              <w:tab/>
              <w:t>N$   286,348.11 (</w:t>
            </w:r>
            <w:proofErr w:type="spellStart"/>
            <w:r w:rsidRPr="00667ED0">
              <w:rPr>
                <w:rFonts w:ascii="Arial" w:eastAsia="MS Mincho" w:hAnsi="Arial" w:cs="Arial"/>
              </w:rPr>
              <w:t>Incl</w:t>
            </w:r>
            <w:proofErr w:type="spellEnd"/>
            <w:r w:rsidRPr="00667ED0">
              <w:rPr>
                <w:rFonts w:ascii="Arial" w:eastAsia="MS Mincho" w:hAnsi="Arial" w:cs="Arial"/>
              </w:rPr>
              <w:t xml:space="preserve"> Vat)</w:t>
            </w:r>
          </w:p>
          <w:p w:rsidR="00667ED0" w:rsidRPr="00667ED0" w:rsidRDefault="00667ED0" w:rsidP="00667ED0">
            <w:pPr>
              <w:spacing w:after="0" w:line="360" w:lineRule="auto"/>
              <w:jc w:val="both"/>
              <w:rPr>
                <w:rFonts w:ascii="Arial" w:eastAsia="MS Mincho" w:hAnsi="Arial" w:cs="Arial"/>
              </w:rPr>
            </w:pPr>
            <w:r w:rsidRPr="00667ED0">
              <w:rPr>
                <w:rFonts w:ascii="Arial" w:eastAsia="MS Mincho" w:hAnsi="Arial" w:cs="Arial"/>
              </w:rPr>
              <w:t>Remaining Balance:</w:t>
            </w:r>
            <w:r w:rsidRPr="00667ED0">
              <w:rPr>
                <w:rFonts w:ascii="Arial" w:eastAsia="MS Mincho" w:hAnsi="Arial" w:cs="Arial"/>
              </w:rPr>
              <w:tab/>
            </w:r>
            <w:r w:rsidRPr="00667ED0">
              <w:rPr>
                <w:rFonts w:ascii="Arial" w:eastAsia="MS Mincho" w:hAnsi="Arial" w:cs="Arial"/>
              </w:rPr>
              <w:tab/>
            </w:r>
            <w:r w:rsidRPr="00667ED0">
              <w:rPr>
                <w:rFonts w:ascii="Arial" w:eastAsia="MS Mincho" w:hAnsi="Arial" w:cs="Arial"/>
              </w:rPr>
              <w:tab/>
            </w:r>
            <w:r w:rsidRPr="00667ED0">
              <w:rPr>
                <w:rFonts w:ascii="Arial" w:eastAsia="MS Mincho" w:hAnsi="Arial" w:cs="Arial"/>
              </w:rPr>
              <w:tab/>
            </w:r>
            <w:r w:rsidRPr="00667ED0">
              <w:rPr>
                <w:rFonts w:ascii="Arial" w:eastAsia="MS Mincho" w:hAnsi="Arial" w:cs="Arial"/>
              </w:rPr>
              <w:tab/>
            </w:r>
            <w:r w:rsidR="00A41625">
              <w:rPr>
                <w:rFonts w:ascii="Arial" w:eastAsia="MS Mincho" w:hAnsi="Arial" w:cs="Arial"/>
              </w:rPr>
              <w:t>N$ 4,</w:t>
            </w:r>
            <w:r w:rsidRPr="00667ED0">
              <w:rPr>
                <w:rFonts w:ascii="Arial" w:eastAsia="MS Mincho" w:hAnsi="Arial" w:cs="Arial"/>
              </w:rPr>
              <w:t>884,445.43 (</w:t>
            </w:r>
            <w:proofErr w:type="spellStart"/>
            <w:r w:rsidRPr="00667ED0">
              <w:rPr>
                <w:rFonts w:ascii="Arial" w:eastAsia="MS Mincho" w:hAnsi="Arial" w:cs="Arial"/>
              </w:rPr>
              <w:t>Incl</w:t>
            </w:r>
            <w:proofErr w:type="spellEnd"/>
            <w:r w:rsidRPr="00667ED0">
              <w:rPr>
                <w:rFonts w:ascii="Arial" w:eastAsia="MS Mincho" w:hAnsi="Arial" w:cs="Arial"/>
              </w:rPr>
              <w:t xml:space="preserve"> Vat)</w:t>
            </w:r>
          </w:p>
          <w:p w:rsidR="00667ED0" w:rsidRPr="00667ED0" w:rsidRDefault="00667ED0" w:rsidP="00667ED0">
            <w:pPr>
              <w:spacing w:after="0" w:line="360" w:lineRule="auto"/>
              <w:jc w:val="both"/>
              <w:rPr>
                <w:rFonts w:ascii="Arial" w:eastAsia="MS Mincho" w:hAnsi="Arial" w:cs="Arial"/>
              </w:rPr>
            </w:pPr>
          </w:p>
          <w:p w:rsidR="00667ED0" w:rsidRPr="00667ED0" w:rsidRDefault="00667ED0" w:rsidP="00667ED0">
            <w:pPr>
              <w:spacing w:after="0" w:line="360" w:lineRule="auto"/>
              <w:jc w:val="both"/>
              <w:rPr>
                <w:rFonts w:ascii="Arial" w:eastAsia="MS Mincho" w:hAnsi="Arial" w:cs="Arial"/>
              </w:rPr>
            </w:pPr>
            <w:r w:rsidRPr="00667ED0">
              <w:rPr>
                <w:rFonts w:ascii="Arial" w:eastAsia="MS Mincho" w:hAnsi="Arial" w:cs="Arial"/>
              </w:rPr>
              <w:t>The remaining balance will be settled monthly over a period of 12 Months to the value of</w:t>
            </w:r>
            <w:r w:rsidRPr="00667ED0">
              <w:rPr>
                <w:rFonts w:ascii="Arial" w:eastAsia="MS Mincho" w:hAnsi="Arial" w:cs="Arial"/>
                <w:vertAlign w:val="superscript"/>
              </w:rPr>
              <w:t>-</w:t>
            </w:r>
            <w:r w:rsidRPr="00667ED0">
              <w:rPr>
                <w:rFonts w:ascii="Arial" w:eastAsia="MS Mincho" w:hAnsi="Arial" w:cs="Arial"/>
              </w:rPr>
              <w:t xml:space="preserve"> N$ 407,037.12.’</w:t>
            </w:r>
          </w:p>
          <w:p w:rsidR="00667ED0" w:rsidRPr="00667ED0" w:rsidRDefault="00667ED0" w:rsidP="00667ED0">
            <w:pPr>
              <w:spacing w:after="0" w:line="360" w:lineRule="auto"/>
              <w:jc w:val="both"/>
              <w:rPr>
                <w:rFonts w:ascii="Arial" w:eastAsia="MS Mincho" w:hAnsi="Arial" w:cs="Arial"/>
                <w:sz w:val="24"/>
                <w:szCs w:val="24"/>
              </w:rPr>
            </w:pPr>
          </w:p>
          <w:p w:rsidR="00667ED0" w:rsidRPr="00667ED0" w:rsidRDefault="00667ED0" w:rsidP="00667ED0">
            <w:pPr>
              <w:spacing w:after="0" w:line="360" w:lineRule="auto"/>
              <w:jc w:val="both"/>
              <w:rPr>
                <w:rFonts w:ascii="Arial" w:eastAsia="MS Mincho" w:hAnsi="Arial" w:cs="Arial"/>
                <w:sz w:val="24"/>
                <w:szCs w:val="24"/>
              </w:rPr>
            </w:pPr>
            <w:r w:rsidRPr="00667ED0">
              <w:rPr>
                <w:rFonts w:ascii="Arial" w:eastAsia="MS Mincho" w:hAnsi="Arial" w:cs="Arial"/>
                <w:sz w:val="24"/>
                <w:szCs w:val="24"/>
              </w:rPr>
              <w:lastRenderedPageBreak/>
              <w:t>[6]</w:t>
            </w:r>
            <w:r w:rsidRPr="00667ED0">
              <w:rPr>
                <w:rFonts w:ascii="Arial" w:eastAsia="MS Mincho" w:hAnsi="Arial" w:cs="Arial"/>
                <w:sz w:val="24"/>
                <w:szCs w:val="24"/>
              </w:rPr>
              <w:tab/>
              <w:t xml:space="preserve">The plaintiff, alleging that the defendant was in breach of the settlement agreement, on 21 January 2023, issued summons out of this court in terms of which he claimed payment in the amount of </w:t>
            </w:r>
            <w:r w:rsidR="00CA45B2">
              <w:rPr>
                <w:rFonts w:ascii="Arial" w:eastAsia="MS Mincho" w:hAnsi="Arial" w:cs="Arial"/>
                <w:sz w:val="24"/>
                <w:szCs w:val="24"/>
              </w:rPr>
              <w:t>N$4 876 031,</w:t>
            </w:r>
            <w:r w:rsidRPr="00667ED0">
              <w:rPr>
                <w:rFonts w:ascii="Arial" w:eastAsia="MS Mincho" w:hAnsi="Arial" w:cs="Arial"/>
                <w:sz w:val="24"/>
                <w:szCs w:val="24"/>
              </w:rPr>
              <w:t>83 from the defendant.</w:t>
            </w:r>
          </w:p>
          <w:p w:rsidR="00667ED0" w:rsidRPr="00667ED0" w:rsidRDefault="00667ED0" w:rsidP="00667ED0">
            <w:pPr>
              <w:spacing w:after="0" w:line="360" w:lineRule="auto"/>
              <w:jc w:val="both"/>
              <w:rPr>
                <w:rFonts w:ascii="Arial" w:eastAsia="MS Mincho" w:hAnsi="Arial" w:cs="Arial"/>
                <w:sz w:val="24"/>
                <w:szCs w:val="24"/>
              </w:rPr>
            </w:pPr>
          </w:p>
          <w:p w:rsidR="00667ED0" w:rsidRPr="00667ED0" w:rsidRDefault="00667ED0" w:rsidP="00667ED0">
            <w:pPr>
              <w:spacing w:after="0" w:line="360" w:lineRule="auto"/>
              <w:jc w:val="both"/>
              <w:rPr>
                <w:rFonts w:ascii="Arial" w:eastAsia="MS Mincho" w:hAnsi="Arial" w:cs="Arial"/>
                <w:sz w:val="24"/>
                <w:szCs w:val="24"/>
              </w:rPr>
            </w:pPr>
            <w:r w:rsidRPr="00667ED0">
              <w:rPr>
                <w:rFonts w:ascii="Arial" w:eastAsia="MS Mincho" w:hAnsi="Arial" w:cs="Arial"/>
                <w:sz w:val="24"/>
                <w:szCs w:val="24"/>
              </w:rPr>
              <w:t>[7]</w:t>
            </w:r>
            <w:r w:rsidRPr="00667ED0">
              <w:rPr>
                <w:rFonts w:ascii="Arial" w:eastAsia="MS Mincho" w:hAnsi="Arial" w:cs="Arial"/>
                <w:sz w:val="24"/>
                <w:szCs w:val="24"/>
              </w:rPr>
              <w:tab/>
              <w:t>In its particulars of claim</w:t>
            </w:r>
            <w:r w:rsidR="00CA45B2">
              <w:rPr>
                <w:rFonts w:ascii="Arial" w:eastAsia="MS Mincho" w:hAnsi="Arial" w:cs="Arial"/>
                <w:sz w:val="24"/>
                <w:szCs w:val="24"/>
              </w:rPr>
              <w:t>, the</w:t>
            </w:r>
            <w:r w:rsidRPr="00667ED0">
              <w:rPr>
                <w:rFonts w:ascii="Arial" w:eastAsia="MS Mincho" w:hAnsi="Arial" w:cs="Arial"/>
                <w:sz w:val="24"/>
                <w:szCs w:val="24"/>
              </w:rPr>
              <w:t xml:space="preserve"> plaintiff alleges that: On 22 February 2022, and at Windhoek, the plaintiff and the defendant concluded a written settlement agreement in terms of which agreement the defendant agreed to be indebted to the plaintiff in the </w:t>
            </w:r>
            <w:r w:rsidR="00CA45B2">
              <w:rPr>
                <w:rFonts w:ascii="Arial" w:eastAsia="MS Mincho" w:hAnsi="Arial" w:cs="Arial"/>
                <w:sz w:val="24"/>
                <w:szCs w:val="24"/>
              </w:rPr>
              <w:t>amount of N$4 884 445</w:t>
            </w:r>
            <w:proofErr w:type="gramStart"/>
            <w:r w:rsidR="00CA45B2">
              <w:rPr>
                <w:rFonts w:ascii="Arial" w:eastAsia="MS Mincho" w:hAnsi="Arial" w:cs="Arial"/>
                <w:sz w:val="24"/>
                <w:szCs w:val="24"/>
              </w:rPr>
              <w:t>,</w:t>
            </w:r>
            <w:r w:rsidRPr="00667ED0">
              <w:rPr>
                <w:rFonts w:ascii="Arial" w:eastAsia="MS Mincho" w:hAnsi="Arial" w:cs="Arial"/>
                <w:sz w:val="24"/>
                <w:szCs w:val="24"/>
              </w:rPr>
              <w:t>43</w:t>
            </w:r>
            <w:proofErr w:type="gramEnd"/>
            <w:r w:rsidRPr="00667ED0">
              <w:rPr>
                <w:rFonts w:ascii="Arial" w:eastAsia="MS Mincho" w:hAnsi="Arial" w:cs="Arial"/>
                <w:sz w:val="24"/>
                <w:szCs w:val="24"/>
              </w:rPr>
              <w:t xml:space="preserve"> and that the defendant agreed to repay the capital in </w:t>
            </w:r>
            <w:r w:rsidR="00CA45B2">
              <w:rPr>
                <w:rFonts w:ascii="Arial" w:eastAsia="MS Mincho" w:hAnsi="Arial" w:cs="Arial"/>
                <w:sz w:val="24"/>
                <w:szCs w:val="24"/>
              </w:rPr>
              <w:t>12 monthly instalments of N$407 037,</w:t>
            </w:r>
            <w:r w:rsidRPr="00667ED0">
              <w:rPr>
                <w:rFonts w:ascii="Arial" w:eastAsia="MS Mincho" w:hAnsi="Arial" w:cs="Arial"/>
                <w:sz w:val="24"/>
                <w:szCs w:val="24"/>
              </w:rPr>
              <w:t>12 commencing 1 March 2022, alternatively within a reasonable time from 22 February 2022.</w:t>
            </w:r>
          </w:p>
          <w:p w:rsidR="00667ED0" w:rsidRPr="00667ED0" w:rsidRDefault="00667ED0" w:rsidP="00667ED0">
            <w:pPr>
              <w:spacing w:after="0" w:line="360" w:lineRule="auto"/>
              <w:jc w:val="both"/>
              <w:rPr>
                <w:rFonts w:ascii="Arial" w:eastAsia="MS Mincho" w:hAnsi="Arial" w:cs="Arial"/>
                <w:sz w:val="24"/>
                <w:szCs w:val="24"/>
              </w:rPr>
            </w:pPr>
          </w:p>
          <w:p w:rsidR="00667ED0" w:rsidRPr="00667ED0" w:rsidRDefault="00667ED0" w:rsidP="00667ED0">
            <w:pPr>
              <w:spacing w:after="0" w:line="360" w:lineRule="auto"/>
              <w:jc w:val="both"/>
              <w:rPr>
                <w:rFonts w:ascii="Arial" w:eastAsia="MS Mincho" w:hAnsi="Arial" w:cs="Arial"/>
                <w:sz w:val="24"/>
                <w:szCs w:val="24"/>
              </w:rPr>
            </w:pPr>
            <w:r w:rsidRPr="00667ED0">
              <w:rPr>
                <w:rFonts w:ascii="Arial" w:eastAsia="MS Mincho" w:hAnsi="Arial" w:cs="Arial"/>
                <w:sz w:val="24"/>
                <w:szCs w:val="24"/>
                <w:lang w:val="en-GB"/>
              </w:rPr>
              <w:t>[8]</w:t>
            </w:r>
            <w:r w:rsidRPr="00667ED0">
              <w:rPr>
                <w:rFonts w:ascii="Arial" w:eastAsia="MS Mincho" w:hAnsi="Arial" w:cs="Arial"/>
                <w:sz w:val="24"/>
                <w:szCs w:val="24"/>
                <w:lang w:val="en-GB"/>
              </w:rPr>
              <w:tab/>
              <w:t>T</w:t>
            </w:r>
            <w:r w:rsidR="00CA45B2">
              <w:rPr>
                <w:rFonts w:ascii="Arial" w:eastAsia="MS Mincho" w:hAnsi="Arial" w:cs="Arial"/>
                <w:sz w:val="24"/>
                <w:szCs w:val="24"/>
                <w:lang w:val="en-GB"/>
              </w:rPr>
              <w:t xml:space="preserve">he plaintiff furthermore avers that </w:t>
            </w:r>
            <w:r w:rsidRPr="00667ED0">
              <w:rPr>
                <w:rFonts w:ascii="Arial" w:eastAsia="MS Mincho" w:hAnsi="Arial" w:cs="Arial"/>
                <w:sz w:val="24"/>
                <w:szCs w:val="24"/>
                <w:lang w:val="en-GB"/>
              </w:rPr>
              <w:t xml:space="preserve">it </w:t>
            </w:r>
            <w:r w:rsidRPr="00667ED0">
              <w:rPr>
                <w:rFonts w:ascii="Arial" w:eastAsia="MS Mincho" w:hAnsi="Arial" w:cs="Arial"/>
                <w:sz w:val="24"/>
                <w:szCs w:val="24"/>
              </w:rPr>
              <w:t xml:space="preserve">complied with all its obligations in terms of the settlement agreement that it may have had. </w:t>
            </w:r>
            <w:r w:rsidRPr="00667ED0">
              <w:rPr>
                <w:rFonts w:ascii="Arial" w:eastAsia="MS Mincho" w:hAnsi="Arial" w:cs="Arial"/>
                <w:sz w:val="24"/>
                <w:szCs w:val="24"/>
                <w:lang w:val="en-GB"/>
              </w:rPr>
              <w:t xml:space="preserve">The plaintiff furthermore avers that the defendant, </w:t>
            </w:r>
            <w:r w:rsidR="00CA45B2">
              <w:rPr>
                <w:rFonts w:ascii="Arial" w:eastAsia="MS Mincho" w:hAnsi="Arial" w:cs="Arial"/>
                <w:sz w:val="24"/>
                <w:szCs w:val="24"/>
                <w:lang w:val="en-GB"/>
              </w:rPr>
              <w:t>apart from a payment of N$</w:t>
            </w:r>
            <w:r w:rsidRPr="00667ED0">
              <w:rPr>
                <w:rFonts w:ascii="Arial" w:eastAsia="MS Mincho" w:hAnsi="Arial" w:cs="Arial"/>
                <w:sz w:val="24"/>
                <w:szCs w:val="24"/>
                <w:lang w:val="en-GB"/>
              </w:rPr>
              <w:t xml:space="preserve">100 000 which he made on 14 June 2022, </w:t>
            </w:r>
            <w:r w:rsidRPr="00667ED0">
              <w:rPr>
                <w:rFonts w:ascii="Arial" w:eastAsia="MS Mincho" w:hAnsi="Arial" w:cs="Arial"/>
                <w:sz w:val="24"/>
                <w:szCs w:val="24"/>
              </w:rPr>
              <w:t>breached the settlement agreement in that he failed to pay the capital within the 12 months and 12 monthly instalments agreed upon. The plaintiff avers that despite demand, the defendant has failed to pa</w:t>
            </w:r>
            <w:r w:rsidR="00CA45B2">
              <w:rPr>
                <w:rFonts w:ascii="Arial" w:eastAsia="MS Mincho" w:hAnsi="Arial" w:cs="Arial"/>
                <w:sz w:val="24"/>
                <w:szCs w:val="24"/>
              </w:rPr>
              <w:t>y the balance in the sum of N$4 876 031</w:t>
            </w:r>
            <w:proofErr w:type="gramStart"/>
            <w:r w:rsidR="00CA45B2">
              <w:rPr>
                <w:rFonts w:ascii="Arial" w:eastAsia="MS Mincho" w:hAnsi="Arial" w:cs="Arial"/>
                <w:sz w:val="24"/>
                <w:szCs w:val="24"/>
              </w:rPr>
              <w:t>,</w:t>
            </w:r>
            <w:r w:rsidRPr="00667ED0">
              <w:rPr>
                <w:rFonts w:ascii="Arial" w:eastAsia="MS Mincho" w:hAnsi="Arial" w:cs="Arial"/>
                <w:sz w:val="24"/>
                <w:szCs w:val="24"/>
              </w:rPr>
              <w:t>83</w:t>
            </w:r>
            <w:proofErr w:type="gramEnd"/>
            <w:r w:rsidRPr="00667ED0">
              <w:rPr>
                <w:rFonts w:ascii="Arial" w:eastAsia="MS Mincho" w:hAnsi="Arial" w:cs="Arial"/>
                <w:sz w:val="24"/>
                <w:szCs w:val="24"/>
              </w:rPr>
              <w:t>.</w:t>
            </w:r>
          </w:p>
          <w:p w:rsidR="00667ED0" w:rsidRPr="00667ED0" w:rsidRDefault="00667ED0" w:rsidP="00667ED0">
            <w:pPr>
              <w:spacing w:after="0" w:line="360" w:lineRule="auto"/>
              <w:jc w:val="both"/>
              <w:rPr>
                <w:rFonts w:ascii="Arial" w:eastAsia="MS Mincho" w:hAnsi="Arial" w:cs="Arial"/>
                <w:sz w:val="24"/>
                <w:szCs w:val="24"/>
              </w:rPr>
            </w:pPr>
          </w:p>
          <w:p w:rsidR="00667ED0" w:rsidRPr="00667ED0" w:rsidRDefault="00667ED0" w:rsidP="00667ED0">
            <w:pPr>
              <w:spacing w:after="0" w:line="360" w:lineRule="auto"/>
              <w:jc w:val="both"/>
              <w:rPr>
                <w:rFonts w:ascii="Arial" w:eastAsia="MS Mincho" w:hAnsi="Arial" w:cs="Arial"/>
                <w:sz w:val="24"/>
                <w:szCs w:val="24"/>
                <w:lang w:val="en-GB"/>
              </w:rPr>
            </w:pPr>
            <w:r w:rsidRPr="00667ED0">
              <w:rPr>
                <w:rFonts w:ascii="Arial" w:eastAsia="MS Mincho" w:hAnsi="Arial" w:cs="Arial"/>
                <w:sz w:val="24"/>
                <w:szCs w:val="24"/>
                <w:lang w:val="en-GB"/>
              </w:rPr>
              <w:t>[9]</w:t>
            </w:r>
            <w:r w:rsidRPr="00667ED0">
              <w:rPr>
                <w:rFonts w:ascii="Arial" w:eastAsia="MS Mincho" w:hAnsi="Arial" w:cs="Arial"/>
                <w:sz w:val="24"/>
                <w:szCs w:val="24"/>
                <w:lang w:val="en-GB"/>
              </w:rPr>
              <w:tab/>
              <w:t>The defendant</w:t>
            </w:r>
            <w:r w:rsidR="00CA45B2">
              <w:rPr>
                <w:rFonts w:ascii="Arial" w:eastAsia="MS Mincho" w:hAnsi="Arial" w:cs="Arial"/>
                <w:sz w:val="24"/>
                <w:szCs w:val="24"/>
                <w:lang w:val="en-GB"/>
              </w:rPr>
              <w:t>,</w:t>
            </w:r>
            <w:r w:rsidRPr="00667ED0">
              <w:rPr>
                <w:rFonts w:ascii="Arial" w:eastAsia="MS Mincho" w:hAnsi="Arial" w:cs="Arial"/>
                <w:sz w:val="24"/>
                <w:szCs w:val="24"/>
                <w:lang w:val="en-GB"/>
              </w:rPr>
              <w:t xml:space="preserve"> during February 2023</w:t>
            </w:r>
            <w:r w:rsidR="00CA45B2">
              <w:rPr>
                <w:rFonts w:ascii="Arial" w:eastAsia="MS Mincho" w:hAnsi="Arial" w:cs="Arial"/>
                <w:sz w:val="24"/>
                <w:szCs w:val="24"/>
                <w:lang w:val="en-GB"/>
              </w:rPr>
              <w:t>,</w:t>
            </w:r>
            <w:r w:rsidRPr="00667ED0">
              <w:rPr>
                <w:rFonts w:ascii="Arial" w:eastAsia="MS Mincho" w:hAnsi="Arial" w:cs="Arial"/>
                <w:sz w:val="24"/>
                <w:szCs w:val="24"/>
                <w:lang w:val="en-GB"/>
              </w:rPr>
              <w:t xml:space="preserve"> signified its intention to defendant the plaintiff’s claim. Upon the defendant entering his notice of intention to defend the action, the plaintiff, a</w:t>
            </w:r>
            <w:r w:rsidR="00CA45B2">
              <w:rPr>
                <w:rFonts w:ascii="Arial" w:eastAsia="MS Mincho" w:hAnsi="Arial" w:cs="Arial"/>
                <w:sz w:val="24"/>
                <w:szCs w:val="24"/>
                <w:lang w:val="en-GB"/>
              </w:rPr>
              <w:t xml:space="preserve">s it </w:t>
            </w:r>
            <w:r w:rsidRPr="00667ED0">
              <w:rPr>
                <w:rFonts w:ascii="Arial" w:eastAsia="MS Mincho" w:hAnsi="Arial" w:cs="Arial"/>
                <w:sz w:val="24"/>
                <w:szCs w:val="24"/>
                <w:lang w:val="en-GB"/>
              </w:rPr>
              <w:t>was entitled to, filed an application for summary judgment. In its application for summary judgment, the plaintiff filed an affidavit deposed to by a certain Mr Theron</w:t>
            </w:r>
            <w:r w:rsidR="00CA45B2">
              <w:rPr>
                <w:rFonts w:ascii="Arial" w:eastAsia="MS Mincho" w:hAnsi="Arial" w:cs="Arial"/>
                <w:sz w:val="24"/>
                <w:szCs w:val="24"/>
                <w:lang w:val="en-GB"/>
              </w:rPr>
              <w:t>,</w:t>
            </w:r>
            <w:r w:rsidRPr="00667ED0">
              <w:rPr>
                <w:rFonts w:ascii="Arial" w:eastAsia="MS Mincho" w:hAnsi="Arial" w:cs="Arial"/>
                <w:sz w:val="24"/>
                <w:szCs w:val="24"/>
                <w:lang w:val="en-GB"/>
              </w:rPr>
              <w:t xml:space="preserve"> a director of the plaintiff</w:t>
            </w:r>
            <w:r w:rsidR="00CA45B2">
              <w:rPr>
                <w:rFonts w:ascii="Arial" w:eastAsia="MS Mincho" w:hAnsi="Arial" w:cs="Arial"/>
                <w:sz w:val="24"/>
                <w:szCs w:val="24"/>
                <w:lang w:val="en-GB"/>
              </w:rPr>
              <w:t>,</w:t>
            </w:r>
            <w:r w:rsidRPr="00667ED0">
              <w:rPr>
                <w:rFonts w:ascii="Arial" w:eastAsia="MS Mincho" w:hAnsi="Arial" w:cs="Arial"/>
                <w:sz w:val="24"/>
                <w:szCs w:val="24"/>
                <w:lang w:val="en-GB"/>
              </w:rPr>
              <w:t xml:space="preserve"> who represented the plaintiff when the agreement w</w:t>
            </w:r>
            <w:r w:rsidR="00230105">
              <w:rPr>
                <w:rFonts w:ascii="Arial" w:eastAsia="MS Mincho" w:hAnsi="Arial" w:cs="Arial"/>
                <w:sz w:val="24"/>
                <w:szCs w:val="24"/>
                <w:lang w:val="en-GB"/>
              </w:rPr>
              <w:t>as</w:t>
            </w:r>
            <w:r w:rsidRPr="00667ED0">
              <w:rPr>
                <w:rFonts w:ascii="Arial" w:eastAsia="MS Mincho" w:hAnsi="Arial" w:cs="Arial"/>
                <w:sz w:val="24"/>
                <w:szCs w:val="24"/>
                <w:lang w:val="en-GB"/>
              </w:rPr>
              <w:t xml:space="preserve"> signed with the defendant. Mr Theron verified the cause of action in the summons and the amounts owed by the defendant. </w:t>
            </w:r>
          </w:p>
          <w:p w:rsidR="00667ED0" w:rsidRPr="00667ED0" w:rsidRDefault="00667ED0" w:rsidP="00667ED0">
            <w:pPr>
              <w:spacing w:after="0" w:line="360" w:lineRule="auto"/>
              <w:jc w:val="both"/>
              <w:rPr>
                <w:rFonts w:ascii="Arial" w:eastAsia="MS Mincho" w:hAnsi="Arial" w:cs="Arial"/>
                <w:sz w:val="24"/>
                <w:szCs w:val="24"/>
                <w:u w:val="single"/>
                <w:lang w:val="en-GB"/>
              </w:rPr>
            </w:pPr>
          </w:p>
          <w:p w:rsidR="00667ED0" w:rsidRPr="00667ED0" w:rsidRDefault="00CA45B2" w:rsidP="00667ED0">
            <w:pPr>
              <w:spacing w:after="0" w:line="360" w:lineRule="auto"/>
              <w:jc w:val="both"/>
              <w:rPr>
                <w:rFonts w:ascii="Arial" w:eastAsia="MS Mincho" w:hAnsi="Arial" w:cs="Arial"/>
                <w:sz w:val="24"/>
                <w:szCs w:val="24"/>
                <w:u w:val="single"/>
                <w:lang w:val="en-GB"/>
              </w:rPr>
            </w:pPr>
            <w:r>
              <w:rPr>
                <w:rFonts w:ascii="Arial" w:eastAsia="MS Mincho" w:hAnsi="Arial" w:cs="Arial"/>
                <w:sz w:val="24"/>
                <w:szCs w:val="24"/>
                <w:u w:val="single"/>
                <w:lang w:val="en-GB"/>
              </w:rPr>
              <w:t>Basi</w:t>
            </w:r>
            <w:r w:rsidR="00667ED0" w:rsidRPr="00667ED0">
              <w:rPr>
                <w:rFonts w:ascii="Arial" w:eastAsia="MS Mincho" w:hAnsi="Arial" w:cs="Arial"/>
                <w:sz w:val="24"/>
                <w:szCs w:val="24"/>
                <w:u w:val="single"/>
                <w:lang w:val="en-GB"/>
              </w:rPr>
              <w:t>s of opposition to summary judgment application</w:t>
            </w:r>
          </w:p>
          <w:p w:rsidR="00667ED0" w:rsidRPr="00667ED0" w:rsidRDefault="00667ED0" w:rsidP="00667ED0">
            <w:pPr>
              <w:spacing w:after="0" w:line="360" w:lineRule="auto"/>
              <w:jc w:val="both"/>
              <w:rPr>
                <w:rFonts w:ascii="Arial" w:eastAsia="MS Mincho" w:hAnsi="Arial" w:cs="Arial"/>
                <w:sz w:val="24"/>
                <w:szCs w:val="24"/>
                <w:u w:val="single"/>
                <w:lang w:val="en-GB"/>
              </w:rPr>
            </w:pPr>
          </w:p>
          <w:p w:rsidR="00667ED0" w:rsidRDefault="00667ED0" w:rsidP="00667ED0">
            <w:pPr>
              <w:spacing w:after="0" w:line="360" w:lineRule="auto"/>
              <w:jc w:val="both"/>
              <w:rPr>
                <w:rFonts w:ascii="Arial" w:eastAsia="MS Mincho" w:hAnsi="Arial" w:cs="Arial"/>
                <w:sz w:val="24"/>
                <w:szCs w:val="24"/>
              </w:rPr>
            </w:pPr>
            <w:r w:rsidRPr="00667ED0">
              <w:rPr>
                <w:rFonts w:ascii="Arial" w:eastAsia="MS Mincho" w:hAnsi="Arial" w:cs="Arial"/>
                <w:sz w:val="24"/>
                <w:szCs w:val="24"/>
                <w:lang w:val="en-GB"/>
              </w:rPr>
              <w:t>[10]</w:t>
            </w:r>
            <w:r w:rsidRPr="00667ED0">
              <w:rPr>
                <w:rFonts w:ascii="Arial" w:eastAsia="MS Mincho" w:hAnsi="Arial" w:cs="Arial"/>
                <w:sz w:val="24"/>
                <w:szCs w:val="24"/>
                <w:lang w:val="en-GB"/>
              </w:rPr>
              <w:tab/>
              <w:t>The defendant deposed to the affidavit resisting summary judgment. The defendant raised a preliminary objection to the plaintiff’s application for summary judgment. The objection raised by the defendant is that</w:t>
            </w:r>
            <w:r w:rsidRPr="00667ED0">
              <w:rPr>
                <w:rFonts w:ascii="Arial" w:eastAsia="MS Mincho" w:hAnsi="Arial" w:cs="Arial"/>
                <w:sz w:val="24"/>
                <w:szCs w:val="24"/>
              </w:rPr>
              <w:t xml:space="preserve"> the plaintiff’s application for summary judgment is defective and procedura</w:t>
            </w:r>
            <w:r w:rsidR="008F75B3">
              <w:rPr>
                <w:rFonts w:ascii="Arial" w:eastAsia="MS Mincho" w:hAnsi="Arial" w:cs="Arial"/>
                <w:sz w:val="24"/>
                <w:szCs w:val="24"/>
              </w:rPr>
              <w:t>lly flawed. He contends rule 60</w:t>
            </w:r>
            <w:r w:rsidRPr="00667ED0">
              <w:rPr>
                <w:rFonts w:ascii="Arial" w:eastAsia="MS Mincho" w:hAnsi="Arial" w:cs="Arial"/>
                <w:sz w:val="24"/>
                <w:szCs w:val="24"/>
              </w:rPr>
              <w:t>(3) of the rules of the High Court provides that:</w:t>
            </w:r>
          </w:p>
          <w:p w:rsidR="003E4805" w:rsidRPr="00667ED0" w:rsidRDefault="003E4805" w:rsidP="00667ED0">
            <w:pPr>
              <w:spacing w:after="0" w:line="360" w:lineRule="auto"/>
              <w:jc w:val="both"/>
              <w:rPr>
                <w:rFonts w:ascii="Arial" w:eastAsia="MS Mincho" w:hAnsi="Arial" w:cs="Arial"/>
                <w:sz w:val="24"/>
                <w:szCs w:val="24"/>
              </w:rPr>
            </w:pPr>
          </w:p>
          <w:p w:rsidR="00667ED0" w:rsidRPr="00667ED0" w:rsidRDefault="00667ED0" w:rsidP="00667ED0">
            <w:pPr>
              <w:spacing w:after="0" w:line="360" w:lineRule="auto"/>
              <w:ind w:firstLine="709"/>
              <w:jc w:val="both"/>
              <w:rPr>
                <w:rFonts w:ascii="Arial" w:eastAsia="MS Mincho" w:hAnsi="Arial" w:cs="Arial"/>
              </w:rPr>
            </w:pPr>
            <w:r w:rsidRPr="00667ED0">
              <w:rPr>
                <w:rFonts w:ascii="Arial" w:eastAsia="MS Mincho" w:hAnsi="Arial" w:cs="Arial"/>
              </w:rPr>
              <w:t>‘If a claim is founded on a liquid document, a copy of the document must be annexed to the affidavit and the notice of application must state that the application will be set down for hearing on a date fixed in the case plan order.’</w:t>
            </w:r>
          </w:p>
          <w:p w:rsidR="00667ED0" w:rsidRPr="00667ED0" w:rsidRDefault="00667ED0" w:rsidP="00667ED0">
            <w:pPr>
              <w:spacing w:after="0" w:line="360" w:lineRule="auto"/>
              <w:ind w:firstLine="709"/>
              <w:jc w:val="both"/>
              <w:rPr>
                <w:rFonts w:ascii="Arial" w:eastAsia="MS Mincho" w:hAnsi="Arial" w:cs="Arial"/>
              </w:rPr>
            </w:pPr>
          </w:p>
          <w:p w:rsidR="00667ED0" w:rsidRPr="00667ED0" w:rsidRDefault="00667ED0" w:rsidP="00667ED0">
            <w:pPr>
              <w:spacing w:after="0" w:line="360" w:lineRule="auto"/>
              <w:jc w:val="both"/>
              <w:rPr>
                <w:rFonts w:ascii="Arial" w:eastAsia="MS Mincho" w:hAnsi="Arial" w:cs="Arial"/>
                <w:sz w:val="24"/>
                <w:szCs w:val="24"/>
              </w:rPr>
            </w:pPr>
            <w:r w:rsidRPr="00667ED0">
              <w:rPr>
                <w:rFonts w:ascii="Arial" w:eastAsia="MS Mincho" w:hAnsi="Arial" w:cs="Arial"/>
                <w:sz w:val="24"/>
                <w:szCs w:val="24"/>
              </w:rPr>
              <w:lastRenderedPageBreak/>
              <w:t>[11]</w:t>
            </w:r>
            <w:r w:rsidRPr="00667ED0">
              <w:rPr>
                <w:rFonts w:ascii="Arial" w:eastAsia="MS Mincho" w:hAnsi="Arial" w:cs="Arial"/>
                <w:sz w:val="24"/>
                <w:szCs w:val="24"/>
              </w:rPr>
              <w:tab/>
              <w:t xml:space="preserve">The defendant thus contends that the plaintiff </w:t>
            </w:r>
            <w:r w:rsidR="00873C6D">
              <w:rPr>
                <w:rFonts w:ascii="Arial" w:eastAsia="MS Mincho" w:hAnsi="Arial" w:cs="Arial"/>
                <w:sz w:val="24"/>
                <w:szCs w:val="24"/>
              </w:rPr>
              <w:t>in para</w:t>
            </w:r>
            <w:r w:rsidRPr="00667ED0">
              <w:rPr>
                <w:rFonts w:ascii="Arial" w:eastAsia="MS Mincho" w:hAnsi="Arial" w:cs="Arial"/>
                <w:sz w:val="24"/>
                <w:szCs w:val="24"/>
              </w:rPr>
              <w:t xml:space="preserve"> 5 of its affidavit in support of the summary judgment application</w:t>
            </w:r>
            <w:r w:rsidR="00873C6D">
              <w:rPr>
                <w:rFonts w:ascii="Arial" w:eastAsia="MS Mincho" w:hAnsi="Arial" w:cs="Arial"/>
                <w:sz w:val="24"/>
                <w:szCs w:val="24"/>
              </w:rPr>
              <w:t>,</w:t>
            </w:r>
            <w:r w:rsidRPr="00667ED0">
              <w:rPr>
                <w:rFonts w:ascii="Arial" w:eastAsia="MS Mincho" w:hAnsi="Arial" w:cs="Arial"/>
                <w:sz w:val="24"/>
                <w:szCs w:val="24"/>
              </w:rPr>
              <w:t xml:space="preserve"> simply swears positively to the facts, v</w:t>
            </w:r>
            <w:r w:rsidR="00873C6D">
              <w:rPr>
                <w:rFonts w:ascii="Arial" w:eastAsia="MS Mincho" w:hAnsi="Arial" w:cs="Arial"/>
                <w:sz w:val="24"/>
                <w:szCs w:val="24"/>
              </w:rPr>
              <w:t xml:space="preserve">erifies the cause of action, </w:t>
            </w:r>
            <w:r w:rsidRPr="00667ED0">
              <w:rPr>
                <w:rFonts w:ascii="Arial" w:eastAsia="MS Mincho" w:hAnsi="Arial" w:cs="Arial"/>
                <w:sz w:val="24"/>
                <w:szCs w:val="24"/>
              </w:rPr>
              <w:t>the amounts claimed and the grounds as set out in its summons and particulars of claim. However, fails to annex the summons and particulars of claim to the application, pursuant to and as contemplated by rule 60(3) of the rules of the court.</w:t>
            </w:r>
          </w:p>
          <w:p w:rsidR="00667ED0" w:rsidRPr="00667ED0" w:rsidRDefault="00667ED0" w:rsidP="00667ED0">
            <w:pPr>
              <w:spacing w:after="0" w:line="360" w:lineRule="auto"/>
              <w:jc w:val="both"/>
              <w:rPr>
                <w:rFonts w:ascii="Arial" w:eastAsia="MS Mincho" w:hAnsi="Arial" w:cs="Arial"/>
                <w:sz w:val="24"/>
                <w:szCs w:val="24"/>
              </w:rPr>
            </w:pPr>
          </w:p>
          <w:p w:rsidR="00667ED0" w:rsidRPr="00667ED0" w:rsidRDefault="00667ED0" w:rsidP="00667ED0">
            <w:pPr>
              <w:spacing w:after="0" w:line="360" w:lineRule="auto"/>
              <w:jc w:val="both"/>
              <w:rPr>
                <w:rFonts w:ascii="Arial" w:eastAsia="MS Mincho" w:hAnsi="Arial" w:cs="Arial"/>
                <w:sz w:val="24"/>
                <w:szCs w:val="24"/>
              </w:rPr>
            </w:pPr>
            <w:r w:rsidRPr="00667ED0">
              <w:rPr>
                <w:rFonts w:ascii="Arial" w:eastAsia="MS Mincho" w:hAnsi="Arial" w:cs="Arial"/>
                <w:sz w:val="24"/>
                <w:szCs w:val="24"/>
              </w:rPr>
              <w:t>[12]</w:t>
            </w:r>
            <w:r w:rsidRPr="00667ED0">
              <w:rPr>
                <w:rFonts w:ascii="Arial" w:eastAsia="MS Mincho" w:hAnsi="Arial" w:cs="Arial"/>
                <w:sz w:val="24"/>
                <w:szCs w:val="24"/>
              </w:rPr>
              <w:tab/>
              <w:t>As regards the bona fides of his defense</w:t>
            </w:r>
            <w:r w:rsidR="003C2107">
              <w:rPr>
                <w:rFonts w:ascii="Arial" w:eastAsia="MS Mincho" w:hAnsi="Arial" w:cs="Arial"/>
                <w:sz w:val="24"/>
                <w:szCs w:val="24"/>
              </w:rPr>
              <w:t>,</w:t>
            </w:r>
            <w:r w:rsidRPr="00667ED0">
              <w:rPr>
                <w:rFonts w:ascii="Arial" w:eastAsia="MS Mincho" w:hAnsi="Arial" w:cs="Arial"/>
                <w:sz w:val="24"/>
                <w:szCs w:val="24"/>
              </w:rPr>
              <w:t xml:space="preserve"> the defendant contends that the plaintiff relies on a purported settlement agreement which is annexed to its particulars of claim (which is the document </w:t>
            </w:r>
            <w:r w:rsidR="00666F9B">
              <w:rPr>
                <w:rFonts w:ascii="Arial" w:eastAsia="MS Mincho" w:hAnsi="Arial" w:cs="Arial"/>
                <w:sz w:val="24"/>
                <w:szCs w:val="24"/>
              </w:rPr>
              <w:t>I have quoted above in para</w:t>
            </w:r>
            <w:r w:rsidRPr="00667ED0">
              <w:rPr>
                <w:rFonts w:ascii="Arial" w:eastAsia="MS Mincho" w:hAnsi="Arial" w:cs="Arial"/>
                <w:sz w:val="24"/>
                <w:szCs w:val="24"/>
              </w:rPr>
              <w:t xml:space="preserve"> 5). He continues and contend that the purported settlement agreement falls short of the requirements of a settlement agreement and consequently is not a settlement agreement and contends that nowhere in the payment terms does he acknowledge his indebtedness to the plaintiff.</w:t>
            </w:r>
          </w:p>
          <w:p w:rsidR="00667ED0" w:rsidRPr="00667ED0" w:rsidRDefault="00667ED0" w:rsidP="00667ED0">
            <w:pPr>
              <w:spacing w:after="0" w:line="360" w:lineRule="auto"/>
              <w:jc w:val="both"/>
              <w:rPr>
                <w:rFonts w:ascii="Arial" w:eastAsia="MS Mincho" w:hAnsi="Arial" w:cs="Arial"/>
                <w:sz w:val="24"/>
                <w:szCs w:val="24"/>
              </w:rPr>
            </w:pPr>
          </w:p>
          <w:p w:rsidR="00667ED0" w:rsidRPr="00667ED0" w:rsidRDefault="00667ED0" w:rsidP="00667ED0">
            <w:pPr>
              <w:spacing w:after="0" w:line="360" w:lineRule="auto"/>
              <w:jc w:val="both"/>
              <w:rPr>
                <w:rFonts w:ascii="Arial" w:eastAsia="MS Mincho" w:hAnsi="Arial" w:cs="Arial"/>
                <w:sz w:val="24"/>
                <w:szCs w:val="24"/>
              </w:rPr>
            </w:pPr>
            <w:r w:rsidRPr="00667ED0">
              <w:rPr>
                <w:rFonts w:ascii="Arial" w:eastAsia="MS Mincho" w:hAnsi="Arial" w:cs="Arial"/>
                <w:sz w:val="24"/>
                <w:szCs w:val="24"/>
              </w:rPr>
              <w:t>[13]</w:t>
            </w:r>
            <w:r w:rsidRPr="00667ED0">
              <w:rPr>
                <w:rFonts w:ascii="Arial" w:eastAsia="MS Mincho" w:hAnsi="Arial" w:cs="Arial"/>
                <w:sz w:val="24"/>
                <w:szCs w:val="24"/>
              </w:rPr>
              <w:tab/>
              <w:t>At the hearing of this application</w:t>
            </w:r>
            <w:r w:rsidR="00666F9B">
              <w:rPr>
                <w:rFonts w:ascii="Arial" w:eastAsia="MS Mincho" w:hAnsi="Arial" w:cs="Arial"/>
                <w:sz w:val="24"/>
                <w:szCs w:val="24"/>
              </w:rPr>
              <w:t>,</w:t>
            </w:r>
            <w:r w:rsidRPr="00667ED0">
              <w:rPr>
                <w:rFonts w:ascii="Arial" w:eastAsia="MS Mincho" w:hAnsi="Arial" w:cs="Arial"/>
                <w:sz w:val="24"/>
                <w:szCs w:val="24"/>
              </w:rPr>
              <w:t xml:space="preserve"> the court explicitly asked </w:t>
            </w:r>
            <w:proofErr w:type="spellStart"/>
            <w:r w:rsidRPr="00667ED0">
              <w:rPr>
                <w:rFonts w:ascii="Arial" w:eastAsia="MS Mincho" w:hAnsi="Arial" w:cs="Arial"/>
                <w:sz w:val="24"/>
                <w:szCs w:val="24"/>
              </w:rPr>
              <w:t>Mr</w:t>
            </w:r>
            <w:proofErr w:type="spellEnd"/>
            <w:r w:rsidRPr="00667ED0">
              <w:rPr>
                <w:rFonts w:ascii="Arial" w:eastAsia="MS Mincho" w:hAnsi="Arial" w:cs="Arial"/>
                <w:sz w:val="24"/>
                <w:szCs w:val="24"/>
              </w:rPr>
              <w:t xml:space="preserve"> </w:t>
            </w:r>
            <w:proofErr w:type="spellStart"/>
            <w:r w:rsidRPr="00667ED0">
              <w:rPr>
                <w:rFonts w:ascii="Arial" w:eastAsia="MS Mincho" w:hAnsi="Arial" w:cs="Arial"/>
                <w:sz w:val="24"/>
                <w:szCs w:val="24"/>
              </w:rPr>
              <w:t>Jantjies</w:t>
            </w:r>
            <w:proofErr w:type="spellEnd"/>
            <w:r w:rsidR="00666F9B">
              <w:rPr>
                <w:rFonts w:ascii="Arial" w:eastAsia="MS Mincho" w:hAnsi="Arial" w:cs="Arial"/>
                <w:sz w:val="24"/>
                <w:szCs w:val="24"/>
              </w:rPr>
              <w:t xml:space="preserve">, who appeared for the defendant, </w:t>
            </w:r>
            <w:r w:rsidRPr="00667ED0">
              <w:rPr>
                <w:rFonts w:ascii="Arial" w:eastAsia="MS Mincho" w:hAnsi="Arial" w:cs="Arial"/>
                <w:sz w:val="24"/>
                <w:szCs w:val="24"/>
              </w:rPr>
              <w:t>whether the defendant denies that he purchased the scanners from the plaintiff and that a portion of the purchase price (</w:t>
            </w:r>
            <w:proofErr w:type="spellStart"/>
            <w:r w:rsidR="008F75B3">
              <w:rPr>
                <w:rFonts w:ascii="Arial" w:eastAsia="MS Mincho" w:hAnsi="Arial" w:cs="Arial"/>
                <w:sz w:val="24"/>
                <w:szCs w:val="24"/>
              </w:rPr>
              <w:t>ie</w:t>
            </w:r>
            <w:proofErr w:type="spellEnd"/>
            <w:r w:rsidRPr="00667ED0">
              <w:rPr>
                <w:rFonts w:ascii="Arial" w:eastAsia="MS Mincho" w:hAnsi="Arial" w:cs="Arial"/>
                <w:sz w:val="24"/>
                <w:szCs w:val="24"/>
              </w:rPr>
              <w:t xml:space="preserve"> </w:t>
            </w:r>
            <w:r w:rsidR="00666F9B">
              <w:rPr>
                <w:rFonts w:ascii="Arial" w:eastAsia="MS Mincho" w:hAnsi="Arial" w:cs="Arial"/>
                <w:sz w:val="24"/>
                <w:szCs w:val="24"/>
              </w:rPr>
              <w:t>N$4 876 031,</w:t>
            </w:r>
            <w:r w:rsidRPr="00667ED0">
              <w:rPr>
                <w:rFonts w:ascii="Arial" w:eastAsia="MS Mincho" w:hAnsi="Arial" w:cs="Arial"/>
                <w:sz w:val="24"/>
                <w:szCs w:val="24"/>
              </w:rPr>
              <w:t xml:space="preserve">83) was still outstanding. </w:t>
            </w:r>
            <w:proofErr w:type="spellStart"/>
            <w:r w:rsidRPr="00667ED0">
              <w:rPr>
                <w:rFonts w:ascii="Arial" w:eastAsia="MS Mincho" w:hAnsi="Arial" w:cs="Arial"/>
                <w:sz w:val="24"/>
                <w:szCs w:val="24"/>
              </w:rPr>
              <w:t>Mr</w:t>
            </w:r>
            <w:proofErr w:type="spellEnd"/>
            <w:r w:rsidRPr="00667ED0">
              <w:rPr>
                <w:rFonts w:ascii="Arial" w:eastAsia="MS Mincho" w:hAnsi="Arial" w:cs="Arial"/>
                <w:sz w:val="24"/>
                <w:szCs w:val="24"/>
              </w:rPr>
              <w:t xml:space="preserve"> </w:t>
            </w:r>
            <w:proofErr w:type="spellStart"/>
            <w:r w:rsidRPr="00667ED0">
              <w:rPr>
                <w:rFonts w:ascii="Arial" w:eastAsia="MS Mincho" w:hAnsi="Arial" w:cs="Arial"/>
                <w:sz w:val="24"/>
                <w:szCs w:val="24"/>
              </w:rPr>
              <w:t>Jantjies</w:t>
            </w:r>
            <w:proofErr w:type="spellEnd"/>
            <w:r w:rsidR="00666F9B">
              <w:rPr>
                <w:rFonts w:ascii="Arial" w:eastAsia="MS Mincho" w:hAnsi="Arial" w:cs="Arial"/>
                <w:sz w:val="24"/>
                <w:szCs w:val="24"/>
              </w:rPr>
              <w:t>’</w:t>
            </w:r>
            <w:r w:rsidRPr="00667ED0">
              <w:rPr>
                <w:rFonts w:ascii="Arial" w:eastAsia="MS Mincho" w:hAnsi="Arial" w:cs="Arial"/>
                <w:sz w:val="24"/>
                <w:szCs w:val="24"/>
              </w:rPr>
              <w:t xml:space="preserve"> answer was </w:t>
            </w:r>
            <w:r w:rsidR="00666F9B">
              <w:rPr>
                <w:rFonts w:ascii="Arial" w:eastAsia="MS Mincho" w:hAnsi="Arial" w:cs="Arial"/>
                <w:sz w:val="24"/>
                <w:szCs w:val="24"/>
              </w:rPr>
              <w:t xml:space="preserve">that the defendant does </w:t>
            </w:r>
            <w:r w:rsidR="00B004F8">
              <w:rPr>
                <w:rFonts w:ascii="Arial" w:eastAsia="MS Mincho" w:hAnsi="Arial" w:cs="Arial"/>
                <w:sz w:val="24"/>
                <w:szCs w:val="24"/>
              </w:rPr>
              <w:t>admit</w:t>
            </w:r>
            <w:r w:rsidRPr="00667ED0">
              <w:rPr>
                <w:rFonts w:ascii="Arial" w:eastAsia="MS Mincho" w:hAnsi="Arial" w:cs="Arial"/>
                <w:sz w:val="24"/>
                <w:szCs w:val="24"/>
              </w:rPr>
              <w:t xml:space="preserve"> that he purchased the scanners from the plaintiff and that he still owed the plaintiff a portion of the purchase price. </w:t>
            </w:r>
          </w:p>
          <w:p w:rsidR="00667ED0" w:rsidRPr="00667ED0" w:rsidRDefault="00667ED0" w:rsidP="00667ED0">
            <w:pPr>
              <w:spacing w:after="0" w:line="360" w:lineRule="auto"/>
              <w:jc w:val="both"/>
              <w:rPr>
                <w:rFonts w:ascii="Arial" w:eastAsia="MS Mincho" w:hAnsi="Arial" w:cs="Arial"/>
                <w:sz w:val="24"/>
                <w:szCs w:val="24"/>
              </w:rPr>
            </w:pPr>
          </w:p>
          <w:p w:rsidR="00667ED0" w:rsidRPr="00667ED0" w:rsidRDefault="00667ED0" w:rsidP="00667ED0">
            <w:pPr>
              <w:spacing w:after="0" w:line="360" w:lineRule="auto"/>
              <w:jc w:val="both"/>
              <w:rPr>
                <w:rFonts w:ascii="Arial" w:eastAsia="MS Mincho" w:hAnsi="Arial" w:cs="Arial"/>
                <w:sz w:val="24"/>
                <w:szCs w:val="24"/>
                <w:u w:val="single"/>
              </w:rPr>
            </w:pPr>
            <w:r w:rsidRPr="00667ED0">
              <w:rPr>
                <w:rFonts w:ascii="Arial" w:eastAsia="MS Mincho" w:hAnsi="Arial" w:cs="Arial"/>
                <w:sz w:val="24"/>
                <w:szCs w:val="24"/>
                <w:u w:val="single"/>
              </w:rPr>
              <w:t>Discussion</w:t>
            </w:r>
          </w:p>
          <w:p w:rsidR="00667ED0" w:rsidRPr="00667ED0" w:rsidRDefault="00667ED0" w:rsidP="00667ED0">
            <w:pPr>
              <w:spacing w:after="0" w:line="360" w:lineRule="auto"/>
              <w:jc w:val="both"/>
              <w:rPr>
                <w:rFonts w:ascii="Arial" w:eastAsia="MS Mincho" w:hAnsi="Arial" w:cs="Arial"/>
                <w:sz w:val="24"/>
                <w:szCs w:val="24"/>
                <w:u w:val="single"/>
              </w:rPr>
            </w:pPr>
          </w:p>
          <w:p w:rsidR="00667ED0" w:rsidRPr="00667ED0" w:rsidRDefault="00667ED0" w:rsidP="00667ED0">
            <w:pPr>
              <w:spacing w:after="0" w:line="360" w:lineRule="auto"/>
              <w:jc w:val="both"/>
              <w:rPr>
                <w:rFonts w:ascii="Arial" w:eastAsia="MS Mincho" w:hAnsi="Arial" w:cs="Arial"/>
                <w:sz w:val="24"/>
                <w:szCs w:val="24"/>
              </w:rPr>
            </w:pPr>
            <w:r w:rsidRPr="00667ED0">
              <w:rPr>
                <w:rFonts w:ascii="Arial" w:eastAsia="MS Mincho" w:hAnsi="Arial" w:cs="Arial"/>
                <w:sz w:val="24"/>
                <w:szCs w:val="24"/>
              </w:rPr>
              <w:t>[14]</w:t>
            </w:r>
            <w:r w:rsidRPr="00667ED0">
              <w:rPr>
                <w:rFonts w:ascii="Arial" w:eastAsia="MS Mincho" w:hAnsi="Arial" w:cs="Arial"/>
                <w:sz w:val="24"/>
                <w:szCs w:val="24"/>
              </w:rPr>
              <w:tab/>
              <w:t>Before I consider the issues that I am required to resolve</w:t>
            </w:r>
            <w:r w:rsidR="00666F9B">
              <w:rPr>
                <w:rFonts w:ascii="Arial" w:eastAsia="MS Mincho" w:hAnsi="Arial" w:cs="Arial"/>
                <w:sz w:val="24"/>
                <w:szCs w:val="24"/>
              </w:rPr>
              <w:t>,</w:t>
            </w:r>
            <w:r w:rsidRPr="00667ED0">
              <w:rPr>
                <w:rFonts w:ascii="Arial" w:eastAsia="MS Mincho" w:hAnsi="Arial" w:cs="Arial"/>
                <w:sz w:val="24"/>
                <w:szCs w:val="24"/>
              </w:rPr>
              <w:t xml:space="preserve"> I want to digress and make the following preliminary comments. Litigation is not only time consuming</w:t>
            </w:r>
            <w:r w:rsidR="00666F9B">
              <w:rPr>
                <w:rFonts w:ascii="Arial" w:eastAsia="MS Mincho" w:hAnsi="Arial" w:cs="Arial"/>
                <w:sz w:val="24"/>
                <w:szCs w:val="24"/>
              </w:rPr>
              <w:t>,</w:t>
            </w:r>
            <w:r w:rsidRPr="00667ED0">
              <w:rPr>
                <w:rFonts w:ascii="Arial" w:eastAsia="MS Mincho" w:hAnsi="Arial" w:cs="Arial"/>
                <w:sz w:val="24"/>
                <w:szCs w:val="24"/>
              </w:rPr>
              <w:t xml:space="preserve"> it is also expensive. It is common cause that the time between issuing summons and delivery of judgment after a full trial</w:t>
            </w:r>
            <w:r w:rsidR="00666F9B">
              <w:rPr>
                <w:rFonts w:ascii="Arial" w:eastAsia="MS Mincho" w:hAnsi="Arial" w:cs="Arial"/>
                <w:sz w:val="24"/>
                <w:szCs w:val="24"/>
              </w:rPr>
              <w:t>,</w:t>
            </w:r>
            <w:r w:rsidRPr="00667ED0">
              <w:rPr>
                <w:rFonts w:ascii="Arial" w:eastAsia="MS Mincho" w:hAnsi="Arial" w:cs="Arial"/>
                <w:sz w:val="24"/>
                <w:szCs w:val="24"/>
              </w:rPr>
              <w:t xml:space="preserve"> may take months and sometimes years. Van </w:t>
            </w:r>
            <w:proofErr w:type="spellStart"/>
            <w:r w:rsidRPr="00667ED0">
              <w:rPr>
                <w:rFonts w:ascii="Arial" w:eastAsia="MS Mincho" w:hAnsi="Arial" w:cs="Arial"/>
                <w:sz w:val="24"/>
                <w:szCs w:val="24"/>
              </w:rPr>
              <w:t>Niekerk</w:t>
            </w:r>
            <w:proofErr w:type="spellEnd"/>
            <w:r w:rsidRPr="00667ED0">
              <w:rPr>
                <w:rFonts w:ascii="Arial" w:eastAsia="MS Mincho" w:hAnsi="Arial" w:cs="Arial"/>
                <w:sz w:val="24"/>
                <w:szCs w:val="24"/>
                <w:vertAlign w:val="superscript"/>
              </w:rPr>
              <w:footnoteReference w:id="1"/>
            </w:r>
            <w:r w:rsidRPr="00667ED0">
              <w:rPr>
                <w:rFonts w:ascii="Arial" w:eastAsia="MS Mincho" w:hAnsi="Arial" w:cs="Arial"/>
                <w:sz w:val="24"/>
                <w:szCs w:val="24"/>
              </w:rPr>
              <w:t xml:space="preserve"> reasons (</w:t>
            </w:r>
            <w:r w:rsidR="00666F9B">
              <w:rPr>
                <w:rFonts w:ascii="Arial" w:eastAsia="MS Mincho" w:hAnsi="Arial" w:cs="Arial"/>
                <w:sz w:val="24"/>
                <w:szCs w:val="24"/>
              </w:rPr>
              <w:t xml:space="preserve">and </w:t>
            </w:r>
            <w:r w:rsidRPr="00667ED0">
              <w:rPr>
                <w:rFonts w:ascii="Arial" w:eastAsia="MS Mincho" w:hAnsi="Arial" w:cs="Arial"/>
                <w:sz w:val="24"/>
                <w:szCs w:val="24"/>
              </w:rPr>
              <w:t xml:space="preserve">I fully agree with that reasoning) that it is of little consolation to the honest plaintiff that eventually obtains judgment with </w:t>
            </w:r>
            <w:r w:rsidRPr="00667ED0">
              <w:rPr>
                <w:rFonts w:ascii="Arial" w:eastAsia="MS Mincho" w:hAnsi="Arial" w:cs="Arial"/>
                <w:i/>
                <w:sz w:val="24"/>
                <w:szCs w:val="24"/>
              </w:rPr>
              <w:t>mora</w:t>
            </w:r>
            <w:r w:rsidR="00FC4BFF">
              <w:rPr>
                <w:rFonts w:ascii="Arial" w:eastAsia="MS Mincho" w:hAnsi="Arial" w:cs="Arial"/>
                <w:i/>
                <w:sz w:val="24"/>
                <w:szCs w:val="24"/>
              </w:rPr>
              <w:t xml:space="preserve">e </w:t>
            </w:r>
            <w:r w:rsidRPr="00667ED0">
              <w:rPr>
                <w:rFonts w:ascii="Arial" w:eastAsia="MS Mincho" w:hAnsi="Arial" w:cs="Arial"/>
                <w:sz w:val="24"/>
                <w:szCs w:val="24"/>
              </w:rPr>
              <w:t xml:space="preserve"> interest and costs when most of the costs eventually end up in the hands or pockets of lawyers. </w:t>
            </w:r>
          </w:p>
          <w:p w:rsidR="00667ED0" w:rsidRPr="00667ED0" w:rsidRDefault="00667ED0" w:rsidP="00667ED0">
            <w:pPr>
              <w:spacing w:after="0" w:line="360" w:lineRule="auto"/>
              <w:jc w:val="both"/>
              <w:rPr>
                <w:rFonts w:ascii="Arial" w:eastAsia="MS Mincho" w:hAnsi="Arial" w:cs="Arial"/>
                <w:sz w:val="24"/>
                <w:szCs w:val="24"/>
              </w:rPr>
            </w:pPr>
          </w:p>
          <w:p w:rsidR="00667ED0" w:rsidRPr="00667ED0" w:rsidRDefault="00667ED0" w:rsidP="00667ED0">
            <w:pPr>
              <w:spacing w:after="0" w:line="360" w:lineRule="auto"/>
              <w:jc w:val="both"/>
              <w:rPr>
                <w:rFonts w:ascii="Arial" w:eastAsia="MS Mincho" w:hAnsi="Arial" w:cs="Arial"/>
                <w:sz w:val="24"/>
                <w:szCs w:val="24"/>
              </w:rPr>
            </w:pPr>
            <w:r w:rsidRPr="00667ED0">
              <w:rPr>
                <w:rFonts w:ascii="Arial" w:eastAsia="MS Mincho" w:hAnsi="Arial" w:cs="Arial"/>
                <w:sz w:val="24"/>
                <w:szCs w:val="24"/>
              </w:rPr>
              <w:t>[15]</w:t>
            </w:r>
            <w:r w:rsidRPr="00667ED0">
              <w:rPr>
                <w:rFonts w:ascii="Arial" w:eastAsia="MS Mincho" w:hAnsi="Arial" w:cs="Arial"/>
                <w:sz w:val="24"/>
                <w:szCs w:val="24"/>
              </w:rPr>
              <w:tab/>
              <w:t>The learned authors continue and reason that in any event</w:t>
            </w:r>
            <w:r w:rsidR="00B25E64">
              <w:rPr>
                <w:rFonts w:ascii="Arial" w:eastAsia="MS Mincho" w:hAnsi="Arial" w:cs="Arial"/>
                <w:sz w:val="24"/>
                <w:szCs w:val="24"/>
              </w:rPr>
              <w:t>,</w:t>
            </w:r>
            <w:r w:rsidRPr="00667ED0">
              <w:rPr>
                <w:rFonts w:ascii="Arial" w:eastAsia="MS Mincho" w:hAnsi="Arial" w:cs="Arial"/>
                <w:sz w:val="24"/>
                <w:szCs w:val="24"/>
              </w:rPr>
              <w:t xml:space="preserve"> the costs awarded on a party and party scale do not actually make up for the attorney and client costs incurred</w:t>
            </w:r>
            <w:r w:rsidR="00B25E64">
              <w:rPr>
                <w:rFonts w:ascii="Arial" w:eastAsia="MS Mincho" w:hAnsi="Arial" w:cs="Arial"/>
                <w:sz w:val="24"/>
                <w:szCs w:val="24"/>
              </w:rPr>
              <w:t>.</w:t>
            </w:r>
            <w:r w:rsidRPr="00667ED0">
              <w:rPr>
                <w:rFonts w:ascii="Arial" w:eastAsia="MS Mincho" w:hAnsi="Arial" w:cs="Arial"/>
                <w:sz w:val="24"/>
                <w:szCs w:val="24"/>
                <w:vertAlign w:val="superscript"/>
              </w:rPr>
              <w:footnoteReference w:id="2"/>
            </w:r>
            <w:r w:rsidRPr="00667ED0">
              <w:rPr>
                <w:rFonts w:ascii="Arial" w:eastAsia="MS Mincho" w:hAnsi="Arial" w:cs="Arial"/>
                <w:sz w:val="24"/>
                <w:szCs w:val="24"/>
              </w:rPr>
              <w:t xml:space="preserve"> Interest </w:t>
            </w:r>
            <w:r w:rsidRPr="00667ED0">
              <w:rPr>
                <w:rFonts w:ascii="Arial" w:eastAsia="MS Mincho" w:hAnsi="Arial" w:cs="Arial"/>
                <w:i/>
                <w:sz w:val="24"/>
                <w:szCs w:val="24"/>
              </w:rPr>
              <w:t>a tempore mora</w:t>
            </w:r>
            <w:r w:rsidR="0023542E">
              <w:rPr>
                <w:rFonts w:ascii="Arial" w:eastAsia="MS Mincho" w:hAnsi="Arial" w:cs="Arial"/>
                <w:i/>
                <w:sz w:val="24"/>
                <w:szCs w:val="24"/>
              </w:rPr>
              <w:t>e</w:t>
            </w:r>
            <w:r w:rsidRPr="00667ED0">
              <w:rPr>
                <w:rFonts w:ascii="Arial" w:eastAsia="MS Mincho" w:hAnsi="Arial" w:cs="Arial"/>
                <w:sz w:val="24"/>
                <w:szCs w:val="24"/>
              </w:rPr>
              <w:t xml:space="preserve"> does not adequately compensate a plaintiff for not being able to use his or her </w:t>
            </w:r>
            <w:r w:rsidRPr="00667ED0">
              <w:rPr>
                <w:rFonts w:ascii="Arial" w:eastAsia="MS Mincho" w:hAnsi="Arial" w:cs="Arial"/>
                <w:sz w:val="24"/>
                <w:szCs w:val="24"/>
              </w:rPr>
              <w:lastRenderedPageBreak/>
              <w:t>money over the period that litigation endures. Most plaintiffs would suggest that they could generate a far better return on their capital than that produced by the prescribed rate of inter</w:t>
            </w:r>
            <w:r w:rsidR="008F75B3">
              <w:rPr>
                <w:rFonts w:ascii="Arial" w:eastAsia="MS Mincho" w:hAnsi="Arial" w:cs="Arial"/>
                <w:sz w:val="24"/>
                <w:szCs w:val="24"/>
              </w:rPr>
              <w:t>e</w:t>
            </w:r>
            <w:r w:rsidRPr="00667ED0">
              <w:rPr>
                <w:rFonts w:ascii="Arial" w:eastAsia="MS Mincho" w:hAnsi="Arial" w:cs="Arial"/>
                <w:sz w:val="24"/>
                <w:szCs w:val="24"/>
              </w:rPr>
              <w:t>s</w:t>
            </w:r>
            <w:r w:rsidR="008F75B3">
              <w:rPr>
                <w:rFonts w:ascii="Arial" w:eastAsia="MS Mincho" w:hAnsi="Arial" w:cs="Arial"/>
                <w:sz w:val="24"/>
                <w:szCs w:val="24"/>
              </w:rPr>
              <w:t>t</w:t>
            </w:r>
            <w:r w:rsidR="007E6D99">
              <w:rPr>
                <w:rFonts w:ascii="Arial" w:eastAsia="MS Mincho" w:hAnsi="Arial" w:cs="Arial"/>
                <w:sz w:val="24"/>
                <w:szCs w:val="24"/>
              </w:rPr>
              <w:t>.</w:t>
            </w:r>
            <w:r w:rsidRPr="00667ED0">
              <w:rPr>
                <w:rFonts w:ascii="Arial" w:eastAsia="MS Mincho" w:hAnsi="Arial" w:cs="Arial"/>
                <w:sz w:val="24"/>
                <w:szCs w:val="24"/>
                <w:vertAlign w:val="superscript"/>
              </w:rPr>
              <w:footnoteReference w:id="3"/>
            </w:r>
            <w:r w:rsidRPr="00667ED0">
              <w:rPr>
                <w:rFonts w:ascii="Arial" w:eastAsia="MS Mincho" w:hAnsi="Arial" w:cs="Arial"/>
                <w:sz w:val="24"/>
                <w:szCs w:val="24"/>
              </w:rPr>
              <w:t xml:space="preserve"> </w:t>
            </w:r>
          </w:p>
          <w:p w:rsidR="00667ED0" w:rsidRPr="00667ED0" w:rsidRDefault="00667ED0" w:rsidP="00667ED0">
            <w:pPr>
              <w:spacing w:after="0" w:line="360" w:lineRule="auto"/>
              <w:jc w:val="both"/>
              <w:rPr>
                <w:rFonts w:ascii="Arial" w:eastAsia="MS Mincho" w:hAnsi="Arial" w:cs="Arial"/>
                <w:sz w:val="24"/>
                <w:szCs w:val="24"/>
              </w:rPr>
            </w:pPr>
          </w:p>
          <w:p w:rsidR="00667ED0" w:rsidRPr="00667ED0" w:rsidRDefault="00667ED0" w:rsidP="00667ED0">
            <w:pPr>
              <w:spacing w:after="0" w:line="360" w:lineRule="auto"/>
              <w:jc w:val="both"/>
              <w:rPr>
                <w:rFonts w:ascii="Arial" w:eastAsia="MS Mincho" w:hAnsi="Arial" w:cs="Arial"/>
                <w:sz w:val="24"/>
                <w:szCs w:val="24"/>
                <w:lang w:val="en-GB"/>
              </w:rPr>
            </w:pPr>
            <w:r w:rsidRPr="00667ED0">
              <w:rPr>
                <w:rFonts w:ascii="Arial" w:eastAsia="MS Mincho" w:hAnsi="Arial" w:cs="Arial"/>
                <w:sz w:val="24"/>
                <w:szCs w:val="24"/>
              </w:rPr>
              <w:t>[16]</w:t>
            </w:r>
            <w:r w:rsidRPr="00667ED0">
              <w:rPr>
                <w:rFonts w:ascii="Arial" w:eastAsia="MS Mincho" w:hAnsi="Arial" w:cs="Arial"/>
                <w:sz w:val="24"/>
                <w:szCs w:val="24"/>
              </w:rPr>
              <w:tab/>
              <w:t xml:space="preserve">Summary judgment is an attempt to counter the difficulties identified by Van </w:t>
            </w:r>
            <w:proofErr w:type="spellStart"/>
            <w:r w:rsidRPr="00667ED0">
              <w:rPr>
                <w:rFonts w:ascii="Arial" w:eastAsia="MS Mincho" w:hAnsi="Arial" w:cs="Arial"/>
                <w:sz w:val="24"/>
                <w:szCs w:val="24"/>
              </w:rPr>
              <w:t>Niekerk</w:t>
            </w:r>
            <w:proofErr w:type="spellEnd"/>
            <w:r w:rsidRPr="00667ED0">
              <w:rPr>
                <w:rFonts w:ascii="Arial" w:eastAsia="MS Mincho" w:hAnsi="Arial" w:cs="Arial"/>
                <w:sz w:val="24"/>
                <w:szCs w:val="24"/>
              </w:rPr>
              <w:t xml:space="preserve">. In </w:t>
            </w:r>
            <w:proofErr w:type="spellStart"/>
            <w:r w:rsidRPr="00667ED0">
              <w:rPr>
                <w:rFonts w:ascii="Arial" w:eastAsia="MS Mincho" w:hAnsi="Arial" w:cs="Arial"/>
                <w:i/>
                <w:sz w:val="24"/>
                <w:szCs w:val="24"/>
              </w:rPr>
              <w:t>Joob</w:t>
            </w:r>
            <w:proofErr w:type="spellEnd"/>
            <w:r w:rsidRPr="00667ED0">
              <w:rPr>
                <w:rFonts w:ascii="Arial" w:eastAsia="MS Mincho" w:hAnsi="Arial" w:cs="Arial"/>
                <w:i/>
                <w:sz w:val="24"/>
                <w:szCs w:val="24"/>
              </w:rPr>
              <w:t xml:space="preserve"> </w:t>
            </w:r>
            <w:proofErr w:type="spellStart"/>
            <w:r w:rsidRPr="00667ED0">
              <w:rPr>
                <w:rFonts w:ascii="Arial" w:eastAsia="MS Mincho" w:hAnsi="Arial" w:cs="Arial"/>
                <w:i/>
                <w:sz w:val="24"/>
                <w:szCs w:val="24"/>
              </w:rPr>
              <w:t>Joob</w:t>
            </w:r>
            <w:proofErr w:type="spellEnd"/>
            <w:r w:rsidRPr="00667ED0">
              <w:rPr>
                <w:rFonts w:ascii="Arial" w:eastAsia="MS Mincho" w:hAnsi="Arial" w:cs="Arial"/>
                <w:i/>
                <w:sz w:val="24"/>
                <w:szCs w:val="24"/>
              </w:rPr>
              <w:t xml:space="preserve"> Investments (Pty) Ltd v Stocks </w:t>
            </w:r>
            <w:proofErr w:type="spellStart"/>
            <w:r w:rsidRPr="00667ED0">
              <w:rPr>
                <w:rFonts w:ascii="Arial" w:eastAsia="MS Mincho" w:hAnsi="Arial" w:cs="Arial"/>
                <w:i/>
                <w:sz w:val="24"/>
                <w:szCs w:val="24"/>
              </w:rPr>
              <w:t>Mavundla</w:t>
            </w:r>
            <w:proofErr w:type="spellEnd"/>
            <w:r w:rsidRPr="00667ED0">
              <w:rPr>
                <w:rFonts w:ascii="Arial" w:eastAsia="MS Mincho" w:hAnsi="Arial" w:cs="Arial"/>
                <w:i/>
                <w:sz w:val="24"/>
                <w:szCs w:val="24"/>
              </w:rPr>
              <w:t xml:space="preserve"> </w:t>
            </w:r>
            <w:proofErr w:type="spellStart"/>
            <w:r w:rsidRPr="00667ED0">
              <w:rPr>
                <w:rFonts w:ascii="Arial" w:eastAsia="MS Mincho" w:hAnsi="Arial" w:cs="Arial"/>
                <w:i/>
                <w:sz w:val="24"/>
                <w:szCs w:val="24"/>
              </w:rPr>
              <w:t>Zek</w:t>
            </w:r>
            <w:proofErr w:type="spellEnd"/>
            <w:r w:rsidRPr="00667ED0">
              <w:rPr>
                <w:rFonts w:ascii="Arial" w:eastAsia="MS Mincho" w:hAnsi="Arial" w:cs="Arial"/>
                <w:i/>
                <w:sz w:val="24"/>
                <w:szCs w:val="24"/>
              </w:rPr>
              <w:t xml:space="preserve"> Joint Venture</w:t>
            </w:r>
            <w:r w:rsidRPr="00667ED0">
              <w:rPr>
                <w:rFonts w:ascii="Arial" w:eastAsia="MS Mincho" w:hAnsi="Arial" w:cs="Arial"/>
                <w:i/>
                <w:sz w:val="24"/>
                <w:szCs w:val="24"/>
                <w:vertAlign w:val="superscript"/>
              </w:rPr>
              <w:footnoteReference w:id="4"/>
            </w:r>
            <w:r w:rsidRPr="00667ED0">
              <w:rPr>
                <w:rFonts w:ascii="Arial" w:eastAsia="MS Mincho" w:hAnsi="Arial" w:cs="Arial"/>
                <w:sz w:val="24"/>
                <w:szCs w:val="24"/>
              </w:rPr>
              <w:t xml:space="preserve"> </w:t>
            </w:r>
            <w:proofErr w:type="spellStart"/>
            <w:r w:rsidRPr="00667ED0">
              <w:rPr>
                <w:rFonts w:ascii="Arial" w:eastAsia="MS Mincho" w:hAnsi="Arial" w:cs="Arial"/>
                <w:sz w:val="24"/>
                <w:szCs w:val="24"/>
                <w:lang w:val="en-GB"/>
              </w:rPr>
              <w:t>Navsa</w:t>
            </w:r>
            <w:proofErr w:type="spellEnd"/>
            <w:r w:rsidRPr="00667ED0">
              <w:rPr>
                <w:rFonts w:ascii="Arial" w:eastAsia="MS Mincho" w:hAnsi="Arial" w:cs="Arial"/>
                <w:sz w:val="24"/>
                <w:szCs w:val="24"/>
                <w:lang w:val="en-GB"/>
              </w:rPr>
              <w:t xml:space="preserve"> JA argued that the summary judgment procedure was not intended to 'shut (a defendant) out from defending', unless it was very clear indeed that he had no case in the action. It was intended to prevent sham defences from defeating the rights of parties by delay, and at the same time causing great loss to plaintiffs who were endeavouring to enforce their rights. He continued and said:</w:t>
            </w:r>
          </w:p>
          <w:p w:rsidR="00667ED0" w:rsidRPr="00667ED0" w:rsidRDefault="00667ED0" w:rsidP="00667ED0">
            <w:pPr>
              <w:spacing w:after="0" w:line="360" w:lineRule="auto"/>
              <w:jc w:val="both"/>
              <w:rPr>
                <w:rFonts w:ascii="Arial" w:eastAsia="MS Mincho" w:hAnsi="Arial" w:cs="Arial"/>
                <w:sz w:val="24"/>
                <w:szCs w:val="24"/>
                <w:lang w:val="en-GB"/>
              </w:rPr>
            </w:pPr>
          </w:p>
          <w:p w:rsidR="00667ED0" w:rsidRPr="00667ED0" w:rsidRDefault="00667ED0" w:rsidP="00667ED0">
            <w:pPr>
              <w:spacing w:after="0" w:line="360" w:lineRule="auto"/>
              <w:ind w:firstLine="709"/>
              <w:jc w:val="both"/>
              <w:rPr>
                <w:rFonts w:ascii="Arial" w:eastAsia="MS Mincho" w:hAnsi="Arial" w:cs="Arial"/>
                <w:lang w:val="en-GB"/>
              </w:rPr>
            </w:pPr>
            <w:r w:rsidRPr="00667ED0">
              <w:rPr>
                <w:rFonts w:ascii="Arial" w:eastAsia="MS Mincho" w:hAnsi="Arial" w:cs="Arial"/>
                <w:lang w:val="en-GB"/>
              </w:rPr>
              <w:t>‘[32]</w:t>
            </w:r>
            <w:r w:rsidRPr="00667ED0">
              <w:rPr>
                <w:rFonts w:ascii="Arial" w:eastAsia="MS Mincho" w:hAnsi="Arial" w:cs="Arial"/>
                <w:lang w:val="en-GB"/>
              </w:rPr>
              <w:tab/>
              <w:t xml:space="preserve">The rationale for summary judgment proceedings is impeccable. The procedure is not intended to deprive a defendant with a triable or a sustainable defence of her/his day in court. After almost a century of successful application in our courts, summary judgment proceedings can hardly continue to be described as extraordinary. Our courts, both of first instance and at appellate level, have during that time rightly been trusted to ensure that a defendant with a triable issue is not shut out. In the </w:t>
            </w:r>
            <w:proofErr w:type="spellStart"/>
            <w:r w:rsidRPr="00667ED0">
              <w:rPr>
                <w:rFonts w:ascii="Arial" w:eastAsia="MS Mincho" w:hAnsi="Arial" w:cs="Arial"/>
                <w:i/>
                <w:lang w:val="en-GB"/>
              </w:rPr>
              <w:t>Maharaj</w:t>
            </w:r>
            <w:proofErr w:type="spellEnd"/>
            <w:r w:rsidRPr="00667ED0">
              <w:rPr>
                <w:rFonts w:ascii="Arial" w:eastAsia="MS Mincho" w:hAnsi="Arial" w:cs="Arial"/>
                <w:i/>
                <w:lang w:val="en-GB"/>
              </w:rPr>
              <w:t xml:space="preserve"> </w:t>
            </w:r>
            <w:r w:rsidRPr="00667ED0">
              <w:rPr>
                <w:rFonts w:ascii="Arial" w:eastAsia="MS Mincho" w:hAnsi="Arial" w:cs="Arial"/>
                <w:lang w:val="en-GB"/>
              </w:rPr>
              <w:t xml:space="preserve">case at 425G - 426E, Corbett JA was keen to ensure, first, an examination of whether there has been sufficient disclosure by a defendant of the nature and grounds of his defence and the facts upon which it is founded. The second consideration is that the defence so disclosed must be both </w:t>
            </w:r>
            <w:r w:rsidRPr="00667ED0">
              <w:rPr>
                <w:rFonts w:ascii="Arial" w:eastAsia="MS Mincho" w:hAnsi="Arial" w:cs="Arial"/>
                <w:i/>
                <w:lang w:val="en-GB"/>
              </w:rPr>
              <w:t>bona fide</w:t>
            </w:r>
            <w:r w:rsidRPr="00667ED0">
              <w:rPr>
                <w:rFonts w:ascii="Arial" w:eastAsia="MS Mincho" w:hAnsi="Arial" w:cs="Arial"/>
                <w:lang w:val="en-GB"/>
              </w:rPr>
              <w:t xml:space="preserve"> and good in law. A court which is satisfied that this threshold has been crossed is then bound to refuse summary judgment. Corbett JA also warned against requiring of a defendant the precision apposite to pleadings. However, the learned judge was equally astute to ensure that recalcitrant debtors pay what is due to a creditor.</w:t>
            </w:r>
          </w:p>
          <w:p w:rsidR="00667ED0" w:rsidRPr="00667ED0" w:rsidRDefault="00667ED0" w:rsidP="00667ED0">
            <w:pPr>
              <w:spacing w:after="0" w:line="360" w:lineRule="auto"/>
              <w:ind w:firstLine="709"/>
              <w:jc w:val="both"/>
              <w:rPr>
                <w:rFonts w:ascii="Arial" w:eastAsia="MS Mincho" w:hAnsi="Arial" w:cs="Arial"/>
                <w:lang w:val="en-GB"/>
              </w:rPr>
            </w:pPr>
          </w:p>
          <w:p w:rsidR="00667ED0" w:rsidRPr="00667ED0" w:rsidRDefault="00667ED0" w:rsidP="00667ED0">
            <w:pPr>
              <w:spacing w:after="0" w:line="360" w:lineRule="auto"/>
              <w:jc w:val="both"/>
              <w:rPr>
                <w:rFonts w:ascii="Arial" w:eastAsia="MS Mincho" w:hAnsi="Arial" w:cs="Arial"/>
                <w:lang w:val="en-GB"/>
              </w:rPr>
            </w:pPr>
            <w:r w:rsidRPr="00667ED0">
              <w:rPr>
                <w:rFonts w:ascii="Arial" w:eastAsia="MS Mincho" w:hAnsi="Arial" w:cs="Arial"/>
                <w:lang w:val="en-GB"/>
              </w:rPr>
              <w:t>[33]</w:t>
            </w:r>
            <w:r w:rsidRPr="00667ED0">
              <w:rPr>
                <w:rFonts w:ascii="Arial" w:eastAsia="MS Mincho" w:hAnsi="Arial" w:cs="Arial"/>
                <w:lang w:val="en-GB"/>
              </w:rPr>
              <w:tab/>
              <w:t>Having regard to its purpose and its proper application, summary judgment proceedings only hold terrors and are 'drastic' for a defendant who has no defence. Perhaps the time has come to discard these labels and to concentrate rather on the</w:t>
            </w:r>
            <w:r w:rsidR="007312FE">
              <w:rPr>
                <w:rFonts w:ascii="Arial" w:eastAsia="MS Mincho" w:hAnsi="Arial" w:cs="Arial"/>
                <w:lang w:val="en-GB"/>
              </w:rPr>
              <w:t xml:space="preserve"> proper application of the rule . . . .</w:t>
            </w:r>
            <w:r w:rsidRPr="00667ED0">
              <w:rPr>
                <w:rFonts w:ascii="Arial" w:eastAsia="MS Mincho" w:hAnsi="Arial" w:cs="Arial"/>
                <w:lang w:val="en-GB"/>
              </w:rPr>
              <w:t>’</w:t>
            </w:r>
          </w:p>
          <w:p w:rsidR="00667ED0" w:rsidRPr="00667ED0" w:rsidRDefault="00667ED0" w:rsidP="00667ED0">
            <w:pPr>
              <w:spacing w:after="0" w:line="360" w:lineRule="auto"/>
              <w:jc w:val="both"/>
              <w:rPr>
                <w:rFonts w:ascii="Arial" w:eastAsia="MS Mincho" w:hAnsi="Arial" w:cs="Arial"/>
                <w:lang w:val="en-GB"/>
              </w:rPr>
            </w:pPr>
          </w:p>
          <w:p w:rsidR="00667ED0" w:rsidRPr="00667ED0" w:rsidRDefault="00667ED0" w:rsidP="00667ED0">
            <w:pPr>
              <w:spacing w:after="0" w:line="360" w:lineRule="auto"/>
              <w:jc w:val="both"/>
              <w:rPr>
                <w:rFonts w:ascii="Arial" w:eastAsia="MS Mincho" w:hAnsi="Arial" w:cs="Arial"/>
                <w:sz w:val="24"/>
                <w:szCs w:val="24"/>
                <w:lang w:val="en-GB"/>
              </w:rPr>
            </w:pPr>
            <w:r w:rsidRPr="00667ED0">
              <w:rPr>
                <w:rFonts w:ascii="Arial" w:eastAsia="MS Mincho" w:hAnsi="Arial" w:cs="Arial"/>
                <w:sz w:val="24"/>
                <w:szCs w:val="24"/>
                <w:lang w:val="en-GB"/>
              </w:rPr>
              <w:t>[17]</w:t>
            </w:r>
            <w:r w:rsidRPr="00667ED0">
              <w:rPr>
                <w:rFonts w:ascii="Arial" w:eastAsia="MS Mincho" w:hAnsi="Arial" w:cs="Arial"/>
                <w:sz w:val="24"/>
                <w:szCs w:val="24"/>
                <w:lang w:val="en-GB"/>
              </w:rPr>
              <w:tab/>
              <w:t>It is in the context that I have se</w:t>
            </w:r>
            <w:r w:rsidR="00067EAA">
              <w:rPr>
                <w:rFonts w:ascii="Arial" w:eastAsia="MS Mincho" w:hAnsi="Arial" w:cs="Arial"/>
                <w:sz w:val="24"/>
                <w:szCs w:val="24"/>
                <w:lang w:val="en-GB"/>
              </w:rPr>
              <w:t>t out in the preceding para</w:t>
            </w:r>
            <w:r w:rsidRPr="00667ED0">
              <w:rPr>
                <w:rFonts w:ascii="Arial" w:eastAsia="MS Mincho" w:hAnsi="Arial" w:cs="Arial"/>
                <w:sz w:val="24"/>
                <w:szCs w:val="24"/>
                <w:lang w:val="en-GB"/>
              </w:rPr>
              <w:t>s that I intend to consider the preliminary objections raised by the defendant and the defences that he has raised. After counsel for the parti</w:t>
            </w:r>
            <w:r w:rsidR="00067EAA">
              <w:rPr>
                <w:rFonts w:ascii="Arial" w:eastAsia="MS Mincho" w:hAnsi="Arial" w:cs="Arial"/>
                <w:sz w:val="24"/>
                <w:szCs w:val="24"/>
                <w:lang w:val="en-GB"/>
              </w:rPr>
              <w:t>es made their submissions, the c</w:t>
            </w:r>
            <w:r w:rsidRPr="00667ED0">
              <w:rPr>
                <w:rFonts w:ascii="Arial" w:eastAsia="MS Mincho" w:hAnsi="Arial" w:cs="Arial"/>
                <w:sz w:val="24"/>
                <w:szCs w:val="24"/>
                <w:lang w:val="en-GB"/>
              </w:rPr>
              <w:t xml:space="preserve">ourt, at the hearing of the summary judgment application, requested them to submit additional heads of argument on the question of whether non-compliance with rule 60(3) must result </w:t>
            </w:r>
            <w:r w:rsidR="00FC4BFF">
              <w:rPr>
                <w:rFonts w:ascii="Arial" w:eastAsia="MS Mincho" w:hAnsi="Arial" w:cs="Arial"/>
                <w:sz w:val="24"/>
                <w:szCs w:val="24"/>
                <w:lang w:val="en-GB"/>
              </w:rPr>
              <w:t>i</w:t>
            </w:r>
            <w:r w:rsidR="0023542E">
              <w:rPr>
                <w:rFonts w:ascii="Arial" w:eastAsia="MS Mincho" w:hAnsi="Arial" w:cs="Arial"/>
                <w:sz w:val="24"/>
                <w:szCs w:val="24"/>
                <w:lang w:val="en-GB"/>
              </w:rPr>
              <w:t xml:space="preserve">n </w:t>
            </w:r>
            <w:r w:rsidRPr="00667ED0">
              <w:rPr>
                <w:rFonts w:ascii="Arial" w:eastAsia="MS Mincho" w:hAnsi="Arial" w:cs="Arial"/>
                <w:sz w:val="24"/>
                <w:szCs w:val="24"/>
                <w:lang w:val="en-GB"/>
              </w:rPr>
              <w:t>the dismissal of the application.</w:t>
            </w:r>
          </w:p>
          <w:p w:rsidR="00667ED0" w:rsidRPr="00667ED0" w:rsidRDefault="00667ED0" w:rsidP="00667ED0">
            <w:pPr>
              <w:spacing w:after="0" w:line="360" w:lineRule="auto"/>
              <w:jc w:val="both"/>
              <w:rPr>
                <w:rFonts w:ascii="Arial" w:eastAsia="MS Mincho" w:hAnsi="Arial" w:cs="Arial"/>
                <w:sz w:val="24"/>
                <w:szCs w:val="24"/>
                <w:lang w:val="en-GB"/>
              </w:rPr>
            </w:pPr>
          </w:p>
          <w:p w:rsidR="00667ED0" w:rsidRPr="00667ED0" w:rsidRDefault="00667ED0" w:rsidP="00667ED0">
            <w:pPr>
              <w:spacing w:after="0" w:line="360" w:lineRule="auto"/>
              <w:jc w:val="both"/>
              <w:rPr>
                <w:rFonts w:ascii="Arial" w:eastAsia="MS Mincho" w:hAnsi="Arial" w:cs="Arial"/>
                <w:sz w:val="24"/>
                <w:szCs w:val="24"/>
                <w:lang w:val="en-GB"/>
              </w:rPr>
            </w:pPr>
            <w:r w:rsidRPr="00667ED0">
              <w:rPr>
                <w:rFonts w:ascii="Arial" w:eastAsia="MS Mincho" w:hAnsi="Arial" w:cs="Arial"/>
                <w:sz w:val="24"/>
                <w:szCs w:val="24"/>
                <w:lang w:val="en-GB"/>
              </w:rPr>
              <w:t>[18]</w:t>
            </w:r>
            <w:r w:rsidRPr="00667ED0">
              <w:rPr>
                <w:rFonts w:ascii="Arial" w:eastAsia="MS Mincho" w:hAnsi="Arial" w:cs="Arial"/>
                <w:sz w:val="24"/>
                <w:szCs w:val="24"/>
                <w:lang w:val="en-GB"/>
              </w:rPr>
              <w:tab/>
              <w:t xml:space="preserve">The court is grateful to counsel for submitting additional heads in support of their respective stand on the above issue. I will </w:t>
            </w:r>
            <w:r w:rsidR="007C1CFB">
              <w:rPr>
                <w:rFonts w:ascii="Arial" w:eastAsia="MS Mincho" w:hAnsi="Arial" w:cs="Arial"/>
                <w:sz w:val="24"/>
                <w:szCs w:val="24"/>
                <w:lang w:val="en-GB"/>
              </w:rPr>
              <w:t xml:space="preserve">thus firstly </w:t>
            </w:r>
            <w:r w:rsidRPr="00667ED0">
              <w:rPr>
                <w:rFonts w:ascii="Arial" w:eastAsia="MS Mincho" w:hAnsi="Arial" w:cs="Arial"/>
                <w:sz w:val="24"/>
                <w:szCs w:val="24"/>
                <w:lang w:val="en-GB"/>
              </w:rPr>
              <w:t>deal with the objection raised by the defendant in these proceedings</w:t>
            </w:r>
            <w:r w:rsidR="00712E03">
              <w:rPr>
                <w:rFonts w:ascii="Arial" w:eastAsia="MS Mincho" w:hAnsi="Arial" w:cs="Arial"/>
                <w:sz w:val="24"/>
                <w:szCs w:val="24"/>
                <w:lang w:val="en-GB"/>
              </w:rPr>
              <w:t>,</w:t>
            </w:r>
            <w:r w:rsidRPr="00667ED0">
              <w:rPr>
                <w:rFonts w:ascii="Arial" w:eastAsia="MS Mincho" w:hAnsi="Arial" w:cs="Arial"/>
                <w:sz w:val="24"/>
                <w:szCs w:val="24"/>
                <w:lang w:val="en-GB"/>
              </w:rPr>
              <w:t xml:space="preserve"> namely that the plaintiff has failed to attach the liq</w:t>
            </w:r>
            <w:r w:rsidR="00ED079A">
              <w:rPr>
                <w:rFonts w:ascii="Arial" w:eastAsia="MS Mincho" w:hAnsi="Arial" w:cs="Arial"/>
                <w:sz w:val="24"/>
                <w:szCs w:val="24"/>
                <w:lang w:val="en-GB"/>
              </w:rPr>
              <w:t>uid document, upon which it basi</w:t>
            </w:r>
            <w:r w:rsidRPr="00667ED0">
              <w:rPr>
                <w:rFonts w:ascii="Arial" w:eastAsia="MS Mincho" w:hAnsi="Arial" w:cs="Arial"/>
                <w:sz w:val="24"/>
                <w:szCs w:val="24"/>
                <w:lang w:val="en-GB"/>
              </w:rPr>
              <w:t xml:space="preserve">s </w:t>
            </w:r>
            <w:r w:rsidRPr="00667ED0">
              <w:rPr>
                <w:rFonts w:ascii="Arial" w:eastAsia="MS Mincho" w:hAnsi="Arial" w:cs="Arial"/>
                <w:sz w:val="24"/>
                <w:szCs w:val="24"/>
                <w:lang w:val="en-GB"/>
              </w:rPr>
              <w:lastRenderedPageBreak/>
              <w:t>its claim, to its verifying affidavit. Rule 60(3)</w:t>
            </w:r>
            <w:r w:rsidRPr="00667ED0">
              <w:rPr>
                <w:rFonts w:ascii="Arial" w:eastAsia="MS Mincho" w:hAnsi="Arial" w:cs="Arial"/>
                <w:sz w:val="24"/>
                <w:szCs w:val="24"/>
                <w:vertAlign w:val="superscript"/>
                <w:lang w:val="en-GB"/>
              </w:rPr>
              <w:footnoteReference w:id="5"/>
            </w:r>
            <w:r w:rsidRPr="00667ED0">
              <w:rPr>
                <w:rFonts w:ascii="Cambria" w:eastAsia="MS Mincho" w:hAnsi="Cambria" w:cs="Times New Roman"/>
                <w:sz w:val="24"/>
                <w:szCs w:val="24"/>
                <w:lang w:val="en-GB"/>
              </w:rPr>
              <w:t xml:space="preserve"> </w:t>
            </w:r>
            <w:r w:rsidRPr="00667ED0">
              <w:rPr>
                <w:rFonts w:ascii="Arial" w:eastAsia="MS Mincho" w:hAnsi="Arial" w:cs="Arial"/>
                <w:sz w:val="24"/>
                <w:szCs w:val="24"/>
                <w:lang w:val="en-GB"/>
              </w:rPr>
              <w:t>requires the plaintiff, in an application for summary judgment, to attach a copy of the li</w:t>
            </w:r>
            <w:r w:rsidR="00ED079A">
              <w:rPr>
                <w:rFonts w:ascii="Arial" w:eastAsia="MS Mincho" w:hAnsi="Arial" w:cs="Arial"/>
                <w:sz w:val="24"/>
                <w:szCs w:val="24"/>
                <w:lang w:val="en-GB"/>
              </w:rPr>
              <w:t>quid document upon which it basi</w:t>
            </w:r>
            <w:r w:rsidRPr="00667ED0">
              <w:rPr>
                <w:rFonts w:ascii="Arial" w:eastAsia="MS Mincho" w:hAnsi="Arial" w:cs="Arial"/>
                <w:sz w:val="24"/>
                <w:szCs w:val="24"/>
                <w:lang w:val="en-GB"/>
              </w:rPr>
              <w:t>s its claim to its verifying affidavit.</w:t>
            </w:r>
          </w:p>
          <w:p w:rsidR="00667ED0" w:rsidRPr="00667ED0" w:rsidRDefault="00667ED0" w:rsidP="00667ED0">
            <w:pPr>
              <w:spacing w:after="0" w:line="360" w:lineRule="auto"/>
              <w:jc w:val="both"/>
              <w:rPr>
                <w:rFonts w:ascii="Arial" w:eastAsia="MS Mincho" w:hAnsi="Arial" w:cs="Arial"/>
                <w:sz w:val="24"/>
                <w:szCs w:val="24"/>
                <w:lang w:val="en-GB"/>
              </w:rPr>
            </w:pPr>
          </w:p>
          <w:p w:rsidR="00667ED0" w:rsidRPr="00667ED0" w:rsidRDefault="00667ED0" w:rsidP="00667ED0">
            <w:pPr>
              <w:spacing w:after="0" w:line="360" w:lineRule="auto"/>
              <w:jc w:val="both"/>
              <w:rPr>
                <w:rFonts w:ascii="Arial" w:eastAsia="MS Mincho" w:hAnsi="Arial" w:cs="Arial"/>
                <w:sz w:val="24"/>
                <w:szCs w:val="24"/>
                <w:lang w:val="en-GB"/>
              </w:rPr>
            </w:pPr>
            <w:r w:rsidRPr="00667ED0">
              <w:rPr>
                <w:rFonts w:ascii="Arial" w:eastAsia="MS Mincho" w:hAnsi="Arial" w:cs="Arial"/>
                <w:sz w:val="24"/>
                <w:szCs w:val="24"/>
                <w:lang w:val="en-GB"/>
              </w:rPr>
              <w:t>[19]</w:t>
            </w:r>
            <w:r w:rsidRPr="00667ED0">
              <w:rPr>
                <w:rFonts w:ascii="Arial" w:eastAsia="MS Mincho" w:hAnsi="Arial" w:cs="Arial"/>
                <w:sz w:val="24"/>
                <w:szCs w:val="24"/>
                <w:lang w:val="en-GB"/>
              </w:rPr>
              <w:tab/>
              <w:t xml:space="preserve">Mr </w:t>
            </w:r>
            <w:proofErr w:type="spellStart"/>
            <w:r w:rsidRPr="00667ED0">
              <w:rPr>
                <w:rFonts w:ascii="Arial" w:eastAsia="MS Mincho" w:hAnsi="Arial" w:cs="Arial"/>
                <w:sz w:val="24"/>
                <w:szCs w:val="24"/>
                <w:lang w:val="en-GB"/>
              </w:rPr>
              <w:t>Jantjies</w:t>
            </w:r>
            <w:proofErr w:type="spellEnd"/>
            <w:r w:rsidR="002336D3">
              <w:rPr>
                <w:rFonts w:ascii="Arial" w:eastAsia="MS Mincho" w:hAnsi="Arial" w:cs="Arial"/>
                <w:sz w:val="24"/>
                <w:szCs w:val="24"/>
                <w:lang w:val="en-GB"/>
              </w:rPr>
              <w:t>,</w:t>
            </w:r>
            <w:r w:rsidRPr="00667ED0">
              <w:rPr>
                <w:rFonts w:ascii="Arial" w:eastAsia="MS Mincho" w:hAnsi="Arial" w:cs="Arial"/>
                <w:sz w:val="24"/>
                <w:szCs w:val="24"/>
                <w:lang w:val="en-GB"/>
              </w:rPr>
              <w:t xml:space="preserve"> on behalf of the defendant</w:t>
            </w:r>
            <w:r w:rsidR="002336D3">
              <w:rPr>
                <w:rFonts w:ascii="Arial" w:eastAsia="MS Mincho" w:hAnsi="Arial" w:cs="Arial"/>
                <w:sz w:val="24"/>
                <w:szCs w:val="24"/>
                <w:lang w:val="en-GB"/>
              </w:rPr>
              <w:t>,</w:t>
            </w:r>
            <w:r w:rsidR="0023542E">
              <w:rPr>
                <w:rFonts w:ascii="Arial" w:eastAsia="MS Mincho" w:hAnsi="Arial" w:cs="Arial"/>
                <w:sz w:val="24"/>
                <w:szCs w:val="24"/>
                <w:lang w:val="en-GB"/>
              </w:rPr>
              <w:t xml:space="preserve"> argued that r</w:t>
            </w:r>
            <w:r w:rsidRPr="00667ED0">
              <w:rPr>
                <w:rFonts w:ascii="Arial" w:eastAsia="MS Mincho" w:hAnsi="Arial" w:cs="Arial"/>
                <w:sz w:val="24"/>
                <w:szCs w:val="24"/>
                <w:lang w:val="en-GB"/>
              </w:rPr>
              <w:t>ule 60(2</w:t>
            </w:r>
            <w:proofErr w:type="gramStart"/>
            <w:r w:rsidRPr="00667ED0">
              <w:rPr>
                <w:rFonts w:ascii="Arial" w:eastAsia="MS Mincho" w:hAnsi="Arial" w:cs="Arial"/>
                <w:sz w:val="24"/>
                <w:szCs w:val="24"/>
                <w:lang w:val="en-GB"/>
              </w:rPr>
              <w:t>)</w:t>
            </w:r>
            <w:r w:rsidRPr="00667ED0">
              <w:rPr>
                <w:rFonts w:ascii="Arial" w:eastAsia="MS Mincho" w:hAnsi="Arial" w:cs="Arial"/>
                <w:i/>
                <w:sz w:val="24"/>
                <w:szCs w:val="24"/>
                <w:lang w:val="en-GB"/>
              </w:rPr>
              <w:t>(</w:t>
            </w:r>
            <w:proofErr w:type="gramEnd"/>
            <w:r w:rsidRPr="00667ED0">
              <w:rPr>
                <w:rFonts w:ascii="Arial" w:eastAsia="MS Mincho" w:hAnsi="Arial" w:cs="Arial"/>
                <w:i/>
                <w:sz w:val="24"/>
                <w:szCs w:val="24"/>
                <w:lang w:val="en-GB"/>
              </w:rPr>
              <w:t>a)</w:t>
            </w:r>
            <w:r w:rsidR="00DC4425">
              <w:rPr>
                <w:rFonts w:ascii="Arial" w:eastAsia="MS Mincho" w:hAnsi="Arial" w:cs="Arial"/>
                <w:sz w:val="24"/>
                <w:szCs w:val="24"/>
                <w:lang w:val="en-GB"/>
              </w:rPr>
              <w:t xml:space="preserve"> requires</w:t>
            </w:r>
            <w:r w:rsidRPr="00667ED0">
              <w:rPr>
                <w:rFonts w:ascii="Arial" w:eastAsia="MS Mincho" w:hAnsi="Arial" w:cs="Arial"/>
                <w:sz w:val="24"/>
                <w:szCs w:val="24"/>
                <w:lang w:val="en-GB"/>
              </w:rPr>
              <w:t xml:space="preserve"> the deponent to the affidavit supporting an application for summary judgment </w:t>
            </w:r>
            <w:r w:rsidR="00DC4425">
              <w:rPr>
                <w:rFonts w:ascii="Arial" w:eastAsia="MS Mincho" w:hAnsi="Arial" w:cs="Arial"/>
                <w:sz w:val="24"/>
                <w:szCs w:val="24"/>
                <w:lang w:val="en-GB"/>
              </w:rPr>
              <w:t>to</w:t>
            </w:r>
            <w:r w:rsidRPr="00667ED0">
              <w:rPr>
                <w:rFonts w:ascii="Arial" w:eastAsia="MS Mincho" w:hAnsi="Arial" w:cs="Arial"/>
                <w:sz w:val="24"/>
                <w:szCs w:val="24"/>
                <w:lang w:val="en-GB"/>
              </w:rPr>
              <w:t xml:space="preserve"> </w:t>
            </w:r>
            <w:r w:rsidR="006A2BC9">
              <w:rPr>
                <w:rFonts w:ascii="Arial" w:eastAsia="MS Mincho" w:hAnsi="Arial" w:cs="Arial"/>
                <w:sz w:val="24"/>
                <w:szCs w:val="24"/>
                <w:lang w:val="en-GB"/>
              </w:rPr>
              <w:t>‘verify’</w:t>
            </w:r>
            <w:r w:rsidRPr="00667ED0">
              <w:rPr>
                <w:rFonts w:ascii="Arial" w:eastAsia="MS Mincho" w:hAnsi="Arial" w:cs="Arial"/>
                <w:sz w:val="24"/>
                <w:szCs w:val="24"/>
                <w:lang w:val="en-GB"/>
              </w:rPr>
              <w:t xml:space="preserve"> the cause of action. He continued and argued that where the liquid document is not attached to the verifying affidavit, the requisite evidentiary material, with reference to the facts set out in the affidavit itself, is lacking and renders </w:t>
            </w:r>
            <w:r w:rsidR="006A2BC9">
              <w:rPr>
                <w:rFonts w:ascii="Arial" w:eastAsia="MS Mincho" w:hAnsi="Arial" w:cs="Arial"/>
                <w:sz w:val="24"/>
                <w:szCs w:val="24"/>
                <w:lang w:val="en-GB"/>
              </w:rPr>
              <w:t>the application non-</w:t>
            </w:r>
            <w:r w:rsidRPr="00667ED0">
              <w:rPr>
                <w:rFonts w:ascii="Arial" w:eastAsia="MS Mincho" w:hAnsi="Arial" w:cs="Arial"/>
                <w:sz w:val="24"/>
                <w:szCs w:val="24"/>
                <w:lang w:val="en-GB"/>
              </w:rPr>
              <w:t>compliant with rule 60(2)</w:t>
            </w:r>
            <w:r w:rsidRPr="00667ED0">
              <w:rPr>
                <w:rFonts w:ascii="Arial" w:eastAsia="MS Mincho" w:hAnsi="Arial" w:cs="Arial"/>
                <w:i/>
                <w:sz w:val="24"/>
                <w:szCs w:val="24"/>
                <w:lang w:val="en-GB"/>
              </w:rPr>
              <w:t>(a)</w:t>
            </w:r>
            <w:r w:rsidRPr="00667ED0">
              <w:rPr>
                <w:rFonts w:ascii="Arial" w:eastAsia="MS Mincho" w:hAnsi="Arial" w:cs="Arial"/>
                <w:sz w:val="24"/>
                <w:szCs w:val="24"/>
                <w:lang w:val="en-GB"/>
              </w:rPr>
              <w:t>. To that end</w:t>
            </w:r>
            <w:r w:rsidR="006A2BC9">
              <w:rPr>
                <w:rFonts w:ascii="Arial" w:eastAsia="MS Mincho" w:hAnsi="Arial" w:cs="Arial"/>
                <w:sz w:val="24"/>
                <w:szCs w:val="24"/>
                <w:lang w:val="en-GB"/>
              </w:rPr>
              <w:t>,</w:t>
            </w:r>
            <w:r w:rsidRPr="00667ED0">
              <w:rPr>
                <w:rFonts w:ascii="Arial" w:eastAsia="MS Mincho" w:hAnsi="Arial" w:cs="Arial"/>
                <w:sz w:val="24"/>
                <w:szCs w:val="24"/>
                <w:lang w:val="en-GB"/>
              </w:rPr>
              <w:t xml:space="preserve"> annexing the liquid document to the verifyin</w:t>
            </w:r>
            <w:r w:rsidR="006A2BC9">
              <w:rPr>
                <w:rFonts w:ascii="Arial" w:eastAsia="MS Mincho" w:hAnsi="Arial" w:cs="Arial"/>
                <w:sz w:val="24"/>
                <w:szCs w:val="24"/>
                <w:lang w:val="en-GB"/>
              </w:rPr>
              <w:t>g affidavit never amounts to a ‘superfluous duplication’</w:t>
            </w:r>
            <w:r w:rsidRPr="00667ED0">
              <w:rPr>
                <w:rFonts w:ascii="Arial" w:eastAsia="MS Mincho" w:hAnsi="Arial" w:cs="Arial"/>
                <w:sz w:val="24"/>
                <w:szCs w:val="24"/>
                <w:lang w:val="en-GB"/>
              </w:rPr>
              <w:t xml:space="preserve"> if already annexed to the combined summons as such reasoning misconstrues the ambit of the requirement in rule 60(2)</w:t>
            </w:r>
            <w:r w:rsidRPr="00667ED0">
              <w:rPr>
                <w:rFonts w:ascii="Arial" w:eastAsia="MS Mincho" w:hAnsi="Arial" w:cs="Arial"/>
                <w:i/>
                <w:sz w:val="24"/>
                <w:szCs w:val="24"/>
                <w:lang w:val="en-GB"/>
              </w:rPr>
              <w:t>(a)</w:t>
            </w:r>
            <w:r w:rsidRPr="00667ED0">
              <w:rPr>
                <w:rFonts w:ascii="Arial" w:eastAsia="MS Mincho" w:hAnsi="Arial" w:cs="Arial"/>
                <w:sz w:val="24"/>
                <w:szCs w:val="24"/>
                <w:lang w:val="en-GB"/>
              </w:rPr>
              <w:t>.</w:t>
            </w:r>
          </w:p>
          <w:p w:rsidR="00667ED0" w:rsidRPr="00667ED0" w:rsidRDefault="00667ED0" w:rsidP="00667ED0">
            <w:pPr>
              <w:spacing w:after="0" w:line="360" w:lineRule="auto"/>
              <w:jc w:val="both"/>
              <w:rPr>
                <w:rFonts w:ascii="Arial" w:eastAsia="MS Mincho" w:hAnsi="Arial" w:cs="Arial"/>
                <w:sz w:val="24"/>
                <w:szCs w:val="24"/>
                <w:lang w:val="en-GB"/>
              </w:rPr>
            </w:pPr>
          </w:p>
          <w:p w:rsidR="00667ED0" w:rsidRPr="00667ED0" w:rsidRDefault="00667ED0" w:rsidP="00667ED0">
            <w:pPr>
              <w:spacing w:after="0" w:line="360" w:lineRule="auto"/>
              <w:jc w:val="both"/>
              <w:rPr>
                <w:rFonts w:ascii="Arial" w:eastAsia="MS Mincho" w:hAnsi="Arial" w:cs="Arial"/>
                <w:sz w:val="24"/>
                <w:szCs w:val="24"/>
                <w:lang w:val="en-GB"/>
              </w:rPr>
            </w:pPr>
            <w:r w:rsidRPr="00667ED0">
              <w:rPr>
                <w:rFonts w:ascii="Arial" w:eastAsia="MS Mincho" w:hAnsi="Arial" w:cs="Arial"/>
                <w:sz w:val="24"/>
                <w:szCs w:val="24"/>
                <w:lang w:val="en-GB"/>
              </w:rPr>
              <w:t>[20]</w:t>
            </w:r>
            <w:r w:rsidRPr="00667ED0">
              <w:rPr>
                <w:rFonts w:ascii="Arial" w:eastAsia="MS Mincho" w:hAnsi="Arial" w:cs="Arial"/>
                <w:sz w:val="24"/>
                <w:szCs w:val="24"/>
                <w:lang w:val="en-GB"/>
              </w:rPr>
              <w:tab/>
              <w:t xml:space="preserve">Mr </w:t>
            </w:r>
            <w:proofErr w:type="spellStart"/>
            <w:r w:rsidRPr="00667ED0">
              <w:rPr>
                <w:rFonts w:ascii="Arial" w:eastAsia="MS Mincho" w:hAnsi="Arial" w:cs="Arial"/>
                <w:sz w:val="24"/>
                <w:szCs w:val="24"/>
                <w:lang w:val="en-GB"/>
              </w:rPr>
              <w:t>Jantjies</w:t>
            </w:r>
            <w:proofErr w:type="spellEnd"/>
            <w:r w:rsidRPr="00667ED0">
              <w:rPr>
                <w:rFonts w:ascii="Arial" w:eastAsia="MS Mincho" w:hAnsi="Arial" w:cs="Arial"/>
                <w:sz w:val="24"/>
                <w:szCs w:val="24"/>
                <w:lang w:val="en-GB"/>
              </w:rPr>
              <w:t xml:space="preserve"> continued and argued that evidently, rule 60(3) serves the purpose of rule 60(2)</w:t>
            </w:r>
            <w:r w:rsidRPr="00667ED0">
              <w:rPr>
                <w:rFonts w:ascii="Arial" w:eastAsia="MS Mincho" w:hAnsi="Arial" w:cs="Arial"/>
                <w:i/>
                <w:sz w:val="24"/>
                <w:szCs w:val="24"/>
                <w:lang w:val="en-GB"/>
              </w:rPr>
              <w:t>(a)</w:t>
            </w:r>
            <w:r w:rsidRPr="00667ED0">
              <w:rPr>
                <w:rFonts w:ascii="Arial" w:eastAsia="MS Mincho" w:hAnsi="Arial" w:cs="Arial"/>
                <w:sz w:val="24"/>
                <w:szCs w:val="24"/>
                <w:lang w:val="en-GB"/>
              </w:rPr>
              <w:t>, requiring the deponent, having knowledge, to verify the cause of action under oath with reference to the requisite evidentiary material. In consequence, the issue of prejudice arising is an irrelevant consideration as compliance with rule 60(2</w:t>
            </w:r>
            <w:proofErr w:type="gramStart"/>
            <w:r w:rsidRPr="00667ED0">
              <w:rPr>
                <w:rFonts w:ascii="Arial" w:eastAsia="MS Mincho" w:hAnsi="Arial" w:cs="Arial"/>
                <w:sz w:val="24"/>
                <w:szCs w:val="24"/>
                <w:lang w:val="en-GB"/>
              </w:rPr>
              <w:t>)</w:t>
            </w:r>
            <w:r w:rsidRPr="00667ED0">
              <w:rPr>
                <w:rFonts w:ascii="Arial" w:eastAsia="MS Mincho" w:hAnsi="Arial" w:cs="Arial"/>
                <w:i/>
                <w:sz w:val="24"/>
                <w:szCs w:val="24"/>
                <w:lang w:val="en-GB"/>
              </w:rPr>
              <w:t>(</w:t>
            </w:r>
            <w:proofErr w:type="gramEnd"/>
            <w:r w:rsidRPr="00667ED0">
              <w:rPr>
                <w:rFonts w:ascii="Arial" w:eastAsia="MS Mincho" w:hAnsi="Arial" w:cs="Arial"/>
                <w:i/>
                <w:sz w:val="24"/>
                <w:szCs w:val="24"/>
                <w:lang w:val="en-GB"/>
              </w:rPr>
              <w:t>a)</w:t>
            </w:r>
            <w:r w:rsidRPr="00667ED0">
              <w:rPr>
                <w:rFonts w:ascii="Arial" w:eastAsia="MS Mincho" w:hAnsi="Arial" w:cs="Arial"/>
                <w:sz w:val="24"/>
                <w:szCs w:val="24"/>
                <w:lang w:val="en-GB"/>
              </w:rPr>
              <w:t xml:space="preserve"> is the jurisdictional fact upon which summary judgment can permissibly be granted.  </w:t>
            </w:r>
          </w:p>
          <w:p w:rsidR="00667ED0" w:rsidRPr="00667ED0" w:rsidRDefault="00667ED0" w:rsidP="00667ED0">
            <w:pPr>
              <w:spacing w:after="0" w:line="360" w:lineRule="auto"/>
              <w:jc w:val="both"/>
              <w:rPr>
                <w:rFonts w:ascii="Arial" w:eastAsia="MS Mincho" w:hAnsi="Arial" w:cs="Arial"/>
                <w:sz w:val="24"/>
                <w:szCs w:val="24"/>
                <w:lang w:val="en-GB"/>
              </w:rPr>
            </w:pPr>
          </w:p>
          <w:p w:rsidR="00667ED0" w:rsidRPr="00667ED0" w:rsidRDefault="00667ED0" w:rsidP="00667ED0">
            <w:pPr>
              <w:spacing w:after="0" w:line="360" w:lineRule="auto"/>
              <w:jc w:val="both"/>
              <w:rPr>
                <w:rFonts w:ascii="Arial" w:eastAsia="MS Mincho" w:hAnsi="Arial" w:cs="Arial"/>
                <w:sz w:val="24"/>
                <w:szCs w:val="24"/>
                <w:lang w:val="en-GB"/>
              </w:rPr>
            </w:pPr>
            <w:r w:rsidRPr="00667ED0">
              <w:rPr>
                <w:rFonts w:ascii="Arial" w:eastAsia="MS Mincho" w:hAnsi="Arial" w:cs="Arial"/>
                <w:sz w:val="24"/>
                <w:szCs w:val="24"/>
                <w:lang w:val="en-GB"/>
              </w:rPr>
              <w:t>[21]</w:t>
            </w:r>
            <w:r w:rsidRPr="00667ED0">
              <w:rPr>
                <w:rFonts w:ascii="Arial" w:eastAsia="MS Mincho" w:hAnsi="Arial" w:cs="Arial"/>
                <w:sz w:val="24"/>
                <w:szCs w:val="24"/>
                <w:lang w:val="en-GB"/>
              </w:rPr>
              <w:tab/>
              <w:t>He continued and argued that rule 60(3) is not an end in itself. Lest the requirement of rule 60(2</w:t>
            </w:r>
            <w:proofErr w:type="gramStart"/>
            <w:r w:rsidR="004E2406">
              <w:rPr>
                <w:rFonts w:ascii="Arial" w:eastAsia="MS Mincho" w:hAnsi="Arial" w:cs="Arial"/>
                <w:sz w:val="24"/>
                <w:szCs w:val="24"/>
                <w:lang w:val="en-GB"/>
              </w:rPr>
              <w:t>)</w:t>
            </w:r>
            <w:r w:rsidR="003E4805" w:rsidRPr="004E2406">
              <w:rPr>
                <w:rFonts w:ascii="Arial" w:eastAsia="MS Mincho" w:hAnsi="Arial" w:cs="Arial"/>
                <w:i/>
                <w:sz w:val="24"/>
                <w:szCs w:val="24"/>
                <w:lang w:val="en-GB"/>
              </w:rPr>
              <w:t>(</w:t>
            </w:r>
            <w:proofErr w:type="gramEnd"/>
            <w:r w:rsidRPr="00667ED0">
              <w:rPr>
                <w:rFonts w:ascii="Arial" w:eastAsia="MS Mincho" w:hAnsi="Arial" w:cs="Arial"/>
                <w:i/>
                <w:sz w:val="24"/>
                <w:szCs w:val="24"/>
                <w:lang w:val="en-GB"/>
              </w:rPr>
              <w:t>a)</w:t>
            </w:r>
            <w:r w:rsidRPr="00667ED0">
              <w:rPr>
                <w:rFonts w:ascii="Arial" w:eastAsia="MS Mincho" w:hAnsi="Arial" w:cs="Arial"/>
                <w:sz w:val="24"/>
                <w:szCs w:val="24"/>
                <w:lang w:val="en-GB"/>
              </w:rPr>
              <w:t xml:space="preserve"> be diluted through a debate as to whether or not prejudice arises through non</w:t>
            </w:r>
            <w:r w:rsidR="00FB05D6">
              <w:rPr>
                <w:rFonts w:ascii="Arial" w:eastAsia="MS Mincho" w:hAnsi="Arial" w:cs="Arial"/>
                <w:sz w:val="24"/>
                <w:szCs w:val="24"/>
                <w:lang w:val="en-GB"/>
              </w:rPr>
              <w:t>-compliance with rule 60(3), the defendant</w:t>
            </w:r>
            <w:r w:rsidRPr="00667ED0">
              <w:rPr>
                <w:rFonts w:ascii="Arial" w:eastAsia="MS Mincho" w:hAnsi="Arial" w:cs="Arial"/>
                <w:sz w:val="24"/>
                <w:szCs w:val="24"/>
                <w:lang w:val="en-GB"/>
              </w:rPr>
              <w:t xml:space="preserve"> submit</w:t>
            </w:r>
            <w:r w:rsidR="00FB05D6">
              <w:rPr>
                <w:rFonts w:ascii="Arial" w:eastAsia="MS Mincho" w:hAnsi="Arial" w:cs="Arial"/>
                <w:sz w:val="24"/>
                <w:szCs w:val="24"/>
                <w:lang w:val="en-GB"/>
              </w:rPr>
              <w:t>s that</w:t>
            </w:r>
            <w:r w:rsidRPr="00667ED0">
              <w:rPr>
                <w:rFonts w:ascii="Arial" w:eastAsia="MS Mincho" w:hAnsi="Arial" w:cs="Arial"/>
                <w:sz w:val="24"/>
                <w:szCs w:val="24"/>
                <w:lang w:val="en-GB"/>
              </w:rPr>
              <w:t xml:space="preserve"> the correct interpre</w:t>
            </w:r>
            <w:r w:rsidR="00FB05D6">
              <w:rPr>
                <w:rFonts w:ascii="Arial" w:eastAsia="MS Mincho" w:hAnsi="Arial" w:cs="Arial"/>
                <w:sz w:val="24"/>
                <w:szCs w:val="24"/>
                <w:lang w:val="en-GB"/>
              </w:rPr>
              <w:t>tation to be accorded is this: a</w:t>
            </w:r>
            <w:r w:rsidRPr="00667ED0">
              <w:rPr>
                <w:rFonts w:ascii="Arial" w:eastAsia="MS Mincho" w:hAnsi="Arial" w:cs="Arial"/>
                <w:sz w:val="24"/>
                <w:szCs w:val="24"/>
                <w:lang w:val="en-GB"/>
              </w:rPr>
              <w:t xml:space="preserve"> party suing on a liquid document who fails to annex the liquid document to the verifying affidavit fails to comply with rule 60(2</w:t>
            </w:r>
            <w:r w:rsidR="00FB05D6">
              <w:rPr>
                <w:rFonts w:ascii="Arial" w:eastAsia="MS Mincho" w:hAnsi="Arial" w:cs="Arial"/>
                <w:sz w:val="24"/>
                <w:szCs w:val="24"/>
                <w:lang w:val="en-GB"/>
              </w:rPr>
              <w:t>)</w:t>
            </w:r>
            <w:r w:rsidR="003E4805" w:rsidRPr="00FB05D6">
              <w:rPr>
                <w:rFonts w:ascii="Arial" w:eastAsia="MS Mincho" w:hAnsi="Arial" w:cs="Arial"/>
                <w:i/>
                <w:sz w:val="24"/>
                <w:szCs w:val="24"/>
                <w:lang w:val="en-GB"/>
              </w:rPr>
              <w:t>(</w:t>
            </w:r>
            <w:r w:rsidRPr="00667ED0">
              <w:rPr>
                <w:rFonts w:ascii="Arial" w:eastAsia="MS Mincho" w:hAnsi="Arial" w:cs="Arial"/>
                <w:i/>
                <w:sz w:val="24"/>
                <w:szCs w:val="24"/>
                <w:lang w:val="en-GB"/>
              </w:rPr>
              <w:t>a),</w:t>
            </w:r>
            <w:r w:rsidRPr="00667ED0">
              <w:rPr>
                <w:rFonts w:ascii="Arial" w:eastAsia="MS Mincho" w:hAnsi="Arial" w:cs="Arial"/>
                <w:sz w:val="24"/>
                <w:szCs w:val="24"/>
                <w:lang w:val="en-GB"/>
              </w:rPr>
              <w:t xml:space="preserve"> rendering the application</w:t>
            </w:r>
            <w:r w:rsidR="00FB05D6">
              <w:rPr>
                <w:rFonts w:ascii="Arial" w:eastAsia="MS Mincho" w:hAnsi="Arial" w:cs="Arial"/>
                <w:sz w:val="24"/>
                <w:szCs w:val="24"/>
                <w:lang w:val="en-GB"/>
              </w:rPr>
              <w:t xml:space="preserve"> fatally defective and liable</w:t>
            </w:r>
            <w:r w:rsidRPr="00667ED0">
              <w:rPr>
                <w:rFonts w:ascii="Arial" w:eastAsia="MS Mincho" w:hAnsi="Arial" w:cs="Arial"/>
                <w:sz w:val="24"/>
                <w:szCs w:val="24"/>
                <w:lang w:val="en-GB"/>
              </w:rPr>
              <w:t xml:space="preserve"> it being struck from the roll.</w:t>
            </w:r>
          </w:p>
          <w:p w:rsidR="00667ED0" w:rsidRPr="00667ED0" w:rsidRDefault="00667ED0" w:rsidP="00667ED0">
            <w:pPr>
              <w:spacing w:after="0" w:line="360" w:lineRule="auto"/>
              <w:jc w:val="both"/>
              <w:rPr>
                <w:rFonts w:ascii="Arial" w:eastAsia="MS Mincho" w:hAnsi="Arial" w:cs="Arial"/>
                <w:sz w:val="24"/>
                <w:szCs w:val="24"/>
                <w:lang w:val="en-GB"/>
              </w:rPr>
            </w:pPr>
          </w:p>
          <w:p w:rsidR="00667ED0" w:rsidRPr="00667ED0" w:rsidRDefault="00667ED0" w:rsidP="00667ED0">
            <w:pPr>
              <w:spacing w:after="0" w:line="360" w:lineRule="auto"/>
              <w:jc w:val="both"/>
              <w:rPr>
                <w:rFonts w:ascii="Arial" w:eastAsia="MS Mincho" w:hAnsi="Arial" w:cs="Arial"/>
                <w:sz w:val="24"/>
                <w:szCs w:val="24"/>
                <w:lang w:val="en-GB"/>
              </w:rPr>
            </w:pPr>
            <w:r w:rsidRPr="00667ED0">
              <w:rPr>
                <w:rFonts w:ascii="Arial" w:eastAsia="MS Mincho" w:hAnsi="Arial" w:cs="Arial"/>
                <w:sz w:val="24"/>
                <w:szCs w:val="24"/>
                <w:lang w:val="en-GB"/>
              </w:rPr>
              <w:t>[22]</w:t>
            </w:r>
            <w:r w:rsidRPr="00667ED0">
              <w:rPr>
                <w:rFonts w:ascii="Arial" w:eastAsia="MS Mincho" w:hAnsi="Arial" w:cs="Arial"/>
                <w:sz w:val="24"/>
                <w:szCs w:val="24"/>
                <w:lang w:val="en-GB"/>
              </w:rPr>
              <w:tab/>
              <w:t xml:space="preserve">In </w:t>
            </w:r>
            <w:proofErr w:type="spellStart"/>
            <w:r w:rsidRPr="00667ED0">
              <w:rPr>
                <w:rFonts w:ascii="Arial" w:eastAsia="MS Mincho" w:hAnsi="Arial" w:cs="Arial"/>
                <w:i/>
                <w:sz w:val="24"/>
                <w:szCs w:val="24"/>
                <w:lang w:val="en-GB"/>
              </w:rPr>
              <w:t>Credcor</w:t>
            </w:r>
            <w:proofErr w:type="spellEnd"/>
            <w:r w:rsidRPr="00667ED0">
              <w:rPr>
                <w:rFonts w:ascii="Arial" w:eastAsia="MS Mincho" w:hAnsi="Arial" w:cs="Arial"/>
                <w:i/>
                <w:sz w:val="24"/>
                <w:szCs w:val="24"/>
                <w:lang w:val="en-GB"/>
              </w:rPr>
              <w:t xml:space="preserve"> Bank Ltd v Thomson</w:t>
            </w:r>
            <w:r w:rsidRPr="00667ED0">
              <w:rPr>
                <w:rFonts w:ascii="Arial" w:eastAsia="MS Mincho" w:hAnsi="Arial" w:cs="Arial"/>
                <w:i/>
                <w:sz w:val="24"/>
                <w:szCs w:val="24"/>
                <w:vertAlign w:val="superscript"/>
                <w:lang w:val="en-GB"/>
              </w:rPr>
              <w:footnoteReference w:id="6"/>
            </w:r>
            <w:r w:rsidRPr="00667ED0">
              <w:rPr>
                <w:rFonts w:ascii="Arial" w:eastAsia="MS Mincho" w:hAnsi="Arial" w:cs="Arial"/>
                <w:sz w:val="24"/>
                <w:szCs w:val="24"/>
                <w:lang w:val="en-GB"/>
              </w:rPr>
              <w:t>  the court held that the object of the provision that a copy of the liquid document must be annexed to the affidavit is to ensure that a defendant against whom the extraordinary and stringent remedy of summary judgment is sought</w:t>
            </w:r>
            <w:r w:rsidR="00A8585B">
              <w:rPr>
                <w:rFonts w:ascii="Arial" w:eastAsia="MS Mincho" w:hAnsi="Arial" w:cs="Arial"/>
                <w:sz w:val="24"/>
                <w:szCs w:val="24"/>
                <w:lang w:val="en-GB"/>
              </w:rPr>
              <w:t>,</w:t>
            </w:r>
            <w:r w:rsidRPr="00667ED0">
              <w:rPr>
                <w:rFonts w:ascii="Arial" w:eastAsia="MS Mincho" w:hAnsi="Arial" w:cs="Arial"/>
                <w:sz w:val="24"/>
                <w:szCs w:val="24"/>
                <w:lang w:val="en-GB"/>
              </w:rPr>
              <w:t xml:space="preserve"> must be allowed at least to see a copy of a document which forms a vitally important part of the case which is being made against him.</w:t>
            </w:r>
          </w:p>
          <w:p w:rsidR="00667ED0" w:rsidRPr="00667ED0" w:rsidRDefault="00667ED0" w:rsidP="00667ED0">
            <w:pPr>
              <w:spacing w:after="0" w:line="360" w:lineRule="auto"/>
              <w:jc w:val="both"/>
              <w:rPr>
                <w:rFonts w:ascii="Arial" w:eastAsia="MS Mincho" w:hAnsi="Arial" w:cs="Arial"/>
                <w:sz w:val="24"/>
                <w:szCs w:val="24"/>
                <w:lang w:val="en-GB"/>
              </w:rPr>
            </w:pPr>
          </w:p>
          <w:p w:rsidR="00667ED0" w:rsidRPr="00667ED0" w:rsidRDefault="00667ED0" w:rsidP="00667ED0">
            <w:pPr>
              <w:spacing w:after="0" w:line="360" w:lineRule="auto"/>
              <w:contextualSpacing/>
              <w:jc w:val="both"/>
              <w:rPr>
                <w:rFonts w:ascii="Arial" w:eastAsia="MS Mincho" w:hAnsi="Arial" w:cs="Arial"/>
                <w:sz w:val="24"/>
                <w:szCs w:val="24"/>
                <w:lang w:val="en-GB"/>
              </w:rPr>
            </w:pPr>
            <w:r w:rsidRPr="00667ED0">
              <w:rPr>
                <w:rFonts w:ascii="Arial" w:eastAsia="MS Mincho" w:hAnsi="Arial" w:cs="Arial"/>
                <w:sz w:val="24"/>
                <w:szCs w:val="24"/>
                <w:lang w:val="en-GB"/>
              </w:rPr>
              <w:lastRenderedPageBreak/>
              <w:t>[23]</w:t>
            </w:r>
            <w:r w:rsidRPr="00667ED0">
              <w:rPr>
                <w:rFonts w:ascii="Arial" w:eastAsia="MS Mincho" w:hAnsi="Arial" w:cs="Arial"/>
                <w:sz w:val="24"/>
                <w:szCs w:val="24"/>
                <w:lang w:val="en-GB"/>
              </w:rPr>
              <w:tab/>
              <w:t xml:space="preserve">In </w:t>
            </w:r>
            <w:proofErr w:type="spellStart"/>
            <w:r w:rsidRPr="00667ED0">
              <w:rPr>
                <w:rFonts w:ascii="Arial" w:eastAsia="MS Mincho" w:hAnsi="Arial" w:cs="Arial"/>
                <w:i/>
                <w:sz w:val="24"/>
                <w:szCs w:val="24"/>
                <w:lang w:val="en-GB"/>
              </w:rPr>
              <w:t>Maharaj</w:t>
            </w:r>
            <w:proofErr w:type="spellEnd"/>
            <w:r w:rsidRPr="00667ED0">
              <w:rPr>
                <w:rFonts w:ascii="Arial" w:eastAsia="MS Mincho" w:hAnsi="Arial" w:cs="Arial"/>
                <w:i/>
                <w:sz w:val="24"/>
                <w:szCs w:val="24"/>
                <w:lang w:val="en-GB"/>
              </w:rPr>
              <w:t xml:space="preserve"> v Barclays National Bank Limited</w:t>
            </w:r>
            <w:r w:rsidRPr="00667ED0">
              <w:rPr>
                <w:rFonts w:ascii="Arial" w:eastAsia="MS Mincho" w:hAnsi="Arial" w:cs="Arial"/>
                <w:sz w:val="24"/>
                <w:szCs w:val="24"/>
                <w:vertAlign w:val="superscript"/>
                <w:lang w:val="en-GB"/>
              </w:rPr>
              <w:footnoteReference w:id="7"/>
            </w:r>
            <w:r w:rsidR="0023542E">
              <w:rPr>
                <w:rFonts w:ascii="Arial" w:eastAsia="MS Mincho" w:hAnsi="Arial" w:cs="Arial"/>
                <w:sz w:val="24"/>
                <w:szCs w:val="24"/>
                <w:lang w:val="en-GB"/>
              </w:rPr>
              <w:t>,</w:t>
            </w:r>
            <w:r w:rsidR="0027648C">
              <w:rPr>
                <w:rFonts w:ascii="Arial" w:eastAsia="MS Mincho" w:hAnsi="Arial" w:cs="Arial"/>
                <w:sz w:val="24"/>
                <w:szCs w:val="24"/>
                <w:lang w:val="en-GB"/>
              </w:rPr>
              <w:t xml:space="preserve"> Corbett JA </w:t>
            </w:r>
            <w:r w:rsidRPr="00667ED0">
              <w:rPr>
                <w:rFonts w:ascii="Arial" w:eastAsia="MS Mincho" w:hAnsi="Arial" w:cs="Arial"/>
                <w:sz w:val="24"/>
                <w:szCs w:val="24"/>
                <w:lang w:val="en-GB"/>
              </w:rPr>
              <w:t>pointed out that summary judgment was ‘based upon the supposition that the plaintiff’s claim is unimpeachable and that the defendant’s defence is bogus or bad in law</w:t>
            </w:r>
            <w:r w:rsidRPr="00667ED0">
              <w:rPr>
                <w:rFonts w:ascii="Arial" w:eastAsia="MS Mincho" w:hAnsi="Arial" w:cs="Arial"/>
                <w:i/>
                <w:sz w:val="24"/>
                <w:szCs w:val="24"/>
                <w:lang w:val="en-GB"/>
              </w:rPr>
              <w:t>’.</w:t>
            </w:r>
            <w:r w:rsidRPr="00667ED0">
              <w:rPr>
                <w:rFonts w:ascii="Arial" w:eastAsia="MS Mincho" w:hAnsi="Arial" w:cs="Arial"/>
                <w:sz w:val="24"/>
                <w:szCs w:val="24"/>
                <w:lang w:val="en-GB"/>
              </w:rPr>
              <w:t xml:space="preserve"> To this end, it was therefore important that the affidavit made in support of an application for summary judgment must be made by a person who had ‘personal’ knowledge of the facts and must be one in which the cause of action and the amount if any, are verified. Corbett JA said:</w:t>
            </w:r>
          </w:p>
          <w:p w:rsidR="00667ED0" w:rsidRPr="00667ED0" w:rsidRDefault="00667ED0" w:rsidP="00667ED0">
            <w:pPr>
              <w:spacing w:after="0" w:line="360" w:lineRule="auto"/>
              <w:contextualSpacing/>
              <w:jc w:val="both"/>
              <w:rPr>
                <w:rFonts w:ascii="Arial" w:eastAsia="MS Mincho" w:hAnsi="Arial" w:cs="Arial"/>
                <w:sz w:val="24"/>
                <w:szCs w:val="24"/>
                <w:lang w:val="en-GB"/>
              </w:rPr>
            </w:pPr>
          </w:p>
          <w:p w:rsidR="00667ED0" w:rsidRPr="00667ED0" w:rsidRDefault="00667ED0" w:rsidP="00667ED0">
            <w:pPr>
              <w:widowControl w:val="0"/>
              <w:tabs>
                <w:tab w:val="num" w:pos="720"/>
              </w:tabs>
              <w:spacing w:after="0" w:line="360" w:lineRule="auto"/>
              <w:ind w:firstLine="720"/>
              <w:jc w:val="both"/>
              <w:rPr>
                <w:rFonts w:ascii="Arial" w:eastAsia="MS Mincho" w:hAnsi="Arial" w:cs="Arial"/>
                <w:lang w:val="en-GB"/>
              </w:rPr>
            </w:pPr>
            <w:r w:rsidRPr="00667ED0">
              <w:rPr>
                <w:rFonts w:ascii="Arial" w:eastAsia="MS Mincho" w:hAnsi="Arial" w:cs="Arial"/>
                <w:lang w:val="en-GB"/>
              </w:rPr>
              <w:t>‘While undue formalism in procedural matters is always to be eschewed, it is important in summary judgment applications under Rule 32</w:t>
            </w:r>
            <w:r w:rsidRPr="00667ED0">
              <w:rPr>
                <w:rFonts w:ascii="Arial" w:eastAsia="MS Mincho" w:hAnsi="Arial" w:cs="Arial"/>
                <w:vertAlign w:val="superscript"/>
                <w:lang w:val="en-GB"/>
              </w:rPr>
              <w:footnoteReference w:id="8"/>
            </w:r>
            <w:r w:rsidRPr="00667ED0">
              <w:rPr>
                <w:rFonts w:ascii="Arial" w:eastAsia="MS Mincho" w:hAnsi="Arial" w:cs="Arial"/>
                <w:lang w:val="en-GB"/>
              </w:rPr>
              <w:t xml:space="preserve"> that, in substance, the plaintiff should do what is required of him by the Rule. The extraordinary and drastic nature of the remedy of summary judgment in its present form has often been judicially emphasised ... The grant of the remedy is based upon the supposition that the plaintiff’s claim is unimpeachable and that the defendant’s defence is bogus or bad in law. One of the aids to ensuring that this is the position is the affidavit filed in support of the application; and to achieve this end it is important that the affidavit should be deposed to by either the plaintiff himself or by someone who has personal knowledge of the facts.</w:t>
            </w:r>
          </w:p>
          <w:p w:rsidR="00667ED0" w:rsidRPr="00667ED0" w:rsidRDefault="00667ED0" w:rsidP="00667ED0">
            <w:pPr>
              <w:widowControl w:val="0"/>
              <w:tabs>
                <w:tab w:val="num" w:pos="720"/>
              </w:tabs>
              <w:spacing w:after="0" w:line="360" w:lineRule="auto"/>
              <w:ind w:firstLine="720"/>
              <w:jc w:val="both"/>
              <w:rPr>
                <w:rFonts w:ascii="Arial" w:eastAsia="MS Mincho" w:hAnsi="Arial" w:cs="Arial"/>
                <w:lang w:val="en-GB"/>
              </w:rPr>
            </w:pPr>
          </w:p>
          <w:p w:rsidR="00667ED0" w:rsidRPr="00667ED0" w:rsidRDefault="00667ED0" w:rsidP="00667ED0">
            <w:pPr>
              <w:widowControl w:val="0"/>
              <w:tabs>
                <w:tab w:val="num" w:pos="709"/>
              </w:tabs>
              <w:spacing w:after="0" w:line="360" w:lineRule="auto"/>
              <w:jc w:val="both"/>
              <w:rPr>
                <w:rFonts w:ascii="Arial" w:eastAsia="MS Mincho" w:hAnsi="Arial" w:cs="Arial"/>
                <w:lang w:val="en-GB"/>
              </w:rPr>
            </w:pPr>
            <w:r w:rsidRPr="00667ED0">
              <w:rPr>
                <w:rFonts w:ascii="Arial" w:eastAsia="MS Mincho" w:hAnsi="Arial" w:cs="Arial"/>
                <w:lang w:val="en-GB"/>
              </w:rPr>
              <w:t>Where the affidavit fails to measure up to these requirements, the defect may, nevertheless, be cured by reference to other documents relating to the proceedings which are properly before the Court ... The principle is that, in deciding whether or not to grant summary judgment, the Court looks at the matter ‘at the end of the day’ on all the documents that are properly before it . . . .’</w:t>
            </w:r>
            <w:r w:rsidRPr="00667ED0">
              <w:rPr>
                <w:rFonts w:ascii="Arial" w:eastAsia="MS Mincho" w:hAnsi="Arial" w:cs="Arial"/>
                <w:vertAlign w:val="superscript"/>
                <w:lang w:val="en-GB"/>
              </w:rPr>
              <w:footnoteReference w:id="9"/>
            </w:r>
          </w:p>
          <w:p w:rsidR="00667ED0" w:rsidRPr="00667ED0" w:rsidRDefault="00667ED0" w:rsidP="00667ED0">
            <w:pPr>
              <w:spacing w:after="0" w:line="360" w:lineRule="auto"/>
              <w:jc w:val="both"/>
              <w:rPr>
                <w:rFonts w:ascii="Arial" w:eastAsia="MS Mincho" w:hAnsi="Arial" w:cs="Arial"/>
                <w:sz w:val="24"/>
                <w:szCs w:val="24"/>
                <w:lang w:val="en-GB"/>
              </w:rPr>
            </w:pPr>
          </w:p>
          <w:p w:rsidR="00667ED0" w:rsidRPr="00667ED0" w:rsidRDefault="00667ED0" w:rsidP="00667ED0">
            <w:pPr>
              <w:spacing w:after="0" w:line="360" w:lineRule="auto"/>
              <w:jc w:val="both"/>
              <w:rPr>
                <w:rFonts w:ascii="Arial" w:eastAsia="MS Mincho" w:hAnsi="Arial" w:cs="Arial"/>
                <w:sz w:val="24"/>
                <w:szCs w:val="24"/>
                <w:lang w:val="en-GB"/>
              </w:rPr>
            </w:pPr>
            <w:r w:rsidRPr="00667ED0">
              <w:rPr>
                <w:rFonts w:ascii="Arial" w:eastAsia="MS Mincho" w:hAnsi="Arial" w:cs="Arial"/>
                <w:sz w:val="24"/>
                <w:szCs w:val="24"/>
                <w:lang w:val="en-GB"/>
              </w:rPr>
              <w:t>[24]</w:t>
            </w:r>
            <w:r w:rsidRPr="00667ED0">
              <w:rPr>
                <w:rFonts w:ascii="Arial" w:eastAsia="MS Mincho" w:hAnsi="Arial" w:cs="Arial"/>
                <w:sz w:val="24"/>
                <w:szCs w:val="24"/>
                <w:lang w:val="en-GB"/>
              </w:rPr>
              <w:tab/>
              <w:t xml:space="preserve">In </w:t>
            </w:r>
            <w:proofErr w:type="spellStart"/>
            <w:r w:rsidRPr="00667ED0">
              <w:rPr>
                <w:rFonts w:ascii="Arial" w:eastAsia="MS Mincho" w:hAnsi="Arial" w:cs="Arial"/>
                <w:i/>
                <w:sz w:val="24"/>
                <w:szCs w:val="24"/>
                <w:lang w:val="en-GB"/>
              </w:rPr>
              <w:t>Kelnic</w:t>
            </w:r>
            <w:proofErr w:type="spellEnd"/>
            <w:r w:rsidRPr="00667ED0">
              <w:rPr>
                <w:rFonts w:ascii="Arial" w:eastAsia="MS Mincho" w:hAnsi="Arial" w:cs="Arial"/>
                <w:i/>
                <w:sz w:val="24"/>
                <w:szCs w:val="24"/>
                <w:lang w:val="en-GB"/>
              </w:rPr>
              <w:t xml:space="preserve"> Construction (Pty) Ltd v </w:t>
            </w:r>
            <w:proofErr w:type="spellStart"/>
            <w:r w:rsidRPr="00667ED0">
              <w:rPr>
                <w:rFonts w:ascii="Arial" w:eastAsia="MS Mincho" w:hAnsi="Arial" w:cs="Arial"/>
                <w:i/>
                <w:sz w:val="24"/>
                <w:szCs w:val="24"/>
                <w:lang w:val="en-GB"/>
              </w:rPr>
              <w:t>Cadilu</w:t>
            </w:r>
            <w:proofErr w:type="spellEnd"/>
            <w:r w:rsidRPr="00667ED0">
              <w:rPr>
                <w:rFonts w:ascii="Arial" w:eastAsia="MS Mincho" w:hAnsi="Arial" w:cs="Arial"/>
                <w:i/>
                <w:sz w:val="24"/>
                <w:szCs w:val="24"/>
                <w:lang w:val="en-GB"/>
              </w:rPr>
              <w:t xml:space="preserve"> Fishing (Pty) Ltd</w:t>
            </w:r>
            <w:r w:rsidRPr="00667ED0">
              <w:rPr>
                <w:rFonts w:ascii="Arial" w:eastAsia="MS Mincho" w:hAnsi="Arial" w:cs="Arial"/>
                <w:i/>
                <w:sz w:val="24"/>
                <w:szCs w:val="24"/>
                <w:vertAlign w:val="superscript"/>
                <w:lang w:val="en-GB"/>
              </w:rPr>
              <w:footnoteReference w:id="10"/>
            </w:r>
            <w:r w:rsidRPr="00667ED0">
              <w:rPr>
                <w:rFonts w:ascii="Arial" w:eastAsia="MS Mincho" w:hAnsi="Arial" w:cs="Arial"/>
                <w:sz w:val="24"/>
                <w:szCs w:val="24"/>
                <w:lang w:val="en-GB"/>
              </w:rPr>
              <w:t xml:space="preserve"> this court held that:</w:t>
            </w:r>
          </w:p>
          <w:p w:rsidR="00667ED0" w:rsidRPr="00667ED0" w:rsidRDefault="00667ED0" w:rsidP="00667ED0">
            <w:pPr>
              <w:spacing w:after="0" w:line="360" w:lineRule="auto"/>
              <w:jc w:val="both"/>
              <w:rPr>
                <w:rFonts w:ascii="Arial" w:eastAsia="MS Mincho" w:hAnsi="Arial" w:cs="Arial"/>
                <w:lang w:val="en-GB"/>
              </w:rPr>
            </w:pPr>
          </w:p>
          <w:p w:rsidR="00667ED0" w:rsidRPr="00667ED0" w:rsidRDefault="00667ED0" w:rsidP="00667ED0">
            <w:pPr>
              <w:spacing w:after="0" w:line="360" w:lineRule="auto"/>
              <w:ind w:firstLine="567"/>
              <w:jc w:val="both"/>
              <w:rPr>
                <w:rFonts w:ascii="Arial" w:eastAsia="MS Mincho" w:hAnsi="Arial" w:cs="Arial"/>
                <w:lang w:val="en-GB"/>
              </w:rPr>
            </w:pPr>
            <w:r w:rsidRPr="00667ED0">
              <w:rPr>
                <w:rFonts w:ascii="Arial" w:eastAsia="MS Mincho" w:hAnsi="Arial" w:cs="Arial"/>
                <w:lang w:val="en-GB"/>
              </w:rPr>
              <w:t xml:space="preserve">‘There can be no </w:t>
            </w:r>
            <w:proofErr w:type="gramStart"/>
            <w:r w:rsidRPr="00667ED0">
              <w:rPr>
                <w:rFonts w:ascii="Arial" w:eastAsia="MS Mincho" w:hAnsi="Arial" w:cs="Arial"/>
                <w:lang w:val="en-GB"/>
              </w:rPr>
              <w:t>doubt, …</w:t>
            </w:r>
            <w:proofErr w:type="gramEnd"/>
            <w:r w:rsidRPr="00667ED0">
              <w:rPr>
                <w:rFonts w:ascii="Arial" w:eastAsia="MS Mincho" w:hAnsi="Arial" w:cs="Arial"/>
                <w:lang w:val="en-GB"/>
              </w:rPr>
              <w:t xml:space="preserve"> that summary judgment is an extraordinary remedy which does result in a final judgment against a party without affording that party the opportunity to be heard at a trial. For this reason Courts have required strict compliance with the rules and only granted summary judgments in instances where the applicant's claim is unanswerable. …However…, the Court should not only look at the documents of the applicant, but at all the documents, also those filed by the respondent. Where a respondent, as is the case here, admits his indebtedness in a fixed amount it seems to me that the reason why Courts require strict compliance with the procedural aspects of the Rule, has fallen away. This is so because the Court can be satisfied on the assurance of the respondent himself that he is in fact indebted to the applicant in the amount admitted by him and furthermore that he has no defence in regard to such amount. If any uncertainty was created by the plaintiff's verification of the cause of action, that in my opinion, was removed by the admission which was made by the respondent.</w:t>
            </w:r>
          </w:p>
          <w:p w:rsidR="00667ED0" w:rsidRPr="00667ED0" w:rsidRDefault="00667ED0" w:rsidP="00667ED0">
            <w:pPr>
              <w:spacing w:after="0" w:line="360" w:lineRule="auto"/>
              <w:jc w:val="both"/>
              <w:rPr>
                <w:rFonts w:ascii="Arial" w:eastAsia="MS Mincho" w:hAnsi="Arial" w:cs="Arial"/>
                <w:lang w:val="en-GB"/>
              </w:rPr>
            </w:pPr>
          </w:p>
          <w:p w:rsidR="00667ED0" w:rsidRPr="00667ED0" w:rsidRDefault="00667ED0" w:rsidP="00667ED0">
            <w:pPr>
              <w:spacing w:after="0" w:line="360" w:lineRule="auto"/>
              <w:jc w:val="both"/>
              <w:rPr>
                <w:rFonts w:ascii="Arial" w:eastAsia="MS Mincho" w:hAnsi="Arial" w:cs="Arial"/>
                <w:sz w:val="24"/>
                <w:szCs w:val="24"/>
                <w:lang w:val="en-GB"/>
              </w:rPr>
            </w:pPr>
            <w:r w:rsidRPr="00667ED0">
              <w:rPr>
                <w:rFonts w:ascii="Arial" w:eastAsia="MS Mincho" w:hAnsi="Arial" w:cs="Arial"/>
                <w:sz w:val="24"/>
                <w:szCs w:val="24"/>
                <w:lang w:val="en-GB"/>
              </w:rPr>
              <w:t>[25]</w:t>
            </w:r>
            <w:r w:rsidRPr="00667ED0">
              <w:rPr>
                <w:rFonts w:ascii="Arial" w:eastAsia="MS Mincho" w:hAnsi="Arial" w:cs="Arial"/>
                <w:sz w:val="24"/>
                <w:szCs w:val="24"/>
                <w:lang w:val="en-GB"/>
              </w:rPr>
              <w:tab/>
              <w:t>In light of the authorities that have referred to in the prece</w:t>
            </w:r>
            <w:r w:rsidR="00361433">
              <w:rPr>
                <w:rFonts w:ascii="Arial" w:eastAsia="MS Mincho" w:hAnsi="Arial" w:cs="Arial"/>
                <w:sz w:val="24"/>
                <w:szCs w:val="24"/>
                <w:lang w:val="en-GB"/>
              </w:rPr>
              <w:t>ding para</w:t>
            </w:r>
            <w:r w:rsidRPr="00667ED0">
              <w:rPr>
                <w:rFonts w:ascii="Arial" w:eastAsia="MS Mincho" w:hAnsi="Arial" w:cs="Arial"/>
                <w:sz w:val="24"/>
                <w:szCs w:val="24"/>
                <w:lang w:val="en-GB"/>
              </w:rPr>
              <w:t>s</w:t>
            </w:r>
            <w:r w:rsidR="00361433">
              <w:rPr>
                <w:rFonts w:ascii="Arial" w:eastAsia="MS Mincho" w:hAnsi="Arial" w:cs="Arial"/>
                <w:sz w:val="24"/>
                <w:szCs w:val="24"/>
                <w:lang w:val="en-GB"/>
              </w:rPr>
              <w:t>,</w:t>
            </w:r>
            <w:r w:rsidRPr="00667ED0">
              <w:rPr>
                <w:rFonts w:ascii="Arial" w:eastAsia="MS Mincho" w:hAnsi="Arial" w:cs="Arial"/>
                <w:sz w:val="24"/>
                <w:szCs w:val="24"/>
                <w:lang w:val="en-GB"/>
              </w:rPr>
              <w:t xml:space="preserve"> I can</w:t>
            </w:r>
            <w:r w:rsidR="00361433">
              <w:rPr>
                <w:rFonts w:ascii="Arial" w:eastAsia="MS Mincho" w:hAnsi="Arial" w:cs="Arial"/>
                <w:sz w:val="24"/>
                <w:szCs w:val="24"/>
                <w:lang w:val="en-GB"/>
              </w:rPr>
              <w:t xml:space="preserve">not agree with Mr </w:t>
            </w:r>
            <w:proofErr w:type="spellStart"/>
            <w:r w:rsidR="00361433">
              <w:rPr>
                <w:rFonts w:ascii="Arial" w:eastAsia="MS Mincho" w:hAnsi="Arial" w:cs="Arial"/>
                <w:sz w:val="24"/>
                <w:szCs w:val="24"/>
                <w:lang w:val="en-GB"/>
              </w:rPr>
              <w:t>Jantjies</w:t>
            </w:r>
            <w:proofErr w:type="spellEnd"/>
            <w:r w:rsidR="00361433">
              <w:rPr>
                <w:rFonts w:ascii="Arial" w:eastAsia="MS Mincho" w:hAnsi="Arial" w:cs="Arial"/>
                <w:sz w:val="24"/>
                <w:szCs w:val="24"/>
                <w:lang w:val="en-GB"/>
              </w:rPr>
              <w:t xml:space="preserve"> that</w:t>
            </w:r>
            <w:r w:rsidRPr="00667ED0">
              <w:rPr>
                <w:rFonts w:ascii="Arial" w:eastAsia="MS Mincho" w:hAnsi="Arial" w:cs="Arial"/>
                <w:sz w:val="24"/>
                <w:szCs w:val="24"/>
                <w:lang w:val="en-GB"/>
              </w:rPr>
              <w:t xml:space="preserve"> a party suing on a liquid document who fails to annex the liquid document to the verifying affidavit</w:t>
            </w:r>
            <w:r w:rsidR="00361433">
              <w:rPr>
                <w:rFonts w:ascii="Arial" w:eastAsia="MS Mincho" w:hAnsi="Arial" w:cs="Arial"/>
                <w:sz w:val="24"/>
                <w:szCs w:val="24"/>
                <w:lang w:val="en-GB"/>
              </w:rPr>
              <w:t>,</w:t>
            </w:r>
            <w:r w:rsidRPr="00667ED0">
              <w:rPr>
                <w:rFonts w:ascii="Arial" w:eastAsia="MS Mincho" w:hAnsi="Arial" w:cs="Arial"/>
                <w:sz w:val="24"/>
                <w:szCs w:val="24"/>
                <w:lang w:val="en-GB"/>
              </w:rPr>
              <w:t xml:space="preserve"> fails to comply with rule 60(2)</w:t>
            </w:r>
            <w:r w:rsidRPr="00667ED0">
              <w:rPr>
                <w:rFonts w:ascii="Arial" w:eastAsia="MS Mincho" w:hAnsi="Arial" w:cs="Arial"/>
                <w:i/>
                <w:sz w:val="24"/>
                <w:szCs w:val="24"/>
                <w:lang w:val="en-GB"/>
              </w:rPr>
              <w:t>(a)</w:t>
            </w:r>
            <w:r w:rsidRPr="00667ED0">
              <w:rPr>
                <w:rFonts w:ascii="Arial" w:eastAsia="MS Mincho" w:hAnsi="Arial" w:cs="Arial"/>
                <w:sz w:val="24"/>
                <w:szCs w:val="24"/>
                <w:lang w:val="en-GB"/>
              </w:rPr>
              <w:t xml:space="preserve">. I do not agree for the simple reason that the principle is that, in deciding whether or not </w:t>
            </w:r>
            <w:r w:rsidR="00B076DB">
              <w:rPr>
                <w:rFonts w:ascii="Arial" w:eastAsia="MS Mincho" w:hAnsi="Arial" w:cs="Arial"/>
                <w:sz w:val="24"/>
                <w:szCs w:val="24"/>
                <w:lang w:val="en-GB"/>
              </w:rPr>
              <w:t>to grant summary judgment, the c</w:t>
            </w:r>
            <w:r w:rsidRPr="00667ED0">
              <w:rPr>
                <w:rFonts w:ascii="Arial" w:eastAsia="MS Mincho" w:hAnsi="Arial" w:cs="Arial"/>
                <w:sz w:val="24"/>
                <w:szCs w:val="24"/>
                <w:lang w:val="en-GB"/>
              </w:rPr>
              <w:t>ourt looks at the matter ‘at the end of the day’ on all the documents that are properly before it. The omission to attach a copy of the liquid document to the verifying affidavit, where it has already been attached to the summons is, however, condonable</w:t>
            </w:r>
            <w:r w:rsidR="00B076DB">
              <w:rPr>
                <w:rFonts w:ascii="Arial" w:eastAsia="MS Mincho" w:hAnsi="Arial" w:cs="Arial"/>
                <w:sz w:val="24"/>
                <w:szCs w:val="24"/>
                <w:lang w:val="en-GB"/>
              </w:rPr>
              <w:t>.</w:t>
            </w:r>
            <w:r w:rsidRPr="00667ED0">
              <w:rPr>
                <w:rFonts w:ascii="Arial" w:eastAsia="MS Mincho" w:hAnsi="Arial" w:cs="Arial"/>
                <w:sz w:val="24"/>
                <w:szCs w:val="24"/>
                <w:vertAlign w:val="superscript"/>
                <w:lang w:val="en-GB"/>
              </w:rPr>
              <w:footnoteReference w:id="11"/>
            </w:r>
            <w:r w:rsidRPr="00667ED0">
              <w:rPr>
                <w:rFonts w:ascii="Arial" w:eastAsia="MS Mincho" w:hAnsi="Arial" w:cs="Arial"/>
                <w:sz w:val="24"/>
                <w:szCs w:val="24"/>
                <w:lang w:val="en-GB"/>
              </w:rPr>
              <w:t xml:space="preserve"> </w:t>
            </w:r>
          </w:p>
          <w:p w:rsidR="00667ED0" w:rsidRPr="00667ED0" w:rsidRDefault="00667ED0" w:rsidP="00667ED0">
            <w:pPr>
              <w:spacing w:after="0" w:line="360" w:lineRule="auto"/>
              <w:jc w:val="both"/>
              <w:rPr>
                <w:rFonts w:ascii="Arial" w:eastAsia="MS Mincho" w:hAnsi="Arial" w:cs="Arial"/>
                <w:sz w:val="24"/>
                <w:szCs w:val="24"/>
                <w:lang w:val="en-GB"/>
              </w:rPr>
            </w:pPr>
          </w:p>
          <w:p w:rsidR="00667ED0" w:rsidRPr="00667ED0" w:rsidRDefault="00667ED0" w:rsidP="00667ED0">
            <w:pPr>
              <w:spacing w:after="0" w:line="360" w:lineRule="auto"/>
              <w:jc w:val="both"/>
              <w:rPr>
                <w:rFonts w:ascii="Arial" w:eastAsia="MS Mincho" w:hAnsi="Arial" w:cs="Arial"/>
                <w:sz w:val="24"/>
                <w:szCs w:val="24"/>
                <w:lang w:val="en-GB"/>
              </w:rPr>
            </w:pPr>
            <w:r w:rsidRPr="00667ED0">
              <w:rPr>
                <w:rFonts w:ascii="Arial" w:eastAsia="MS Mincho" w:hAnsi="Arial" w:cs="Arial"/>
                <w:sz w:val="24"/>
                <w:szCs w:val="24"/>
                <w:lang w:val="en-GB"/>
              </w:rPr>
              <w:t>[26]</w:t>
            </w:r>
            <w:r w:rsidRPr="00667ED0">
              <w:rPr>
                <w:rFonts w:ascii="Arial" w:eastAsia="MS Mincho" w:hAnsi="Arial" w:cs="Arial"/>
                <w:sz w:val="24"/>
                <w:szCs w:val="24"/>
                <w:lang w:val="en-GB"/>
              </w:rPr>
              <w:tab/>
              <w:t>In the present matter it is common cause between the parties that although the liquid docume</w:t>
            </w:r>
            <w:r w:rsidR="00B076DB">
              <w:rPr>
                <w:rFonts w:ascii="Arial" w:eastAsia="MS Mincho" w:hAnsi="Arial" w:cs="Arial"/>
                <w:sz w:val="24"/>
                <w:szCs w:val="24"/>
                <w:lang w:val="en-GB"/>
              </w:rPr>
              <w:t>nt upon which the plaintiff basi</w:t>
            </w:r>
            <w:r w:rsidRPr="00667ED0">
              <w:rPr>
                <w:rFonts w:ascii="Arial" w:eastAsia="MS Mincho" w:hAnsi="Arial" w:cs="Arial"/>
                <w:sz w:val="24"/>
                <w:szCs w:val="24"/>
                <w:lang w:val="en-GB"/>
              </w:rPr>
              <w:t xml:space="preserve">s its claim is not attached to the verifying affidavit, it has been attached to the plaintiff's summons. The defendant has furthermore not denied his indebtedness in the </w:t>
            </w:r>
            <w:r w:rsidR="00B076DB">
              <w:rPr>
                <w:rFonts w:ascii="Arial" w:eastAsia="MS Mincho" w:hAnsi="Arial" w:cs="Arial"/>
                <w:sz w:val="24"/>
                <w:szCs w:val="24"/>
                <w:lang w:val="en-GB"/>
              </w:rPr>
              <w:t>amount claimed by the plaintiff. I</w:t>
            </w:r>
            <w:r w:rsidRPr="00667ED0">
              <w:rPr>
                <w:rFonts w:ascii="Arial" w:eastAsia="MS Mincho" w:hAnsi="Arial" w:cs="Arial"/>
                <w:sz w:val="24"/>
                <w:szCs w:val="24"/>
                <w:lang w:val="en-GB"/>
              </w:rPr>
              <w:t>t therefore follows that the reason why the court require strict compliance with the procedural aspects of rule 60(3), has fallen away. I accordingly condone the</w:t>
            </w:r>
            <w:r w:rsidR="00B076DB">
              <w:rPr>
                <w:rFonts w:ascii="Arial" w:eastAsia="MS Mincho" w:hAnsi="Arial" w:cs="Arial"/>
                <w:sz w:val="24"/>
                <w:szCs w:val="24"/>
                <w:lang w:val="en-GB"/>
              </w:rPr>
              <w:t xml:space="preserve"> plaintiff’s failure to attach ‘Annexure A’</w:t>
            </w:r>
            <w:r w:rsidRPr="00667ED0">
              <w:rPr>
                <w:rFonts w:ascii="Arial" w:eastAsia="MS Mincho" w:hAnsi="Arial" w:cs="Arial"/>
                <w:sz w:val="24"/>
                <w:szCs w:val="24"/>
                <w:lang w:val="en-GB"/>
              </w:rPr>
              <w:t xml:space="preserve"> to the affidavit of Mr Theron in which he verifies the cause of action.</w:t>
            </w:r>
          </w:p>
          <w:p w:rsidR="00667ED0" w:rsidRPr="00667ED0" w:rsidRDefault="00667ED0" w:rsidP="00667ED0">
            <w:pPr>
              <w:spacing w:after="0" w:line="360" w:lineRule="auto"/>
              <w:jc w:val="both"/>
              <w:rPr>
                <w:rFonts w:ascii="Arial" w:eastAsia="MS Mincho" w:hAnsi="Arial" w:cs="Arial"/>
                <w:sz w:val="24"/>
                <w:szCs w:val="24"/>
                <w:lang w:val="en-GB"/>
              </w:rPr>
            </w:pPr>
          </w:p>
          <w:p w:rsidR="00667ED0" w:rsidRPr="00667ED0" w:rsidRDefault="00667ED0" w:rsidP="00667ED0">
            <w:pPr>
              <w:spacing w:after="0" w:line="360" w:lineRule="auto"/>
              <w:jc w:val="both"/>
              <w:rPr>
                <w:rFonts w:ascii="Arial" w:eastAsia="MS Mincho" w:hAnsi="Arial" w:cs="Arial"/>
                <w:sz w:val="24"/>
                <w:szCs w:val="24"/>
                <w:lang w:val="en-GB"/>
              </w:rPr>
            </w:pPr>
            <w:r w:rsidRPr="00667ED0">
              <w:rPr>
                <w:rFonts w:ascii="Arial" w:eastAsia="MS Mincho" w:hAnsi="Arial" w:cs="Arial"/>
                <w:sz w:val="24"/>
                <w:szCs w:val="24"/>
                <w:lang w:val="en-GB"/>
              </w:rPr>
              <w:t>[27]</w:t>
            </w:r>
            <w:r w:rsidRPr="00667ED0">
              <w:rPr>
                <w:rFonts w:ascii="Arial" w:eastAsia="MS Mincho" w:hAnsi="Arial" w:cs="Arial"/>
                <w:sz w:val="24"/>
                <w:szCs w:val="24"/>
                <w:lang w:val="en-GB"/>
              </w:rPr>
              <w:tab/>
              <w:t>As regards the defendant’s defence, the legal principles relating to summary judgment and what the parties are required to prove on a balance of probabilities</w:t>
            </w:r>
            <w:r w:rsidR="00B076DB">
              <w:rPr>
                <w:rFonts w:ascii="Arial" w:eastAsia="MS Mincho" w:hAnsi="Arial" w:cs="Arial"/>
                <w:sz w:val="24"/>
                <w:szCs w:val="24"/>
                <w:lang w:val="en-GB"/>
              </w:rPr>
              <w:t>,</w:t>
            </w:r>
            <w:r w:rsidRPr="00667ED0">
              <w:rPr>
                <w:rFonts w:ascii="Arial" w:eastAsia="MS Mincho" w:hAnsi="Arial" w:cs="Arial"/>
                <w:sz w:val="24"/>
                <w:szCs w:val="24"/>
                <w:lang w:val="en-GB"/>
              </w:rPr>
              <w:t xml:space="preserve"> were summarised by the Supreme Court decision of </w:t>
            </w:r>
            <w:r w:rsidRPr="00667ED0">
              <w:rPr>
                <w:rFonts w:ascii="Arial" w:eastAsia="MS Mincho" w:hAnsi="Arial" w:cs="Arial"/>
                <w:i/>
                <w:sz w:val="24"/>
                <w:szCs w:val="24"/>
                <w:lang w:val="en-GB"/>
              </w:rPr>
              <w:t xml:space="preserve">Di </w:t>
            </w:r>
            <w:proofErr w:type="spellStart"/>
            <w:r w:rsidRPr="00667ED0">
              <w:rPr>
                <w:rFonts w:ascii="Arial" w:eastAsia="MS Mincho" w:hAnsi="Arial" w:cs="Arial"/>
                <w:i/>
                <w:sz w:val="24"/>
                <w:szCs w:val="24"/>
                <w:lang w:val="en-GB"/>
              </w:rPr>
              <w:t>Savino</w:t>
            </w:r>
            <w:proofErr w:type="spellEnd"/>
            <w:r w:rsidRPr="00667ED0">
              <w:rPr>
                <w:rFonts w:ascii="Arial" w:eastAsia="MS Mincho" w:hAnsi="Arial" w:cs="Arial"/>
                <w:i/>
                <w:sz w:val="24"/>
                <w:szCs w:val="24"/>
                <w:lang w:val="en-GB"/>
              </w:rPr>
              <w:t xml:space="preserve"> v</w:t>
            </w:r>
            <w:r w:rsidRPr="00667ED0">
              <w:rPr>
                <w:rFonts w:ascii="Arial" w:eastAsia="MS Mincho" w:hAnsi="Arial" w:cs="Arial"/>
                <w:sz w:val="24"/>
                <w:szCs w:val="24"/>
                <w:lang w:val="en-GB"/>
              </w:rPr>
              <w:t xml:space="preserve"> </w:t>
            </w:r>
            <w:r w:rsidRPr="00667ED0">
              <w:rPr>
                <w:rFonts w:ascii="Arial" w:eastAsia="MS Mincho" w:hAnsi="Arial" w:cs="Arial"/>
                <w:i/>
                <w:sz w:val="24"/>
                <w:szCs w:val="24"/>
                <w:lang w:val="en-GB"/>
              </w:rPr>
              <w:t>Nedbank Namibia</w:t>
            </w:r>
            <w:r w:rsidRPr="00667ED0">
              <w:rPr>
                <w:rFonts w:ascii="Arial" w:eastAsia="MS Mincho" w:hAnsi="Arial" w:cs="Arial"/>
                <w:i/>
                <w:sz w:val="24"/>
                <w:szCs w:val="24"/>
                <w:vertAlign w:val="superscript"/>
                <w:lang w:val="en-GB"/>
              </w:rPr>
              <w:footnoteReference w:id="12"/>
            </w:r>
            <w:r w:rsidRPr="00667ED0">
              <w:rPr>
                <w:rFonts w:ascii="Arial" w:eastAsia="MS Mincho" w:hAnsi="Arial" w:cs="Arial"/>
                <w:sz w:val="24"/>
                <w:szCs w:val="24"/>
                <w:lang w:val="en-GB"/>
              </w:rPr>
              <w:t xml:space="preserve"> . I will not repeat those principles here as they have been restated in a number of cases in this </w:t>
            </w:r>
            <w:r w:rsidR="00FC4BFF">
              <w:rPr>
                <w:rFonts w:ascii="Arial" w:eastAsia="MS Mincho" w:hAnsi="Arial" w:cs="Arial"/>
                <w:sz w:val="24"/>
                <w:szCs w:val="24"/>
                <w:lang w:val="en-GB"/>
              </w:rPr>
              <w:t>c</w:t>
            </w:r>
            <w:r w:rsidRPr="00667ED0">
              <w:rPr>
                <w:rFonts w:ascii="Arial" w:eastAsia="MS Mincho" w:hAnsi="Arial" w:cs="Arial"/>
                <w:sz w:val="24"/>
                <w:szCs w:val="24"/>
                <w:lang w:val="en-GB"/>
              </w:rPr>
              <w:t>ourt</w:t>
            </w:r>
            <w:r w:rsidR="00B076DB">
              <w:rPr>
                <w:rFonts w:ascii="Arial" w:eastAsia="MS Mincho" w:hAnsi="Arial" w:cs="Arial"/>
                <w:sz w:val="24"/>
                <w:szCs w:val="24"/>
                <w:lang w:val="en-GB"/>
              </w:rPr>
              <w:t>.</w:t>
            </w:r>
            <w:r w:rsidRPr="00667ED0">
              <w:rPr>
                <w:rFonts w:ascii="Arial" w:eastAsia="MS Mincho" w:hAnsi="Arial" w:cs="Arial"/>
                <w:sz w:val="24"/>
                <w:szCs w:val="24"/>
                <w:vertAlign w:val="superscript"/>
                <w:lang w:val="en-GB"/>
              </w:rPr>
              <w:footnoteReference w:id="13"/>
            </w:r>
            <w:r w:rsidRPr="00667ED0">
              <w:rPr>
                <w:rFonts w:ascii="Arial" w:eastAsia="MS Mincho" w:hAnsi="Arial" w:cs="Arial"/>
                <w:sz w:val="24"/>
                <w:szCs w:val="24"/>
                <w:lang w:val="en-GB"/>
              </w:rPr>
              <w:t xml:space="preserve"> It, however, suffice to state that the opposing affidavit to a summary judgment </w:t>
            </w:r>
            <w:r w:rsidR="00BC1314">
              <w:rPr>
                <w:rFonts w:ascii="Arial" w:eastAsia="MS Mincho" w:hAnsi="Arial" w:cs="Arial"/>
                <w:sz w:val="24"/>
                <w:szCs w:val="24"/>
                <w:lang w:val="en-GB"/>
              </w:rPr>
              <w:t>application must disclose fully</w:t>
            </w:r>
            <w:r w:rsidRPr="00667ED0">
              <w:rPr>
                <w:rFonts w:ascii="Arial" w:eastAsia="MS Mincho" w:hAnsi="Arial" w:cs="Arial"/>
                <w:sz w:val="24"/>
                <w:szCs w:val="24"/>
                <w:lang w:val="en-GB"/>
              </w:rPr>
              <w:t xml:space="preserve"> the nature and the grounds of the defence as well as the material facts relied upon. </w:t>
            </w:r>
          </w:p>
          <w:p w:rsidR="00667ED0" w:rsidRPr="00667ED0" w:rsidRDefault="00667ED0" w:rsidP="00667ED0">
            <w:pPr>
              <w:spacing w:after="0" w:line="360" w:lineRule="auto"/>
              <w:jc w:val="both"/>
              <w:rPr>
                <w:rFonts w:ascii="Arial" w:eastAsia="MS Mincho" w:hAnsi="Arial" w:cs="Arial"/>
                <w:sz w:val="24"/>
                <w:szCs w:val="24"/>
                <w:lang w:val="en-GB"/>
              </w:rPr>
            </w:pPr>
          </w:p>
          <w:p w:rsidR="00667ED0" w:rsidRPr="00667ED0" w:rsidRDefault="00667ED0" w:rsidP="00667ED0">
            <w:pPr>
              <w:spacing w:after="0" w:line="360" w:lineRule="auto"/>
              <w:jc w:val="both"/>
              <w:rPr>
                <w:rFonts w:ascii="Arial" w:eastAsia="MS Mincho" w:hAnsi="Arial" w:cs="Arial"/>
                <w:sz w:val="24"/>
                <w:szCs w:val="24"/>
                <w:lang w:val="en-GB"/>
              </w:rPr>
            </w:pPr>
            <w:r w:rsidRPr="00667ED0">
              <w:rPr>
                <w:rFonts w:ascii="Arial" w:eastAsia="MS Mincho" w:hAnsi="Arial" w:cs="Arial"/>
                <w:sz w:val="24"/>
                <w:szCs w:val="24"/>
                <w:lang w:val="en-GB"/>
              </w:rPr>
              <w:t>[28]</w:t>
            </w:r>
            <w:r w:rsidRPr="00667ED0">
              <w:rPr>
                <w:rFonts w:ascii="Arial" w:eastAsia="MS Mincho" w:hAnsi="Arial" w:cs="Arial"/>
                <w:sz w:val="24"/>
                <w:szCs w:val="24"/>
                <w:lang w:val="en-GB"/>
              </w:rPr>
              <w:tab/>
              <w:t>From a consideration of the affidavits and all documents before court, the defendant has not made a single allegation denying that the amount claimed is due, or that he undertook to pay the outstanding balance of the purchase consideration in 12 equal instalments as alleged by the plaintiff, or that the scanners were delivered to him, or that the cash deposit agreement was concluded. He furthermore did not de</w:t>
            </w:r>
            <w:r w:rsidR="00720107">
              <w:rPr>
                <w:rFonts w:ascii="Arial" w:eastAsia="MS Mincho" w:hAnsi="Arial" w:cs="Arial"/>
                <w:sz w:val="24"/>
                <w:szCs w:val="24"/>
                <w:lang w:val="en-GB"/>
              </w:rPr>
              <w:t>ny that he paid an amount of N$</w:t>
            </w:r>
            <w:r w:rsidRPr="00667ED0">
              <w:rPr>
                <w:rFonts w:ascii="Arial" w:eastAsia="MS Mincho" w:hAnsi="Arial" w:cs="Arial"/>
                <w:sz w:val="24"/>
                <w:szCs w:val="24"/>
                <w:lang w:val="en-GB"/>
              </w:rPr>
              <w:t>100 000 in reduction of the amount due in terms of the undertaking to pay the balance of the purchase price in 12 equal instalments.</w:t>
            </w:r>
          </w:p>
          <w:p w:rsidR="00667ED0" w:rsidRPr="00667ED0" w:rsidRDefault="00667ED0" w:rsidP="00667ED0">
            <w:pPr>
              <w:spacing w:after="0" w:line="360" w:lineRule="auto"/>
              <w:jc w:val="both"/>
              <w:rPr>
                <w:rFonts w:ascii="Arial" w:eastAsia="MS Mincho" w:hAnsi="Arial" w:cs="Arial"/>
                <w:sz w:val="24"/>
                <w:szCs w:val="24"/>
                <w:lang w:val="en-GB"/>
              </w:rPr>
            </w:pPr>
          </w:p>
          <w:p w:rsidR="00667ED0" w:rsidRPr="00667ED0" w:rsidRDefault="00667ED0" w:rsidP="00667ED0">
            <w:pPr>
              <w:spacing w:after="0" w:line="360" w:lineRule="auto"/>
              <w:jc w:val="both"/>
              <w:rPr>
                <w:rFonts w:ascii="Arial" w:eastAsia="MS Mincho" w:hAnsi="Arial" w:cs="Arial"/>
                <w:sz w:val="24"/>
                <w:szCs w:val="24"/>
                <w:lang w:val="en-GB"/>
              </w:rPr>
            </w:pPr>
            <w:r w:rsidRPr="00667ED0">
              <w:rPr>
                <w:rFonts w:ascii="Arial" w:eastAsia="MS Mincho" w:hAnsi="Arial" w:cs="Arial"/>
                <w:sz w:val="24"/>
                <w:szCs w:val="24"/>
                <w:lang w:val="en-GB"/>
              </w:rPr>
              <w:lastRenderedPageBreak/>
              <w:t>[29]</w:t>
            </w:r>
            <w:r w:rsidRPr="00667ED0">
              <w:rPr>
                <w:rFonts w:ascii="Arial" w:eastAsia="MS Mincho" w:hAnsi="Arial" w:cs="Arial"/>
                <w:sz w:val="24"/>
                <w:szCs w:val="24"/>
                <w:lang w:val="en-GB"/>
              </w:rPr>
              <w:tab/>
              <w:t xml:space="preserve"> At the hearing of this matter, Mr </w:t>
            </w:r>
            <w:proofErr w:type="spellStart"/>
            <w:r w:rsidRPr="00667ED0">
              <w:rPr>
                <w:rFonts w:ascii="Arial" w:eastAsia="MS Mincho" w:hAnsi="Arial" w:cs="Arial"/>
                <w:sz w:val="24"/>
                <w:szCs w:val="24"/>
                <w:lang w:val="en-GB"/>
              </w:rPr>
              <w:t>Jantjies</w:t>
            </w:r>
            <w:proofErr w:type="spellEnd"/>
            <w:r w:rsidRPr="00667ED0">
              <w:rPr>
                <w:rFonts w:ascii="Arial" w:eastAsia="MS Mincho" w:hAnsi="Arial" w:cs="Arial"/>
                <w:sz w:val="24"/>
                <w:szCs w:val="24"/>
                <w:lang w:val="en-GB"/>
              </w:rPr>
              <w:t xml:space="preserve"> in essence, submitted that the defendant denies liability because the date on which he is required to commence with the instalment payments is not stated in what the plaintiff terms a settlement agreement. That submission is essentially an admission of the plaintiff’s claim. Even if the defendant is correct that the undertaking to pay the balance of the purchase price does not specify a date from which payment commences, it is now well established (I need not cite any authority for that proposition) that payment must </w:t>
            </w:r>
            <w:r w:rsidR="00557321">
              <w:rPr>
                <w:rFonts w:ascii="Arial" w:eastAsia="MS Mincho" w:hAnsi="Arial" w:cs="Arial"/>
                <w:sz w:val="24"/>
                <w:szCs w:val="24"/>
                <w:lang w:val="en-GB"/>
              </w:rPr>
              <w:t xml:space="preserve">be </w:t>
            </w:r>
            <w:r w:rsidRPr="00667ED0">
              <w:rPr>
                <w:rFonts w:ascii="Arial" w:eastAsia="MS Mincho" w:hAnsi="Arial" w:cs="Arial"/>
                <w:sz w:val="24"/>
                <w:szCs w:val="24"/>
                <w:lang w:val="en-GB"/>
              </w:rPr>
              <w:t>done within a reasonable time.</w:t>
            </w:r>
          </w:p>
          <w:p w:rsidR="00667ED0" w:rsidRPr="00667ED0" w:rsidRDefault="00667ED0" w:rsidP="00667ED0">
            <w:pPr>
              <w:spacing w:after="0" w:line="360" w:lineRule="auto"/>
              <w:jc w:val="both"/>
              <w:rPr>
                <w:rFonts w:ascii="Arial" w:eastAsia="MS Mincho" w:hAnsi="Arial" w:cs="Arial"/>
                <w:sz w:val="24"/>
                <w:szCs w:val="24"/>
                <w:lang w:val="en-GB"/>
              </w:rPr>
            </w:pPr>
          </w:p>
          <w:p w:rsidR="00667ED0" w:rsidRPr="00667ED0" w:rsidRDefault="00667ED0" w:rsidP="00667ED0">
            <w:pPr>
              <w:spacing w:after="0" w:line="360" w:lineRule="auto"/>
              <w:jc w:val="both"/>
              <w:rPr>
                <w:rFonts w:ascii="Arial" w:eastAsia="MS Mincho" w:hAnsi="Arial" w:cs="Arial"/>
                <w:sz w:val="24"/>
                <w:szCs w:val="24"/>
                <w:lang w:val="en-GB"/>
              </w:rPr>
            </w:pPr>
            <w:r w:rsidRPr="00667ED0">
              <w:rPr>
                <w:rFonts w:ascii="Arial" w:eastAsia="MS Mincho" w:hAnsi="Arial" w:cs="Arial"/>
                <w:sz w:val="24"/>
                <w:szCs w:val="24"/>
                <w:lang w:val="en-GB"/>
              </w:rPr>
              <w:t>[30]</w:t>
            </w:r>
            <w:r w:rsidRPr="00667ED0">
              <w:rPr>
                <w:rFonts w:ascii="Arial" w:eastAsia="MS Mincho" w:hAnsi="Arial" w:cs="Arial"/>
                <w:sz w:val="24"/>
                <w:szCs w:val="24"/>
                <w:lang w:val="en-GB"/>
              </w:rPr>
              <w:tab/>
              <w:t xml:space="preserve">From a comprehensive consideration of the answering affidavit, the defendant has not fully, materially, or at all, shown to the court that there is an arguable or a triable defence. Instead, he only </w:t>
            </w:r>
            <w:r w:rsidR="00557321">
              <w:rPr>
                <w:rFonts w:ascii="Arial" w:eastAsia="MS Mincho" w:hAnsi="Arial" w:cs="Arial"/>
                <w:sz w:val="24"/>
                <w:szCs w:val="24"/>
                <w:lang w:val="en-GB"/>
              </w:rPr>
              <w:t xml:space="preserve">raises </w:t>
            </w:r>
            <w:r w:rsidRPr="00667ED0">
              <w:rPr>
                <w:rFonts w:ascii="Arial" w:eastAsia="MS Mincho" w:hAnsi="Arial" w:cs="Arial"/>
                <w:sz w:val="24"/>
                <w:szCs w:val="24"/>
                <w:lang w:val="en-GB"/>
              </w:rPr>
              <w:t xml:space="preserve">technical points, which are not defences to the plaintiff’s claim.  </w:t>
            </w:r>
          </w:p>
          <w:p w:rsidR="00667ED0" w:rsidRPr="00667ED0" w:rsidRDefault="00667ED0" w:rsidP="00667ED0">
            <w:pPr>
              <w:spacing w:after="0" w:line="360" w:lineRule="auto"/>
              <w:jc w:val="both"/>
              <w:rPr>
                <w:rFonts w:ascii="Arial" w:eastAsia="MS Mincho" w:hAnsi="Arial" w:cs="Arial"/>
                <w:sz w:val="24"/>
                <w:szCs w:val="24"/>
                <w:lang w:val="en-GB"/>
              </w:rPr>
            </w:pPr>
          </w:p>
          <w:p w:rsidR="00667ED0" w:rsidRPr="00667ED0" w:rsidRDefault="00667ED0" w:rsidP="00667ED0">
            <w:pPr>
              <w:spacing w:after="0" w:line="360" w:lineRule="auto"/>
              <w:jc w:val="both"/>
              <w:rPr>
                <w:rFonts w:ascii="Arial" w:eastAsia="Times New Roman" w:hAnsi="Arial" w:cs="Arial"/>
                <w:sz w:val="24"/>
                <w:szCs w:val="24"/>
                <w:lang w:eastAsia="en-ZA"/>
              </w:rPr>
            </w:pPr>
            <w:r w:rsidRPr="00667ED0">
              <w:rPr>
                <w:rFonts w:ascii="Arial" w:eastAsia="Times New Roman" w:hAnsi="Arial" w:cs="Arial"/>
                <w:sz w:val="24"/>
                <w:szCs w:val="24"/>
                <w:lang w:eastAsia="en-ZA"/>
              </w:rPr>
              <w:t>[31]</w:t>
            </w:r>
            <w:r w:rsidRPr="00667ED0">
              <w:rPr>
                <w:rFonts w:ascii="Arial" w:eastAsia="Times New Roman" w:hAnsi="Arial" w:cs="Arial"/>
                <w:sz w:val="24"/>
                <w:szCs w:val="24"/>
                <w:lang w:eastAsia="en-ZA"/>
              </w:rPr>
              <w:tab/>
              <w:t>This case is a classic example of a case where the defendant</w:t>
            </w:r>
            <w:r w:rsidR="00557321">
              <w:rPr>
                <w:rFonts w:ascii="Arial" w:eastAsia="Times New Roman" w:hAnsi="Arial" w:cs="Arial"/>
                <w:sz w:val="24"/>
                <w:szCs w:val="24"/>
                <w:lang w:eastAsia="en-ZA"/>
              </w:rPr>
              <w:t>,</w:t>
            </w:r>
            <w:r w:rsidRPr="00667ED0">
              <w:rPr>
                <w:rFonts w:ascii="Arial" w:eastAsia="Times New Roman" w:hAnsi="Arial" w:cs="Arial"/>
                <w:sz w:val="24"/>
                <w:szCs w:val="24"/>
                <w:lang w:eastAsia="en-ZA"/>
              </w:rPr>
              <w:t xml:space="preserve"> on technical and procedural ground</w:t>
            </w:r>
            <w:r w:rsidR="00FC4BFF">
              <w:rPr>
                <w:rFonts w:ascii="Arial" w:eastAsia="Times New Roman" w:hAnsi="Arial" w:cs="Arial"/>
                <w:sz w:val="24"/>
                <w:szCs w:val="24"/>
                <w:lang w:eastAsia="en-ZA"/>
              </w:rPr>
              <w:t>s</w:t>
            </w:r>
            <w:r w:rsidR="00557321">
              <w:rPr>
                <w:rFonts w:ascii="Arial" w:eastAsia="Times New Roman" w:hAnsi="Arial" w:cs="Arial"/>
                <w:sz w:val="24"/>
                <w:szCs w:val="24"/>
                <w:lang w:eastAsia="en-ZA"/>
              </w:rPr>
              <w:t>,</w:t>
            </w:r>
            <w:r w:rsidRPr="00667ED0">
              <w:rPr>
                <w:rFonts w:ascii="Arial" w:eastAsia="Times New Roman" w:hAnsi="Arial" w:cs="Arial"/>
                <w:sz w:val="24"/>
                <w:szCs w:val="24"/>
                <w:lang w:eastAsia="en-ZA"/>
              </w:rPr>
              <w:t xml:space="preserve"> is delaying the inevitable</w:t>
            </w:r>
            <w:r w:rsidR="00557321">
              <w:rPr>
                <w:rFonts w:ascii="Arial" w:eastAsia="Times New Roman" w:hAnsi="Arial" w:cs="Arial"/>
                <w:sz w:val="24"/>
                <w:szCs w:val="24"/>
                <w:lang w:eastAsia="en-ZA"/>
              </w:rPr>
              <w:t>,</w:t>
            </w:r>
            <w:r w:rsidRPr="00667ED0">
              <w:rPr>
                <w:rFonts w:ascii="Arial" w:eastAsia="Times New Roman" w:hAnsi="Arial" w:cs="Arial"/>
                <w:sz w:val="24"/>
                <w:szCs w:val="24"/>
                <w:lang w:eastAsia="en-ZA"/>
              </w:rPr>
              <w:t xml:space="preserve"> namely payment of the plaintiff’s claim. There is clearly no </w:t>
            </w:r>
            <w:proofErr w:type="spellStart"/>
            <w:r w:rsidRPr="00667ED0">
              <w:rPr>
                <w:rFonts w:ascii="Arial" w:eastAsia="Times New Roman" w:hAnsi="Arial" w:cs="Arial"/>
                <w:sz w:val="24"/>
                <w:szCs w:val="24"/>
                <w:lang w:eastAsia="en-ZA"/>
              </w:rPr>
              <w:t>defence</w:t>
            </w:r>
            <w:proofErr w:type="spellEnd"/>
            <w:r w:rsidRPr="00667ED0">
              <w:rPr>
                <w:rFonts w:ascii="Arial" w:eastAsia="Times New Roman" w:hAnsi="Arial" w:cs="Arial"/>
                <w:sz w:val="24"/>
                <w:szCs w:val="24"/>
                <w:lang w:eastAsia="en-ZA"/>
              </w:rPr>
              <w:t xml:space="preserve"> raised in response to</w:t>
            </w:r>
            <w:r w:rsidR="00557321">
              <w:rPr>
                <w:rFonts w:ascii="Arial" w:eastAsia="Times New Roman" w:hAnsi="Arial" w:cs="Arial"/>
                <w:sz w:val="24"/>
                <w:szCs w:val="24"/>
                <w:lang w:eastAsia="en-ZA"/>
              </w:rPr>
              <w:t xml:space="preserve"> the plaintiffs claim and this C</w:t>
            </w:r>
            <w:r w:rsidRPr="00667ED0">
              <w:rPr>
                <w:rFonts w:ascii="Arial" w:eastAsia="Times New Roman" w:hAnsi="Arial" w:cs="Arial"/>
                <w:sz w:val="24"/>
                <w:szCs w:val="24"/>
                <w:lang w:eastAsia="en-ZA"/>
              </w:rPr>
              <w:t xml:space="preserve">ourt cannot allow the technical objections raised by the defendant to subject the plaintiff </w:t>
            </w:r>
            <w:r w:rsidR="00557321">
              <w:rPr>
                <w:rFonts w:ascii="Arial" w:eastAsia="Times New Roman" w:hAnsi="Arial" w:cs="Arial"/>
                <w:sz w:val="24"/>
                <w:szCs w:val="24"/>
                <w:lang w:eastAsia="en-ZA"/>
              </w:rPr>
              <w:t xml:space="preserve">to </w:t>
            </w:r>
            <w:r w:rsidRPr="00667ED0">
              <w:rPr>
                <w:rFonts w:ascii="Arial" w:eastAsia="Times New Roman" w:hAnsi="Arial" w:cs="Arial"/>
                <w:sz w:val="24"/>
                <w:szCs w:val="24"/>
                <w:lang w:eastAsia="en-ZA"/>
              </w:rPr>
              <w:t>incur litigation expenses and delay the recovery of it</w:t>
            </w:r>
            <w:r w:rsidR="00557321">
              <w:rPr>
                <w:rFonts w:ascii="Arial" w:eastAsia="Times New Roman" w:hAnsi="Arial" w:cs="Arial"/>
                <w:sz w:val="24"/>
                <w:szCs w:val="24"/>
                <w:lang w:eastAsia="en-ZA"/>
              </w:rPr>
              <w:t>s</w:t>
            </w:r>
            <w:r w:rsidRPr="00667ED0">
              <w:rPr>
                <w:rFonts w:ascii="Arial" w:eastAsia="Times New Roman" w:hAnsi="Arial" w:cs="Arial"/>
                <w:sz w:val="24"/>
                <w:szCs w:val="24"/>
                <w:lang w:eastAsia="en-ZA"/>
              </w:rPr>
              <w:t xml:space="preserve"> money merely on the basis that summary judgment is </w:t>
            </w:r>
            <w:r w:rsidR="00557321" w:rsidRPr="00667ED0">
              <w:rPr>
                <w:rFonts w:ascii="Arial" w:eastAsia="Times New Roman" w:hAnsi="Arial" w:cs="Arial"/>
                <w:sz w:val="24"/>
                <w:szCs w:val="24"/>
                <w:lang w:eastAsia="en-ZA"/>
              </w:rPr>
              <w:t>characterized</w:t>
            </w:r>
            <w:r w:rsidRPr="00667ED0">
              <w:rPr>
                <w:rFonts w:ascii="Arial" w:eastAsia="Times New Roman" w:hAnsi="Arial" w:cs="Arial"/>
                <w:sz w:val="24"/>
                <w:szCs w:val="24"/>
                <w:lang w:eastAsia="en-ZA"/>
              </w:rPr>
              <w:t xml:space="preserve"> as an extraordinary or drastic remedy. The court having considered all the facts placed before it</w:t>
            </w:r>
            <w:r w:rsidR="00557321">
              <w:rPr>
                <w:rFonts w:ascii="Arial" w:eastAsia="Times New Roman" w:hAnsi="Arial" w:cs="Arial"/>
                <w:sz w:val="24"/>
                <w:szCs w:val="24"/>
                <w:lang w:eastAsia="en-ZA"/>
              </w:rPr>
              <w:t>,</w:t>
            </w:r>
            <w:r w:rsidRPr="00667ED0">
              <w:rPr>
                <w:rFonts w:ascii="Arial" w:eastAsia="Times New Roman" w:hAnsi="Arial" w:cs="Arial"/>
                <w:sz w:val="24"/>
                <w:szCs w:val="24"/>
                <w:lang w:eastAsia="en-ZA"/>
              </w:rPr>
              <w:t xml:space="preserve"> has no hesitation that it must grant the summary judgment as claimed by the plaintiff.</w:t>
            </w:r>
          </w:p>
          <w:p w:rsidR="00667ED0" w:rsidRPr="00667ED0" w:rsidRDefault="00667ED0" w:rsidP="00667ED0">
            <w:pPr>
              <w:spacing w:after="0" w:line="360" w:lineRule="auto"/>
              <w:jc w:val="both"/>
              <w:rPr>
                <w:rFonts w:ascii="Arial" w:eastAsia="MS Mincho" w:hAnsi="Arial" w:cs="Arial"/>
                <w:sz w:val="24"/>
                <w:szCs w:val="24"/>
                <w:lang w:val="en-GB"/>
              </w:rPr>
            </w:pPr>
          </w:p>
          <w:p w:rsidR="00667ED0" w:rsidRPr="00667ED0" w:rsidRDefault="00667ED0" w:rsidP="00667ED0">
            <w:pPr>
              <w:spacing w:after="0" w:line="360" w:lineRule="auto"/>
              <w:jc w:val="both"/>
              <w:rPr>
                <w:rFonts w:ascii="Arial" w:eastAsia="MS Mincho" w:hAnsi="Arial" w:cs="Arial"/>
                <w:sz w:val="24"/>
                <w:szCs w:val="24"/>
                <w:u w:val="single"/>
                <w:lang w:val="en-GB"/>
              </w:rPr>
            </w:pPr>
            <w:r w:rsidRPr="00667ED0">
              <w:rPr>
                <w:rFonts w:ascii="Arial" w:eastAsia="MS Mincho" w:hAnsi="Arial" w:cs="Arial"/>
                <w:sz w:val="24"/>
                <w:szCs w:val="24"/>
                <w:u w:val="single"/>
                <w:lang w:val="en-GB"/>
              </w:rPr>
              <w:t>Costs</w:t>
            </w:r>
          </w:p>
          <w:p w:rsidR="00667ED0" w:rsidRPr="00667ED0" w:rsidRDefault="00667ED0" w:rsidP="00667ED0">
            <w:pPr>
              <w:spacing w:after="0" w:line="360" w:lineRule="auto"/>
              <w:jc w:val="both"/>
              <w:rPr>
                <w:rFonts w:ascii="Arial" w:eastAsia="MS Mincho" w:hAnsi="Arial" w:cs="Arial"/>
                <w:sz w:val="24"/>
                <w:szCs w:val="24"/>
                <w:u w:val="single"/>
                <w:lang w:val="en-GB"/>
              </w:rPr>
            </w:pPr>
          </w:p>
          <w:p w:rsidR="00601E8D" w:rsidRPr="00571F92" w:rsidRDefault="00667ED0" w:rsidP="00667ED0">
            <w:pPr>
              <w:spacing w:after="0" w:line="360" w:lineRule="auto"/>
              <w:jc w:val="both"/>
              <w:rPr>
                <w:rFonts w:ascii="Arial" w:hAnsi="Arial" w:cs="Arial"/>
                <w:sz w:val="24"/>
                <w:szCs w:val="24"/>
              </w:rPr>
            </w:pPr>
            <w:r w:rsidRPr="00667ED0">
              <w:rPr>
                <w:rFonts w:ascii="Arial" w:eastAsia="MS Mincho" w:hAnsi="Arial" w:cs="Arial"/>
                <w:sz w:val="24"/>
                <w:szCs w:val="24"/>
                <w:lang w:val="en-ZA"/>
              </w:rPr>
              <w:t>[32]</w:t>
            </w:r>
            <w:r w:rsidRPr="00667ED0">
              <w:rPr>
                <w:rFonts w:ascii="Arial" w:eastAsia="MS Mincho" w:hAnsi="Arial" w:cs="Arial"/>
                <w:sz w:val="24"/>
                <w:szCs w:val="24"/>
                <w:lang w:val="en-ZA"/>
              </w:rPr>
              <w:tab/>
              <w:t>There remains only the question of costs. It is a well-established principle of our law that costs are in the di</w:t>
            </w:r>
            <w:r w:rsidR="00205069">
              <w:rPr>
                <w:rFonts w:ascii="Arial" w:eastAsia="MS Mincho" w:hAnsi="Arial" w:cs="Arial"/>
                <w:sz w:val="24"/>
                <w:szCs w:val="24"/>
                <w:lang w:val="en-ZA"/>
              </w:rPr>
              <w:t>scretion of the c</w:t>
            </w:r>
            <w:r w:rsidRPr="00667ED0">
              <w:rPr>
                <w:rFonts w:ascii="Arial" w:eastAsia="MS Mincho" w:hAnsi="Arial" w:cs="Arial"/>
                <w:sz w:val="24"/>
                <w:szCs w:val="24"/>
                <w:lang w:val="en-ZA"/>
              </w:rPr>
              <w:t>ourt and that costs follow the event. No reasons have been advanced to me why this general rule must not apply. As a result, the defendant must pay the plaintiff’s costs</w:t>
            </w:r>
            <w:r w:rsidR="00FC4BFF">
              <w:rPr>
                <w:rFonts w:ascii="Arial" w:eastAsia="MS Mincho" w:hAnsi="Arial" w:cs="Arial"/>
                <w:sz w:val="24"/>
                <w:szCs w:val="24"/>
                <w:lang w:val="en-ZA"/>
              </w:rPr>
              <w:t xml:space="preserve"> and such costs are not subject to rule 32(11)</w:t>
            </w:r>
            <w:r w:rsidRPr="00667ED0">
              <w:rPr>
                <w:rFonts w:ascii="Arial" w:eastAsia="MS Mincho" w:hAnsi="Arial" w:cs="Arial"/>
                <w:sz w:val="24"/>
                <w:szCs w:val="24"/>
                <w:lang w:val="en-ZA"/>
              </w:rPr>
              <w:t>.</w:t>
            </w:r>
          </w:p>
          <w:p w:rsidR="000D0F54" w:rsidRPr="00571F92" w:rsidRDefault="000D0F54" w:rsidP="00571F92">
            <w:pPr>
              <w:spacing w:after="0" w:line="360" w:lineRule="auto"/>
              <w:jc w:val="both"/>
              <w:rPr>
                <w:rFonts w:ascii="Arial" w:hAnsi="Arial" w:cs="Arial"/>
                <w:sz w:val="24"/>
                <w:szCs w:val="24"/>
              </w:rPr>
            </w:pPr>
            <w:bookmarkStart w:id="0" w:name="_GoBack"/>
            <w:bookmarkEnd w:id="0"/>
          </w:p>
          <w:p w:rsidR="00667ED0" w:rsidRPr="00667ED0" w:rsidRDefault="00FF24D3" w:rsidP="00667ED0">
            <w:pPr>
              <w:spacing w:after="0" w:line="360" w:lineRule="auto"/>
              <w:jc w:val="both"/>
              <w:rPr>
                <w:rFonts w:ascii="Arial" w:hAnsi="Arial" w:cs="Arial"/>
                <w:sz w:val="24"/>
                <w:szCs w:val="24"/>
                <w:lang w:val="en-ZA"/>
              </w:rPr>
            </w:pPr>
            <w:r>
              <w:rPr>
                <w:rFonts w:ascii="Arial" w:hAnsi="Arial" w:cs="Arial"/>
                <w:sz w:val="24"/>
                <w:szCs w:val="24"/>
                <w:lang w:val="en-ZA"/>
              </w:rPr>
              <w:t>[33]</w:t>
            </w:r>
            <w:r>
              <w:rPr>
                <w:rFonts w:ascii="Arial" w:hAnsi="Arial" w:cs="Arial"/>
                <w:sz w:val="24"/>
                <w:szCs w:val="24"/>
                <w:lang w:val="en-ZA"/>
              </w:rPr>
              <w:tab/>
              <w:t>I therefore, make the following o</w:t>
            </w:r>
            <w:r w:rsidR="00667ED0" w:rsidRPr="00667ED0">
              <w:rPr>
                <w:rFonts w:ascii="Arial" w:hAnsi="Arial" w:cs="Arial"/>
                <w:sz w:val="24"/>
                <w:szCs w:val="24"/>
                <w:lang w:val="en-ZA"/>
              </w:rPr>
              <w:t>rder:</w:t>
            </w:r>
          </w:p>
          <w:p w:rsidR="00667ED0" w:rsidRPr="00667ED0" w:rsidRDefault="00667ED0" w:rsidP="00667ED0">
            <w:pPr>
              <w:spacing w:after="0" w:line="360" w:lineRule="auto"/>
              <w:jc w:val="both"/>
              <w:rPr>
                <w:rFonts w:ascii="Arial" w:hAnsi="Arial" w:cs="Arial"/>
                <w:sz w:val="24"/>
                <w:szCs w:val="24"/>
                <w:lang w:val="en-ZA"/>
              </w:rPr>
            </w:pPr>
          </w:p>
          <w:p w:rsidR="00667ED0" w:rsidRPr="003E4805" w:rsidRDefault="00667ED0" w:rsidP="00667ED0">
            <w:pPr>
              <w:numPr>
                <w:ilvl w:val="0"/>
                <w:numId w:val="47"/>
              </w:numPr>
              <w:spacing w:after="0" w:line="360" w:lineRule="auto"/>
              <w:jc w:val="both"/>
              <w:rPr>
                <w:rFonts w:ascii="Arial" w:hAnsi="Arial" w:cs="Arial"/>
                <w:sz w:val="24"/>
                <w:szCs w:val="24"/>
                <w:lang w:val="en-GB"/>
              </w:rPr>
            </w:pPr>
            <w:r w:rsidRPr="00667ED0">
              <w:rPr>
                <w:rFonts w:ascii="Arial" w:hAnsi="Arial" w:cs="Arial"/>
                <w:sz w:val="24"/>
                <w:szCs w:val="24"/>
                <w:lang w:val="en-GB"/>
              </w:rPr>
              <w:t xml:space="preserve">The defendant must pay </w:t>
            </w:r>
            <w:r w:rsidR="00205069">
              <w:rPr>
                <w:rFonts w:ascii="Arial" w:hAnsi="Arial" w:cs="Arial"/>
                <w:sz w:val="24"/>
                <w:szCs w:val="24"/>
                <w:lang w:val="en-GB"/>
              </w:rPr>
              <w:t>to the plaintiff the amount N$4 784 445</w:t>
            </w:r>
            <w:proofErr w:type="gramStart"/>
            <w:r w:rsidR="00205069">
              <w:rPr>
                <w:rFonts w:ascii="Arial" w:hAnsi="Arial" w:cs="Arial"/>
                <w:sz w:val="24"/>
                <w:szCs w:val="24"/>
                <w:lang w:val="en-GB"/>
              </w:rPr>
              <w:t>,</w:t>
            </w:r>
            <w:r w:rsidRPr="00667ED0">
              <w:rPr>
                <w:rFonts w:ascii="Arial" w:hAnsi="Arial" w:cs="Arial"/>
                <w:sz w:val="24"/>
                <w:szCs w:val="24"/>
                <w:lang w:val="en-GB"/>
              </w:rPr>
              <w:t>43</w:t>
            </w:r>
            <w:proofErr w:type="gramEnd"/>
            <w:r w:rsidRPr="00667ED0">
              <w:rPr>
                <w:rFonts w:ascii="Arial" w:hAnsi="Arial" w:cs="Arial"/>
                <w:sz w:val="24"/>
                <w:szCs w:val="24"/>
                <w:lang w:val="en-GB"/>
              </w:rPr>
              <w:t xml:space="preserve">, </w:t>
            </w:r>
            <w:r w:rsidR="00205069">
              <w:rPr>
                <w:rFonts w:ascii="Arial" w:hAnsi="Arial" w:cs="Arial"/>
                <w:sz w:val="24"/>
                <w:szCs w:val="24"/>
                <w:lang w:val="en-GB"/>
              </w:rPr>
              <w:t>plus interest at the rate of 20 per cent per annum on the amount of N$4 784 445,</w:t>
            </w:r>
            <w:r w:rsidRPr="00667ED0">
              <w:rPr>
                <w:rFonts w:ascii="Arial" w:hAnsi="Arial" w:cs="Arial"/>
                <w:sz w:val="24"/>
                <w:szCs w:val="24"/>
                <w:lang w:val="en-GB"/>
              </w:rPr>
              <w:t>43 reckoned from 19 July 2023 to date of final payment.</w:t>
            </w:r>
          </w:p>
          <w:p w:rsidR="00667ED0" w:rsidRDefault="00667ED0" w:rsidP="003E4805">
            <w:pPr>
              <w:numPr>
                <w:ilvl w:val="0"/>
                <w:numId w:val="47"/>
              </w:numPr>
              <w:spacing w:after="0" w:line="360" w:lineRule="auto"/>
              <w:jc w:val="both"/>
              <w:rPr>
                <w:rFonts w:ascii="Arial" w:hAnsi="Arial" w:cs="Arial"/>
                <w:sz w:val="24"/>
                <w:szCs w:val="24"/>
                <w:lang w:val="en-GB"/>
              </w:rPr>
            </w:pPr>
            <w:r w:rsidRPr="00667ED0">
              <w:rPr>
                <w:rFonts w:ascii="Arial" w:hAnsi="Arial" w:cs="Arial"/>
                <w:sz w:val="24"/>
                <w:szCs w:val="24"/>
                <w:lang w:val="en-GB"/>
              </w:rPr>
              <w:t>The defendant must pay the plaintiff costs of suit such costs to include the costs of one instructing and one instructed legal practitioner.</w:t>
            </w:r>
          </w:p>
          <w:p w:rsidR="003E4805" w:rsidRPr="005275C3" w:rsidRDefault="00667ED0" w:rsidP="005275C3">
            <w:pPr>
              <w:numPr>
                <w:ilvl w:val="0"/>
                <w:numId w:val="47"/>
              </w:numPr>
              <w:spacing w:after="0" w:line="360" w:lineRule="auto"/>
              <w:jc w:val="both"/>
              <w:rPr>
                <w:rFonts w:ascii="Arial" w:hAnsi="Arial" w:cs="Arial"/>
                <w:sz w:val="24"/>
                <w:szCs w:val="24"/>
                <w:lang w:val="en-GB"/>
              </w:rPr>
            </w:pPr>
            <w:r w:rsidRPr="00667ED0">
              <w:rPr>
                <w:rFonts w:ascii="Arial" w:hAnsi="Arial" w:cs="Arial"/>
                <w:sz w:val="24"/>
                <w:szCs w:val="24"/>
                <w:lang w:val="en-GB"/>
              </w:rPr>
              <w:t>The matter is regarded as finalised and is removed from the roll.</w:t>
            </w:r>
          </w:p>
          <w:p w:rsidR="003E4805" w:rsidRPr="00571F92" w:rsidRDefault="003E4805" w:rsidP="00571F92">
            <w:pPr>
              <w:spacing w:after="0" w:line="360" w:lineRule="auto"/>
              <w:ind w:left="601"/>
              <w:jc w:val="both"/>
              <w:rPr>
                <w:rFonts w:ascii="Arial" w:hAnsi="Arial" w:cs="Arial"/>
                <w:sz w:val="24"/>
                <w:szCs w:val="24"/>
              </w:rPr>
            </w:pPr>
          </w:p>
        </w:tc>
      </w:tr>
      <w:tr w:rsidR="00A91522" w:rsidRPr="00571F9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571F92" w:rsidRDefault="00496D60" w:rsidP="00571F92">
            <w:pPr>
              <w:spacing w:after="0" w:line="360" w:lineRule="auto"/>
              <w:jc w:val="center"/>
              <w:rPr>
                <w:rFonts w:ascii="Arial" w:hAnsi="Arial" w:cs="Arial"/>
                <w:b/>
                <w:sz w:val="24"/>
                <w:szCs w:val="24"/>
              </w:rPr>
            </w:pPr>
            <w:r w:rsidRPr="00571F92">
              <w:rPr>
                <w:rFonts w:ascii="Arial" w:hAnsi="Arial" w:cs="Arial"/>
                <w:b/>
                <w:sz w:val="24"/>
                <w:szCs w:val="24"/>
              </w:rPr>
              <w:lastRenderedPageBreak/>
              <w:t>Judge’s signature</w:t>
            </w:r>
          </w:p>
          <w:p w:rsidR="002C66E4" w:rsidRPr="00571F92" w:rsidRDefault="002C66E4" w:rsidP="00571F92">
            <w:pPr>
              <w:spacing w:after="0" w:line="360" w:lineRule="auto"/>
              <w:jc w:val="center"/>
              <w:rPr>
                <w:rFonts w:ascii="Arial" w:hAnsi="Arial" w:cs="Arial"/>
                <w:sz w:val="24"/>
                <w:szCs w:val="24"/>
              </w:rPr>
            </w:pPr>
          </w:p>
          <w:p w:rsidR="002C66E4" w:rsidRPr="00571F92" w:rsidRDefault="002C66E4" w:rsidP="00571F92">
            <w:pPr>
              <w:spacing w:after="0" w:line="360" w:lineRule="auto"/>
              <w:jc w:val="center"/>
              <w:rPr>
                <w:rFonts w:ascii="Arial" w:hAnsi="Arial" w:cs="Arial"/>
                <w:sz w:val="24"/>
                <w:szCs w:val="24"/>
              </w:rPr>
            </w:pPr>
          </w:p>
          <w:p w:rsidR="002C66E4" w:rsidRPr="00571F92" w:rsidRDefault="002C66E4" w:rsidP="00571F92">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571F92" w:rsidRDefault="005B7BF9" w:rsidP="00571F92">
            <w:pPr>
              <w:spacing w:after="0" w:line="360" w:lineRule="auto"/>
              <w:jc w:val="both"/>
              <w:rPr>
                <w:rFonts w:ascii="Arial" w:hAnsi="Arial" w:cs="Arial"/>
                <w:b/>
                <w:sz w:val="24"/>
                <w:szCs w:val="24"/>
              </w:rPr>
            </w:pPr>
            <w:r w:rsidRPr="00571F92">
              <w:rPr>
                <w:rFonts w:ascii="Arial" w:hAnsi="Arial" w:cs="Arial"/>
                <w:b/>
                <w:sz w:val="24"/>
                <w:szCs w:val="24"/>
              </w:rPr>
              <w:t>Note to the parties:</w:t>
            </w:r>
          </w:p>
        </w:tc>
      </w:tr>
      <w:tr w:rsidR="008019A9" w:rsidRPr="00571F9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571F92" w:rsidRDefault="005437EE" w:rsidP="00571F92">
            <w:pPr>
              <w:spacing w:after="0" w:line="360" w:lineRule="auto"/>
              <w:jc w:val="center"/>
              <w:rPr>
                <w:rFonts w:ascii="Arial" w:hAnsi="Arial" w:cs="Arial"/>
                <w:sz w:val="24"/>
                <w:szCs w:val="24"/>
              </w:rPr>
            </w:pPr>
            <w:r>
              <w:rPr>
                <w:rFonts w:ascii="Arial" w:hAnsi="Arial" w:cs="Arial"/>
                <w:sz w:val="24"/>
                <w:szCs w:val="24"/>
              </w:rPr>
              <w:t>S</w:t>
            </w:r>
            <w:r w:rsidR="000C34AC" w:rsidRPr="00571F92">
              <w:rPr>
                <w:rFonts w:ascii="Arial" w:hAnsi="Arial" w:cs="Arial"/>
                <w:sz w:val="24"/>
                <w:szCs w:val="24"/>
              </w:rPr>
              <w:t xml:space="preserve"> </w:t>
            </w:r>
            <w:proofErr w:type="spellStart"/>
            <w:r w:rsidR="003E4805">
              <w:rPr>
                <w:rFonts w:ascii="Arial" w:hAnsi="Arial" w:cs="Arial"/>
                <w:sz w:val="24"/>
                <w:szCs w:val="24"/>
              </w:rPr>
              <w:t>Ueitele</w:t>
            </w:r>
            <w:proofErr w:type="spellEnd"/>
          </w:p>
          <w:p w:rsidR="00B37415" w:rsidRPr="00571F92" w:rsidRDefault="005440D6" w:rsidP="00571F92">
            <w:pPr>
              <w:spacing w:after="0" w:line="360" w:lineRule="auto"/>
              <w:jc w:val="center"/>
              <w:rPr>
                <w:rFonts w:ascii="Arial" w:hAnsi="Arial" w:cs="Arial"/>
                <w:sz w:val="24"/>
                <w:szCs w:val="24"/>
              </w:rPr>
            </w:pPr>
            <w:r w:rsidRPr="00571F92">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571F92" w:rsidRDefault="005B7BF9" w:rsidP="00571F92">
            <w:pPr>
              <w:spacing w:after="0" w:line="360" w:lineRule="auto"/>
              <w:jc w:val="center"/>
              <w:rPr>
                <w:rFonts w:ascii="Arial" w:hAnsi="Arial" w:cs="Arial"/>
                <w:sz w:val="24"/>
                <w:szCs w:val="24"/>
              </w:rPr>
            </w:pPr>
            <w:r w:rsidRPr="00571F92">
              <w:rPr>
                <w:rFonts w:ascii="Arial" w:hAnsi="Arial" w:cs="Arial"/>
                <w:sz w:val="24"/>
                <w:szCs w:val="24"/>
              </w:rPr>
              <w:t>Not applicable</w:t>
            </w:r>
          </w:p>
        </w:tc>
      </w:tr>
      <w:tr w:rsidR="00496D60" w:rsidRPr="00571F9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571F92" w:rsidRDefault="00496D60" w:rsidP="00571F92">
            <w:pPr>
              <w:spacing w:after="0" w:line="360" w:lineRule="auto"/>
              <w:jc w:val="center"/>
              <w:rPr>
                <w:rFonts w:ascii="Arial" w:hAnsi="Arial" w:cs="Arial"/>
                <w:b/>
                <w:sz w:val="24"/>
                <w:szCs w:val="24"/>
              </w:rPr>
            </w:pPr>
            <w:r w:rsidRPr="00571F92">
              <w:rPr>
                <w:rFonts w:ascii="Arial" w:hAnsi="Arial" w:cs="Arial"/>
                <w:b/>
                <w:sz w:val="24"/>
                <w:szCs w:val="24"/>
              </w:rPr>
              <w:t>Counsel:</w:t>
            </w:r>
          </w:p>
        </w:tc>
      </w:tr>
      <w:tr w:rsidR="008019A9" w:rsidRPr="00571F9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571F92" w:rsidRDefault="005B7BF9" w:rsidP="00571F92">
            <w:pPr>
              <w:spacing w:after="0" w:line="360" w:lineRule="auto"/>
              <w:jc w:val="center"/>
              <w:rPr>
                <w:rFonts w:ascii="Arial" w:hAnsi="Arial" w:cs="Arial"/>
                <w:b/>
                <w:sz w:val="24"/>
                <w:szCs w:val="24"/>
              </w:rPr>
            </w:pPr>
            <w:r w:rsidRPr="00571F92">
              <w:rPr>
                <w:rFonts w:ascii="Arial" w:hAnsi="Arial" w:cs="Arial"/>
                <w:b/>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571F92" w:rsidRDefault="004378DA" w:rsidP="00571F92">
            <w:pPr>
              <w:spacing w:after="0" w:line="360" w:lineRule="auto"/>
              <w:jc w:val="center"/>
              <w:rPr>
                <w:rFonts w:ascii="Arial" w:hAnsi="Arial" w:cs="Arial"/>
                <w:b/>
                <w:sz w:val="24"/>
                <w:szCs w:val="24"/>
              </w:rPr>
            </w:pPr>
            <w:r w:rsidRPr="00571F92">
              <w:rPr>
                <w:rFonts w:ascii="Arial" w:eastAsia="Times New Roman" w:hAnsi="Arial" w:cs="Arial"/>
                <w:b/>
                <w:sz w:val="24"/>
                <w:szCs w:val="24"/>
                <w:lang w:eastAsia="en-GB"/>
              </w:rPr>
              <w:t>Defendant</w:t>
            </w:r>
            <w:r w:rsidRPr="00571F92">
              <w:rPr>
                <w:rFonts w:ascii="Arial" w:eastAsia="Times New Roman" w:hAnsi="Arial" w:cs="Arial"/>
                <w:sz w:val="24"/>
                <w:szCs w:val="24"/>
                <w:lang w:eastAsia="en-GB"/>
              </w:rPr>
              <w:t>:</w:t>
            </w:r>
          </w:p>
        </w:tc>
      </w:tr>
      <w:tr w:rsidR="008019A9" w:rsidRPr="00571F92"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3E4805" w:rsidRPr="003E4805" w:rsidRDefault="003E4805" w:rsidP="003E4805">
            <w:pPr>
              <w:spacing w:after="0" w:line="360" w:lineRule="auto"/>
              <w:jc w:val="center"/>
              <w:rPr>
                <w:rFonts w:ascii="Arial" w:hAnsi="Arial" w:cs="Arial"/>
                <w:bCs/>
                <w:sz w:val="24"/>
                <w:szCs w:val="24"/>
                <w:shd w:val="clear" w:color="auto" w:fill="FFFFFF"/>
                <w:lang w:val="en-GB"/>
              </w:rPr>
            </w:pPr>
            <w:r w:rsidRPr="003E4805">
              <w:rPr>
                <w:rFonts w:ascii="Arial" w:hAnsi="Arial" w:cs="Arial"/>
                <w:bCs/>
                <w:sz w:val="24"/>
                <w:szCs w:val="24"/>
                <w:shd w:val="clear" w:color="auto" w:fill="FFFFFF"/>
                <w:lang w:val="en-GB"/>
              </w:rPr>
              <w:t xml:space="preserve">L </w:t>
            </w:r>
            <w:proofErr w:type="spellStart"/>
            <w:r w:rsidRPr="003E4805">
              <w:rPr>
                <w:rFonts w:ascii="Arial" w:hAnsi="Arial" w:cs="Arial"/>
                <w:bCs/>
                <w:sz w:val="24"/>
                <w:szCs w:val="24"/>
                <w:shd w:val="clear" w:color="auto" w:fill="FFFFFF"/>
                <w:lang w:val="en-GB"/>
              </w:rPr>
              <w:t>Lochner</w:t>
            </w:r>
            <w:proofErr w:type="spellEnd"/>
          </w:p>
          <w:p w:rsidR="005B7BF9" w:rsidRPr="00571F92" w:rsidRDefault="003E4805" w:rsidP="003E4805">
            <w:pPr>
              <w:spacing w:after="0" w:line="360" w:lineRule="auto"/>
              <w:jc w:val="center"/>
              <w:rPr>
                <w:rFonts w:ascii="Arial" w:eastAsia="Times New Roman" w:hAnsi="Arial" w:cs="Arial"/>
                <w:sz w:val="24"/>
                <w:szCs w:val="24"/>
                <w:lang w:eastAsia="en-GB"/>
              </w:rPr>
            </w:pPr>
            <w:r w:rsidRPr="003E4805">
              <w:rPr>
                <w:rFonts w:ascii="Arial" w:hAnsi="Arial" w:cs="Arial"/>
                <w:bCs/>
                <w:sz w:val="24"/>
                <w:szCs w:val="24"/>
                <w:shd w:val="clear" w:color="auto" w:fill="FFFFFF"/>
                <w:lang w:val="en-GB"/>
              </w:rPr>
              <w:t xml:space="preserve">Instructed by </w:t>
            </w:r>
            <w:r w:rsidRPr="003E4805">
              <w:rPr>
                <w:rFonts w:ascii="Arial" w:hAnsi="Arial" w:cs="Arial"/>
                <w:sz w:val="24"/>
                <w:szCs w:val="24"/>
                <w:shd w:val="clear" w:color="auto" w:fill="FFFFFF"/>
                <w:lang w:val="en-GB"/>
              </w:rPr>
              <w:t>P D Theron &amp; Associates, Windhoek</w:t>
            </w:r>
          </w:p>
        </w:tc>
        <w:tc>
          <w:tcPr>
            <w:tcW w:w="5245" w:type="dxa"/>
            <w:gridSpan w:val="2"/>
            <w:tcBorders>
              <w:top w:val="single" w:sz="4" w:space="0" w:color="auto"/>
              <w:left w:val="single" w:sz="4" w:space="0" w:color="auto"/>
              <w:bottom w:val="single" w:sz="4" w:space="0" w:color="auto"/>
              <w:right w:val="single" w:sz="4" w:space="0" w:color="auto"/>
            </w:tcBorders>
          </w:tcPr>
          <w:p w:rsidR="003E4805" w:rsidRPr="003E4805" w:rsidRDefault="003E4805" w:rsidP="003E4805">
            <w:pPr>
              <w:spacing w:after="0" w:line="360" w:lineRule="auto"/>
              <w:jc w:val="center"/>
              <w:rPr>
                <w:rFonts w:ascii="Arial" w:hAnsi="Arial" w:cs="Arial"/>
                <w:bCs/>
                <w:sz w:val="24"/>
                <w:szCs w:val="24"/>
                <w:shd w:val="clear" w:color="auto" w:fill="FFFFFF"/>
                <w:lang w:val="en-GB"/>
              </w:rPr>
            </w:pPr>
            <w:r w:rsidRPr="003E4805">
              <w:rPr>
                <w:rFonts w:ascii="Arial" w:hAnsi="Arial" w:cs="Arial"/>
                <w:bCs/>
                <w:sz w:val="24"/>
                <w:szCs w:val="24"/>
                <w:shd w:val="clear" w:color="auto" w:fill="FFFFFF"/>
                <w:lang w:val="en-GB"/>
              </w:rPr>
              <w:t xml:space="preserve">A </w:t>
            </w:r>
            <w:proofErr w:type="spellStart"/>
            <w:r w:rsidRPr="003E4805">
              <w:rPr>
                <w:rFonts w:ascii="Arial" w:hAnsi="Arial" w:cs="Arial"/>
                <w:bCs/>
                <w:sz w:val="24"/>
                <w:szCs w:val="24"/>
                <w:shd w:val="clear" w:color="auto" w:fill="FFFFFF"/>
                <w:lang w:val="en-GB"/>
              </w:rPr>
              <w:t>Jantjies</w:t>
            </w:r>
            <w:proofErr w:type="spellEnd"/>
          </w:p>
          <w:p w:rsidR="005B7BF9" w:rsidRPr="00571F92" w:rsidRDefault="003E4805" w:rsidP="003E4805">
            <w:pPr>
              <w:spacing w:after="0" w:line="360" w:lineRule="auto"/>
              <w:jc w:val="center"/>
              <w:rPr>
                <w:rFonts w:ascii="Arial" w:eastAsia="Times New Roman" w:hAnsi="Arial" w:cs="Arial"/>
                <w:sz w:val="24"/>
                <w:szCs w:val="24"/>
                <w:lang w:eastAsia="en-GB"/>
              </w:rPr>
            </w:pPr>
            <w:r w:rsidRPr="003E4805">
              <w:rPr>
                <w:rFonts w:ascii="Arial" w:hAnsi="Arial" w:cs="Arial"/>
                <w:bCs/>
                <w:sz w:val="24"/>
                <w:szCs w:val="24"/>
                <w:shd w:val="clear" w:color="auto" w:fill="FFFFFF"/>
                <w:lang w:val="en-GB"/>
              </w:rPr>
              <w:t xml:space="preserve">Of </w:t>
            </w:r>
            <w:proofErr w:type="spellStart"/>
            <w:r w:rsidRPr="003E4805">
              <w:rPr>
                <w:rFonts w:ascii="Arial" w:hAnsi="Arial" w:cs="Arial"/>
                <w:bCs/>
                <w:sz w:val="24"/>
                <w:szCs w:val="24"/>
                <w:shd w:val="clear" w:color="auto" w:fill="FFFFFF"/>
                <w:lang w:val="en-ZA"/>
              </w:rPr>
              <w:t>Afrika</w:t>
            </w:r>
            <w:proofErr w:type="spellEnd"/>
            <w:r w:rsidRPr="003E4805">
              <w:rPr>
                <w:rFonts w:ascii="Arial" w:hAnsi="Arial" w:cs="Arial"/>
                <w:bCs/>
                <w:sz w:val="24"/>
                <w:szCs w:val="24"/>
                <w:shd w:val="clear" w:color="auto" w:fill="FFFFFF"/>
                <w:lang w:val="en-ZA"/>
              </w:rPr>
              <w:t xml:space="preserve"> </w:t>
            </w:r>
            <w:proofErr w:type="spellStart"/>
            <w:r w:rsidRPr="003E4805">
              <w:rPr>
                <w:rFonts w:ascii="Arial" w:hAnsi="Arial" w:cs="Arial"/>
                <w:bCs/>
                <w:sz w:val="24"/>
                <w:szCs w:val="24"/>
                <w:shd w:val="clear" w:color="auto" w:fill="FFFFFF"/>
                <w:lang w:val="en-ZA"/>
              </w:rPr>
              <w:t>Jantjies</w:t>
            </w:r>
            <w:proofErr w:type="spellEnd"/>
            <w:r w:rsidRPr="003E4805">
              <w:rPr>
                <w:rFonts w:ascii="Arial" w:hAnsi="Arial" w:cs="Arial"/>
                <w:bCs/>
                <w:sz w:val="24"/>
                <w:szCs w:val="24"/>
                <w:shd w:val="clear" w:color="auto" w:fill="FFFFFF"/>
                <w:lang w:val="en-ZA"/>
              </w:rPr>
              <w:t xml:space="preserve"> and Associates, Windhoek</w:t>
            </w:r>
          </w:p>
        </w:tc>
      </w:tr>
    </w:tbl>
    <w:p w:rsidR="007D437D" w:rsidRPr="00571F92" w:rsidRDefault="007D437D" w:rsidP="00571F92">
      <w:pPr>
        <w:spacing w:after="0" w:line="360" w:lineRule="auto"/>
        <w:jc w:val="both"/>
        <w:rPr>
          <w:rFonts w:ascii="Arial" w:hAnsi="Arial" w:cs="Arial"/>
          <w:sz w:val="24"/>
          <w:szCs w:val="24"/>
        </w:rPr>
      </w:pPr>
    </w:p>
    <w:sectPr w:rsidR="007D437D" w:rsidRPr="00571F92"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A17" w:rsidRDefault="006E1A17" w:rsidP="001B7253">
      <w:pPr>
        <w:spacing w:after="0" w:line="240" w:lineRule="auto"/>
      </w:pPr>
      <w:r>
        <w:separator/>
      </w:r>
    </w:p>
  </w:endnote>
  <w:endnote w:type="continuationSeparator" w:id="0">
    <w:p w:rsidR="006E1A17" w:rsidRDefault="006E1A17"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A17" w:rsidRDefault="006E1A17" w:rsidP="001B7253">
      <w:pPr>
        <w:spacing w:after="0" w:line="240" w:lineRule="auto"/>
      </w:pPr>
      <w:r>
        <w:separator/>
      </w:r>
    </w:p>
  </w:footnote>
  <w:footnote w:type="continuationSeparator" w:id="0">
    <w:p w:rsidR="006E1A17" w:rsidRDefault="006E1A17" w:rsidP="001B7253">
      <w:pPr>
        <w:spacing w:after="0" w:line="240" w:lineRule="auto"/>
      </w:pPr>
      <w:r>
        <w:continuationSeparator/>
      </w:r>
    </w:p>
  </w:footnote>
  <w:footnote w:id="1">
    <w:p w:rsidR="00667ED0" w:rsidRPr="00560370" w:rsidRDefault="00667ED0" w:rsidP="003E4805">
      <w:pPr>
        <w:pStyle w:val="FootnoteText"/>
        <w:tabs>
          <w:tab w:val="left" w:pos="0"/>
        </w:tabs>
        <w:jc w:val="both"/>
        <w:rPr>
          <w:rFonts w:ascii="Arial" w:hAnsi="Arial" w:cs="Arial"/>
          <w:lang w:val="en-US"/>
        </w:rPr>
      </w:pPr>
      <w:r w:rsidRPr="00560370">
        <w:rPr>
          <w:rStyle w:val="FootnoteReference"/>
          <w:rFonts w:ascii="Arial" w:hAnsi="Arial" w:cs="Arial"/>
        </w:rPr>
        <w:footnoteRef/>
      </w:r>
      <w:r w:rsidRPr="00560370">
        <w:rPr>
          <w:rFonts w:ascii="Arial" w:hAnsi="Arial" w:cs="Arial"/>
        </w:rPr>
        <w:t xml:space="preserve"> </w:t>
      </w:r>
      <w:r w:rsidR="00B71F4B">
        <w:rPr>
          <w:rFonts w:ascii="Arial" w:hAnsi="Arial" w:cs="Arial"/>
        </w:rPr>
        <w:t>V</w:t>
      </w:r>
      <w:r w:rsidRPr="00560370">
        <w:rPr>
          <w:rFonts w:ascii="Arial" w:hAnsi="Arial" w:cs="Arial"/>
        </w:rPr>
        <w:t xml:space="preserve"> </w:t>
      </w:r>
      <w:proofErr w:type="spellStart"/>
      <w:r w:rsidRPr="00560370">
        <w:rPr>
          <w:rFonts w:ascii="Arial" w:hAnsi="Arial" w:cs="Arial"/>
        </w:rPr>
        <w:t>Niekerk</w:t>
      </w:r>
      <w:proofErr w:type="spellEnd"/>
      <w:r w:rsidRPr="00560370">
        <w:rPr>
          <w:rFonts w:ascii="Arial" w:hAnsi="Arial" w:cs="Arial"/>
        </w:rPr>
        <w:t>,</w:t>
      </w:r>
      <w:r w:rsidR="00B71F4B">
        <w:rPr>
          <w:rFonts w:ascii="Arial" w:hAnsi="Arial" w:cs="Arial"/>
        </w:rPr>
        <w:t xml:space="preserve"> HF Geyer and</w:t>
      </w:r>
      <w:r w:rsidR="00B71F4B" w:rsidRPr="00B71F4B">
        <w:rPr>
          <w:rFonts w:ascii="Arial" w:hAnsi="Arial" w:cs="Arial"/>
        </w:rPr>
        <w:t xml:space="preserve"> ARG Mundell</w:t>
      </w:r>
      <w:r w:rsidR="00B71F4B">
        <w:rPr>
          <w:rFonts w:ascii="Arial" w:hAnsi="Arial" w:cs="Arial"/>
        </w:rPr>
        <w:t xml:space="preserve"> </w:t>
      </w:r>
      <w:r w:rsidRPr="00560370">
        <w:rPr>
          <w:rFonts w:ascii="Arial" w:hAnsi="Arial" w:cs="Arial"/>
          <w:i/>
        </w:rPr>
        <w:t>Summary Judgement: A Practical Guide</w:t>
      </w:r>
      <w:r w:rsidR="000D2FCC">
        <w:rPr>
          <w:rFonts w:ascii="Arial" w:hAnsi="Arial" w:cs="Arial"/>
        </w:rPr>
        <w:t xml:space="preserve"> </w:t>
      </w:r>
      <w:r w:rsidRPr="00560370">
        <w:rPr>
          <w:rFonts w:ascii="Arial" w:hAnsi="Arial" w:cs="Arial"/>
        </w:rPr>
        <w:t>para 2.1 at 2-3.</w:t>
      </w:r>
    </w:p>
  </w:footnote>
  <w:footnote w:id="2">
    <w:p w:rsidR="00667ED0" w:rsidRPr="00B4380A" w:rsidRDefault="00667ED0" w:rsidP="003E4805">
      <w:pPr>
        <w:pStyle w:val="FootnoteText"/>
        <w:tabs>
          <w:tab w:val="left" w:pos="0"/>
        </w:tabs>
        <w:jc w:val="both"/>
        <w:rPr>
          <w:rFonts w:ascii="Arial" w:hAnsi="Arial" w:cs="Arial"/>
          <w:lang w:val="en-US"/>
        </w:rPr>
      </w:pPr>
      <w:r w:rsidRPr="00560370">
        <w:rPr>
          <w:rStyle w:val="FootnoteReference"/>
          <w:rFonts w:ascii="Arial" w:hAnsi="Arial" w:cs="Arial"/>
          <w:i/>
        </w:rPr>
        <w:footnoteRef/>
      </w:r>
      <w:r w:rsidRPr="00560370">
        <w:rPr>
          <w:rFonts w:ascii="Arial" w:hAnsi="Arial" w:cs="Arial"/>
          <w:i/>
        </w:rPr>
        <w:t xml:space="preserve"> </w:t>
      </w:r>
      <w:r w:rsidRPr="00B4380A">
        <w:rPr>
          <w:rFonts w:ascii="Arial" w:hAnsi="Arial" w:cs="Arial"/>
        </w:rPr>
        <w:t>Ibid.</w:t>
      </w:r>
    </w:p>
  </w:footnote>
  <w:footnote w:id="3">
    <w:p w:rsidR="00667ED0" w:rsidRPr="00992033" w:rsidRDefault="00667ED0" w:rsidP="003E4805">
      <w:pPr>
        <w:pStyle w:val="FootnoteText"/>
        <w:tabs>
          <w:tab w:val="left" w:pos="0"/>
        </w:tabs>
        <w:rPr>
          <w:rFonts w:ascii="Arial" w:hAnsi="Arial" w:cs="Arial"/>
          <w:lang w:val="en-US"/>
        </w:rPr>
      </w:pPr>
      <w:r w:rsidRPr="00B4380A">
        <w:rPr>
          <w:rStyle w:val="FootnoteReference"/>
          <w:rFonts w:ascii="Arial" w:hAnsi="Arial" w:cs="Arial"/>
        </w:rPr>
        <w:footnoteRef/>
      </w:r>
      <w:r w:rsidR="00874C57">
        <w:rPr>
          <w:rFonts w:ascii="Arial" w:hAnsi="Arial" w:cs="Arial"/>
        </w:rPr>
        <w:t xml:space="preserve"> Footnote 1</w:t>
      </w:r>
      <w:r w:rsidRPr="00B4380A">
        <w:rPr>
          <w:rFonts w:ascii="Arial" w:hAnsi="Arial" w:cs="Arial"/>
        </w:rPr>
        <w:t>.</w:t>
      </w:r>
    </w:p>
  </w:footnote>
  <w:footnote w:id="4">
    <w:p w:rsidR="00667ED0" w:rsidRPr="00992033" w:rsidRDefault="00667ED0" w:rsidP="003E4805">
      <w:pPr>
        <w:pStyle w:val="FootnoteText"/>
        <w:tabs>
          <w:tab w:val="left" w:pos="0"/>
        </w:tabs>
        <w:jc w:val="both"/>
        <w:rPr>
          <w:lang w:val="en-US"/>
        </w:rPr>
      </w:pPr>
      <w:r w:rsidRPr="00992033">
        <w:rPr>
          <w:rStyle w:val="FootnoteReference"/>
          <w:rFonts w:ascii="Arial" w:hAnsi="Arial" w:cs="Arial"/>
        </w:rPr>
        <w:footnoteRef/>
      </w:r>
      <w:r w:rsidRPr="00992033">
        <w:rPr>
          <w:rFonts w:ascii="Arial" w:hAnsi="Arial" w:cs="Arial"/>
        </w:rPr>
        <w:t xml:space="preserve"> </w:t>
      </w:r>
      <w:proofErr w:type="spellStart"/>
      <w:r w:rsidRPr="00992033">
        <w:rPr>
          <w:rFonts w:ascii="Arial" w:hAnsi="Arial" w:cs="Arial"/>
          <w:i/>
          <w:lang w:val="en-US"/>
        </w:rPr>
        <w:t>Joob</w:t>
      </w:r>
      <w:proofErr w:type="spellEnd"/>
      <w:r w:rsidRPr="00992033">
        <w:rPr>
          <w:rFonts w:ascii="Arial" w:hAnsi="Arial" w:cs="Arial"/>
          <w:i/>
          <w:lang w:val="en-US"/>
        </w:rPr>
        <w:t xml:space="preserve"> </w:t>
      </w:r>
      <w:proofErr w:type="spellStart"/>
      <w:r w:rsidRPr="00992033">
        <w:rPr>
          <w:rFonts w:ascii="Arial" w:hAnsi="Arial" w:cs="Arial"/>
          <w:i/>
          <w:lang w:val="en-US"/>
        </w:rPr>
        <w:t>Joob</w:t>
      </w:r>
      <w:proofErr w:type="spellEnd"/>
      <w:r w:rsidRPr="00992033">
        <w:rPr>
          <w:rFonts w:ascii="Arial" w:hAnsi="Arial" w:cs="Arial"/>
          <w:i/>
          <w:lang w:val="en-US"/>
        </w:rPr>
        <w:t xml:space="preserve"> Investments (Pty) Ltd v Stocks </w:t>
      </w:r>
      <w:proofErr w:type="spellStart"/>
      <w:r w:rsidRPr="00992033">
        <w:rPr>
          <w:rFonts w:ascii="Arial" w:hAnsi="Arial" w:cs="Arial"/>
          <w:i/>
          <w:lang w:val="en-US"/>
        </w:rPr>
        <w:t>Mavundla</w:t>
      </w:r>
      <w:proofErr w:type="spellEnd"/>
      <w:r w:rsidRPr="00992033">
        <w:rPr>
          <w:rFonts w:ascii="Arial" w:hAnsi="Arial" w:cs="Arial"/>
          <w:i/>
          <w:lang w:val="en-US"/>
        </w:rPr>
        <w:t xml:space="preserve"> </w:t>
      </w:r>
      <w:proofErr w:type="spellStart"/>
      <w:r w:rsidRPr="00992033">
        <w:rPr>
          <w:rFonts w:ascii="Arial" w:hAnsi="Arial" w:cs="Arial"/>
          <w:i/>
          <w:lang w:val="en-US"/>
        </w:rPr>
        <w:t>Zek</w:t>
      </w:r>
      <w:proofErr w:type="spellEnd"/>
      <w:r w:rsidRPr="00992033">
        <w:rPr>
          <w:rFonts w:ascii="Arial" w:hAnsi="Arial" w:cs="Arial"/>
          <w:i/>
          <w:lang w:val="en-US"/>
        </w:rPr>
        <w:t xml:space="preserve"> Joint Venture</w:t>
      </w:r>
      <w:r w:rsidRPr="00992033">
        <w:rPr>
          <w:rFonts w:ascii="Arial" w:hAnsi="Arial" w:cs="Arial"/>
          <w:lang w:val="en-US"/>
        </w:rPr>
        <w:t> 2009 (5) SA 1 (SCA)</w:t>
      </w:r>
    </w:p>
  </w:footnote>
  <w:footnote w:id="5">
    <w:p w:rsidR="00667ED0" w:rsidRPr="00A223D8" w:rsidRDefault="00667ED0" w:rsidP="003E4805">
      <w:pPr>
        <w:pStyle w:val="FootnoteText"/>
        <w:tabs>
          <w:tab w:val="left" w:pos="0"/>
        </w:tabs>
        <w:jc w:val="both"/>
        <w:rPr>
          <w:rFonts w:ascii="Arial" w:hAnsi="Arial" w:cs="Arial"/>
          <w:lang w:val="en-US"/>
        </w:rPr>
      </w:pPr>
      <w:r w:rsidRPr="00A223D8">
        <w:rPr>
          <w:rStyle w:val="FootnoteReference"/>
          <w:rFonts w:ascii="Arial" w:hAnsi="Arial" w:cs="Arial"/>
        </w:rPr>
        <w:footnoteRef/>
      </w:r>
      <w:r w:rsidRPr="00A223D8">
        <w:rPr>
          <w:rFonts w:ascii="Arial" w:hAnsi="Arial" w:cs="Arial"/>
        </w:rPr>
        <w:t xml:space="preserve"> </w:t>
      </w:r>
      <w:r w:rsidRPr="00A223D8">
        <w:rPr>
          <w:rFonts w:ascii="Arial" w:hAnsi="Arial" w:cs="Arial"/>
          <w:lang w:val="en-US"/>
        </w:rPr>
        <w:t>Rule 60(3) reads as follows:</w:t>
      </w:r>
    </w:p>
    <w:p w:rsidR="00667ED0" w:rsidRPr="00A223D8" w:rsidRDefault="00667ED0" w:rsidP="00FC4BFF">
      <w:pPr>
        <w:pStyle w:val="FootnoteText"/>
        <w:tabs>
          <w:tab w:val="left" w:pos="0"/>
          <w:tab w:val="left" w:pos="567"/>
        </w:tabs>
        <w:jc w:val="both"/>
        <w:rPr>
          <w:lang w:val="en-US"/>
        </w:rPr>
      </w:pPr>
      <w:r>
        <w:rPr>
          <w:rFonts w:ascii="Arial" w:hAnsi="Arial" w:cs="Arial"/>
          <w:lang w:val="en-US"/>
        </w:rPr>
        <w:t>‘</w:t>
      </w:r>
      <w:r w:rsidRPr="00A223D8">
        <w:rPr>
          <w:rFonts w:ascii="Arial" w:hAnsi="Arial" w:cs="Arial"/>
        </w:rPr>
        <w:t>(3)</w:t>
      </w:r>
      <w:r w:rsidRPr="00A223D8">
        <w:rPr>
          <w:rFonts w:ascii="Arial" w:hAnsi="Arial" w:cs="Arial"/>
        </w:rPr>
        <w:tab/>
        <w:t>If the claim is founded on a liquid document, a copy of the document must be annexed to the affidavit and the notice of application must state that the application will be set down for hearing on a date fixed in the case plan order</w:t>
      </w:r>
      <w:r>
        <w:rPr>
          <w:rFonts w:ascii="Arial" w:hAnsi="Arial" w:cs="Arial"/>
        </w:rPr>
        <w:t>.’</w:t>
      </w:r>
    </w:p>
  </w:footnote>
  <w:footnote w:id="6">
    <w:p w:rsidR="00667ED0" w:rsidRPr="00163F7A" w:rsidRDefault="00667ED0" w:rsidP="003E4805">
      <w:pPr>
        <w:pStyle w:val="FootnoteText"/>
        <w:tabs>
          <w:tab w:val="left" w:pos="0"/>
        </w:tabs>
        <w:rPr>
          <w:rFonts w:ascii="Arial" w:hAnsi="Arial" w:cs="Arial"/>
          <w:lang w:val="en-US"/>
        </w:rPr>
      </w:pPr>
      <w:r w:rsidRPr="00163F7A">
        <w:rPr>
          <w:rStyle w:val="FootnoteReference"/>
          <w:rFonts w:ascii="Arial" w:hAnsi="Arial" w:cs="Arial"/>
        </w:rPr>
        <w:footnoteRef/>
      </w:r>
      <w:r w:rsidRPr="00163F7A">
        <w:rPr>
          <w:rFonts w:ascii="Arial" w:hAnsi="Arial" w:cs="Arial"/>
        </w:rPr>
        <w:t xml:space="preserve"> </w:t>
      </w:r>
      <w:proofErr w:type="spellStart"/>
      <w:r w:rsidRPr="00163F7A">
        <w:rPr>
          <w:rFonts w:ascii="Arial" w:hAnsi="Arial" w:cs="Arial"/>
          <w:i/>
          <w:lang w:val="en-US"/>
        </w:rPr>
        <w:t>Credcor</w:t>
      </w:r>
      <w:proofErr w:type="spellEnd"/>
      <w:r w:rsidRPr="00163F7A">
        <w:rPr>
          <w:rFonts w:ascii="Arial" w:hAnsi="Arial" w:cs="Arial"/>
          <w:i/>
          <w:lang w:val="en-US"/>
        </w:rPr>
        <w:t xml:space="preserve"> Bank Ltd v Thomson </w:t>
      </w:r>
      <w:r w:rsidRPr="00163F7A">
        <w:rPr>
          <w:rFonts w:ascii="Arial" w:hAnsi="Arial" w:cs="Arial"/>
          <w:lang w:val="en-US"/>
        </w:rPr>
        <w:t>1975 (3) SA 916 (D).</w:t>
      </w:r>
    </w:p>
  </w:footnote>
  <w:footnote w:id="7">
    <w:p w:rsidR="00667ED0" w:rsidRPr="00163F7A" w:rsidRDefault="00667ED0" w:rsidP="003E4805">
      <w:pPr>
        <w:pStyle w:val="FootnoteText"/>
        <w:tabs>
          <w:tab w:val="left" w:pos="0"/>
        </w:tabs>
        <w:jc w:val="both"/>
        <w:rPr>
          <w:rFonts w:ascii="Arial" w:hAnsi="Arial" w:cs="Arial"/>
        </w:rPr>
      </w:pPr>
      <w:r w:rsidRPr="00163F7A">
        <w:rPr>
          <w:rStyle w:val="FootnoteReference"/>
          <w:rFonts w:ascii="Arial" w:hAnsi="Arial" w:cs="Arial"/>
        </w:rPr>
        <w:footnoteRef/>
      </w:r>
      <w:r w:rsidR="003E4805">
        <w:rPr>
          <w:rFonts w:ascii="Arial" w:hAnsi="Arial" w:cs="Arial"/>
        </w:rPr>
        <w:t xml:space="preserve"> </w:t>
      </w:r>
      <w:proofErr w:type="spellStart"/>
      <w:r w:rsidRPr="00163F7A">
        <w:rPr>
          <w:rFonts w:ascii="Arial" w:hAnsi="Arial" w:cs="Arial"/>
          <w:i/>
        </w:rPr>
        <w:t>Maharaj</w:t>
      </w:r>
      <w:proofErr w:type="spellEnd"/>
      <w:r w:rsidRPr="00163F7A">
        <w:rPr>
          <w:rFonts w:ascii="Arial" w:hAnsi="Arial" w:cs="Arial"/>
          <w:i/>
        </w:rPr>
        <w:t xml:space="preserve"> v Barclays National Bank Limited</w:t>
      </w:r>
      <w:r w:rsidRPr="00163F7A">
        <w:rPr>
          <w:rFonts w:ascii="Arial" w:hAnsi="Arial" w:cs="Arial"/>
        </w:rPr>
        <w:t xml:space="preserve"> 1976 (1) SA 418 (A) at 422G.</w:t>
      </w:r>
    </w:p>
  </w:footnote>
  <w:footnote w:id="8">
    <w:p w:rsidR="00667ED0" w:rsidRPr="00163F7A" w:rsidRDefault="00667ED0" w:rsidP="003E4805">
      <w:pPr>
        <w:pStyle w:val="FootnoteText"/>
        <w:tabs>
          <w:tab w:val="left" w:pos="0"/>
        </w:tabs>
        <w:rPr>
          <w:lang w:val="en-US"/>
        </w:rPr>
      </w:pPr>
      <w:r w:rsidRPr="00163F7A">
        <w:rPr>
          <w:rStyle w:val="FootnoteReference"/>
          <w:rFonts w:ascii="Arial" w:hAnsi="Arial" w:cs="Arial"/>
        </w:rPr>
        <w:footnoteRef/>
      </w:r>
      <w:r w:rsidRPr="00163F7A">
        <w:rPr>
          <w:rFonts w:ascii="Arial" w:hAnsi="Arial" w:cs="Arial"/>
        </w:rPr>
        <w:t xml:space="preserve"> </w:t>
      </w:r>
      <w:r w:rsidRPr="00163F7A">
        <w:rPr>
          <w:rFonts w:ascii="Arial" w:hAnsi="Arial" w:cs="Arial"/>
          <w:lang w:val="en-US"/>
        </w:rPr>
        <w:t xml:space="preserve">Rule 32 of the South African Uniform Rules is </w:t>
      </w:r>
      <w:r>
        <w:rPr>
          <w:rFonts w:ascii="Arial" w:hAnsi="Arial" w:cs="Arial"/>
          <w:lang w:val="en-US"/>
        </w:rPr>
        <w:t>the predecessor of our rule 60.</w:t>
      </w:r>
    </w:p>
  </w:footnote>
  <w:footnote w:id="9">
    <w:p w:rsidR="00667ED0" w:rsidRPr="002114D4" w:rsidRDefault="00667ED0" w:rsidP="003E4805">
      <w:pPr>
        <w:pStyle w:val="FootnoteText"/>
        <w:tabs>
          <w:tab w:val="left" w:pos="284"/>
        </w:tabs>
        <w:ind w:left="142" w:hanging="142"/>
        <w:jc w:val="both"/>
        <w:rPr>
          <w:rFonts w:ascii="Arial" w:hAnsi="Arial" w:cs="Arial"/>
        </w:rPr>
      </w:pPr>
      <w:r w:rsidRPr="002114D4">
        <w:rPr>
          <w:rStyle w:val="FootnoteReference"/>
          <w:rFonts w:ascii="Arial" w:hAnsi="Arial" w:cs="Arial"/>
        </w:rPr>
        <w:footnoteRef/>
      </w:r>
      <w:r w:rsidR="003E4805">
        <w:rPr>
          <w:rFonts w:ascii="Arial" w:hAnsi="Arial" w:cs="Arial"/>
        </w:rPr>
        <w:t xml:space="preserve"> </w:t>
      </w:r>
      <w:r w:rsidRPr="002114D4">
        <w:rPr>
          <w:rFonts w:ascii="Arial" w:hAnsi="Arial" w:cs="Arial"/>
        </w:rPr>
        <w:t xml:space="preserve">At 423 </w:t>
      </w:r>
      <w:proofErr w:type="gramStart"/>
      <w:r w:rsidRPr="002114D4">
        <w:rPr>
          <w:rFonts w:ascii="Arial" w:hAnsi="Arial" w:cs="Arial"/>
        </w:rPr>
        <w:t>A</w:t>
      </w:r>
      <w:proofErr w:type="gramEnd"/>
      <w:r w:rsidRPr="002114D4">
        <w:rPr>
          <w:rFonts w:ascii="Arial" w:hAnsi="Arial" w:cs="Arial"/>
        </w:rPr>
        <w:t xml:space="preserve"> – H. I have omitted the authorities to which the Court has had reference in the passage quoted.</w:t>
      </w:r>
    </w:p>
  </w:footnote>
  <w:footnote w:id="10">
    <w:p w:rsidR="00667ED0" w:rsidRPr="00304068" w:rsidRDefault="00667ED0" w:rsidP="003E4805">
      <w:pPr>
        <w:pStyle w:val="FootnoteText"/>
        <w:tabs>
          <w:tab w:val="left" w:pos="0"/>
          <w:tab w:val="left" w:pos="426"/>
        </w:tabs>
        <w:rPr>
          <w:lang w:val="en-US"/>
        </w:rPr>
      </w:pPr>
      <w:r w:rsidRPr="002114D4">
        <w:rPr>
          <w:rStyle w:val="FootnoteReference"/>
          <w:rFonts w:ascii="Arial" w:hAnsi="Arial" w:cs="Arial"/>
        </w:rPr>
        <w:footnoteRef/>
      </w:r>
      <w:r w:rsidRPr="002114D4">
        <w:rPr>
          <w:rFonts w:ascii="Arial" w:hAnsi="Arial" w:cs="Arial"/>
        </w:rPr>
        <w:t xml:space="preserve"> </w:t>
      </w:r>
      <w:proofErr w:type="spellStart"/>
      <w:r w:rsidRPr="00B4380A">
        <w:rPr>
          <w:rFonts w:ascii="Arial" w:hAnsi="Arial" w:cs="Arial"/>
          <w:i/>
          <w:lang w:val="en-US"/>
        </w:rPr>
        <w:t>Kelnic</w:t>
      </w:r>
      <w:proofErr w:type="spellEnd"/>
      <w:r w:rsidRPr="00B4380A">
        <w:rPr>
          <w:rFonts w:ascii="Arial" w:hAnsi="Arial" w:cs="Arial"/>
          <w:i/>
          <w:lang w:val="en-US"/>
        </w:rPr>
        <w:t xml:space="preserve"> Construction (Pty) Ltd v </w:t>
      </w:r>
      <w:proofErr w:type="spellStart"/>
      <w:r w:rsidRPr="00B4380A">
        <w:rPr>
          <w:rFonts w:ascii="Arial" w:hAnsi="Arial" w:cs="Arial"/>
          <w:i/>
          <w:lang w:val="en-US"/>
        </w:rPr>
        <w:t>Cadilu</w:t>
      </w:r>
      <w:proofErr w:type="spellEnd"/>
      <w:r w:rsidRPr="00B4380A">
        <w:rPr>
          <w:rFonts w:ascii="Arial" w:hAnsi="Arial" w:cs="Arial"/>
          <w:i/>
          <w:lang w:val="en-US"/>
        </w:rPr>
        <w:t xml:space="preserve"> Fishing (Pty) Ltd</w:t>
      </w:r>
      <w:r w:rsidRPr="002114D4">
        <w:rPr>
          <w:rFonts w:ascii="Arial" w:hAnsi="Arial" w:cs="Arial"/>
          <w:lang w:val="en-US"/>
        </w:rPr>
        <w:t xml:space="preserve"> 1998 NR 198 (HC).</w:t>
      </w:r>
    </w:p>
  </w:footnote>
  <w:footnote w:id="11">
    <w:p w:rsidR="00667ED0" w:rsidRPr="00FF549C" w:rsidRDefault="00667ED0" w:rsidP="003E4805">
      <w:pPr>
        <w:pStyle w:val="FootnoteText"/>
        <w:tabs>
          <w:tab w:val="left" w:pos="0"/>
        </w:tabs>
        <w:jc w:val="both"/>
        <w:rPr>
          <w:rFonts w:ascii="Arial" w:hAnsi="Arial" w:cs="Arial"/>
          <w:lang w:val="en-US"/>
        </w:rPr>
      </w:pPr>
      <w:r w:rsidRPr="00FF549C">
        <w:rPr>
          <w:rStyle w:val="FootnoteReference"/>
          <w:rFonts w:ascii="Arial" w:hAnsi="Arial" w:cs="Arial"/>
        </w:rPr>
        <w:footnoteRef/>
      </w:r>
      <w:r w:rsidR="003E4805">
        <w:rPr>
          <w:rFonts w:ascii="Arial" w:hAnsi="Arial" w:cs="Arial"/>
          <w:lang w:val="en-US"/>
        </w:rPr>
        <w:t xml:space="preserve"> </w:t>
      </w:r>
      <w:r w:rsidRPr="00FF549C">
        <w:rPr>
          <w:rFonts w:ascii="Arial" w:hAnsi="Arial" w:cs="Arial"/>
          <w:i/>
        </w:rPr>
        <w:t xml:space="preserve">Nedcor Bank Ltd v </w:t>
      </w:r>
      <w:proofErr w:type="spellStart"/>
      <w:r w:rsidRPr="00FF549C">
        <w:rPr>
          <w:rFonts w:ascii="Arial" w:hAnsi="Arial" w:cs="Arial"/>
          <w:i/>
        </w:rPr>
        <w:t>Lisinfo</w:t>
      </w:r>
      <w:proofErr w:type="spellEnd"/>
      <w:r w:rsidRPr="00FF549C">
        <w:rPr>
          <w:rFonts w:ascii="Arial" w:hAnsi="Arial" w:cs="Arial"/>
          <w:i/>
        </w:rPr>
        <w:t xml:space="preserve"> 61 Trading (Pty) Ltd </w:t>
      </w:r>
      <w:r w:rsidRPr="00FF549C">
        <w:rPr>
          <w:rFonts w:ascii="Arial" w:hAnsi="Arial" w:cs="Arial"/>
        </w:rPr>
        <w:t>2005 (2) SA 432 (C) at 434D – E</w:t>
      </w:r>
      <w:r w:rsidR="003E4805">
        <w:rPr>
          <w:rFonts w:ascii="Arial" w:hAnsi="Arial" w:cs="Arial"/>
        </w:rPr>
        <w:t>.</w:t>
      </w:r>
    </w:p>
  </w:footnote>
  <w:footnote w:id="12">
    <w:p w:rsidR="00667ED0" w:rsidRPr="00FF549C" w:rsidRDefault="00667ED0" w:rsidP="005275C3">
      <w:pPr>
        <w:pStyle w:val="FootnoteText"/>
        <w:ind w:left="284" w:hanging="284"/>
        <w:jc w:val="both"/>
        <w:rPr>
          <w:rFonts w:ascii="Arial" w:hAnsi="Arial" w:cs="Arial"/>
          <w:lang w:val="en-US"/>
        </w:rPr>
      </w:pPr>
      <w:r w:rsidRPr="00FF549C">
        <w:rPr>
          <w:rStyle w:val="FootnoteReference"/>
          <w:rFonts w:ascii="Arial" w:hAnsi="Arial" w:cs="Arial"/>
        </w:rPr>
        <w:footnoteRef/>
      </w:r>
      <w:r w:rsidRPr="00FF549C">
        <w:rPr>
          <w:rFonts w:ascii="Arial" w:hAnsi="Arial" w:cs="Arial"/>
        </w:rPr>
        <w:t xml:space="preserve"> </w:t>
      </w:r>
      <w:r>
        <w:rPr>
          <w:rFonts w:ascii="Arial" w:hAnsi="Arial" w:cs="Arial"/>
          <w:lang w:val="en-US"/>
        </w:rPr>
        <w:t xml:space="preserve">See the case of </w:t>
      </w:r>
      <w:proofErr w:type="spellStart"/>
      <w:r w:rsidRPr="008C648D">
        <w:rPr>
          <w:rFonts w:ascii="Arial" w:hAnsi="Arial" w:cs="Arial"/>
          <w:i/>
        </w:rPr>
        <w:t>Kamwi</w:t>
      </w:r>
      <w:proofErr w:type="spellEnd"/>
      <w:r w:rsidRPr="008C648D">
        <w:rPr>
          <w:rFonts w:ascii="Arial" w:hAnsi="Arial" w:cs="Arial"/>
          <w:i/>
        </w:rPr>
        <w:t xml:space="preserve"> and Another v </w:t>
      </w:r>
      <w:proofErr w:type="spellStart"/>
      <w:r w:rsidRPr="008C648D">
        <w:rPr>
          <w:rFonts w:ascii="Arial" w:hAnsi="Arial" w:cs="Arial"/>
          <w:i/>
        </w:rPr>
        <w:t>Gertze</w:t>
      </w:r>
      <w:proofErr w:type="spellEnd"/>
      <w:r w:rsidRPr="008C648D">
        <w:rPr>
          <w:rFonts w:ascii="Arial" w:hAnsi="Arial" w:cs="Arial"/>
          <w:i/>
        </w:rPr>
        <w:t xml:space="preserve"> and </w:t>
      </w:r>
      <w:proofErr w:type="gramStart"/>
      <w:r w:rsidRPr="008C648D">
        <w:rPr>
          <w:rFonts w:ascii="Arial" w:hAnsi="Arial" w:cs="Arial"/>
          <w:i/>
        </w:rPr>
        <w:t>Another</w:t>
      </w:r>
      <w:proofErr w:type="gramEnd"/>
      <w:r w:rsidRPr="008C648D">
        <w:rPr>
          <w:rFonts w:ascii="Arial" w:hAnsi="Arial" w:cs="Arial"/>
        </w:rPr>
        <w:t xml:space="preserve"> (H</w:t>
      </w:r>
      <w:r w:rsidR="005275C3">
        <w:rPr>
          <w:rFonts w:ascii="Arial" w:hAnsi="Arial" w:cs="Arial"/>
        </w:rPr>
        <w:t xml:space="preserve">C-MD-CIV-ACT-CON- 2706 of 2021) </w:t>
      </w:r>
      <w:r w:rsidRPr="008C648D">
        <w:rPr>
          <w:rFonts w:ascii="Arial" w:hAnsi="Arial" w:cs="Arial"/>
        </w:rPr>
        <w:t>[2021] NAHCMD 572 (7 December 2021)</w:t>
      </w:r>
      <w:r w:rsidR="003E4805">
        <w:rPr>
          <w:rFonts w:ascii="Arial" w:hAnsi="Arial" w:cs="Arial"/>
        </w:rPr>
        <w:t>.</w:t>
      </w:r>
      <w:r w:rsidRPr="008C648D">
        <w:rPr>
          <w:rFonts w:ascii="Arial" w:hAnsi="Arial" w:cs="Arial"/>
        </w:rPr>
        <w:t> </w:t>
      </w:r>
    </w:p>
  </w:footnote>
  <w:footnote w:id="13">
    <w:p w:rsidR="00667ED0" w:rsidRPr="00FF549C" w:rsidRDefault="00667ED0" w:rsidP="003E4805">
      <w:pPr>
        <w:pStyle w:val="FootnoteText"/>
        <w:tabs>
          <w:tab w:val="left" w:pos="0"/>
        </w:tabs>
        <w:jc w:val="both"/>
        <w:rPr>
          <w:lang w:val="en-US"/>
        </w:rPr>
      </w:pPr>
      <w:r w:rsidRPr="00FF549C">
        <w:rPr>
          <w:rStyle w:val="FootnoteReference"/>
          <w:rFonts w:ascii="Arial" w:hAnsi="Arial" w:cs="Arial"/>
        </w:rPr>
        <w:footnoteRef/>
      </w:r>
      <w:r w:rsidRPr="00FF549C">
        <w:rPr>
          <w:rFonts w:ascii="Arial" w:hAnsi="Arial" w:cs="Arial"/>
        </w:rPr>
        <w:t xml:space="preserve"> </w:t>
      </w:r>
      <w:r w:rsidRPr="00FF549C">
        <w:rPr>
          <w:rFonts w:ascii="Arial" w:hAnsi="Arial" w:cs="Arial"/>
          <w:i/>
        </w:rPr>
        <w:t xml:space="preserve">Di </w:t>
      </w:r>
      <w:proofErr w:type="spellStart"/>
      <w:r w:rsidRPr="00FF549C">
        <w:rPr>
          <w:rFonts w:ascii="Arial" w:hAnsi="Arial" w:cs="Arial"/>
          <w:i/>
        </w:rPr>
        <w:t>Savino</w:t>
      </w:r>
      <w:proofErr w:type="spellEnd"/>
      <w:r w:rsidRPr="00FF549C">
        <w:rPr>
          <w:rFonts w:ascii="Arial" w:hAnsi="Arial" w:cs="Arial"/>
          <w:i/>
        </w:rPr>
        <w:t xml:space="preserve"> v Nedbank Namibia</w:t>
      </w:r>
      <w:r w:rsidRPr="00FF549C">
        <w:rPr>
          <w:rFonts w:ascii="Arial" w:hAnsi="Arial" w:cs="Arial"/>
        </w:rPr>
        <w:t xml:space="preserve"> 2012 (2) NR 505 SC</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09046637"/>
      <w:docPartObj>
        <w:docPartGallery w:val="Page Numbers (Top of Page)"/>
        <w:docPartUnique/>
      </w:docPartObj>
    </w:sdtPr>
    <w:sdtEndPr>
      <w:rPr>
        <w:noProof/>
      </w:rPr>
    </w:sdtEndPr>
    <w:sdtContent>
      <w:p w:rsidR="00186830" w:rsidRPr="00667ED0" w:rsidRDefault="00186830">
        <w:pPr>
          <w:pStyle w:val="Header"/>
          <w:jc w:val="right"/>
          <w:rPr>
            <w:rFonts w:ascii="Arial" w:hAnsi="Arial" w:cs="Arial"/>
          </w:rPr>
        </w:pPr>
      </w:p>
      <w:p w:rsidR="00186830" w:rsidRPr="00667ED0" w:rsidRDefault="00186830">
        <w:pPr>
          <w:pStyle w:val="Header"/>
          <w:jc w:val="right"/>
          <w:rPr>
            <w:rFonts w:ascii="Arial" w:hAnsi="Arial" w:cs="Arial"/>
          </w:rPr>
        </w:pPr>
        <w:r w:rsidRPr="00667ED0">
          <w:rPr>
            <w:rFonts w:ascii="Arial" w:hAnsi="Arial" w:cs="Arial"/>
          </w:rPr>
          <w:fldChar w:fldCharType="begin"/>
        </w:r>
        <w:r w:rsidRPr="00667ED0">
          <w:rPr>
            <w:rFonts w:ascii="Arial" w:hAnsi="Arial" w:cs="Arial"/>
          </w:rPr>
          <w:instrText xml:space="preserve"> PAGE   \* MERGEFORMAT </w:instrText>
        </w:r>
        <w:r w:rsidRPr="00667ED0">
          <w:rPr>
            <w:rFonts w:ascii="Arial" w:hAnsi="Arial" w:cs="Arial"/>
          </w:rPr>
          <w:fldChar w:fldCharType="separate"/>
        </w:r>
        <w:r w:rsidR="00FF24D3">
          <w:rPr>
            <w:rFonts w:ascii="Arial" w:hAnsi="Arial" w:cs="Arial"/>
            <w:noProof/>
          </w:rPr>
          <w:t>10</w:t>
        </w:r>
        <w:r w:rsidRPr="00667ED0">
          <w:rPr>
            <w:rFonts w:ascii="Arial" w:hAnsi="Arial" w:cs="Arial"/>
            <w:noProof/>
          </w:rPr>
          <w:fldChar w:fldCharType="end"/>
        </w:r>
      </w:p>
    </w:sdtContent>
  </w:sdt>
  <w:p w:rsidR="0018255E" w:rsidRPr="00667ED0" w:rsidRDefault="0018255E">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C0F7A8B"/>
    <w:multiLevelType w:val="hybridMultilevel"/>
    <w:tmpl w:val="8FAC299E"/>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7"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9" w15:restartNumberingAfterBreak="0">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4" w15:restartNumberingAfterBreak="0">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BB84549"/>
    <w:multiLevelType w:val="hybridMultilevel"/>
    <w:tmpl w:val="8FAC299E"/>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7" w15:restartNumberingAfterBreak="0">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8" w15:restartNumberingAfterBreak="0">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0"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2"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3"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5"/>
  </w:num>
  <w:num w:numId="2">
    <w:abstractNumId w:val="3"/>
  </w:num>
  <w:num w:numId="3">
    <w:abstractNumId w:val="19"/>
  </w:num>
  <w:num w:numId="4">
    <w:abstractNumId w:val="9"/>
  </w:num>
  <w:num w:numId="5">
    <w:abstractNumId w:val="40"/>
  </w:num>
  <w:num w:numId="6">
    <w:abstractNumId w:val="42"/>
  </w:num>
  <w:num w:numId="7">
    <w:abstractNumId w:val="25"/>
  </w:num>
  <w:num w:numId="8">
    <w:abstractNumId w:val="39"/>
  </w:num>
  <w:num w:numId="9">
    <w:abstractNumId w:val="36"/>
  </w:num>
  <w:num w:numId="10">
    <w:abstractNumId w:val="16"/>
  </w:num>
  <w:num w:numId="11">
    <w:abstractNumId w:val="28"/>
  </w:num>
  <w:num w:numId="12">
    <w:abstractNumId w:val="44"/>
  </w:num>
  <w:num w:numId="13">
    <w:abstractNumId w:val="4"/>
  </w:num>
  <w:num w:numId="14">
    <w:abstractNumId w:val="23"/>
  </w:num>
  <w:num w:numId="15">
    <w:abstractNumId w:val="32"/>
  </w:num>
  <w:num w:numId="16">
    <w:abstractNumId w:val="7"/>
  </w:num>
  <w:num w:numId="17">
    <w:abstractNumId w:val="31"/>
  </w:num>
  <w:num w:numId="18">
    <w:abstractNumId w:val="6"/>
  </w:num>
  <w:num w:numId="19">
    <w:abstractNumId w:val="21"/>
  </w:num>
  <w:num w:numId="20">
    <w:abstractNumId w:val="27"/>
  </w:num>
  <w:num w:numId="21">
    <w:abstractNumId w:val="10"/>
  </w:num>
  <w:num w:numId="22">
    <w:abstractNumId w:val="22"/>
  </w:num>
  <w:num w:numId="23">
    <w:abstractNumId w:val="14"/>
  </w:num>
  <w:num w:numId="24">
    <w:abstractNumId w:val="17"/>
  </w:num>
  <w:num w:numId="25">
    <w:abstractNumId w:val="26"/>
  </w:num>
  <w:num w:numId="26">
    <w:abstractNumId w:val="41"/>
  </w:num>
  <w:num w:numId="27">
    <w:abstractNumId w:val="46"/>
  </w:num>
  <w:num w:numId="28">
    <w:abstractNumId w:val="15"/>
  </w:num>
  <w:num w:numId="29">
    <w:abstractNumId w:val="30"/>
  </w:num>
  <w:num w:numId="30">
    <w:abstractNumId w:val="24"/>
  </w:num>
  <w:num w:numId="31">
    <w:abstractNumId w:val="33"/>
  </w:num>
  <w:num w:numId="32">
    <w:abstractNumId w:val="38"/>
  </w:num>
  <w:num w:numId="33">
    <w:abstractNumId w:val="34"/>
  </w:num>
  <w:num w:numId="34">
    <w:abstractNumId w:val="0"/>
  </w:num>
  <w:num w:numId="35">
    <w:abstractNumId w:val="20"/>
  </w:num>
  <w:num w:numId="36">
    <w:abstractNumId w:val="37"/>
  </w:num>
  <w:num w:numId="37">
    <w:abstractNumId w:val="11"/>
  </w:num>
  <w:num w:numId="38">
    <w:abstractNumId w:val="8"/>
  </w:num>
  <w:num w:numId="39">
    <w:abstractNumId w:val="12"/>
  </w:num>
  <w:num w:numId="40">
    <w:abstractNumId w:val="1"/>
  </w:num>
  <w:num w:numId="41">
    <w:abstractNumId w:val="2"/>
  </w:num>
  <w:num w:numId="42">
    <w:abstractNumId w:val="43"/>
  </w:num>
  <w:num w:numId="43">
    <w:abstractNumId w:val="18"/>
  </w:num>
  <w:num w:numId="44">
    <w:abstractNumId w:val="29"/>
  </w:num>
  <w:num w:numId="45">
    <w:abstractNumId w:val="5"/>
  </w:num>
  <w:num w:numId="46">
    <w:abstractNumId w:val="13"/>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387E"/>
    <w:rsid w:val="00034731"/>
    <w:rsid w:val="00034D09"/>
    <w:rsid w:val="00034E0E"/>
    <w:rsid w:val="00035653"/>
    <w:rsid w:val="00037117"/>
    <w:rsid w:val="00041472"/>
    <w:rsid w:val="00042EA7"/>
    <w:rsid w:val="00042F22"/>
    <w:rsid w:val="00043118"/>
    <w:rsid w:val="0004448A"/>
    <w:rsid w:val="000460E6"/>
    <w:rsid w:val="00046828"/>
    <w:rsid w:val="00046C2D"/>
    <w:rsid w:val="00046F43"/>
    <w:rsid w:val="0005057A"/>
    <w:rsid w:val="000506A8"/>
    <w:rsid w:val="00050870"/>
    <w:rsid w:val="000517DB"/>
    <w:rsid w:val="00051B03"/>
    <w:rsid w:val="00051C93"/>
    <w:rsid w:val="00052C2C"/>
    <w:rsid w:val="00053282"/>
    <w:rsid w:val="000538D3"/>
    <w:rsid w:val="000539C3"/>
    <w:rsid w:val="000550BD"/>
    <w:rsid w:val="000552F2"/>
    <w:rsid w:val="00056483"/>
    <w:rsid w:val="0005710F"/>
    <w:rsid w:val="00057A76"/>
    <w:rsid w:val="000603EB"/>
    <w:rsid w:val="000613C9"/>
    <w:rsid w:val="00063100"/>
    <w:rsid w:val="00064295"/>
    <w:rsid w:val="00065F2B"/>
    <w:rsid w:val="000667E5"/>
    <w:rsid w:val="00066FC7"/>
    <w:rsid w:val="00067070"/>
    <w:rsid w:val="00067EAA"/>
    <w:rsid w:val="00070B64"/>
    <w:rsid w:val="000710C5"/>
    <w:rsid w:val="00072707"/>
    <w:rsid w:val="00073A81"/>
    <w:rsid w:val="0007416C"/>
    <w:rsid w:val="000744B4"/>
    <w:rsid w:val="00076407"/>
    <w:rsid w:val="00076ECA"/>
    <w:rsid w:val="00077093"/>
    <w:rsid w:val="000800AC"/>
    <w:rsid w:val="00081F90"/>
    <w:rsid w:val="00082BF0"/>
    <w:rsid w:val="000843D6"/>
    <w:rsid w:val="00084943"/>
    <w:rsid w:val="00085ABE"/>
    <w:rsid w:val="00090801"/>
    <w:rsid w:val="00091502"/>
    <w:rsid w:val="00091BA7"/>
    <w:rsid w:val="00092610"/>
    <w:rsid w:val="00096C84"/>
    <w:rsid w:val="00097237"/>
    <w:rsid w:val="000A06B3"/>
    <w:rsid w:val="000A3A1A"/>
    <w:rsid w:val="000A5BBF"/>
    <w:rsid w:val="000A745C"/>
    <w:rsid w:val="000B0270"/>
    <w:rsid w:val="000B1146"/>
    <w:rsid w:val="000B3303"/>
    <w:rsid w:val="000B3A5A"/>
    <w:rsid w:val="000C0092"/>
    <w:rsid w:val="000C34AC"/>
    <w:rsid w:val="000C422B"/>
    <w:rsid w:val="000C6039"/>
    <w:rsid w:val="000C613E"/>
    <w:rsid w:val="000C7826"/>
    <w:rsid w:val="000D0541"/>
    <w:rsid w:val="000D0F54"/>
    <w:rsid w:val="000D2FCC"/>
    <w:rsid w:val="000D5000"/>
    <w:rsid w:val="000D64A5"/>
    <w:rsid w:val="000D7A12"/>
    <w:rsid w:val="000E1CBE"/>
    <w:rsid w:val="000E243C"/>
    <w:rsid w:val="000E2630"/>
    <w:rsid w:val="000E2A69"/>
    <w:rsid w:val="000E2D0E"/>
    <w:rsid w:val="000E6026"/>
    <w:rsid w:val="000E6412"/>
    <w:rsid w:val="000E6CDD"/>
    <w:rsid w:val="000E75DA"/>
    <w:rsid w:val="000F06CE"/>
    <w:rsid w:val="000F17B2"/>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3363"/>
    <w:rsid w:val="001143FE"/>
    <w:rsid w:val="001149A9"/>
    <w:rsid w:val="00114A44"/>
    <w:rsid w:val="00114A59"/>
    <w:rsid w:val="00117E8C"/>
    <w:rsid w:val="0012197C"/>
    <w:rsid w:val="001229C9"/>
    <w:rsid w:val="00123FEC"/>
    <w:rsid w:val="0012460A"/>
    <w:rsid w:val="00124AFB"/>
    <w:rsid w:val="00125E9B"/>
    <w:rsid w:val="001269E8"/>
    <w:rsid w:val="00126DD8"/>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679AB"/>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7126"/>
    <w:rsid w:val="001A726E"/>
    <w:rsid w:val="001B0A52"/>
    <w:rsid w:val="001B1852"/>
    <w:rsid w:val="001B29B7"/>
    <w:rsid w:val="001B3B89"/>
    <w:rsid w:val="001B53AD"/>
    <w:rsid w:val="001B70F9"/>
    <w:rsid w:val="001B7253"/>
    <w:rsid w:val="001C011E"/>
    <w:rsid w:val="001C2B31"/>
    <w:rsid w:val="001C41EF"/>
    <w:rsid w:val="001C4267"/>
    <w:rsid w:val="001D389D"/>
    <w:rsid w:val="001D3D37"/>
    <w:rsid w:val="001D4627"/>
    <w:rsid w:val="001D5779"/>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5118"/>
    <w:rsid w:val="001F7F7F"/>
    <w:rsid w:val="002003C3"/>
    <w:rsid w:val="00201AD1"/>
    <w:rsid w:val="00203318"/>
    <w:rsid w:val="00204C8F"/>
    <w:rsid w:val="00204DFC"/>
    <w:rsid w:val="00205069"/>
    <w:rsid w:val="00205F86"/>
    <w:rsid w:val="00210487"/>
    <w:rsid w:val="00211364"/>
    <w:rsid w:val="00214BC6"/>
    <w:rsid w:val="002162B5"/>
    <w:rsid w:val="00216B67"/>
    <w:rsid w:val="00216EF3"/>
    <w:rsid w:val="002176E3"/>
    <w:rsid w:val="002178B8"/>
    <w:rsid w:val="0022061C"/>
    <w:rsid w:val="00221819"/>
    <w:rsid w:val="00222311"/>
    <w:rsid w:val="00222602"/>
    <w:rsid w:val="00222F76"/>
    <w:rsid w:val="0022388C"/>
    <w:rsid w:val="002246DA"/>
    <w:rsid w:val="00224741"/>
    <w:rsid w:val="00224C90"/>
    <w:rsid w:val="00224D2B"/>
    <w:rsid w:val="002252C0"/>
    <w:rsid w:val="002258C0"/>
    <w:rsid w:val="00230105"/>
    <w:rsid w:val="00230524"/>
    <w:rsid w:val="00232D86"/>
    <w:rsid w:val="002336D3"/>
    <w:rsid w:val="0023542E"/>
    <w:rsid w:val="00236313"/>
    <w:rsid w:val="00236BF0"/>
    <w:rsid w:val="00236CA6"/>
    <w:rsid w:val="0023793B"/>
    <w:rsid w:val="00242A3F"/>
    <w:rsid w:val="00242CCD"/>
    <w:rsid w:val="00243F4F"/>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16D1"/>
    <w:rsid w:val="0026253B"/>
    <w:rsid w:val="0026521E"/>
    <w:rsid w:val="00271FA3"/>
    <w:rsid w:val="002748ED"/>
    <w:rsid w:val="0027648C"/>
    <w:rsid w:val="002805A9"/>
    <w:rsid w:val="002830C7"/>
    <w:rsid w:val="00284CCD"/>
    <w:rsid w:val="00285204"/>
    <w:rsid w:val="0028572E"/>
    <w:rsid w:val="002860B4"/>
    <w:rsid w:val="002874E1"/>
    <w:rsid w:val="002904E9"/>
    <w:rsid w:val="0029067F"/>
    <w:rsid w:val="00291FE1"/>
    <w:rsid w:val="00296B44"/>
    <w:rsid w:val="002A1CA5"/>
    <w:rsid w:val="002A371B"/>
    <w:rsid w:val="002A37FF"/>
    <w:rsid w:val="002A4CAC"/>
    <w:rsid w:val="002A6ECF"/>
    <w:rsid w:val="002B2483"/>
    <w:rsid w:val="002B2C90"/>
    <w:rsid w:val="002B3711"/>
    <w:rsid w:val="002B5112"/>
    <w:rsid w:val="002B5480"/>
    <w:rsid w:val="002C438D"/>
    <w:rsid w:val="002C66E4"/>
    <w:rsid w:val="002C7469"/>
    <w:rsid w:val="002D0B26"/>
    <w:rsid w:val="002D48B0"/>
    <w:rsid w:val="002D6E55"/>
    <w:rsid w:val="002D75FC"/>
    <w:rsid w:val="002E26EB"/>
    <w:rsid w:val="002E386B"/>
    <w:rsid w:val="002E3FF2"/>
    <w:rsid w:val="002E75E4"/>
    <w:rsid w:val="002F1008"/>
    <w:rsid w:val="002F3497"/>
    <w:rsid w:val="002F5DB0"/>
    <w:rsid w:val="00302CA5"/>
    <w:rsid w:val="00306FA8"/>
    <w:rsid w:val="00307087"/>
    <w:rsid w:val="003123C9"/>
    <w:rsid w:val="00313C3F"/>
    <w:rsid w:val="0031435F"/>
    <w:rsid w:val="00315D1F"/>
    <w:rsid w:val="00315F23"/>
    <w:rsid w:val="00316EB9"/>
    <w:rsid w:val="003171C8"/>
    <w:rsid w:val="00317404"/>
    <w:rsid w:val="00317783"/>
    <w:rsid w:val="0032006F"/>
    <w:rsid w:val="00323881"/>
    <w:rsid w:val="00324950"/>
    <w:rsid w:val="003253E9"/>
    <w:rsid w:val="00325FEA"/>
    <w:rsid w:val="00327215"/>
    <w:rsid w:val="003323FC"/>
    <w:rsid w:val="0033780C"/>
    <w:rsid w:val="003412F2"/>
    <w:rsid w:val="00342263"/>
    <w:rsid w:val="00345E76"/>
    <w:rsid w:val="00351C2F"/>
    <w:rsid w:val="00351C8A"/>
    <w:rsid w:val="00353694"/>
    <w:rsid w:val="00357FF6"/>
    <w:rsid w:val="00360410"/>
    <w:rsid w:val="00361433"/>
    <w:rsid w:val="00361E37"/>
    <w:rsid w:val="00362A4A"/>
    <w:rsid w:val="00363112"/>
    <w:rsid w:val="003639DC"/>
    <w:rsid w:val="0036498D"/>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864"/>
    <w:rsid w:val="003952DB"/>
    <w:rsid w:val="00396184"/>
    <w:rsid w:val="00396EF0"/>
    <w:rsid w:val="003A0F0A"/>
    <w:rsid w:val="003A5ABF"/>
    <w:rsid w:val="003A5CEA"/>
    <w:rsid w:val="003A6C7E"/>
    <w:rsid w:val="003A6D95"/>
    <w:rsid w:val="003B1B87"/>
    <w:rsid w:val="003B621E"/>
    <w:rsid w:val="003C2107"/>
    <w:rsid w:val="003C2346"/>
    <w:rsid w:val="003C3970"/>
    <w:rsid w:val="003C4330"/>
    <w:rsid w:val="003C6699"/>
    <w:rsid w:val="003C6BF4"/>
    <w:rsid w:val="003C6EF9"/>
    <w:rsid w:val="003D067E"/>
    <w:rsid w:val="003D0F40"/>
    <w:rsid w:val="003D10F3"/>
    <w:rsid w:val="003D1908"/>
    <w:rsid w:val="003D46DC"/>
    <w:rsid w:val="003E0C66"/>
    <w:rsid w:val="003E1A64"/>
    <w:rsid w:val="003E2FE1"/>
    <w:rsid w:val="003E3DD0"/>
    <w:rsid w:val="003E407F"/>
    <w:rsid w:val="003E4525"/>
    <w:rsid w:val="003E4805"/>
    <w:rsid w:val="003E5CC9"/>
    <w:rsid w:val="003E5D2A"/>
    <w:rsid w:val="003E6279"/>
    <w:rsid w:val="003E69C8"/>
    <w:rsid w:val="003E6B22"/>
    <w:rsid w:val="003F006C"/>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6568"/>
    <w:rsid w:val="00451752"/>
    <w:rsid w:val="00451FAB"/>
    <w:rsid w:val="00454294"/>
    <w:rsid w:val="00455B9A"/>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1D44"/>
    <w:rsid w:val="00492257"/>
    <w:rsid w:val="00492AEC"/>
    <w:rsid w:val="00493E44"/>
    <w:rsid w:val="00494407"/>
    <w:rsid w:val="00494B38"/>
    <w:rsid w:val="0049512C"/>
    <w:rsid w:val="00495166"/>
    <w:rsid w:val="00495721"/>
    <w:rsid w:val="0049610C"/>
    <w:rsid w:val="00496688"/>
    <w:rsid w:val="00496D60"/>
    <w:rsid w:val="00497929"/>
    <w:rsid w:val="004A0DC2"/>
    <w:rsid w:val="004A13D3"/>
    <w:rsid w:val="004A1792"/>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62D9"/>
    <w:rsid w:val="004C7439"/>
    <w:rsid w:val="004D01F2"/>
    <w:rsid w:val="004D0EC3"/>
    <w:rsid w:val="004D299A"/>
    <w:rsid w:val="004D3C02"/>
    <w:rsid w:val="004D4ABE"/>
    <w:rsid w:val="004D5DAA"/>
    <w:rsid w:val="004D7610"/>
    <w:rsid w:val="004E0BFD"/>
    <w:rsid w:val="004E1878"/>
    <w:rsid w:val="004E2406"/>
    <w:rsid w:val="004E38AF"/>
    <w:rsid w:val="004E39A5"/>
    <w:rsid w:val="004E46E2"/>
    <w:rsid w:val="004E51F3"/>
    <w:rsid w:val="004E5417"/>
    <w:rsid w:val="004E5869"/>
    <w:rsid w:val="004E587B"/>
    <w:rsid w:val="004E6B80"/>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065FC"/>
    <w:rsid w:val="00511F99"/>
    <w:rsid w:val="005150F1"/>
    <w:rsid w:val="0051773B"/>
    <w:rsid w:val="00520B55"/>
    <w:rsid w:val="00522BF4"/>
    <w:rsid w:val="00522C3B"/>
    <w:rsid w:val="00525EBB"/>
    <w:rsid w:val="005272DF"/>
    <w:rsid w:val="005275C3"/>
    <w:rsid w:val="005275D2"/>
    <w:rsid w:val="00527891"/>
    <w:rsid w:val="00532E68"/>
    <w:rsid w:val="0053304F"/>
    <w:rsid w:val="00533147"/>
    <w:rsid w:val="005332F8"/>
    <w:rsid w:val="0053530A"/>
    <w:rsid w:val="0053625E"/>
    <w:rsid w:val="00537787"/>
    <w:rsid w:val="00542EED"/>
    <w:rsid w:val="005437EE"/>
    <w:rsid w:val="005440D6"/>
    <w:rsid w:val="00547CA0"/>
    <w:rsid w:val="00551A56"/>
    <w:rsid w:val="005522FA"/>
    <w:rsid w:val="00552E1D"/>
    <w:rsid w:val="00552E9E"/>
    <w:rsid w:val="0055345F"/>
    <w:rsid w:val="00553568"/>
    <w:rsid w:val="00553AD2"/>
    <w:rsid w:val="00556581"/>
    <w:rsid w:val="00556B1D"/>
    <w:rsid w:val="00557321"/>
    <w:rsid w:val="00557568"/>
    <w:rsid w:val="00560775"/>
    <w:rsid w:val="00562186"/>
    <w:rsid w:val="0056591F"/>
    <w:rsid w:val="00566925"/>
    <w:rsid w:val="00566B2A"/>
    <w:rsid w:val="00567246"/>
    <w:rsid w:val="00570388"/>
    <w:rsid w:val="005717BD"/>
    <w:rsid w:val="00571F92"/>
    <w:rsid w:val="0057250A"/>
    <w:rsid w:val="00573027"/>
    <w:rsid w:val="00573C0B"/>
    <w:rsid w:val="00574D66"/>
    <w:rsid w:val="00575EB5"/>
    <w:rsid w:val="0057732D"/>
    <w:rsid w:val="00581D8D"/>
    <w:rsid w:val="0058201B"/>
    <w:rsid w:val="005826A9"/>
    <w:rsid w:val="00582C58"/>
    <w:rsid w:val="0058387B"/>
    <w:rsid w:val="00584C79"/>
    <w:rsid w:val="00590ACA"/>
    <w:rsid w:val="00591000"/>
    <w:rsid w:val="005916A4"/>
    <w:rsid w:val="00591D51"/>
    <w:rsid w:val="00593F5B"/>
    <w:rsid w:val="005952AB"/>
    <w:rsid w:val="0059753D"/>
    <w:rsid w:val="00597565"/>
    <w:rsid w:val="00597A10"/>
    <w:rsid w:val="005A017E"/>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614"/>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7EFE"/>
    <w:rsid w:val="005F0307"/>
    <w:rsid w:val="005F208B"/>
    <w:rsid w:val="005F2890"/>
    <w:rsid w:val="005F369F"/>
    <w:rsid w:val="005F5F07"/>
    <w:rsid w:val="005F6192"/>
    <w:rsid w:val="005F6B63"/>
    <w:rsid w:val="00601937"/>
    <w:rsid w:val="00601E8D"/>
    <w:rsid w:val="00602094"/>
    <w:rsid w:val="0060371F"/>
    <w:rsid w:val="00604244"/>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1D4"/>
    <w:rsid w:val="0063665B"/>
    <w:rsid w:val="006369B3"/>
    <w:rsid w:val="0064052B"/>
    <w:rsid w:val="0064059A"/>
    <w:rsid w:val="006408C5"/>
    <w:rsid w:val="00642A84"/>
    <w:rsid w:val="00642FCD"/>
    <w:rsid w:val="00644497"/>
    <w:rsid w:val="00645393"/>
    <w:rsid w:val="006462B3"/>
    <w:rsid w:val="00652738"/>
    <w:rsid w:val="00653C4F"/>
    <w:rsid w:val="00655674"/>
    <w:rsid w:val="00655AF5"/>
    <w:rsid w:val="00656F9B"/>
    <w:rsid w:val="00662B23"/>
    <w:rsid w:val="00662F7E"/>
    <w:rsid w:val="006630B2"/>
    <w:rsid w:val="00663472"/>
    <w:rsid w:val="006646BA"/>
    <w:rsid w:val="00664D4A"/>
    <w:rsid w:val="00664FF0"/>
    <w:rsid w:val="00666E4E"/>
    <w:rsid w:val="00666F9B"/>
    <w:rsid w:val="00667BD0"/>
    <w:rsid w:val="00667ED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1B1B"/>
    <w:rsid w:val="006A2075"/>
    <w:rsid w:val="006A20B8"/>
    <w:rsid w:val="006A2B37"/>
    <w:rsid w:val="006A2BC9"/>
    <w:rsid w:val="006A3B1B"/>
    <w:rsid w:val="006A4533"/>
    <w:rsid w:val="006A4C6E"/>
    <w:rsid w:val="006A698E"/>
    <w:rsid w:val="006B0E9C"/>
    <w:rsid w:val="006B204B"/>
    <w:rsid w:val="006B24E8"/>
    <w:rsid w:val="006B2F90"/>
    <w:rsid w:val="006B317C"/>
    <w:rsid w:val="006B4A1B"/>
    <w:rsid w:val="006B77AB"/>
    <w:rsid w:val="006C0385"/>
    <w:rsid w:val="006C077C"/>
    <w:rsid w:val="006C09F1"/>
    <w:rsid w:val="006C0F9F"/>
    <w:rsid w:val="006C1079"/>
    <w:rsid w:val="006C12BD"/>
    <w:rsid w:val="006C288B"/>
    <w:rsid w:val="006C31B7"/>
    <w:rsid w:val="006C35AE"/>
    <w:rsid w:val="006C3A03"/>
    <w:rsid w:val="006C3A42"/>
    <w:rsid w:val="006C3C5A"/>
    <w:rsid w:val="006C4361"/>
    <w:rsid w:val="006C5BB2"/>
    <w:rsid w:val="006C6DBE"/>
    <w:rsid w:val="006C6ECD"/>
    <w:rsid w:val="006D2DD2"/>
    <w:rsid w:val="006D318A"/>
    <w:rsid w:val="006D394C"/>
    <w:rsid w:val="006D4774"/>
    <w:rsid w:val="006D4925"/>
    <w:rsid w:val="006D4A27"/>
    <w:rsid w:val="006D4A94"/>
    <w:rsid w:val="006D6183"/>
    <w:rsid w:val="006D7B5E"/>
    <w:rsid w:val="006D7F1C"/>
    <w:rsid w:val="006E0DE8"/>
    <w:rsid w:val="006E0ED0"/>
    <w:rsid w:val="006E1A17"/>
    <w:rsid w:val="006E3AD8"/>
    <w:rsid w:val="006E5055"/>
    <w:rsid w:val="006F0C0D"/>
    <w:rsid w:val="006F2D4F"/>
    <w:rsid w:val="006F301E"/>
    <w:rsid w:val="006F30ED"/>
    <w:rsid w:val="006F4BDB"/>
    <w:rsid w:val="006F538E"/>
    <w:rsid w:val="006F555A"/>
    <w:rsid w:val="006F67B4"/>
    <w:rsid w:val="00702A2B"/>
    <w:rsid w:val="007038E3"/>
    <w:rsid w:val="00707775"/>
    <w:rsid w:val="00712648"/>
    <w:rsid w:val="00712E03"/>
    <w:rsid w:val="0071364B"/>
    <w:rsid w:val="0071522C"/>
    <w:rsid w:val="00715D73"/>
    <w:rsid w:val="007162D7"/>
    <w:rsid w:val="00720107"/>
    <w:rsid w:val="0072059C"/>
    <w:rsid w:val="0072066E"/>
    <w:rsid w:val="007232B8"/>
    <w:rsid w:val="00723E12"/>
    <w:rsid w:val="007260CC"/>
    <w:rsid w:val="007260FB"/>
    <w:rsid w:val="007265B3"/>
    <w:rsid w:val="00730023"/>
    <w:rsid w:val="0073017C"/>
    <w:rsid w:val="00730774"/>
    <w:rsid w:val="007312FE"/>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C7"/>
    <w:rsid w:val="007578AA"/>
    <w:rsid w:val="00760EB6"/>
    <w:rsid w:val="00760FE2"/>
    <w:rsid w:val="007619DB"/>
    <w:rsid w:val="007626C7"/>
    <w:rsid w:val="00764D26"/>
    <w:rsid w:val="00765135"/>
    <w:rsid w:val="00765347"/>
    <w:rsid w:val="00766E50"/>
    <w:rsid w:val="00767467"/>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A46B6"/>
    <w:rsid w:val="007A4D93"/>
    <w:rsid w:val="007B261A"/>
    <w:rsid w:val="007B6067"/>
    <w:rsid w:val="007B63C6"/>
    <w:rsid w:val="007B63CA"/>
    <w:rsid w:val="007C1331"/>
    <w:rsid w:val="007C1CFB"/>
    <w:rsid w:val="007C2554"/>
    <w:rsid w:val="007C4161"/>
    <w:rsid w:val="007C491F"/>
    <w:rsid w:val="007C4B46"/>
    <w:rsid w:val="007D1F4C"/>
    <w:rsid w:val="007D209C"/>
    <w:rsid w:val="007D33C9"/>
    <w:rsid w:val="007D37CA"/>
    <w:rsid w:val="007D4161"/>
    <w:rsid w:val="007D437D"/>
    <w:rsid w:val="007D4D53"/>
    <w:rsid w:val="007E08D3"/>
    <w:rsid w:val="007E3096"/>
    <w:rsid w:val="007E3315"/>
    <w:rsid w:val="007E4E7F"/>
    <w:rsid w:val="007E544E"/>
    <w:rsid w:val="007E6D99"/>
    <w:rsid w:val="007F10F9"/>
    <w:rsid w:val="007F1449"/>
    <w:rsid w:val="007F1F73"/>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534E"/>
    <w:rsid w:val="00825B9B"/>
    <w:rsid w:val="008264FF"/>
    <w:rsid w:val="0082787C"/>
    <w:rsid w:val="008318F6"/>
    <w:rsid w:val="0083224B"/>
    <w:rsid w:val="00832BE2"/>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087A"/>
    <w:rsid w:val="00862582"/>
    <w:rsid w:val="00865691"/>
    <w:rsid w:val="00865AF2"/>
    <w:rsid w:val="00866216"/>
    <w:rsid w:val="00867043"/>
    <w:rsid w:val="00870D3E"/>
    <w:rsid w:val="00871DEA"/>
    <w:rsid w:val="00873194"/>
    <w:rsid w:val="00873994"/>
    <w:rsid w:val="00873C6D"/>
    <w:rsid w:val="00873D6B"/>
    <w:rsid w:val="00874C57"/>
    <w:rsid w:val="0087693E"/>
    <w:rsid w:val="00876CC4"/>
    <w:rsid w:val="0087712D"/>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372D"/>
    <w:rsid w:val="008B478E"/>
    <w:rsid w:val="008B5768"/>
    <w:rsid w:val="008B696A"/>
    <w:rsid w:val="008C0ADB"/>
    <w:rsid w:val="008C134F"/>
    <w:rsid w:val="008C1729"/>
    <w:rsid w:val="008C1F71"/>
    <w:rsid w:val="008C5F5E"/>
    <w:rsid w:val="008D0A02"/>
    <w:rsid w:val="008D0CC5"/>
    <w:rsid w:val="008D5975"/>
    <w:rsid w:val="008D5DBD"/>
    <w:rsid w:val="008D7D69"/>
    <w:rsid w:val="008E087D"/>
    <w:rsid w:val="008E326D"/>
    <w:rsid w:val="008E38C1"/>
    <w:rsid w:val="008E452B"/>
    <w:rsid w:val="008E6389"/>
    <w:rsid w:val="008E66D3"/>
    <w:rsid w:val="008F27AF"/>
    <w:rsid w:val="008F32FC"/>
    <w:rsid w:val="008F40BE"/>
    <w:rsid w:val="008F495E"/>
    <w:rsid w:val="008F5418"/>
    <w:rsid w:val="008F6B36"/>
    <w:rsid w:val="008F7407"/>
    <w:rsid w:val="008F75B3"/>
    <w:rsid w:val="008F7F21"/>
    <w:rsid w:val="0090553E"/>
    <w:rsid w:val="009067E4"/>
    <w:rsid w:val="009079DD"/>
    <w:rsid w:val="00907A7F"/>
    <w:rsid w:val="0091154A"/>
    <w:rsid w:val="00911EB8"/>
    <w:rsid w:val="0091209C"/>
    <w:rsid w:val="0091224E"/>
    <w:rsid w:val="009128F7"/>
    <w:rsid w:val="00912AE2"/>
    <w:rsid w:val="00914188"/>
    <w:rsid w:val="0092076A"/>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6BB5"/>
    <w:rsid w:val="00956D7E"/>
    <w:rsid w:val="00957166"/>
    <w:rsid w:val="00962282"/>
    <w:rsid w:val="00962A8B"/>
    <w:rsid w:val="00964161"/>
    <w:rsid w:val="00965204"/>
    <w:rsid w:val="00965B09"/>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71D1"/>
    <w:rsid w:val="00990AF9"/>
    <w:rsid w:val="00991034"/>
    <w:rsid w:val="0099455B"/>
    <w:rsid w:val="0099614B"/>
    <w:rsid w:val="00996DEC"/>
    <w:rsid w:val="009970D3"/>
    <w:rsid w:val="00997C77"/>
    <w:rsid w:val="009A00AE"/>
    <w:rsid w:val="009A00F9"/>
    <w:rsid w:val="009A2173"/>
    <w:rsid w:val="009A2A1A"/>
    <w:rsid w:val="009A2CED"/>
    <w:rsid w:val="009A304E"/>
    <w:rsid w:val="009A416E"/>
    <w:rsid w:val="009A43AB"/>
    <w:rsid w:val="009A543E"/>
    <w:rsid w:val="009A5553"/>
    <w:rsid w:val="009A5E48"/>
    <w:rsid w:val="009A6EFC"/>
    <w:rsid w:val="009A7CEF"/>
    <w:rsid w:val="009B142B"/>
    <w:rsid w:val="009B35CF"/>
    <w:rsid w:val="009B3DDA"/>
    <w:rsid w:val="009B43B5"/>
    <w:rsid w:val="009B4F2C"/>
    <w:rsid w:val="009B6C32"/>
    <w:rsid w:val="009B6EC3"/>
    <w:rsid w:val="009B764D"/>
    <w:rsid w:val="009C0094"/>
    <w:rsid w:val="009C038B"/>
    <w:rsid w:val="009C0B01"/>
    <w:rsid w:val="009C2524"/>
    <w:rsid w:val="009C2DCF"/>
    <w:rsid w:val="009C38A6"/>
    <w:rsid w:val="009C5485"/>
    <w:rsid w:val="009C665C"/>
    <w:rsid w:val="009C6995"/>
    <w:rsid w:val="009C6DAE"/>
    <w:rsid w:val="009D0530"/>
    <w:rsid w:val="009D2B19"/>
    <w:rsid w:val="009D3BEA"/>
    <w:rsid w:val="009D4551"/>
    <w:rsid w:val="009D6B46"/>
    <w:rsid w:val="009E2F33"/>
    <w:rsid w:val="009E5273"/>
    <w:rsid w:val="009E5790"/>
    <w:rsid w:val="009E5AB7"/>
    <w:rsid w:val="009E64FD"/>
    <w:rsid w:val="009F28BF"/>
    <w:rsid w:val="009F55EE"/>
    <w:rsid w:val="009F5EA0"/>
    <w:rsid w:val="009F60AF"/>
    <w:rsid w:val="009F6C64"/>
    <w:rsid w:val="00A01CB2"/>
    <w:rsid w:val="00A043DE"/>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FE8"/>
    <w:rsid w:val="00A41625"/>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631F"/>
    <w:rsid w:val="00A772C4"/>
    <w:rsid w:val="00A81F7C"/>
    <w:rsid w:val="00A8585B"/>
    <w:rsid w:val="00A85B13"/>
    <w:rsid w:val="00A90FCE"/>
    <w:rsid w:val="00A91522"/>
    <w:rsid w:val="00A92057"/>
    <w:rsid w:val="00A94B99"/>
    <w:rsid w:val="00A94C4C"/>
    <w:rsid w:val="00A94F25"/>
    <w:rsid w:val="00A97BC1"/>
    <w:rsid w:val="00AA0A3D"/>
    <w:rsid w:val="00AA1017"/>
    <w:rsid w:val="00AA2C2C"/>
    <w:rsid w:val="00AA3086"/>
    <w:rsid w:val="00AA3231"/>
    <w:rsid w:val="00AA3B67"/>
    <w:rsid w:val="00AA71F8"/>
    <w:rsid w:val="00AB1805"/>
    <w:rsid w:val="00AB2081"/>
    <w:rsid w:val="00AB5E31"/>
    <w:rsid w:val="00AB5EE8"/>
    <w:rsid w:val="00AB6BD6"/>
    <w:rsid w:val="00AB7AEF"/>
    <w:rsid w:val="00AB7B84"/>
    <w:rsid w:val="00AC092B"/>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4F8"/>
    <w:rsid w:val="00B00845"/>
    <w:rsid w:val="00B0103F"/>
    <w:rsid w:val="00B06F4B"/>
    <w:rsid w:val="00B076DB"/>
    <w:rsid w:val="00B07792"/>
    <w:rsid w:val="00B07951"/>
    <w:rsid w:val="00B10A25"/>
    <w:rsid w:val="00B11166"/>
    <w:rsid w:val="00B131EA"/>
    <w:rsid w:val="00B1458D"/>
    <w:rsid w:val="00B178F9"/>
    <w:rsid w:val="00B2147F"/>
    <w:rsid w:val="00B2154E"/>
    <w:rsid w:val="00B21881"/>
    <w:rsid w:val="00B21CFC"/>
    <w:rsid w:val="00B22BD1"/>
    <w:rsid w:val="00B23BB0"/>
    <w:rsid w:val="00B25E64"/>
    <w:rsid w:val="00B26525"/>
    <w:rsid w:val="00B265B1"/>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71F4B"/>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57F3"/>
    <w:rsid w:val="00BA71C9"/>
    <w:rsid w:val="00BB1706"/>
    <w:rsid w:val="00BB187E"/>
    <w:rsid w:val="00BB47CE"/>
    <w:rsid w:val="00BB5F9C"/>
    <w:rsid w:val="00BB6CA6"/>
    <w:rsid w:val="00BC1314"/>
    <w:rsid w:val="00BC1AB7"/>
    <w:rsid w:val="00BC1DDF"/>
    <w:rsid w:val="00BC2F31"/>
    <w:rsid w:val="00BC4122"/>
    <w:rsid w:val="00BC5731"/>
    <w:rsid w:val="00BC6712"/>
    <w:rsid w:val="00BC6CAE"/>
    <w:rsid w:val="00BC6F62"/>
    <w:rsid w:val="00BC791F"/>
    <w:rsid w:val="00BD0913"/>
    <w:rsid w:val="00BD1BA9"/>
    <w:rsid w:val="00BD2513"/>
    <w:rsid w:val="00BD475A"/>
    <w:rsid w:val="00BD4B3E"/>
    <w:rsid w:val="00BD4C24"/>
    <w:rsid w:val="00BD7425"/>
    <w:rsid w:val="00BE0F80"/>
    <w:rsid w:val="00BE1025"/>
    <w:rsid w:val="00BE160A"/>
    <w:rsid w:val="00BE2A68"/>
    <w:rsid w:val="00BE40BD"/>
    <w:rsid w:val="00BE5175"/>
    <w:rsid w:val="00BE544D"/>
    <w:rsid w:val="00BE7757"/>
    <w:rsid w:val="00BF057C"/>
    <w:rsid w:val="00BF3035"/>
    <w:rsid w:val="00BF340E"/>
    <w:rsid w:val="00BF3F05"/>
    <w:rsid w:val="00BF46B8"/>
    <w:rsid w:val="00BF4D00"/>
    <w:rsid w:val="00BF5CDD"/>
    <w:rsid w:val="00BF6965"/>
    <w:rsid w:val="00BF7039"/>
    <w:rsid w:val="00BF7E1C"/>
    <w:rsid w:val="00C0073A"/>
    <w:rsid w:val="00C0135A"/>
    <w:rsid w:val="00C026C7"/>
    <w:rsid w:val="00C044D1"/>
    <w:rsid w:val="00C0526F"/>
    <w:rsid w:val="00C06218"/>
    <w:rsid w:val="00C06CB5"/>
    <w:rsid w:val="00C11367"/>
    <w:rsid w:val="00C1205A"/>
    <w:rsid w:val="00C1281B"/>
    <w:rsid w:val="00C13DB2"/>
    <w:rsid w:val="00C149CF"/>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42301"/>
    <w:rsid w:val="00C43A9D"/>
    <w:rsid w:val="00C43FCA"/>
    <w:rsid w:val="00C47BFE"/>
    <w:rsid w:val="00C5161B"/>
    <w:rsid w:val="00C53F03"/>
    <w:rsid w:val="00C54B4E"/>
    <w:rsid w:val="00C54D70"/>
    <w:rsid w:val="00C56385"/>
    <w:rsid w:val="00C56AE0"/>
    <w:rsid w:val="00C6000C"/>
    <w:rsid w:val="00C60191"/>
    <w:rsid w:val="00C60C40"/>
    <w:rsid w:val="00C62B39"/>
    <w:rsid w:val="00C63CB8"/>
    <w:rsid w:val="00C6650E"/>
    <w:rsid w:val="00C70976"/>
    <w:rsid w:val="00C72A72"/>
    <w:rsid w:val="00C735B1"/>
    <w:rsid w:val="00C740D0"/>
    <w:rsid w:val="00C74328"/>
    <w:rsid w:val="00C74AE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3372"/>
    <w:rsid w:val="00C94371"/>
    <w:rsid w:val="00C96BA1"/>
    <w:rsid w:val="00CA149E"/>
    <w:rsid w:val="00CA2938"/>
    <w:rsid w:val="00CA2B5D"/>
    <w:rsid w:val="00CA32A3"/>
    <w:rsid w:val="00CA45B2"/>
    <w:rsid w:val="00CA4C63"/>
    <w:rsid w:val="00CA4E1F"/>
    <w:rsid w:val="00CA5D19"/>
    <w:rsid w:val="00CA634D"/>
    <w:rsid w:val="00CA6351"/>
    <w:rsid w:val="00CA6948"/>
    <w:rsid w:val="00CA7ABA"/>
    <w:rsid w:val="00CB0038"/>
    <w:rsid w:val="00CB1934"/>
    <w:rsid w:val="00CB3374"/>
    <w:rsid w:val="00CB3DAC"/>
    <w:rsid w:val="00CB5855"/>
    <w:rsid w:val="00CB5865"/>
    <w:rsid w:val="00CB784C"/>
    <w:rsid w:val="00CB794E"/>
    <w:rsid w:val="00CC0224"/>
    <w:rsid w:val="00CC067B"/>
    <w:rsid w:val="00CC2072"/>
    <w:rsid w:val="00CC2371"/>
    <w:rsid w:val="00CC3252"/>
    <w:rsid w:val="00CC46B1"/>
    <w:rsid w:val="00CC4ACC"/>
    <w:rsid w:val="00CC56D9"/>
    <w:rsid w:val="00CC6231"/>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4B49"/>
    <w:rsid w:val="00D14D4C"/>
    <w:rsid w:val="00D1514F"/>
    <w:rsid w:val="00D15B02"/>
    <w:rsid w:val="00D17110"/>
    <w:rsid w:val="00D171F1"/>
    <w:rsid w:val="00D17AF0"/>
    <w:rsid w:val="00D21526"/>
    <w:rsid w:val="00D2209C"/>
    <w:rsid w:val="00D2249A"/>
    <w:rsid w:val="00D23B13"/>
    <w:rsid w:val="00D24A8B"/>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35FE"/>
    <w:rsid w:val="00D74DCB"/>
    <w:rsid w:val="00D75C93"/>
    <w:rsid w:val="00D761D6"/>
    <w:rsid w:val="00D80261"/>
    <w:rsid w:val="00D80956"/>
    <w:rsid w:val="00D81A5A"/>
    <w:rsid w:val="00D82B5F"/>
    <w:rsid w:val="00D86AE6"/>
    <w:rsid w:val="00D915B1"/>
    <w:rsid w:val="00D934A2"/>
    <w:rsid w:val="00D944DE"/>
    <w:rsid w:val="00D9461A"/>
    <w:rsid w:val="00D94B1C"/>
    <w:rsid w:val="00D979B8"/>
    <w:rsid w:val="00DA01D5"/>
    <w:rsid w:val="00DA0AAD"/>
    <w:rsid w:val="00DA0BF5"/>
    <w:rsid w:val="00DA22B7"/>
    <w:rsid w:val="00DA3900"/>
    <w:rsid w:val="00DA498D"/>
    <w:rsid w:val="00DA56E5"/>
    <w:rsid w:val="00DA5C79"/>
    <w:rsid w:val="00DA6242"/>
    <w:rsid w:val="00DA62F8"/>
    <w:rsid w:val="00DB2A74"/>
    <w:rsid w:val="00DB31A5"/>
    <w:rsid w:val="00DB4A56"/>
    <w:rsid w:val="00DB5DC1"/>
    <w:rsid w:val="00DB6450"/>
    <w:rsid w:val="00DC089E"/>
    <w:rsid w:val="00DC4425"/>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796"/>
    <w:rsid w:val="00E32B9D"/>
    <w:rsid w:val="00E32F2C"/>
    <w:rsid w:val="00E33119"/>
    <w:rsid w:val="00E34762"/>
    <w:rsid w:val="00E34EE8"/>
    <w:rsid w:val="00E354D1"/>
    <w:rsid w:val="00E36505"/>
    <w:rsid w:val="00E37AEB"/>
    <w:rsid w:val="00E42208"/>
    <w:rsid w:val="00E43550"/>
    <w:rsid w:val="00E436EE"/>
    <w:rsid w:val="00E46B87"/>
    <w:rsid w:val="00E46DC3"/>
    <w:rsid w:val="00E54244"/>
    <w:rsid w:val="00E553BA"/>
    <w:rsid w:val="00E56B37"/>
    <w:rsid w:val="00E600DD"/>
    <w:rsid w:val="00E6058C"/>
    <w:rsid w:val="00E623B8"/>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79A"/>
    <w:rsid w:val="00ED0B83"/>
    <w:rsid w:val="00ED0F1E"/>
    <w:rsid w:val="00ED1FB1"/>
    <w:rsid w:val="00ED3307"/>
    <w:rsid w:val="00ED3CA3"/>
    <w:rsid w:val="00ED3F5D"/>
    <w:rsid w:val="00ED68E6"/>
    <w:rsid w:val="00EE004D"/>
    <w:rsid w:val="00EE1BC3"/>
    <w:rsid w:val="00EE425C"/>
    <w:rsid w:val="00EE54D7"/>
    <w:rsid w:val="00EE5EAA"/>
    <w:rsid w:val="00EE6D47"/>
    <w:rsid w:val="00EE793F"/>
    <w:rsid w:val="00EF1201"/>
    <w:rsid w:val="00EF1414"/>
    <w:rsid w:val="00EF19B1"/>
    <w:rsid w:val="00EF200E"/>
    <w:rsid w:val="00EF2934"/>
    <w:rsid w:val="00EF2CEC"/>
    <w:rsid w:val="00EF2D87"/>
    <w:rsid w:val="00EF2EA5"/>
    <w:rsid w:val="00EF2FB8"/>
    <w:rsid w:val="00EF3B57"/>
    <w:rsid w:val="00EF43B4"/>
    <w:rsid w:val="00F00CD3"/>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F37"/>
    <w:rsid w:val="00F24048"/>
    <w:rsid w:val="00F25416"/>
    <w:rsid w:val="00F262B6"/>
    <w:rsid w:val="00F263F9"/>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79F"/>
    <w:rsid w:val="00F62FF5"/>
    <w:rsid w:val="00F7007D"/>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4AB3"/>
    <w:rsid w:val="00F9511D"/>
    <w:rsid w:val="00F96C8E"/>
    <w:rsid w:val="00F977B7"/>
    <w:rsid w:val="00FA0C6F"/>
    <w:rsid w:val="00FA1A5D"/>
    <w:rsid w:val="00FA74FC"/>
    <w:rsid w:val="00FA773E"/>
    <w:rsid w:val="00FB05D6"/>
    <w:rsid w:val="00FB251B"/>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4BFF"/>
    <w:rsid w:val="00FC6036"/>
    <w:rsid w:val="00FC7171"/>
    <w:rsid w:val="00FC764C"/>
    <w:rsid w:val="00FC76EE"/>
    <w:rsid w:val="00FD0320"/>
    <w:rsid w:val="00FD033E"/>
    <w:rsid w:val="00FD0A35"/>
    <w:rsid w:val="00FD1958"/>
    <w:rsid w:val="00FD1E17"/>
    <w:rsid w:val="00FD3296"/>
    <w:rsid w:val="00FD3E10"/>
    <w:rsid w:val="00FD6CD4"/>
    <w:rsid w:val="00FE1096"/>
    <w:rsid w:val="00FE1325"/>
    <w:rsid w:val="00FE13D0"/>
    <w:rsid w:val="00FE3019"/>
    <w:rsid w:val="00FE5CB8"/>
    <w:rsid w:val="00FF0933"/>
    <w:rsid w:val="00FF24D3"/>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5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2023-07-17T18:30:00+00:00</Judgment_x0020_Date>
    <Year xmlns="c1afb1bd-f2fb-40fd-9abb-aea55b4d7662">2023</Year>
  </documentManagement>
</p:properties>
</file>

<file path=customXml/itemProps1.xml><?xml version="1.0" encoding="utf-8"?>
<ds:datastoreItem xmlns:ds="http://schemas.openxmlformats.org/officeDocument/2006/customXml" ds:itemID="{9941BE24-8741-4A72-BA1B-B5A7EAC74B20}"/>
</file>

<file path=customXml/itemProps2.xml><?xml version="1.0" encoding="utf-8"?>
<ds:datastoreItem xmlns:ds="http://schemas.openxmlformats.org/officeDocument/2006/customXml" ds:itemID="{84127E5F-944C-4703-A2EC-D7417789D229}"/>
</file>

<file path=customXml/itemProps3.xml><?xml version="1.0" encoding="utf-8"?>
<ds:datastoreItem xmlns:ds="http://schemas.openxmlformats.org/officeDocument/2006/customXml" ds:itemID="{FDEA81E4-69ED-41BF-A3E3-A47F9E7C3E4D}"/>
</file>

<file path=customXml/itemProps4.xml><?xml version="1.0" encoding="utf-8"?>
<ds:datastoreItem xmlns:ds="http://schemas.openxmlformats.org/officeDocument/2006/customXml" ds:itemID="{FD940FD7-7D8E-4F95-9F47-6D7B608A461B}"/>
</file>

<file path=docProps/app.xml><?xml version="1.0" encoding="utf-8"?>
<Properties xmlns="http://schemas.openxmlformats.org/officeDocument/2006/extended-properties" xmlns:vt="http://schemas.openxmlformats.org/officeDocument/2006/docPropsVTypes">
  <Template>Normal</Template>
  <TotalTime>132</TotalTime>
  <Pages>10</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Tecmed West Medical Distributors (Pty) Ltd v Fynn (HC-MD-CIV-ACT-CON-2023-00184) 2023 NAHCMD 408 (18 July 2023)</dc:title>
  <dc:subject/>
  <dc:creator>Selma Nambahu</dc:creator>
  <cp:keywords/>
  <dc:description/>
  <cp:lastModifiedBy>Hilma Shigwedha</cp:lastModifiedBy>
  <cp:revision>6</cp:revision>
  <cp:lastPrinted>2023-07-18T06:38:00Z</cp:lastPrinted>
  <dcterms:created xsi:type="dcterms:W3CDTF">2023-07-18T06:39:00Z</dcterms:created>
  <dcterms:modified xsi:type="dcterms:W3CDTF">2023-07-18T08:51:00Z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