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3050" w14:textId="77777777" w:rsidR="00341832" w:rsidRDefault="00341832" w:rsidP="00341832">
      <w:pPr>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3759C9CF" wp14:editId="0A9FCD0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05D7970" w14:textId="77777777" w:rsidR="00E556CA" w:rsidRDefault="00E556CA" w:rsidP="00341832">
                            <w:pPr>
                              <w:jc w:val="right"/>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59C9C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" strokecolor="white">
                <v:textbox>
                  <w:txbxContent>
                    <w:p w14:paraId="405D7970" w14:textId="77777777" w:rsidR="00E556CA" w:rsidRDefault="00E556CA" w:rsidP="00341832">
                      <w:pPr>
                        <w:jc w:val="right"/>
                        <w:rPr>
                          <w:rFonts w:cs="Calibri"/>
                        </w:rPr>
                      </w:pPr>
                    </w:p>
                  </w:txbxContent>
                </v:textbox>
              </v:shape>
            </w:pict>
          </mc:Fallback>
        </mc:AlternateContent>
      </w:r>
      <w:r>
        <w:rPr>
          <w:rFonts w:ascii="Arial" w:hAnsi="Arial" w:cs="Arial"/>
          <w:b/>
          <w:sz w:val="24"/>
          <w:szCs w:val="24"/>
        </w:rPr>
        <w:t>REPUBLIC OF NAMIBIA</w:t>
      </w:r>
    </w:p>
    <w:p w14:paraId="390B60D4" w14:textId="77777777" w:rsidR="00341832" w:rsidRDefault="00341832" w:rsidP="00341832">
      <w:pPr>
        <w:rPr>
          <w:rFonts w:ascii="Arial" w:hAnsi="Arial" w:cs="Arial"/>
          <w:b/>
        </w:rPr>
      </w:pPr>
    </w:p>
    <w:p w14:paraId="048E70D9" w14:textId="77777777" w:rsidR="00341832" w:rsidRDefault="00341832" w:rsidP="00341832">
      <w:pPr>
        <w:jc w:val="center"/>
        <w:rPr>
          <w:rFonts w:ascii="Arial" w:hAnsi="Arial" w:cs="Arial"/>
          <w:b/>
        </w:rPr>
      </w:pPr>
      <w:r>
        <w:rPr>
          <w:rFonts w:ascii="Arial" w:hAnsi="Arial" w:cs="Arial"/>
          <w:b/>
          <w:noProof/>
          <w:lang w:val="en-US"/>
        </w:rPr>
        <w:drawing>
          <wp:inline distT="0" distB="0" distL="0" distR="0" wp14:anchorId="2F89AD02" wp14:editId="4FBEFE4B">
            <wp:extent cx="1257300" cy="131826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p w14:paraId="678BE16A" w14:textId="77777777" w:rsidR="00341832" w:rsidRDefault="00341832" w:rsidP="00341832">
      <w:pPr>
        <w:spacing w:line="360" w:lineRule="auto"/>
        <w:jc w:val="center"/>
        <w:rPr>
          <w:rFonts w:ascii="Arial" w:hAnsi="Arial" w:cs="Arial"/>
          <w:b/>
          <w:sz w:val="24"/>
          <w:szCs w:val="24"/>
        </w:rPr>
      </w:pPr>
      <w:r>
        <w:rPr>
          <w:rFonts w:ascii="Arial" w:hAnsi="Arial" w:cs="Arial"/>
          <w:b/>
          <w:sz w:val="24"/>
          <w:szCs w:val="24"/>
        </w:rPr>
        <w:t>HIGH COURT OF NAMIBIA, MAIN DIVISION, WINDHOEK</w:t>
      </w:r>
    </w:p>
    <w:p w14:paraId="7C537C44" w14:textId="77777777" w:rsidR="00341832" w:rsidRDefault="00206972" w:rsidP="00341832">
      <w:pPr>
        <w:jc w:val="center"/>
        <w:rPr>
          <w:rFonts w:ascii="Arial" w:hAnsi="Arial" w:cs="Arial"/>
          <w:b/>
          <w:sz w:val="24"/>
          <w:szCs w:val="24"/>
        </w:rPr>
      </w:pPr>
      <w:r>
        <w:rPr>
          <w:rFonts w:ascii="Arial" w:hAnsi="Arial" w:cs="Arial"/>
          <w:b/>
          <w:sz w:val="24"/>
          <w:szCs w:val="24"/>
        </w:rPr>
        <w:t>RULING</w:t>
      </w:r>
      <w:r w:rsidR="00587FC1">
        <w:rPr>
          <w:rFonts w:ascii="Arial" w:hAnsi="Arial" w:cs="Arial"/>
          <w:b/>
          <w:sz w:val="24"/>
          <w:szCs w:val="24"/>
        </w:rPr>
        <w:t xml:space="preserve"> IN TERMS OF PRACTICE DIRECTION</w:t>
      </w:r>
      <w:r w:rsidR="00341832">
        <w:rPr>
          <w:rFonts w:ascii="Arial" w:hAnsi="Arial" w:cs="Arial"/>
          <w:b/>
          <w:sz w:val="24"/>
          <w:szCs w:val="24"/>
        </w:rPr>
        <w:t xml:space="preserve"> 61</w:t>
      </w:r>
    </w:p>
    <w:p w14:paraId="29D337F6" w14:textId="77777777" w:rsidR="00341832" w:rsidRDefault="00341832" w:rsidP="00341832">
      <w:pPr>
        <w:spacing w:after="0" w:line="360" w:lineRule="auto"/>
        <w:jc w:val="both"/>
        <w:rPr>
          <w:rFonts w:ascii="Arial" w:hAnsi="Arial" w:cs="Arial"/>
          <w:sz w:val="24"/>
          <w:szCs w:val="24"/>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637"/>
        <w:gridCol w:w="4007"/>
      </w:tblGrid>
      <w:tr w:rsidR="00341832" w14:paraId="60994F54" w14:textId="77777777" w:rsidTr="00DC16E0">
        <w:trPr>
          <w:trHeight w:val="744"/>
        </w:trPr>
        <w:tc>
          <w:tcPr>
            <w:tcW w:w="5207" w:type="dxa"/>
            <w:gridSpan w:val="2"/>
            <w:vMerge w:val="restart"/>
            <w:tcBorders>
              <w:top w:val="single" w:sz="4" w:space="0" w:color="auto"/>
              <w:left w:val="single" w:sz="4" w:space="0" w:color="auto"/>
              <w:bottom w:val="single" w:sz="4" w:space="0" w:color="auto"/>
              <w:right w:val="single" w:sz="4" w:space="0" w:color="auto"/>
            </w:tcBorders>
            <w:hideMark/>
          </w:tcPr>
          <w:p w14:paraId="2716AA91" w14:textId="77777777" w:rsidR="00341832" w:rsidRDefault="00341832">
            <w:pPr>
              <w:spacing w:before="240" w:after="0" w:line="360" w:lineRule="auto"/>
              <w:jc w:val="both"/>
              <w:rPr>
                <w:rFonts w:ascii="Arial" w:hAnsi="Arial" w:cs="Arial"/>
                <w:sz w:val="24"/>
                <w:szCs w:val="24"/>
                <w:lang w:val="en-GB"/>
              </w:rPr>
            </w:pPr>
            <w:r>
              <w:rPr>
                <w:rFonts w:ascii="Arial" w:hAnsi="Arial" w:cs="Arial"/>
                <w:b/>
                <w:sz w:val="24"/>
                <w:szCs w:val="24"/>
                <w:lang w:val="en-GB"/>
              </w:rPr>
              <w:t>Case Title:</w:t>
            </w:r>
          </w:p>
          <w:p w14:paraId="2B9A3A1E" w14:textId="77777777" w:rsidR="00341832" w:rsidRDefault="00587FC1" w:rsidP="00587FC1">
            <w:pPr>
              <w:tabs>
                <w:tab w:val="left" w:pos="6750"/>
              </w:tabs>
              <w:spacing w:after="0" w:line="360" w:lineRule="auto"/>
              <w:jc w:val="both"/>
              <w:rPr>
                <w:rFonts w:ascii="Arial" w:hAnsi="Arial" w:cs="Arial"/>
                <w:sz w:val="24"/>
                <w:szCs w:val="24"/>
                <w:lang w:val="en-GB"/>
              </w:rPr>
            </w:pPr>
            <w:r w:rsidRPr="00587FC1">
              <w:rPr>
                <w:rFonts w:ascii="Arial" w:hAnsi="Arial" w:cs="Arial"/>
                <w:sz w:val="24"/>
                <w:szCs w:val="24"/>
                <w:lang w:val="en-GB"/>
              </w:rPr>
              <w:t>O</w:t>
            </w:r>
            <w:r>
              <w:rPr>
                <w:rFonts w:ascii="Arial" w:hAnsi="Arial" w:cs="Arial"/>
                <w:sz w:val="24"/>
                <w:szCs w:val="24"/>
                <w:lang w:val="en-GB"/>
              </w:rPr>
              <w:t xml:space="preserve">livia-Aline Tuyakula Kangandjela </w:t>
            </w:r>
            <w:r w:rsidRPr="00587FC1">
              <w:rPr>
                <w:rFonts w:ascii="Arial" w:hAnsi="Arial" w:cs="Arial"/>
                <w:sz w:val="24"/>
                <w:szCs w:val="24"/>
                <w:lang w:val="en-GB"/>
              </w:rPr>
              <w:t>vs H</w:t>
            </w:r>
            <w:r>
              <w:rPr>
                <w:rFonts w:ascii="Arial" w:hAnsi="Arial" w:cs="Arial"/>
                <w:sz w:val="24"/>
                <w:szCs w:val="24"/>
                <w:lang w:val="en-GB"/>
              </w:rPr>
              <w:t>ollard Insurance Company of Namibia Limited</w:t>
            </w:r>
          </w:p>
        </w:tc>
        <w:tc>
          <w:tcPr>
            <w:tcW w:w="4007" w:type="dxa"/>
            <w:tcBorders>
              <w:top w:val="single" w:sz="4" w:space="0" w:color="auto"/>
              <w:left w:val="single" w:sz="4" w:space="0" w:color="auto"/>
              <w:bottom w:val="single" w:sz="4" w:space="0" w:color="auto"/>
              <w:right w:val="single" w:sz="4" w:space="0" w:color="auto"/>
            </w:tcBorders>
            <w:hideMark/>
          </w:tcPr>
          <w:p w14:paraId="56B468A3" w14:textId="77777777" w:rsidR="00341832" w:rsidRDefault="00341832" w:rsidP="00DD3AA1">
            <w:pPr>
              <w:spacing w:before="240" w:after="0" w:line="360" w:lineRule="auto"/>
              <w:jc w:val="both"/>
              <w:rPr>
                <w:rFonts w:ascii="Arial" w:hAnsi="Arial" w:cs="Arial"/>
                <w:sz w:val="24"/>
                <w:szCs w:val="24"/>
                <w:lang w:val="en-GB"/>
              </w:rPr>
            </w:pPr>
            <w:r>
              <w:rPr>
                <w:rFonts w:ascii="Arial" w:hAnsi="Arial" w:cs="Arial"/>
                <w:b/>
                <w:sz w:val="24"/>
                <w:szCs w:val="24"/>
                <w:lang w:val="en-GB"/>
              </w:rPr>
              <w:t>Case No:</w:t>
            </w:r>
            <w:r w:rsidR="007D56B6">
              <w:rPr>
                <w:rFonts w:ascii="Arial" w:hAnsi="Arial" w:cs="Arial"/>
                <w:b/>
                <w:sz w:val="24"/>
                <w:szCs w:val="24"/>
                <w:lang w:val="en-GB"/>
              </w:rPr>
              <w:t xml:space="preserve"> </w:t>
            </w:r>
            <w:r w:rsidR="00587FC1" w:rsidRPr="00587FC1">
              <w:rPr>
                <w:rFonts w:ascii="Arial" w:hAnsi="Arial" w:cs="Arial"/>
                <w:bCs/>
                <w:sz w:val="24"/>
                <w:szCs w:val="24"/>
                <w:lang w:val="en-GB"/>
              </w:rPr>
              <w:t>HC-MD-CIV-ACT-CON-2021/01626</w:t>
            </w:r>
          </w:p>
          <w:p w14:paraId="621F29F4" w14:textId="77777777" w:rsidR="00341832" w:rsidRDefault="00341832">
            <w:pPr>
              <w:spacing w:after="0" w:line="360" w:lineRule="auto"/>
              <w:rPr>
                <w:rFonts w:ascii="Arial" w:hAnsi="Arial" w:cs="Arial"/>
                <w:b/>
                <w:sz w:val="24"/>
                <w:szCs w:val="24"/>
                <w:lang w:val="en-GB"/>
              </w:rPr>
            </w:pPr>
          </w:p>
        </w:tc>
      </w:tr>
      <w:tr w:rsidR="00341832" w14:paraId="5419E03F" w14:textId="77777777" w:rsidTr="00DC16E0">
        <w:trPr>
          <w:trHeight w:val="8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85339C" w14:textId="77777777" w:rsidR="00341832" w:rsidRDefault="00341832">
            <w:pPr>
              <w:spacing w:after="0" w:line="240" w:lineRule="auto"/>
              <w:rPr>
                <w:rFonts w:ascii="Arial" w:hAnsi="Arial" w:cs="Arial"/>
                <w:sz w:val="24"/>
                <w:szCs w:val="24"/>
                <w:lang w:val="en-GB"/>
              </w:rPr>
            </w:pPr>
          </w:p>
        </w:tc>
        <w:tc>
          <w:tcPr>
            <w:tcW w:w="4007" w:type="dxa"/>
            <w:tcBorders>
              <w:top w:val="single" w:sz="4" w:space="0" w:color="auto"/>
              <w:left w:val="single" w:sz="4" w:space="0" w:color="auto"/>
              <w:bottom w:val="single" w:sz="4" w:space="0" w:color="auto"/>
              <w:right w:val="single" w:sz="4" w:space="0" w:color="auto"/>
            </w:tcBorders>
            <w:hideMark/>
          </w:tcPr>
          <w:p w14:paraId="3519EFAB" w14:textId="77777777" w:rsidR="00341832" w:rsidRDefault="00341832">
            <w:pPr>
              <w:spacing w:before="240" w:after="0" w:line="360" w:lineRule="auto"/>
              <w:jc w:val="both"/>
              <w:rPr>
                <w:rFonts w:ascii="Arial" w:hAnsi="Arial" w:cs="Arial"/>
                <w:sz w:val="24"/>
                <w:szCs w:val="24"/>
                <w:lang w:val="en-GB"/>
              </w:rPr>
            </w:pPr>
            <w:r>
              <w:rPr>
                <w:rFonts w:ascii="Arial" w:hAnsi="Arial" w:cs="Arial"/>
                <w:b/>
                <w:sz w:val="24"/>
                <w:szCs w:val="24"/>
                <w:lang w:val="en-GB"/>
              </w:rPr>
              <w:t>Division of Court:</w:t>
            </w:r>
          </w:p>
          <w:p w14:paraId="3F0C40AC" w14:textId="77777777" w:rsidR="00341832" w:rsidRDefault="005F05ED">
            <w:pPr>
              <w:spacing w:after="0" w:line="360" w:lineRule="auto"/>
              <w:jc w:val="both"/>
              <w:rPr>
                <w:rFonts w:ascii="Arial" w:hAnsi="Arial" w:cs="Arial"/>
                <w:sz w:val="24"/>
                <w:szCs w:val="24"/>
                <w:lang w:val="en-GB"/>
              </w:rPr>
            </w:pPr>
            <w:r>
              <w:rPr>
                <w:rFonts w:ascii="Arial" w:hAnsi="Arial" w:cs="Arial"/>
                <w:sz w:val="24"/>
                <w:szCs w:val="24"/>
                <w:lang w:val="en-GB"/>
              </w:rPr>
              <w:t>High Court (Main Division)</w:t>
            </w:r>
          </w:p>
        </w:tc>
      </w:tr>
      <w:tr w:rsidR="00341832" w14:paraId="7D115316" w14:textId="77777777" w:rsidTr="00DC16E0">
        <w:trPr>
          <w:trHeight w:val="645"/>
        </w:trPr>
        <w:tc>
          <w:tcPr>
            <w:tcW w:w="5207" w:type="dxa"/>
            <w:gridSpan w:val="2"/>
            <w:vMerge w:val="restart"/>
            <w:tcBorders>
              <w:top w:val="single" w:sz="4" w:space="0" w:color="auto"/>
              <w:left w:val="single" w:sz="4" w:space="0" w:color="auto"/>
              <w:bottom w:val="single" w:sz="4" w:space="0" w:color="auto"/>
              <w:right w:val="single" w:sz="4" w:space="0" w:color="auto"/>
            </w:tcBorders>
            <w:hideMark/>
          </w:tcPr>
          <w:p w14:paraId="7FBCC1F3" w14:textId="77777777" w:rsidR="00341832" w:rsidRDefault="00341832">
            <w:pPr>
              <w:spacing w:before="240" w:after="0" w:line="360" w:lineRule="auto"/>
              <w:jc w:val="both"/>
              <w:rPr>
                <w:rFonts w:ascii="Arial" w:hAnsi="Arial" w:cs="Arial"/>
                <w:b/>
                <w:sz w:val="24"/>
                <w:szCs w:val="24"/>
                <w:lang w:val="en-GB"/>
              </w:rPr>
            </w:pPr>
            <w:r>
              <w:rPr>
                <w:rFonts w:ascii="Arial" w:hAnsi="Arial" w:cs="Arial"/>
                <w:b/>
                <w:sz w:val="24"/>
                <w:szCs w:val="24"/>
                <w:lang w:val="en-GB"/>
              </w:rPr>
              <w:t>Heard before:</w:t>
            </w:r>
          </w:p>
          <w:p w14:paraId="07698B28" w14:textId="77777777" w:rsidR="00341832" w:rsidRDefault="00341832">
            <w:pPr>
              <w:spacing w:after="0" w:line="360" w:lineRule="auto"/>
              <w:jc w:val="both"/>
              <w:rPr>
                <w:rFonts w:ascii="Arial" w:hAnsi="Arial" w:cs="Arial"/>
                <w:sz w:val="24"/>
                <w:szCs w:val="24"/>
                <w:lang w:val="en-GB"/>
              </w:rPr>
            </w:pPr>
            <w:r>
              <w:rPr>
                <w:rFonts w:ascii="Arial" w:hAnsi="Arial" w:cs="Arial"/>
                <w:sz w:val="24"/>
                <w:szCs w:val="24"/>
                <w:lang w:val="en-GB"/>
              </w:rPr>
              <w:t xml:space="preserve">Honourable Justice </w:t>
            </w:r>
            <w:r w:rsidR="009804AC">
              <w:rPr>
                <w:rFonts w:ascii="Arial" w:hAnsi="Arial" w:cs="Arial"/>
                <w:sz w:val="24"/>
                <w:szCs w:val="24"/>
                <w:lang w:val="en-GB"/>
              </w:rPr>
              <w:t>Schimming-Chase</w:t>
            </w:r>
          </w:p>
        </w:tc>
        <w:tc>
          <w:tcPr>
            <w:tcW w:w="4007" w:type="dxa"/>
            <w:tcBorders>
              <w:top w:val="single" w:sz="4" w:space="0" w:color="auto"/>
              <w:left w:val="single" w:sz="4" w:space="0" w:color="auto"/>
              <w:bottom w:val="single" w:sz="4" w:space="0" w:color="auto"/>
              <w:right w:val="single" w:sz="4" w:space="0" w:color="auto"/>
            </w:tcBorders>
            <w:hideMark/>
          </w:tcPr>
          <w:p w14:paraId="770C2504" w14:textId="77777777" w:rsidR="00E8248B" w:rsidRPr="008A69CF" w:rsidRDefault="00341832" w:rsidP="008A69CF">
            <w:pPr>
              <w:pStyle w:val="NoSpacing"/>
              <w:spacing w:line="360" w:lineRule="auto"/>
              <w:jc w:val="both"/>
              <w:rPr>
                <w:rFonts w:ascii="Arial" w:hAnsi="Arial" w:cs="Arial"/>
                <w:b/>
                <w:sz w:val="24"/>
                <w:lang w:val="en-GB"/>
              </w:rPr>
            </w:pPr>
            <w:r w:rsidRPr="008A69CF">
              <w:rPr>
                <w:rFonts w:ascii="Arial" w:hAnsi="Arial" w:cs="Arial"/>
                <w:b/>
                <w:sz w:val="24"/>
                <w:lang w:val="en-GB"/>
              </w:rPr>
              <w:t>Date of hearing:</w:t>
            </w:r>
            <w:r w:rsidR="007D56B6" w:rsidRPr="008A69CF">
              <w:rPr>
                <w:rFonts w:ascii="Arial" w:hAnsi="Arial" w:cs="Arial"/>
                <w:b/>
                <w:sz w:val="24"/>
                <w:lang w:val="en-GB"/>
              </w:rPr>
              <w:t xml:space="preserve"> </w:t>
            </w:r>
          </w:p>
          <w:p w14:paraId="27F50018" w14:textId="77777777" w:rsidR="00341832" w:rsidRPr="008A69CF" w:rsidRDefault="00587FC1" w:rsidP="008A69CF">
            <w:pPr>
              <w:pStyle w:val="NoSpacing"/>
              <w:spacing w:line="360" w:lineRule="auto"/>
              <w:jc w:val="both"/>
              <w:rPr>
                <w:lang w:val="en-GB"/>
              </w:rPr>
            </w:pPr>
            <w:r>
              <w:rPr>
                <w:rFonts w:ascii="Arial" w:hAnsi="Arial" w:cs="Arial"/>
                <w:sz w:val="24"/>
                <w:lang w:val="en-GB"/>
              </w:rPr>
              <w:t>28 June 2023</w:t>
            </w:r>
          </w:p>
        </w:tc>
      </w:tr>
      <w:tr w:rsidR="00341832" w14:paraId="3EB5DB3F" w14:textId="77777777" w:rsidTr="00DC16E0">
        <w:trPr>
          <w:trHeight w:val="5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AD5FF1" w14:textId="77777777" w:rsidR="00341832" w:rsidRDefault="00341832">
            <w:pPr>
              <w:spacing w:after="0" w:line="240" w:lineRule="auto"/>
              <w:rPr>
                <w:rFonts w:ascii="Arial" w:hAnsi="Arial" w:cs="Arial"/>
                <w:sz w:val="24"/>
                <w:szCs w:val="24"/>
                <w:lang w:val="en-GB"/>
              </w:rPr>
            </w:pPr>
          </w:p>
        </w:tc>
        <w:tc>
          <w:tcPr>
            <w:tcW w:w="4007" w:type="dxa"/>
            <w:tcBorders>
              <w:top w:val="single" w:sz="4" w:space="0" w:color="auto"/>
              <w:left w:val="single" w:sz="4" w:space="0" w:color="auto"/>
              <w:bottom w:val="single" w:sz="4" w:space="0" w:color="auto"/>
              <w:right w:val="single" w:sz="4" w:space="0" w:color="auto"/>
            </w:tcBorders>
            <w:hideMark/>
          </w:tcPr>
          <w:p w14:paraId="42465839" w14:textId="77777777" w:rsidR="00341832" w:rsidRDefault="00341832">
            <w:pPr>
              <w:spacing w:before="240" w:after="0" w:line="360" w:lineRule="auto"/>
              <w:jc w:val="both"/>
              <w:rPr>
                <w:rFonts w:ascii="Arial" w:hAnsi="Arial" w:cs="Arial"/>
                <w:b/>
                <w:sz w:val="24"/>
                <w:szCs w:val="24"/>
                <w:lang w:val="en-GB"/>
              </w:rPr>
            </w:pPr>
            <w:r>
              <w:rPr>
                <w:rFonts w:ascii="Arial" w:hAnsi="Arial" w:cs="Arial"/>
                <w:b/>
                <w:sz w:val="24"/>
                <w:szCs w:val="24"/>
                <w:lang w:val="en-GB"/>
              </w:rPr>
              <w:t>Date of order:</w:t>
            </w:r>
          </w:p>
          <w:p w14:paraId="1FB35AFA" w14:textId="77777777" w:rsidR="00341832" w:rsidRDefault="00587FC1">
            <w:pPr>
              <w:spacing w:after="0" w:line="360" w:lineRule="auto"/>
              <w:jc w:val="both"/>
              <w:rPr>
                <w:rFonts w:ascii="Arial" w:hAnsi="Arial" w:cs="Arial"/>
                <w:sz w:val="24"/>
                <w:szCs w:val="24"/>
                <w:lang w:val="en-GB"/>
              </w:rPr>
            </w:pPr>
            <w:r>
              <w:rPr>
                <w:rFonts w:ascii="Arial" w:hAnsi="Arial" w:cs="Arial"/>
                <w:sz w:val="24"/>
                <w:szCs w:val="24"/>
                <w:lang w:val="en-GB"/>
              </w:rPr>
              <w:t>19 July 2023</w:t>
            </w:r>
          </w:p>
        </w:tc>
      </w:tr>
      <w:tr w:rsidR="00341832" w14:paraId="7123F593" w14:textId="77777777" w:rsidTr="00DC16E0">
        <w:tc>
          <w:tcPr>
            <w:tcW w:w="9214" w:type="dxa"/>
            <w:gridSpan w:val="3"/>
            <w:tcBorders>
              <w:top w:val="single" w:sz="4" w:space="0" w:color="auto"/>
              <w:left w:val="single" w:sz="4" w:space="0" w:color="auto"/>
              <w:bottom w:val="single" w:sz="4" w:space="0" w:color="auto"/>
              <w:right w:val="single" w:sz="4" w:space="0" w:color="auto"/>
            </w:tcBorders>
          </w:tcPr>
          <w:p w14:paraId="03969C29" w14:textId="77777777" w:rsidR="00717C83" w:rsidRDefault="00341832" w:rsidP="00717C83">
            <w:pPr>
              <w:pStyle w:val="NoSpacing"/>
              <w:spacing w:line="360" w:lineRule="auto"/>
              <w:jc w:val="both"/>
              <w:rPr>
                <w:rFonts w:ascii="Arial" w:hAnsi="Arial" w:cs="Arial"/>
                <w:i/>
                <w:color w:val="333333"/>
                <w:sz w:val="24"/>
                <w:shd w:val="clear" w:color="auto" w:fill="FFFFFF"/>
              </w:rPr>
            </w:pPr>
            <w:r w:rsidRPr="00717C83">
              <w:rPr>
                <w:rFonts w:ascii="Arial" w:hAnsi="Arial" w:cs="Arial"/>
                <w:b/>
                <w:sz w:val="24"/>
                <w:lang w:val="en-GB"/>
              </w:rPr>
              <w:t xml:space="preserve">Neutral citation: </w:t>
            </w:r>
            <w:r w:rsidR="00587FC1" w:rsidRPr="00B55D7F">
              <w:rPr>
                <w:rFonts w:ascii="Arial" w:hAnsi="Arial" w:cs="Arial"/>
                <w:i/>
                <w:sz w:val="24"/>
                <w:shd w:val="clear" w:color="auto" w:fill="FFFFFF"/>
              </w:rPr>
              <w:t>Kangandjela</w:t>
            </w:r>
            <w:r w:rsidR="00147EEE" w:rsidRPr="00B55D7F">
              <w:rPr>
                <w:rFonts w:ascii="Arial" w:hAnsi="Arial" w:cs="Arial"/>
                <w:i/>
                <w:sz w:val="24"/>
                <w:shd w:val="clear" w:color="auto" w:fill="FFFFFF"/>
              </w:rPr>
              <w:t xml:space="preserve"> v</w:t>
            </w:r>
            <w:r w:rsidR="00637B41" w:rsidRPr="00B55D7F">
              <w:rPr>
                <w:rFonts w:ascii="Arial" w:hAnsi="Arial" w:cs="Arial"/>
                <w:i/>
                <w:sz w:val="24"/>
                <w:shd w:val="clear" w:color="auto" w:fill="FFFFFF"/>
              </w:rPr>
              <w:t xml:space="preserve"> </w:t>
            </w:r>
            <w:r w:rsidR="00587FC1" w:rsidRPr="00B55D7F">
              <w:rPr>
                <w:rFonts w:ascii="Arial" w:hAnsi="Arial" w:cs="Arial"/>
                <w:i/>
                <w:sz w:val="24"/>
                <w:shd w:val="clear" w:color="auto" w:fill="FFFFFF"/>
              </w:rPr>
              <w:t xml:space="preserve">Hollard Insurance Company of Namibia Limited </w:t>
            </w:r>
          </w:p>
          <w:p w14:paraId="13A558B5" w14:textId="77777777" w:rsidR="00717C83" w:rsidRDefault="00717C83" w:rsidP="00717C83">
            <w:pPr>
              <w:pStyle w:val="NoSpacing"/>
              <w:spacing w:line="360" w:lineRule="auto"/>
              <w:jc w:val="both"/>
              <w:rPr>
                <w:rFonts w:ascii="Arial" w:hAnsi="Arial" w:cs="Arial"/>
                <w:sz w:val="24"/>
                <w:lang w:val="en-GB"/>
              </w:rPr>
            </w:pPr>
            <w:r>
              <w:rPr>
                <w:rFonts w:ascii="Arial" w:hAnsi="Arial" w:cs="Arial"/>
                <w:i/>
                <w:color w:val="333333"/>
                <w:sz w:val="24"/>
                <w:shd w:val="clear" w:color="auto" w:fill="FFFFFF"/>
              </w:rPr>
              <w:tab/>
            </w:r>
            <w:r>
              <w:rPr>
                <w:rFonts w:ascii="Arial" w:hAnsi="Arial" w:cs="Arial"/>
                <w:i/>
                <w:color w:val="333333"/>
                <w:sz w:val="24"/>
                <w:shd w:val="clear" w:color="auto" w:fill="FFFFFF"/>
              </w:rPr>
              <w:tab/>
              <w:t xml:space="preserve">       </w:t>
            </w:r>
            <w:r w:rsidR="009205BF" w:rsidRPr="00717C83">
              <w:rPr>
                <w:rFonts w:ascii="Arial" w:hAnsi="Arial" w:cs="Arial"/>
                <w:sz w:val="24"/>
                <w:lang w:val="en-GB"/>
              </w:rPr>
              <w:t>(</w:t>
            </w:r>
            <w:r w:rsidR="00587FC1" w:rsidRPr="00717C83">
              <w:rPr>
                <w:rFonts w:ascii="Arial" w:hAnsi="Arial" w:cs="Arial"/>
                <w:sz w:val="24"/>
                <w:lang w:val="en-GB"/>
              </w:rPr>
              <w:t>HC-MD-CIV-ACT-CON-2021/01626</w:t>
            </w:r>
            <w:r w:rsidR="00DD3AA1" w:rsidRPr="00717C83">
              <w:rPr>
                <w:rFonts w:ascii="Arial" w:hAnsi="Arial" w:cs="Arial"/>
                <w:sz w:val="24"/>
                <w:lang w:val="en-GB"/>
              </w:rPr>
              <w:t>) [2023</w:t>
            </w:r>
            <w:r w:rsidR="009205BF" w:rsidRPr="00717C83">
              <w:rPr>
                <w:rFonts w:ascii="Arial" w:hAnsi="Arial" w:cs="Arial"/>
                <w:sz w:val="24"/>
                <w:lang w:val="en-GB"/>
              </w:rPr>
              <w:t xml:space="preserve">] NAHCMD </w:t>
            </w:r>
            <w:r w:rsidRPr="00717C83">
              <w:rPr>
                <w:rFonts w:ascii="Arial" w:hAnsi="Arial" w:cs="Arial"/>
                <w:sz w:val="24"/>
                <w:lang w:val="en-GB"/>
              </w:rPr>
              <w:t xml:space="preserve">411 </w:t>
            </w:r>
          </w:p>
          <w:p w14:paraId="271CD614" w14:textId="19C60459" w:rsidR="00341832" w:rsidRPr="00717C83" w:rsidRDefault="00717C83" w:rsidP="00717C83">
            <w:pPr>
              <w:pStyle w:val="NoSpacing"/>
              <w:spacing w:line="360" w:lineRule="auto"/>
              <w:jc w:val="both"/>
              <w:rPr>
                <w:rFonts w:ascii="Arial" w:hAnsi="Arial" w:cs="Arial"/>
                <w:sz w:val="24"/>
                <w:lang w:val="en-GB"/>
              </w:rPr>
            </w:pPr>
            <w:r>
              <w:rPr>
                <w:rFonts w:ascii="Arial" w:hAnsi="Arial" w:cs="Arial"/>
                <w:sz w:val="24"/>
                <w:lang w:val="en-GB"/>
              </w:rPr>
              <w:tab/>
            </w:r>
            <w:r>
              <w:rPr>
                <w:rFonts w:ascii="Arial" w:hAnsi="Arial" w:cs="Arial"/>
                <w:sz w:val="24"/>
                <w:lang w:val="en-GB"/>
              </w:rPr>
              <w:tab/>
              <w:t xml:space="preserve">       </w:t>
            </w:r>
            <w:r w:rsidR="00637B41" w:rsidRPr="00717C83">
              <w:rPr>
                <w:rFonts w:ascii="Arial" w:hAnsi="Arial" w:cs="Arial"/>
                <w:sz w:val="24"/>
                <w:lang w:val="en-GB"/>
              </w:rPr>
              <w:t>(</w:t>
            </w:r>
            <w:r w:rsidR="00587FC1" w:rsidRPr="00717C83">
              <w:rPr>
                <w:rFonts w:ascii="Arial" w:hAnsi="Arial" w:cs="Arial"/>
                <w:sz w:val="24"/>
                <w:lang w:val="en-GB"/>
              </w:rPr>
              <w:t xml:space="preserve">19 July </w:t>
            </w:r>
            <w:r w:rsidR="00DD3AA1" w:rsidRPr="00717C83">
              <w:rPr>
                <w:rFonts w:ascii="Arial" w:hAnsi="Arial" w:cs="Arial"/>
                <w:sz w:val="24"/>
                <w:lang w:val="en-GB"/>
              </w:rPr>
              <w:t>2023</w:t>
            </w:r>
            <w:r w:rsidR="009205BF" w:rsidRPr="00717C83">
              <w:rPr>
                <w:rFonts w:ascii="Arial" w:hAnsi="Arial" w:cs="Arial"/>
                <w:sz w:val="24"/>
                <w:lang w:val="en-GB"/>
              </w:rPr>
              <w:t>)</w:t>
            </w:r>
          </w:p>
          <w:p w14:paraId="184D8640" w14:textId="77777777" w:rsidR="00341832" w:rsidRDefault="00341832">
            <w:pPr>
              <w:pStyle w:val="form-control-static"/>
              <w:shd w:val="clear" w:color="auto" w:fill="FFFFFF"/>
              <w:spacing w:before="0" w:beforeAutospacing="0" w:after="0" w:afterAutospacing="0" w:line="360" w:lineRule="auto"/>
              <w:jc w:val="both"/>
              <w:rPr>
                <w:rFonts w:ascii="Arial" w:hAnsi="Arial" w:cs="Arial"/>
                <w:sz w:val="4"/>
                <w:szCs w:val="4"/>
                <w:lang w:val="en-GB"/>
              </w:rPr>
            </w:pPr>
          </w:p>
        </w:tc>
      </w:tr>
      <w:tr w:rsidR="00341832" w14:paraId="54FB3EB7" w14:textId="77777777" w:rsidTr="00DC16E0">
        <w:tc>
          <w:tcPr>
            <w:tcW w:w="9214" w:type="dxa"/>
            <w:gridSpan w:val="3"/>
            <w:tcBorders>
              <w:top w:val="single" w:sz="4" w:space="0" w:color="auto"/>
              <w:left w:val="single" w:sz="4" w:space="0" w:color="auto"/>
              <w:bottom w:val="single" w:sz="4" w:space="0" w:color="auto"/>
              <w:right w:val="single" w:sz="4" w:space="0" w:color="auto"/>
            </w:tcBorders>
            <w:hideMark/>
          </w:tcPr>
          <w:p w14:paraId="0B910EAD" w14:textId="77777777" w:rsidR="00341832" w:rsidRDefault="00341832">
            <w:pPr>
              <w:pStyle w:val="form-control-static"/>
              <w:shd w:val="clear" w:color="auto" w:fill="FFFFFF"/>
              <w:spacing w:before="240" w:beforeAutospacing="0" w:after="0" w:afterAutospacing="0" w:line="360" w:lineRule="auto"/>
              <w:rPr>
                <w:rFonts w:ascii="Arial" w:hAnsi="Arial" w:cs="Arial"/>
                <w:b/>
                <w:lang w:val="en-GB"/>
              </w:rPr>
            </w:pPr>
            <w:r>
              <w:rPr>
                <w:rFonts w:ascii="Arial" w:hAnsi="Arial" w:cs="Arial"/>
                <w:b/>
                <w:lang w:val="en-GB"/>
              </w:rPr>
              <w:t>Results on the merits:</w:t>
            </w:r>
          </w:p>
          <w:p w14:paraId="56ECC981" w14:textId="77777777" w:rsidR="00341832" w:rsidRDefault="00341832">
            <w:pPr>
              <w:pStyle w:val="form-control-static"/>
              <w:shd w:val="clear" w:color="auto" w:fill="FFFFFF"/>
              <w:spacing w:before="0" w:beforeAutospacing="0" w:after="0" w:afterAutospacing="0" w:line="360" w:lineRule="auto"/>
              <w:rPr>
                <w:rFonts w:ascii="Arial" w:hAnsi="Arial" w:cs="Arial"/>
                <w:lang w:val="en-GB"/>
              </w:rPr>
            </w:pPr>
            <w:r>
              <w:rPr>
                <w:rFonts w:ascii="Arial" w:hAnsi="Arial" w:cs="Arial"/>
                <w:lang w:val="en-GB"/>
              </w:rPr>
              <w:t>Merits not considered.</w:t>
            </w:r>
          </w:p>
        </w:tc>
      </w:tr>
      <w:tr w:rsidR="00341832" w14:paraId="351B6A1F" w14:textId="77777777" w:rsidTr="00DC16E0">
        <w:tc>
          <w:tcPr>
            <w:tcW w:w="9214" w:type="dxa"/>
            <w:gridSpan w:val="3"/>
            <w:tcBorders>
              <w:top w:val="single" w:sz="4" w:space="0" w:color="auto"/>
              <w:left w:val="single" w:sz="4" w:space="0" w:color="auto"/>
              <w:bottom w:val="single" w:sz="4" w:space="0" w:color="auto"/>
              <w:right w:val="single" w:sz="4" w:space="0" w:color="auto"/>
            </w:tcBorders>
          </w:tcPr>
          <w:p w14:paraId="45A1DF0D" w14:textId="77777777" w:rsidR="00341832" w:rsidRDefault="00341832">
            <w:pPr>
              <w:spacing w:after="0" w:line="360" w:lineRule="auto"/>
              <w:jc w:val="right"/>
              <w:rPr>
                <w:rFonts w:ascii="Arial" w:hAnsi="Arial" w:cs="Arial"/>
                <w:b/>
                <w:sz w:val="24"/>
                <w:szCs w:val="24"/>
                <w:lang w:val="en-GB"/>
              </w:rPr>
            </w:pPr>
          </w:p>
          <w:p w14:paraId="6DF6D721" w14:textId="77777777" w:rsidR="00E06028" w:rsidRDefault="002836AB" w:rsidP="00E06028">
            <w:pPr>
              <w:spacing w:after="0" w:line="360" w:lineRule="auto"/>
              <w:jc w:val="both"/>
              <w:rPr>
                <w:rFonts w:ascii="Arial" w:hAnsi="Arial" w:cs="Arial"/>
                <w:b/>
                <w:sz w:val="24"/>
                <w:szCs w:val="24"/>
                <w:lang w:val="en-GB"/>
              </w:rPr>
            </w:pPr>
            <w:r>
              <w:rPr>
                <w:rFonts w:ascii="Arial" w:hAnsi="Arial" w:cs="Arial"/>
                <w:b/>
                <w:sz w:val="24"/>
                <w:szCs w:val="24"/>
                <w:lang w:val="en-GB"/>
              </w:rPr>
              <w:t>IT IS HEREBY ORDERED THAT:</w:t>
            </w:r>
          </w:p>
          <w:p w14:paraId="31A7EBEC" w14:textId="77777777" w:rsidR="002836AB" w:rsidRPr="002836AB" w:rsidRDefault="002836AB" w:rsidP="00E06028">
            <w:pPr>
              <w:spacing w:after="0" w:line="360" w:lineRule="auto"/>
              <w:jc w:val="both"/>
              <w:rPr>
                <w:rFonts w:ascii="Arial" w:hAnsi="Arial" w:cs="Arial"/>
                <w:b/>
                <w:sz w:val="24"/>
                <w:szCs w:val="24"/>
                <w:lang w:val="en-GB"/>
              </w:rPr>
            </w:pPr>
          </w:p>
          <w:p w14:paraId="12129BF9" w14:textId="77777777" w:rsidR="00A1116D" w:rsidRDefault="00A1116D" w:rsidP="00A1116D">
            <w:pPr>
              <w:pStyle w:val="ListParagraph"/>
              <w:numPr>
                <w:ilvl w:val="0"/>
                <w:numId w:val="3"/>
              </w:numPr>
              <w:spacing w:after="0" w:line="360" w:lineRule="auto"/>
              <w:jc w:val="both"/>
              <w:rPr>
                <w:rFonts w:ascii="Arial" w:hAnsi="Arial" w:cs="Arial"/>
                <w:sz w:val="24"/>
                <w:szCs w:val="24"/>
              </w:rPr>
            </w:pPr>
            <w:r w:rsidRPr="00A1116D">
              <w:rPr>
                <w:rFonts w:ascii="Arial" w:hAnsi="Arial" w:cs="Arial"/>
                <w:sz w:val="24"/>
                <w:szCs w:val="24"/>
              </w:rPr>
              <w:t>The plaintiff’s application for condonation dated 29 April 2022 is granted.</w:t>
            </w:r>
          </w:p>
          <w:p w14:paraId="0AF7846B" w14:textId="77777777" w:rsidR="00717C83" w:rsidRPr="00A1116D" w:rsidRDefault="00717C83" w:rsidP="00717C83">
            <w:pPr>
              <w:pStyle w:val="ListParagraph"/>
              <w:spacing w:after="0" w:line="360" w:lineRule="auto"/>
              <w:jc w:val="both"/>
              <w:rPr>
                <w:rFonts w:ascii="Arial" w:hAnsi="Arial" w:cs="Arial"/>
                <w:sz w:val="24"/>
                <w:szCs w:val="24"/>
              </w:rPr>
            </w:pPr>
          </w:p>
          <w:p w14:paraId="6EF64DC3" w14:textId="6865E865" w:rsidR="00A1116D" w:rsidRDefault="00A1116D" w:rsidP="00A1116D">
            <w:pPr>
              <w:pStyle w:val="ListParagraph"/>
              <w:numPr>
                <w:ilvl w:val="0"/>
                <w:numId w:val="3"/>
              </w:numPr>
              <w:spacing w:after="0" w:line="360" w:lineRule="auto"/>
              <w:jc w:val="both"/>
              <w:rPr>
                <w:rFonts w:ascii="Arial" w:hAnsi="Arial" w:cs="Arial"/>
                <w:sz w:val="24"/>
                <w:szCs w:val="24"/>
              </w:rPr>
            </w:pPr>
            <w:r w:rsidRPr="00A1116D">
              <w:rPr>
                <w:rFonts w:ascii="Arial" w:hAnsi="Arial" w:cs="Arial"/>
                <w:sz w:val="24"/>
                <w:szCs w:val="24"/>
              </w:rPr>
              <w:lastRenderedPageBreak/>
              <w:t>The plaintiff must pay the defendant’s costs in the condonation application,  which costs are capped in terms of rule 32(1</w:t>
            </w:r>
            <w:r w:rsidR="000B32F0">
              <w:rPr>
                <w:rFonts w:ascii="Arial" w:hAnsi="Arial" w:cs="Arial"/>
                <w:sz w:val="24"/>
                <w:szCs w:val="24"/>
              </w:rPr>
              <w:t>1</w:t>
            </w:r>
            <w:r w:rsidRPr="00A1116D">
              <w:rPr>
                <w:rFonts w:ascii="Arial" w:hAnsi="Arial" w:cs="Arial"/>
                <w:sz w:val="24"/>
                <w:szCs w:val="24"/>
              </w:rPr>
              <w:t>).</w:t>
            </w:r>
          </w:p>
          <w:p w14:paraId="549FA987" w14:textId="77777777" w:rsidR="00717C83" w:rsidRPr="00717C83" w:rsidRDefault="00717C83" w:rsidP="00717C83">
            <w:pPr>
              <w:spacing w:after="0" w:line="360" w:lineRule="auto"/>
              <w:jc w:val="both"/>
              <w:rPr>
                <w:rFonts w:ascii="Arial" w:hAnsi="Arial" w:cs="Arial"/>
                <w:sz w:val="24"/>
                <w:szCs w:val="24"/>
              </w:rPr>
            </w:pPr>
          </w:p>
          <w:p w14:paraId="7A12156B" w14:textId="0D4117CE" w:rsidR="002836AB" w:rsidRDefault="002836AB" w:rsidP="00A1116D">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taxing master is granted leave to tax the defendant’s costs in the condonation application before</w:t>
            </w:r>
            <w:r w:rsidR="00717C83">
              <w:rPr>
                <w:rFonts w:ascii="Arial" w:hAnsi="Arial" w:cs="Arial"/>
                <w:sz w:val="24"/>
                <w:szCs w:val="24"/>
              </w:rPr>
              <w:t xml:space="preserve"> finalis</w:t>
            </w:r>
            <w:r w:rsidR="000B32F0">
              <w:rPr>
                <w:rFonts w:ascii="Arial" w:hAnsi="Arial" w:cs="Arial"/>
                <w:sz w:val="24"/>
                <w:szCs w:val="24"/>
              </w:rPr>
              <w:t>ation of the matter.</w:t>
            </w:r>
          </w:p>
          <w:p w14:paraId="1DF0DC6A" w14:textId="77777777" w:rsidR="00717C83" w:rsidRPr="00717C83" w:rsidRDefault="00717C83" w:rsidP="00717C83">
            <w:pPr>
              <w:spacing w:after="0" w:line="360" w:lineRule="auto"/>
              <w:jc w:val="both"/>
              <w:rPr>
                <w:rFonts w:ascii="Arial" w:hAnsi="Arial" w:cs="Arial"/>
                <w:sz w:val="24"/>
                <w:szCs w:val="24"/>
              </w:rPr>
            </w:pPr>
          </w:p>
          <w:p w14:paraId="22CC9326" w14:textId="77777777" w:rsidR="00A1116D" w:rsidRDefault="00A1116D" w:rsidP="00A1116D">
            <w:pPr>
              <w:pStyle w:val="ListParagraph"/>
              <w:numPr>
                <w:ilvl w:val="0"/>
                <w:numId w:val="3"/>
              </w:numPr>
              <w:spacing w:after="0" w:line="360" w:lineRule="auto"/>
              <w:jc w:val="both"/>
              <w:rPr>
                <w:rFonts w:ascii="Arial" w:hAnsi="Arial" w:cs="Arial"/>
                <w:sz w:val="24"/>
                <w:szCs w:val="24"/>
              </w:rPr>
            </w:pPr>
            <w:r w:rsidRPr="00A1116D">
              <w:rPr>
                <w:rFonts w:ascii="Arial" w:hAnsi="Arial" w:cs="Arial"/>
                <w:sz w:val="24"/>
                <w:szCs w:val="24"/>
              </w:rPr>
              <w:t>The parties</w:t>
            </w:r>
            <w:r w:rsidR="00E96B2B">
              <w:rPr>
                <w:rFonts w:ascii="Arial" w:hAnsi="Arial" w:cs="Arial"/>
                <w:sz w:val="24"/>
                <w:szCs w:val="24"/>
              </w:rPr>
              <w:t xml:space="preserve"> must file a joint case management report</w:t>
            </w:r>
            <w:r w:rsidRPr="00A1116D">
              <w:rPr>
                <w:rFonts w:ascii="Arial" w:hAnsi="Arial" w:cs="Arial"/>
                <w:sz w:val="24"/>
                <w:szCs w:val="24"/>
              </w:rPr>
              <w:t xml:space="preserve"> on or before </w:t>
            </w:r>
            <w:r w:rsidRPr="00A1116D">
              <w:rPr>
                <w:rFonts w:ascii="Arial" w:hAnsi="Arial" w:cs="Arial"/>
                <w:b/>
                <w:sz w:val="24"/>
                <w:szCs w:val="24"/>
              </w:rPr>
              <w:t>31 August 2023 at 15h00</w:t>
            </w:r>
            <w:r w:rsidRPr="00A1116D">
              <w:rPr>
                <w:rFonts w:ascii="Arial" w:hAnsi="Arial" w:cs="Arial"/>
                <w:sz w:val="24"/>
                <w:szCs w:val="24"/>
              </w:rPr>
              <w:t>.</w:t>
            </w:r>
          </w:p>
          <w:p w14:paraId="153B0451" w14:textId="77777777" w:rsidR="00717C83" w:rsidRPr="00717C83" w:rsidRDefault="00717C83" w:rsidP="00717C83">
            <w:pPr>
              <w:spacing w:after="0" w:line="360" w:lineRule="auto"/>
              <w:jc w:val="both"/>
              <w:rPr>
                <w:rFonts w:ascii="Arial" w:hAnsi="Arial" w:cs="Arial"/>
                <w:sz w:val="24"/>
                <w:szCs w:val="24"/>
              </w:rPr>
            </w:pPr>
          </w:p>
          <w:p w14:paraId="1D35D43A" w14:textId="77777777" w:rsidR="00341832" w:rsidRPr="00A1116D" w:rsidRDefault="00A1116D" w:rsidP="00A1116D">
            <w:pPr>
              <w:pStyle w:val="ListParagraph"/>
              <w:numPr>
                <w:ilvl w:val="0"/>
                <w:numId w:val="3"/>
              </w:numPr>
              <w:spacing w:after="0" w:line="360" w:lineRule="auto"/>
              <w:jc w:val="both"/>
              <w:rPr>
                <w:rFonts w:ascii="Arial" w:hAnsi="Arial" w:cs="Arial"/>
                <w:sz w:val="24"/>
                <w:szCs w:val="24"/>
              </w:rPr>
            </w:pPr>
            <w:r w:rsidRPr="00A1116D">
              <w:rPr>
                <w:rFonts w:ascii="Arial" w:hAnsi="Arial" w:cs="Arial"/>
                <w:sz w:val="24"/>
                <w:szCs w:val="24"/>
              </w:rPr>
              <w:t xml:space="preserve">The matter is postponed to </w:t>
            </w:r>
            <w:r w:rsidRPr="00A1116D">
              <w:rPr>
                <w:rFonts w:ascii="Arial" w:hAnsi="Arial" w:cs="Arial"/>
                <w:b/>
                <w:sz w:val="24"/>
                <w:szCs w:val="24"/>
              </w:rPr>
              <w:t>4 September 2023 at 15h30</w:t>
            </w:r>
            <w:r w:rsidRPr="00A1116D">
              <w:rPr>
                <w:rFonts w:ascii="Arial" w:hAnsi="Arial" w:cs="Arial"/>
                <w:sz w:val="24"/>
                <w:szCs w:val="24"/>
              </w:rPr>
              <w:t xml:space="preserve"> for a Case Management Conference Hearing.</w:t>
            </w:r>
          </w:p>
        </w:tc>
      </w:tr>
      <w:tr w:rsidR="00341832" w14:paraId="013A7A5C" w14:textId="77777777" w:rsidTr="00DC16E0">
        <w:tc>
          <w:tcPr>
            <w:tcW w:w="9214" w:type="dxa"/>
            <w:gridSpan w:val="3"/>
            <w:tcBorders>
              <w:top w:val="single" w:sz="4" w:space="0" w:color="auto"/>
              <w:left w:val="single" w:sz="4" w:space="0" w:color="auto"/>
              <w:bottom w:val="single" w:sz="4" w:space="0" w:color="auto"/>
              <w:right w:val="single" w:sz="4" w:space="0" w:color="auto"/>
            </w:tcBorders>
          </w:tcPr>
          <w:p w14:paraId="77C2F1D0" w14:textId="77777777" w:rsidR="00DD3AA1" w:rsidRDefault="00DD3AA1" w:rsidP="00DC16E0">
            <w:pPr>
              <w:spacing w:after="0" w:line="360" w:lineRule="auto"/>
              <w:jc w:val="both"/>
              <w:rPr>
                <w:rFonts w:ascii="Arial" w:hAnsi="Arial" w:cs="Arial"/>
                <w:sz w:val="24"/>
                <w:szCs w:val="24"/>
                <w:lang w:val="en-GB"/>
              </w:rPr>
            </w:pPr>
          </w:p>
          <w:p w14:paraId="0CC3AE81" w14:textId="77777777" w:rsidR="00DC16E0" w:rsidRPr="000B49B9" w:rsidRDefault="00DD3AA1" w:rsidP="00DC16E0">
            <w:pPr>
              <w:spacing w:after="0" w:line="360" w:lineRule="auto"/>
              <w:jc w:val="both"/>
              <w:rPr>
                <w:rFonts w:ascii="Arial" w:hAnsi="Arial" w:cs="Arial"/>
                <w:sz w:val="24"/>
                <w:szCs w:val="24"/>
                <w:lang w:val="en-GB"/>
              </w:rPr>
            </w:pPr>
            <w:r>
              <w:rPr>
                <w:rFonts w:ascii="Arial" w:hAnsi="Arial" w:cs="Arial"/>
                <w:sz w:val="24"/>
                <w:szCs w:val="24"/>
                <w:lang w:val="en-GB"/>
              </w:rPr>
              <w:t>SCHIMMING-CHASE</w:t>
            </w:r>
            <w:r w:rsidR="00DC16E0" w:rsidRPr="000B49B9">
              <w:rPr>
                <w:rFonts w:ascii="Arial" w:hAnsi="Arial" w:cs="Arial"/>
                <w:sz w:val="24"/>
                <w:szCs w:val="24"/>
                <w:lang w:val="en-GB"/>
              </w:rPr>
              <w:t xml:space="preserve"> J:</w:t>
            </w:r>
          </w:p>
          <w:p w14:paraId="4A0A3ABE" w14:textId="77777777" w:rsidR="009804AC" w:rsidRDefault="009804AC" w:rsidP="00DD3AA1">
            <w:pPr>
              <w:spacing w:after="0" w:line="360" w:lineRule="auto"/>
              <w:jc w:val="both"/>
              <w:rPr>
                <w:rFonts w:ascii="Arial" w:hAnsi="Arial" w:cs="Arial"/>
                <w:sz w:val="24"/>
                <w:szCs w:val="24"/>
                <w:u w:val="single"/>
                <w:shd w:val="clear" w:color="auto" w:fill="FFFFFF"/>
                <w:lang w:val="en-GB"/>
              </w:rPr>
            </w:pPr>
          </w:p>
          <w:p w14:paraId="057C677D" w14:textId="6F7E028F" w:rsidR="00D65E38" w:rsidRDefault="000B32F0"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This</w:t>
            </w:r>
            <w:r w:rsidR="00D65E38">
              <w:rPr>
                <w:rFonts w:ascii="Arial" w:hAnsi="Arial" w:cs="Arial"/>
                <w:sz w:val="24"/>
                <w:szCs w:val="24"/>
                <w:shd w:val="clear" w:color="auto" w:fill="FFFFFF"/>
                <w:lang w:val="en-GB"/>
              </w:rPr>
              <w:t xml:space="preserve"> is an application for condonation launched in April 2022, finally heard more than one year later, following a sad state of affairs in the prosecution of this action.</w:t>
            </w:r>
          </w:p>
          <w:p w14:paraId="109ADF6F" w14:textId="77777777" w:rsidR="003F3620" w:rsidRDefault="003F3620" w:rsidP="00CE45C3">
            <w:pPr>
              <w:pStyle w:val="ListParagraph"/>
              <w:spacing w:after="0" w:line="360" w:lineRule="auto"/>
              <w:ind w:left="0"/>
              <w:jc w:val="both"/>
              <w:rPr>
                <w:rFonts w:ascii="Arial" w:hAnsi="Arial" w:cs="Arial"/>
                <w:sz w:val="24"/>
                <w:szCs w:val="24"/>
                <w:shd w:val="clear" w:color="auto" w:fill="FFFFFF"/>
                <w:lang w:val="en-GB"/>
              </w:rPr>
            </w:pPr>
          </w:p>
          <w:p w14:paraId="207A6192" w14:textId="2A081BDA" w:rsidR="00587FC1" w:rsidRPr="003F3620" w:rsidRDefault="00D65E38"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The plaintiff’s action is premised on a motor v</w:t>
            </w:r>
            <w:r w:rsidR="00E556CA">
              <w:rPr>
                <w:rFonts w:ascii="Arial" w:hAnsi="Arial" w:cs="Arial"/>
                <w:sz w:val="24"/>
                <w:szCs w:val="24"/>
                <w:shd w:val="clear" w:color="auto" w:fill="FFFFFF"/>
                <w:lang w:val="en-GB"/>
              </w:rPr>
              <w:t xml:space="preserve">ehicle accident </w:t>
            </w:r>
            <w:r w:rsidR="00FD3A10">
              <w:rPr>
                <w:rFonts w:ascii="Arial" w:hAnsi="Arial" w:cs="Arial"/>
                <w:sz w:val="24"/>
                <w:szCs w:val="24"/>
                <w:shd w:val="clear" w:color="auto" w:fill="FFFFFF"/>
                <w:lang w:val="en-GB"/>
              </w:rPr>
              <w:t>that</w:t>
            </w:r>
            <w:r w:rsidR="00E556CA">
              <w:rPr>
                <w:rFonts w:ascii="Arial" w:hAnsi="Arial" w:cs="Arial"/>
                <w:sz w:val="24"/>
                <w:szCs w:val="24"/>
                <w:shd w:val="clear" w:color="auto" w:fill="FFFFFF"/>
                <w:lang w:val="en-GB"/>
              </w:rPr>
              <w:t xml:space="preserve"> occurred</w:t>
            </w:r>
            <w:r>
              <w:rPr>
                <w:rFonts w:ascii="Arial" w:hAnsi="Arial" w:cs="Arial"/>
                <w:sz w:val="24"/>
                <w:szCs w:val="24"/>
                <w:shd w:val="clear" w:color="auto" w:fill="FFFFFF"/>
                <w:lang w:val="en-GB"/>
              </w:rPr>
              <w:t xml:space="preserve"> on 25 July 2020, at Windhoek. The plaintiff submitted a claim to her insurer, the defendant, which claim was repudiated by the defendant on 17 August 2020. The plaintiff instituted action, which action the defendant oppose</w:t>
            </w:r>
            <w:r w:rsidR="003F3620">
              <w:rPr>
                <w:rFonts w:ascii="Arial" w:hAnsi="Arial" w:cs="Arial"/>
                <w:sz w:val="24"/>
                <w:szCs w:val="24"/>
                <w:shd w:val="clear" w:color="auto" w:fill="FFFFFF"/>
                <w:lang w:val="en-GB"/>
              </w:rPr>
              <w:t xml:space="preserve">d, </w:t>
            </w:r>
            <w:r w:rsidR="00E556CA">
              <w:rPr>
                <w:rFonts w:ascii="Arial" w:hAnsi="Arial" w:cs="Arial"/>
                <w:sz w:val="24"/>
                <w:szCs w:val="24"/>
                <w:shd w:val="clear" w:color="auto" w:fill="FFFFFF"/>
                <w:lang w:val="en-GB"/>
              </w:rPr>
              <w:t xml:space="preserve">and </w:t>
            </w:r>
            <w:r w:rsidR="003F3620">
              <w:rPr>
                <w:rFonts w:ascii="Arial" w:hAnsi="Arial" w:cs="Arial"/>
                <w:sz w:val="24"/>
                <w:szCs w:val="24"/>
                <w:shd w:val="clear" w:color="auto" w:fill="FFFFFF"/>
                <w:lang w:val="en-GB"/>
              </w:rPr>
              <w:t>the matter proceeded to judicial case management.</w:t>
            </w:r>
          </w:p>
          <w:p w14:paraId="11FDD304" w14:textId="77777777" w:rsidR="00587FC1" w:rsidRDefault="00587FC1" w:rsidP="00587FC1">
            <w:pPr>
              <w:pStyle w:val="ListParagraph"/>
              <w:spacing w:after="0" w:line="360" w:lineRule="auto"/>
              <w:ind w:left="0"/>
              <w:jc w:val="both"/>
              <w:rPr>
                <w:rFonts w:ascii="Arial" w:hAnsi="Arial" w:cs="Arial"/>
                <w:sz w:val="24"/>
                <w:szCs w:val="24"/>
                <w:shd w:val="clear" w:color="auto" w:fill="FFFFFF"/>
                <w:lang w:val="en-GB"/>
              </w:rPr>
            </w:pPr>
          </w:p>
          <w:p w14:paraId="5195040A" w14:textId="3E669108"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 xml:space="preserve">On 4 February 2022, the court granted the parties </w:t>
            </w:r>
            <w:r w:rsidR="00FD3A10">
              <w:rPr>
                <w:rFonts w:ascii="Arial" w:hAnsi="Arial" w:cs="Arial"/>
                <w:sz w:val="24"/>
                <w:szCs w:val="24"/>
                <w:shd w:val="clear" w:color="auto" w:fill="FFFFFF"/>
                <w:lang w:val="en-GB"/>
              </w:rPr>
              <w:t xml:space="preserve">the </w:t>
            </w:r>
            <w:r w:rsidRPr="00587FC1">
              <w:rPr>
                <w:rFonts w:ascii="Arial" w:hAnsi="Arial" w:cs="Arial"/>
                <w:sz w:val="24"/>
                <w:szCs w:val="24"/>
                <w:shd w:val="clear" w:color="auto" w:fill="FFFFFF"/>
                <w:lang w:val="en-GB"/>
              </w:rPr>
              <w:t>opportunity to file witne</w:t>
            </w:r>
            <w:r w:rsidR="003F3620">
              <w:rPr>
                <w:rFonts w:ascii="Arial" w:hAnsi="Arial" w:cs="Arial"/>
                <w:sz w:val="24"/>
                <w:szCs w:val="24"/>
                <w:shd w:val="clear" w:color="auto" w:fill="FFFFFF"/>
                <w:lang w:val="en-GB"/>
              </w:rPr>
              <w:t xml:space="preserve">ss statements and the </w:t>
            </w:r>
            <w:r w:rsidR="000B32F0">
              <w:rPr>
                <w:rFonts w:ascii="Arial" w:hAnsi="Arial" w:cs="Arial"/>
                <w:sz w:val="24"/>
                <w:szCs w:val="24"/>
                <w:shd w:val="clear" w:color="auto" w:fill="FFFFFF"/>
                <w:lang w:val="en-GB"/>
              </w:rPr>
              <w:t xml:space="preserve">joint proposed </w:t>
            </w:r>
            <w:r w:rsidR="003F3620">
              <w:rPr>
                <w:rFonts w:ascii="Arial" w:hAnsi="Arial" w:cs="Arial"/>
                <w:sz w:val="24"/>
                <w:szCs w:val="24"/>
                <w:shd w:val="clear" w:color="auto" w:fill="FFFFFF"/>
                <w:lang w:val="en-GB"/>
              </w:rPr>
              <w:t>pre-trial report.</w:t>
            </w:r>
          </w:p>
          <w:p w14:paraId="5CC8C754" w14:textId="77777777" w:rsidR="00587FC1" w:rsidRPr="00587FC1" w:rsidRDefault="00587FC1" w:rsidP="00587FC1">
            <w:pPr>
              <w:pStyle w:val="ListParagraph"/>
              <w:rPr>
                <w:rFonts w:ascii="Arial" w:hAnsi="Arial" w:cs="Arial"/>
                <w:sz w:val="24"/>
                <w:szCs w:val="24"/>
                <w:shd w:val="clear" w:color="auto" w:fill="FFFFFF"/>
                <w:lang w:val="en-GB"/>
              </w:rPr>
            </w:pPr>
          </w:p>
          <w:p w14:paraId="1D93B73C" w14:textId="77777777" w:rsidR="00587FC1" w:rsidRDefault="00587FC1"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The witness statements for the plaintiff were due on 7 March 2022</w:t>
            </w:r>
            <w:r w:rsidR="003F3620">
              <w:rPr>
                <w:rFonts w:ascii="Arial" w:hAnsi="Arial" w:cs="Arial"/>
                <w:sz w:val="24"/>
                <w:szCs w:val="24"/>
                <w:shd w:val="clear" w:color="auto" w:fill="FFFFFF"/>
                <w:lang w:val="en-GB"/>
              </w:rPr>
              <w:t>, while the</w:t>
            </w:r>
            <w:r w:rsidRPr="003F3620">
              <w:rPr>
                <w:rFonts w:ascii="Arial" w:hAnsi="Arial" w:cs="Arial"/>
                <w:sz w:val="24"/>
                <w:szCs w:val="24"/>
                <w:shd w:val="clear" w:color="auto" w:fill="FFFFFF"/>
                <w:lang w:val="en-GB"/>
              </w:rPr>
              <w:t xml:space="preserve"> statement</w:t>
            </w:r>
            <w:r w:rsidR="003F3620">
              <w:rPr>
                <w:rFonts w:ascii="Arial" w:hAnsi="Arial" w:cs="Arial"/>
                <w:sz w:val="24"/>
                <w:szCs w:val="24"/>
                <w:shd w:val="clear" w:color="auto" w:fill="FFFFFF"/>
                <w:lang w:val="en-GB"/>
              </w:rPr>
              <w:t>s</w:t>
            </w:r>
            <w:r w:rsidRPr="003F3620">
              <w:rPr>
                <w:rFonts w:ascii="Arial" w:hAnsi="Arial" w:cs="Arial"/>
                <w:sz w:val="24"/>
                <w:szCs w:val="24"/>
                <w:shd w:val="clear" w:color="auto" w:fill="FFFFFF"/>
                <w:lang w:val="en-GB"/>
              </w:rPr>
              <w:t xml:space="preserve"> for the defendant were due on 25 March 2022.</w:t>
            </w:r>
            <w:r w:rsidR="003F3620">
              <w:rPr>
                <w:rFonts w:ascii="Arial" w:hAnsi="Arial" w:cs="Arial"/>
                <w:sz w:val="24"/>
                <w:szCs w:val="24"/>
                <w:shd w:val="clear" w:color="auto" w:fill="FFFFFF"/>
                <w:lang w:val="en-GB"/>
              </w:rPr>
              <w:t xml:space="preserve"> The plaintiff failed to file any statements, while the defendant filed on time.</w:t>
            </w:r>
          </w:p>
          <w:p w14:paraId="46E94AD8" w14:textId="77777777" w:rsidR="003F3620" w:rsidRPr="003F3620" w:rsidRDefault="003F3620" w:rsidP="003F3620">
            <w:pPr>
              <w:pStyle w:val="ListParagraph"/>
              <w:spacing w:after="0" w:line="360" w:lineRule="auto"/>
              <w:ind w:left="0"/>
              <w:jc w:val="both"/>
              <w:rPr>
                <w:rFonts w:ascii="Arial" w:hAnsi="Arial" w:cs="Arial"/>
                <w:sz w:val="24"/>
                <w:szCs w:val="24"/>
                <w:shd w:val="clear" w:color="auto" w:fill="FFFFFF"/>
                <w:lang w:val="en-GB"/>
              </w:rPr>
            </w:pPr>
          </w:p>
          <w:p w14:paraId="7EE91655"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24 April 2022, the court</w:t>
            </w:r>
            <w:r w:rsidR="003F3620">
              <w:rPr>
                <w:rFonts w:ascii="Arial" w:hAnsi="Arial" w:cs="Arial"/>
                <w:sz w:val="24"/>
                <w:szCs w:val="24"/>
                <w:shd w:val="clear" w:color="auto" w:fill="FFFFFF"/>
                <w:lang w:val="en-GB"/>
              </w:rPr>
              <w:t xml:space="preserve"> ordered the plaintiff </w:t>
            </w:r>
            <w:r w:rsidR="00E556CA">
              <w:rPr>
                <w:rFonts w:ascii="Arial" w:hAnsi="Arial" w:cs="Arial"/>
                <w:sz w:val="24"/>
                <w:szCs w:val="24"/>
                <w:shd w:val="clear" w:color="auto" w:fill="FFFFFF"/>
                <w:lang w:val="en-GB"/>
              </w:rPr>
              <w:t xml:space="preserve">to </w:t>
            </w:r>
            <w:r w:rsidR="003F3620">
              <w:rPr>
                <w:rFonts w:ascii="Arial" w:hAnsi="Arial" w:cs="Arial"/>
                <w:sz w:val="24"/>
                <w:szCs w:val="24"/>
                <w:shd w:val="clear" w:color="auto" w:fill="FFFFFF"/>
                <w:lang w:val="en-GB"/>
              </w:rPr>
              <w:t xml:space="preserve">file an </w:t>
            </w:r>
            <w:r w:rsidRPr="00587FC1">
              <w:rPr>
                <w:rFonts w:ascii="Arial" w:hAnsi="Arial" w:cs="Arial"/>
                <w:sz w:val="24"/>
                <w:szCs w:val="24"/>
                <w:shd w:val="clear" w:color="auto" w:fill="FFFFFF"/>
                <w:lang w:val="en-GB"/>
              </w:rPr>
              <w:t>application for condonation on 29 April 2022, and the defe</w:t>
            </w:r>
            <w:r w:rsidR="00E556CA">
              <w:rPr>
                <w:rFonts w:ascii="Arial" w:hAnsi="Arial" w:cs="Arial"/>
                <w:sz w:val="24"/>
                <w:szCs w:val="24"/>
                <w:shd w:val="clear" w:color="auto" w:fill="FFFFFF"/>
                <w:lang w:val="en-GB"/>
              </w:rPr>
              <w:t>ndant to file opposing papers on</w:t>
            </w:r>
            <w:r w:rsidRPr="00587FC1">
              <w:rPr>
                <w:rFonts w:ascii="Arial" w:hAnsi="Arial" w:cs="Arial"/>
                <w:sz w:val="24"/>
                <w:szCs w:val="24"/>
                <w:shd w:val="clear" w:color="auto" w:fill="FFFFFF"/>
                <w:lang w:val="en-GB"/>
              </w:rPr>
              <w:t xml:space="preserve"> 9 May 2022.</w:t>
            </w:r>
          </w:p>
          <w:p w14:paraId="4F0AC13A" w14:textId="77777777" w:rsidR="00587FC1" w:rsidRPr="00587FC1" w:rsidRDefault="00587FC1" w:rsidP="00587FC1">
            <w:pPr>
              <w:pStyle w:val="ListParagraph"/>
              <w:rPr>
                <w:rFonts w:ascii="Arial" w:hAnsi="Arial" w:cs="Arial"/>
                <w:sz w:val="24"/>
                <w:szCs w:val="24"/>
                <w:shd w:val="clear" w:color="auto" w:fill="FFFFFF"/>
                <w:lang w:val="en-GB"/>
              </w:rPr>
            </w:pPr>
          </w:p>
          <w:p w14:paraId="6AA39BC5" w14:textId="737C0655"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lastRenderedPageBreak/>
              <w:t>The defendant filed her application for con</w:t>
            </w:r>
            <w:r w:rsidR="003F3620">
              <w:rPr>
                <w:rFonts w:ascii="Arial" w:hAnsi="Arial" w:cs="Arial"/>
                <w:sz w:val="24"/>
                <w:szCs w:val="24"/>
                <w:shd w:val="clear" w:color="auto" w:fill="FFFFFF"/>
                <w:lang w:val="en-GB"/>
              </w:rPr>
              <w:t>donation</w:t>
            </w:r>
            <w:r w:rsidR="00FD3A10">
              <w:rPr>
                <w:rFonts w:ascii="Arial" w:hAnsi="Arial" w:cs="Arial"/>
                <w:sz w:val="24"/>
                <w:szCs w:val="24"/>
                <w:shd w:val="clear" w:color="auto" w:fill="FFFFFF"/>
                <w:lang w:val="en-GB"/>
              </w:rPr>
              <w:t xml:space="preserve"> on</w:t>
            </w:r>
            <w:r w:rsidR="003F3620">
              <w:rPr>
                <w:rFonts w:ascii="Arial" w:hAnsi="Arial" w:cs="Arial"/>
                <w:sz w:val="24"/>
                <w:szCs w:val="24"/>
                <w:shd w:val="clear" w:color="auto" w:fill="FFFFFF"/>
                <w:lang w:val="en-GB"/>
              </w:rPr>
              <w:t xml:space="preserve"> 29 April 2022 at 16h22.</w:t>
            </w:r>
          </w:p>
          <w:p w14:paraId="219BBC45" w14:textId="77777777" w:rsidR="00587FC1" w:rsidRPr="00587FC1" w:rsidRDefault="00587FC1" w:rsidP="00587FC1">
            <w:pPr>
              <w:pStyle w:val="ListParagraph"/>
              <w:rPr>
                <w:rFonts w:ascii="Arial" w:hAnsi="Arial" w:cs="Arial"/>
                <w:sz w:val="24"/>
                <w:szCs w:val="24"/>
                <w:shd w:val="clear" w:color="auto" w:fill="FFFFFF"/>
                <w:lang w:val="en-GB"/>
              </w:rPr>
            </w:pPr>
          </w:p>
          <w:p w14:paraId="6E926586" w14:textId="2EA57314" w:rsidR="00587FC1" w:rsidRDefault="00B54D64"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The plaintiff</w:t>
            </w:r>
            <w:r w:rsidR="003F3620">
              <w:rPr>
                <w:rFonts w:ascii="Arial" w:hAnsi="Arial" w:cs="Arial"/>
                <w:sz w:val="24"/>
                <w:szCs w:val="24"/>
                <w:shd w:val="clear" w:color="auto" w:fill="FFFFFF"/>
                <w:lang w:val="en-GB"/>
              </w:rPr>
              <w:t xml:space="preserve"> in her founding affidavit avers</w:t>
            </w:r>
            <w:r w:rsidR="000B32F0">
              <w:rPr>
                <w:rFonts w:ascii="Arial" w:hAnsi="Arial" w:cs="Arial"/>
                <w:sz w:val="24"/>
                <w:szCs w:val="24"/>
                <w:shd w:val="clear" w:color="auto" w:fill="FFFFFF"/>
                <w:lang w:val="en-GB"/>
              </w:rPr>
              <w:t xml:space="preserve"> that</w:t>
            </w:r>
            <w:r w:rsidR="003F3620">
              <w:rPr>
                <w:rFonts w:ascii="Arial" w:hAnsi="Arial" w:cs="Arial"/>
                <w:sz w:val="24"/>
                <w:szCs w:val="24"/>
                <w:shd w:val="clear" w:color="auto" w:fill="FFFFFF"/>
                <w:lang w:val="en-GB"/>
              </w:rPr>
              <w:t xml:space="preserve"> her legal practitioner – at that stage</w:t>
            </w:r>
            <w:r w:rsidR="00CE45C3">
              <w:rPr>
                <w:rFonts w:ascii="Arial" w:hAnsi="Arial" w:cs="Arial"/>
                <w:sz w:val="24"/>
                <w:szCs w:val="24"/>
                <w:shd w:val="clear" w:color="auto" w:fill="FFFFFF"/>
                <w:lang w:val="en-GB"/>
              </w:rPr>
              <w:t xml:space="preserve"> – Ms Nd</w:t>
            </w:r>
            <w:r w:rsidR="00DD1585">
              <w:rPr>
                <w:rFonts w:ascii="Arial" w:hAnsi="Arial" w:cs="Arial"/>
                <w:sz w:val="24"/>
                <w:szCs w:val="24"/>
                <w:shd w:val="clear" w:color="auto" w:fill="FFFFFF"/>
                <w:lang w:val="en-GB"/>
              </w:rPr>
              <w:t>ilula-Ndamanomhata</w:t>
            </w:r>
            <w:r w:rsidR="003F3620">
              <w:rPr>
                <w:rFonts w:ascii="Arial" w:hAnsi="Arial" w:cs="Arial"/>
                <w:sz w:val="24"/>
                <w:szCs w:val="24"/>
                <w:shd w:val="clear" w:color="auto" w:fill="FFFFFF"/>
                <w:lang w:val="en-GB"/>
              </w:rPr>
              <w:t>, c</w:t>
            </w:r>
            <w:r w:rsidR="00587FC1" w:rsidRPr="00587FC1">
              <w:rPr>
                <w:rFonts w:ascii="Arial" w:hAnsi="Arial" w:cs="Arial"/>
                <w:sz w:val="24"/>
                <w:szCs w:val="24"/>
                <w:shd w:val="clear" w:color="auto" w:fill="FFFFFF"/>
                <w:lang w:val="en-GB"/>
              </w:rPr>
              <w:t xml:space="preserve">ontacted her </w:t>
            </w:r>
            <w:r w:rsidR="003F3620">
              <w:rPr>
                <w:rFonts w:ascii="Arial" w:hAnsi="Arial" w:cs="Arial"/>
                <w:sz w:val="24"/>
                <w:szCs w:val="24"/>
                <w:shd w:val="clear" w:color="auto" w:fill="FFFFFF"/>
                <w:lang w:val="en-GB"/>
              </w:rPr>
              <w:t xml:space="preserve">during January 2022 to put her </w:t>
            </w:r>
            <w:r w:rsidR="00587FC1" w:rsidRPr="00587FC1">
              <w:rPr>
                <w:rFonts w:ascii="Arial" w:hAnsi="Arial" w:cs="Arial"/>
                <w:sz w:val="24"/>
                <w:szCs w:val="24"/>
                <w:shd w:val="clear" w:color="auto" w:fill="FFFFFF"/>
                <w:lang w:val="en-GB"/>
              </w:rPr>
              <w:t xml:space="preserve">in funds to attend to the </w:t>
            </w:r>
            <w:r w:rsidR="003F3620">
              <w:rPr>
                <w:rFonts w:ascii="Arial" w:hAnsi="Arial" w:cs="Arial"/>
                <w:sz w:val="24"/>
                <w:szCs w:val="24"/>
                <w:shd w:val="clear" w:color="auto" w:fill="FFFFFF"/>
                <w:lang w:val="en-GB"/>
              </w:rPr>
              <w:t xml:space="preserve">drafting </w:t>
            </w:r>
            <w:r w:rsidR="00DD1585">
              <w:rPr>
                <w:rFonts w:ascii="Arial" w:hAnsi="Arial" w:cs="Arial"/>
                <w:sz w:val="24"/>
                <w:szCs w:val="24"/>
                <w:shd w:val="clear" w:color="auto" w:fill="FFFFFF"/>
                <w:lang w:val="en-GB"/>
              </w:rPr>
              <w:t>of</w:t>
            </w:r>
            <w:r w:rsidR="003F3620">
              <w:rPr>
                <w:rFonts w:ascii="Arial" w:hAnsi="Arial" w:cs="Arial"/>
                <w:sz w:val="24"/>
                <w:szCs w:val="24"/>
                <w:shd w:val="clear" w:color="auto" w:fill="FFFFFF"/>
                <w:lang w:val="en-GB"/>
              </w:rPr>
              <w:t xml:space="preserve"> the </w:t>
            </w:r>
            <w:r w:rsidR="00587FC1" w:rsidRPr="00587FC1">
              <w:rPr>
                <w:rFonts w:ascii="Arial" w:hAnsi="Arial" w:cs="Arial"/>
                <w:sz w:val="24"/>
                <w:szCs w:val="24"/>
                <w:shd w:val="clear" w:color="auto" w:fill="FFFFFF"/>
                <w:lang w:val="en-GB"/>
              </w:rPr>
              <w:t>witness statements. She avers</w:t>
            </w:r>
            <w:r w:rsidR="001203FA">
              <w:rPr>
                <w:rFonts w:ascii="Arial" w:hAnsi="Arial" w:cs="Arial"/>
                <w:sz w:val="24"/>
                <w:szCs w:val="24"/>
                <w:shd w:val="clear" w:color="auto" w:fill="FFFFFF"/>
                <w:lang w:val="en-GB"/>
              </w:rPr>
              <w:t>,</w:t>
            </w:r>
            <w:r w:rsidR="00587FC1" w:rsidRPr="00587FC1">
              <w:rPr>
                <w:rFonts w:ascii="Arial" w:hAnsi="Arial" w:cs="Arial"/>
                <w:sz w:val="24"/>
                <w:szCs w:val="24"/>
                <w:shd w:val="clear" w:color="auto" w:fill="FFFFFF"/>
                <w:lang w:val="en-GB"/>
              </w:rPr>
              <w:t xml:space="preserve"> at this stage</w:t>
            </w:r>
            <w:r w:rsidR="001203FA">
              <w:rPr>
                <w:rFonts w:ascii="Arial" w:hAnsi="Arial" w:cs="Arial"/>
                <w:sz w:val="24"/>
                <w:szCs w:val="24"/>
                <w:shd w:val="clear" w:color="auto" w:fill="FFFFFF"/>
                <w:lang w:val="en-GB"/>
              </w:rPr>
              <w:t>,</w:t>
            </w:r>
            <w:r w:rsidR="00587FC1" w:rsidRPr="00587FC1">
              <w:rPr>
                <w:rFonts w:ascii="Arial" w:hAnsi="Arial" w:cs="Arial"/>
                <w:sz w:val="24"/>
                <w:szCs w:val="24"/>
                <w:shd w:val="clear" w:color="auto" w:fill="FFFFFF"/>
                <w:lang w:val="en-GB"/>
              </w:rPr>
              <w:t xml:space="preserve"> the bill was already in arrears, and while part of it was settled </w:t>
            </w:r>
            <w:r w:rsidR="00DD1585">
              <w:rPr>
                <w:rFonts w:ascii="Arial" w:hAnsi="Arial" w:cs="Arial"/>
                <w:sz w:val="24"/>
                <w:szCs w:val="24"/>
                <w:shd w:val="clear" w:color="auto" w:fill="FFFFFF"/>
                <w:lang w:val="en-GB"/>
              </w:rPr>
              <w:t>in</w:t>
            </w:r>
            <w:r w:rsidR="00587FC1" w:rsidRPr="00587FC1">
              <w:rPr>
                <w:rFonts w:ascii="Arial" w:hAnsi="Arial" w:cs="Arial"/>
                <w:sz w:val="24"/>
                <w:szCs w:val="24"/>
                <w:shd w:val="clear" w:color="auto" w:fill="FFFFFF"/>
                <w:lang w:val="en-GB"/>
              </w:rPr>
              <w:t xml:space="preserve"> January 2022, she only managed to settle the remainder of the bill d</w:t>
            </w:r>
            <w:r w:rsidR="003F3620">
              <w:rPr>
                <w:rFonts w:ascii="Arial" w:hAnsi="Arial" w:cs="Arial"/>
                <w:sz w:val="24"/>
                <w:szCs w:val="24"/>
                <w:shd w:val="clear" w:color="auto" w:fill="FFFFFF"/>
                <w:lang w:val="en-GB"/>
              </w:rPr>
              <w:t>uring April 2022. She avers the difficulty in drafting the statements was</w:t>
            </w:r>
            <w:r w:rsidR="00587FC1" w:rsidRPr="00587FC1">
              <w:rPr>
                <w:rFonts w:ascii="Arial" w:hAnsi="Arial" w:cs="Arial"/>
                <w:sz w:val="24"/>
                <w:szCs w:val="24"/>
                <w:shd w:val="clear" w:color="auto" w:fill="FFFFFF"/>
                <w:lang w:val="en-GB"/>
              </w:rPr>
              <w:t xml:space="preserve"> further compounded by the fact that one of the </w:t>
            </w:r>
            <w:r w:rsidR="00DD1585">
              <w:rPr>
                <w:rFonts w:ascii="Arial" w:hAnsi="Arial" w:cs="Arial"/>
                <w:sz w:val="24"/>
                <w:szCs w:val="24"/>
                <w:shd w:val="clear" w:color="auto" w:fill="FFFFFF"/>
                <w:lang w:val="en-GB"/>
              </w:rPr>
              <w:t>witnesses</w:t>
            </w:r>
            <w:r w:rsidR="00587FC1" w:rsidRPr="00587FC1">
              <w:rPr>
                <w:rFonts w:ascii="Arial" w:hAnsi="Arial" w:cs="Arial"/>
                <w:sz w:val="24"/>
                <w:szCs w:val="24"/>
                <w:shd w:val="clear" w:color="auto" w:fill="FFFFFF"/>
                <w:lang w:val="en-GB"/>
              </w:rPr>
              <w:t xml:space="preserve"> </w:t>
            </w:r>
            <w:r w:rsidR="003F3620">
              <w:rPr>
                <w:rFonts w:ascii="Arial" w:hAnsi="Arial" w:cs="Arial"/>
                <w:sz w:val="24"/>
                <w:szCs w:val="24"/>
                <w:shd w:val="clear" w:color="auto" w:fill="FFFFFF"/>
                <w:lang w:val="en-GB"/>
              </w:rPr>
              <w:t>was</w:t>
            </w:r>
            <w:r w:rsidR="00587FC1" w:rsidRPr="00587FC1">
              <w:rPr>
                <w:rFonts w:ascii="Arial" w:hAnsi="Arial" w:cs="Arial"/>
                <w:sz w:val="24"/>
                <w:szCs w:val="24"/>
                <w:shd w:val="clear" w:color="auto" w:fill="FFFFFF"/>
                <w:lang w:val="en-GB"/>
              </w:rPr>
              <w:t xml:space="preserve"> unavailable, due to</w:t>
            </w:r>
            <w:r>
              <w:rPr>
                <w:rFonts w:ascii="Arial" w:hAnsi="Arial" w:cs="Arial"/>
                <w:sz w:val="24"/>
                <w:szCs w:val="24"/>
                <w:shd w:val="clear" w:color="auto" w:fill="FFFFFF"/>
                <w:lang w:val="en-GB"/>
              </w:rPr>
              <w:t xml:space="preserve"> their employment in the Public Service</w:t>
            </w:r>
            <w:r w:rsidR="003F3620">
              <w:rPr>
                <w:rFonts w:ascii="Arial" w:hAnsi="Arial" w:cs="Arial"/>
                <w:sz w:val="24"/>
                <w:szCs w:val="24"/>
                <w:shd w:val="clear" w:color="auto" w:fill="FFFFFF"/>
                <w:lang w:val="en-GB"/>
              </w:rPr>
              <w:t>, but an appointment was eventually set for consultation.</w:t>
            </w:r>
          </w:p>
          <w:p w14:paraId="014DCA4F" w14:textId="77777777" w:rsidR="00B54D64" w:rsidRPr="00B54D64" w:rsidRDefault="00B54D64" w:rsidP="00B54D64">
            <w:pPr>
              <w:pStyle w:val="ListParagraph"/>
              <w:rPr>
                <w:rFonts w:ascii="Arial" w:hAnsi="Arial" w:cs="Arial"/>
                <w:sz w:val="24"/>
                <w:szCs w:val="24"/>
                <w:shd w:val="clear" w:color="auto" w:fill="FFFFFF"/>
                <w:lang w:val="en-GB"/>
              </w:rPr>
            </w:pPr>
          </w:p>
          <w:p w14:paraId="2056D94C" w14:textId="77777777" w:rsidR="00B54D64" w:rsidRDefault="00B54D64"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It is noted that at the time of filing the condonation application, the witness statements were about 20 days out of time</w:t>
            </w:r>
            <w:r w:rsidR="003F3620">
              <w:rPr>
                <w:rFonts w:ascii="Arial" w:hAnsi="Arial" w:cs="Arial"/>
                <w:sz w:val="24"/>
                <w:szCs w:val="24"/>
                <w:shd w:val="clear" w:color="auto" w:fill="FFFFFF"/>
                <w:lang w:val="en-GB"/>
              </w:rPr>
              <w:t>, and statements have not been filed to date.</w:t>
            </w:r>
          </w:p>
          <w:p w14:paraId="3EDAEC9C" w14:textId="77777777" w:rsidR="00B54D64" w:rsidRPr="00B54D64" w:rsidRDefault="00B54D64" w:rsidP="00B54D64">
            <w:pPr>
              <w:pStyle w:val="ListParagraph"/>
              <w:rPr>
                <w:rFonts w:ascii="Arial" w:hAnsi="Arial" w:cs="Arial"/>
                <w:sz w:val="24"/>
                <w:szCs w:val="24"/>
                <w:shd w:val="clear" w:color="auto" w:fill="FFFFFF"/>
                <w:lang w:val="en-GB"/>
              </w:rPr>
            </w:pPr>
          </w:p>
          <w:p w14:paraId="6FB40442" w14:textId="6F2D5090" w:rsidR="00B54D64" w:rsidRDefault="00B54D64"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 xml:space="preserve">As to prospects of success, the plaintiff avers the defendant’s opposition to her claim – the basis of </w:t>
            </w:r>
            <w:r w:rsidR="003F3620">
              <w:rPr>
                <w:rFonts w:ascii="Arial" w:hAnsi="Arial" w:cs="Arial"/>
                <w:sz w:val="24"/>
                <w:szCs w:val="24"/>
                <w:shd w:val="clear" w:color="auto" w:fill="FFFFFF"/>
                <w:lang w:val="en-GB"/>
              </w:rPr>
              <w:t>the defendant’s</w:t>
            </w:r>
            <w:r>
              <w:rPr>
                <w:rFonts w:ascii="Arial" w:hAnsi="Arial" w:cs="Arial"/>
                <w:sz w:val="24"/>
                <w:szCs w:val="24"/>
                <w:shd w:val="clear" w:color="auto" w:fill="FFFFFF"/>
                <w:lang w:val="en-GB"/>
              </w:rPr>
              <w:t xml:space="preserve"> repudiation, is that the defendant avers the driver of the vehicle – owned by the plaintiff, left the scene of the accident before the arrival of the police. The plaintiff denies this and avers she enjoys prospects as the police officer who attended to the scene confirms the driver was at the scene, and only left the scene after the paramedics had arrived, and which version will be corroborated by the witnesses, once their statements are filed. The plaintiff</w:t>
            </w:r>
            <w:r w:rsidR="000B32F0">
              <w:rPr>
                <w:rFonts w:ascii="Arial" w:hAnsi="Arial" w:cs="Arial"/>
                <w:sz w:val="24"/>
                <w:szCs w:val="24"/>
                <w:shd w:val="clear" w:color="auto" w:fill="FFFFFF"/>
                <w:lang w:val="en-GB"/>
              </w:rPr>
              <w:t xml:space="preserve"> states that</w:t>
            </w:r>
            <w:r>
              <w:rPr>
                <w:rFonts w:ascii="Arial" w:hAnsi="Arial" w:cs="Arial"/>
                <w:sz w:val="24"/>
                <w:szCs w:val="24"/>
                <w:shd w:val="clear" w:color="auto" w:fill="FFFFFF"/>
                <w:lang w:val="en-GB"/>
              </w:rPr>
              <w:t xml:space="preserve"> the witness statement filed on behalf of the defendant was produced by a person who did not personally attend to the scene on the day of the accident, as such, the evidence the defendant will rely on at trial amounts to inadmissible hearsay evidence.</w:t>
            </w:r>
          </w:p>
          <w:p w14:paraId="68144991" w14:textId="77777777" w:rsidR="00587FC1" w:rsidRPr="00587FC1" w:rsidRDefault="00587FC1" w:rsidP="00587FC1">
            <w:pPr>
              <w:pStyle w:val="ListParagraph"/>
              <w:rPr>
                <w:rFonts w:ascii="Arial" w:hAnsi="Arial" w:cs="Arial"/>
                <w:sz w:val="24"/>
                <w:szCs w:val="24"/>
                <w:shd w:val="clear" w:color="auto" w:fill="FFFFFF"/>
                <w:lang w:val="en-GB"/>
              </w:rPr>
            </w:pPr>
          </w:p>
          <w:p w14:paraId="6D572799" w14:textId="74E5444A" w:rsidR="00587FC1" w:rsidRDefault="003F3620"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The defendant opposes the condonation a</w:t>
            </w:r>
            <w:r w:rsidR="00587FC1" w:rsidRPr="00587FC1">
              <w:rPr>
                <w:rFonts w:ascii="Arial" w:hAnsi="Arial" w:cs="Arial"/>
                <w:sz w:val="24"/>
                <w:szCs w:val="24"/>
                <w:shd w:val="clear" w:color="auto" w:fill="FFFFFF"/>
                <w:lang w:val="en-GB"/>
              </w:rPr>
              <w:t>pplication, averring the explanation tendered by the defendant is not reasonable, and that despite their agreement that a pre-trial report be filed first</w:t>
            </w:r>
            <w:r w:rsidR="001203FA">
              <w:rPr>
                <w:rFonts w:ascii="Arial" w:hAnsi="Arial" w:cs="Arial"/>
                <w:sz w:val="24"/>
                <w:szCs w:val="24"/>
                <w:shd w:val="clear" w:color="auto" w:fill="FFFFFF"/>
                <w:lang w:val="en-GB"/>
              </w:rPr>
              <w:t xml:space="preserve"> before the witness statements</w:t>
            </w:r>
            <w:r w:rsidR="00587FC1" w:rsidRPr="00587FC1">
              <w:rPr>
                <w:rFonts w:ascii="Arial" w:hAnsi="Arial" w:cs="Arial"/>
                <w:sz w:val="24"/>
                <w:szCs w:val="24"/>
                <w:shd w:val="clear" w:color="auto" w:fill="FFFFFF"/>
                <w:lang w:val="en-GB"/>
              </w:rPr>
              <w:t xml:space="preserve"> by January 2022, the plaintiff was in default of sharing a report and when the defendant shared a draft, the version of the plaintiff changed that she now wants to file witness statements first. The defendant avers the plaintiff is disingenuous as it is now clear from the application that the change in front was occasioned not to incur any further legal costs</w:t>
            </w:r>
            <w:r w:rsidR="00587FC1">
              <w:rPr>
                <w:rFonts w:ascii="Arial" w:hAnsi="Arial" w:cs="Arial"/>
                <w:sz w:val="24"/>
                <w:szCs w:val="24"/>
                <w:shd w:val="clear" w:color="auto" w:fill="FFFFFF"/>
                <w:lang w:val="en-GB"/>
              </w:rPr>
              <w:t>.</w:t>
            </w:r>
          </w:p>
          <w:p w14:paraId="43971650" w14:textId="77777777" w:rsidR="00587FC1" w:rsidRPr="00587FC1" w:rsidRDefault="00587FC1" w:rsidP="00587FC1">
            <w:pPr>
              <w:pStyle w:val="ListParagraph"/>
              <w:rPr>
                <w:rFonts w:ascii="Arial" w:hAnsi="Arial" w:cs="Arial"/>
                <w:sz w:val="24"/>
                <w:szCs w:val="24"/>
                <w:shd w:val="clear" w:color="auto" w:fill="FFFFFF"/>
                <w:lang w:val="en-GB"/>
              </w:rPr>
            </w:pPr>
          </w:p>
          <w:p w14:paraId="163FCD1D"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lastRenderedPageBreak/>
              <w:t>On 16 May 2022, the court postponed the matter for assignment of a hearing date and for the plaintiff to file her replying affidavit on or before 1 June 2022.</w:t>
            </w:r>
          </w:p>
          <w:p w14:paraId="28AC810B" w14:textId="77777777" w:rsidR="00587FC1" w:rsidRPr="00587FC1" w:rsidRDefault="00587FC1" w:rsidP="00587FC1">
            <w:pPr>
              <w:pStyle w:val="ListParagraph"/>
              <w:rPr>
                <w:rFonts w:ascii="Arial" w:hAnsi="Arial" w:cs="Arial"/>
                <w:sz w:val="24"/>
                <w:szCs w:val="24"/>
                <w:shd w:val="clear" w:color="auto" w:fill="FFFFFF"/>
                <w:lang w:val="en-GB"/>
              </w:rPr>
            </w:pPr>
          </w:p>
          <w:p w14:paraId="7CDF3C9D"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The replying affidavit was filed on 3 June 2022.</w:t>
            </w:r>
          </w:p>
          <w:p w14:paraId="1B254707" w14:textId="77777777" w:rsidR="00587FC1" w:rsidRPr="00587FC1" w:rsidRDefault="00587FC1" w:rsidP="00587FC1">
            <w:pPr>
              <w:pStyle w:val="ListParagraph"/>
              <w:rPr>
                <w:rFonts w:ascii="Arial" w:hAnsi="Arial" w:cs="Arial"/>
                <w:sz w:val="24"/>
                <w:szCs w:val="24"/>
                <w:shd w:val="clear" w:color="auto" w:fill="FFFFFF"/>
                <w:lang w:val="en-GB"/>
              </w:rPr>
            </w:pPr>
          </w:p>
          <w:p w14:paraId="002291EB" w14:textId="1A79CCD0" w:rsidR="00587FC1" w:rsidRDefault="003F3620"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 xml:space="preserve">On the same date, </w:t>
            </w:r>
            <w:r w:rsidR="00E556CA">
              <w:rPr>
                <w:rFonts w:ascii="Arial" w:hAnsi="Arial" w:cs="Arial"/>
                <w:sz w:val="24"/>
                <w:szCs w:val="24"/>
                <w:shd w:val="clear" w:color="auto" w:fill="FFFFFF"/>
                <w:lang w:val="en-GB"/>
              </w:rPr>
              <w:t>Ms Ndilula-Ndamanomhata</w:t>
            </w:r>
            <w:r w:rsidR="00CE45C3">
              <w:rPr>
                <w:rFonts w:ascii="Arial" w:hAnsi="Arial" w:cs="Arial"/>
                <w:sz w:val="24"/>
                <w:szCs w:val="24"/>
                <w:shd w:val="clear" w:color="auto" w:fill="FFFFFF"/>
                <w:lang w:val="en-GB"/>
              </w:rPr>
              <w:t xml:space="preserve"> </w:t>
            </w:r>
            <w:r w:rsidR="00587FC1" w:rsidRPr="00587FC1">
              <w:rPr>
                <w:rFonts w:ascii="Arial" w:hAnsi="Arial" w:cs="Arial"/>
                <w:sz w:val="24"/>
                <w:szCs w:val="24"/>
                <w:shd w:val="clear" w:color="auto" w:fill="FFFFFF"/>
                <w:lang w:val="en-GB"/>
              </w:rPr>
              <w:t xml:space="preserve">filed an explanatory affidavit </w:t>
            </w:r>
            <w:r>
              <w:rPr>
                <w:rFonts w:ascii="Arial" w:hAnsi="Arial" w:cs="Arial"/>
                <w:sz w:val="24"/>
                <w:szCs w:val="24"/>
                <w:shd w:val="clear" w:color="auto" w:fill="FFFFFF"/>
                <w:lang w:val="en-GB"/>
              </w:rPr>
              <w:t xml:space="preserve">deposed by her candidate legal practitioner, </w:t>
            </w:r>
            <w:r w:rsidR="00587FC1" w:rsidRPr="00587FC1">
              <w:rPr>
                <w:rFonts w:ascii="Arial" w:hAnsi="Arial" w:cs="Arial"/>
                <w:sz w:val="24"/>
                <w:szCs w:val="24"/>
                <w:shd w:val="clear" w:color="auto" w:fill="FFFFFF"/>
                <w:lang w:val="en-GB"/>
              </w:rPr>
              <w:t>averring she attended to upload the affidavit on 1 June 2022, but she did not click submit. On 3 June 2022</w:t>
            </w:r>
            <w:r w:rsidR="001203FA">
              <w:rPr>
                <w:rFonts w:ascii="Arial" w:hAnsi="Arial" w:cs="Arial"/>
                <w:sz w:val="24"/>
                <w:szCs w:val="24"/>
                <w:shd w:val="clear" w:color="auto" w:fill="FFFFFF"/>
                <w:lang w:val="en-GB"/>
              </w:rPr>
              <w:t>,</w:t>
            </w:r>
            <w:r w:rsidR="00587FC1" w:rsidRPr="00587FC1">
              <w:rPr>
                <w:rFonts w:ascii="Arial" w:hAnsi="Arial" w:cs="Arial"/>
                <w:sz w:val="24"/>
                <w:szCs w:val="24"/>
                <w:shd w:val="clear" w:color="auto" w:fill="FFFFFF"/>
                <w:lang w:val="en-GB"/>
              </w:rPr>
              <w:t xml:space="preserve"> when she checked the file, she noticed she did not upload the replying affidavit, and uploaded </w:t>
            </w:r>
            <w:r w:rsidR="00DD1585">
              <w:rPr>
                <w:rFonts w:ascii="Arial" w:hAnsi="Arial" w:cs="Arial"/>
                <w:sz w:val="24"/>
                <w:szCs w:val="24"/>
                <w:shd w:val="clear" w:color="auto" w:fill="FFFFFF"/>
                <w:lang w:val="en-GB"/>
              </w:rPr>
              <w:t xml:space="preserve">the </w:t>
            </w:r>
            <w:r w:rsidR="00587FC1" w:rsidRPr="00587FC1">
              <w:rPr>
                <w:rFonts w:ascii="Arial" w:hAnsi="Arial" w:cs="Arial"/>
                <w:sz w:val="24"/>
                <w:szCs w:val="24"/>
                <w:shd w:val="clear" w:color="auto" w:fill="FFFFFF"/>
                <w:lang w:val="en-GB"/>
              </w:rPr>
              <w:t>same then, with her explanatory affidavit.</w:t>
            </w:r>
          </w:p>
          <w:p w14:paraId="49448497" w14:textId="77777777" w:rsidR="00587FC1" w:rsidRPr="00587FC1" w:rsidRDefault="00587FC1" w:rsidP="00587FC1">
            <w:pPr>
              <w:pStyle w:val="ListParagraph"/>
              <w:rPr>
                <w:rFonts w:ascii="Arial" w:hAnsi="Arial" w:cs="Arial"/>
                <w:sz w:val="24"/>
                <w:szCs w:val="24"/>
                <w:shd w:val="clear" w:color="auto" w:fill="FFFFFF"/>
                <w:lang w:val="en-GB"/>
              </w:rPr>
            </w:pPr>
          </w:p>
          <w:p w14:paraId="649F72BD"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8 June 2022, the court barred the plaintiff from filing a reply</w:t>
            </w:r>
            <w:r w:rsidR="00DD1585">
              <w:rPr>
                <w:rFonts w:ascii="Arial" w:hAnsi="Arial" w:cs="Arial"/>
                <w:sz w:val="24"/>
                <w:szCs w:val="24"/>
                <w:shd w:val="clear" w:color="auto" w:fill="FFFFFF"/>
                <w:lang w:val="en-GB"/>
              </w:rPr>
              <w:t>ing affidavit</w:t>
            </w:r>
            <w:r w:rsidRPr="00587FC1">
              <w:rPr>
                <w:rFonts w:ascii="Arial" w:hAnsi="Arial" w:cs="Arial"/>
                <w:sz w:val="24"/>
                <w:szCs w:val="24"/>
                <w:shd w:val="clear" w:color="auto" w:fill="FFFFFF"/>
                <w:lang w:val="en-GB"/>
              </w:rPr>
              <w:t>, and postponed the matter for the plaintiff to address the court on how she intends to proceed in light of the bar.</w:t>
            </w:r>
          </w:p>
          <w:p w14:paraId="5401BBBD" w14:textId="77777777" w:rsidR="00587FC1" w:rsidRPr="00587FC1" w:rsidRDefault="00587FC1" w:rsidP="00587FC1">
            <w:pPr>
              <w:pStyle w:val="ListParagraph"/>
              <w:rPr>
                <w:rFonts w:ascii="Arial" w:hAnsi="Arial" w:cs="Arial"/>
                <w:sz w:val="24"/>
                <w:szCs w:val="24"/>
                <w:shd w:val="clear" w:color="auto" w:fill="FFFFFF"/>
                <w:lang w:val="en-GB"/>
              </w:rPr>
            </w:pPr>
          </w:p>
          <w:p w14:paraId="618C1DE5"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12 July 2022, the parties filed a joint status report wherein the plaintiff recorded her intention to file a</w:t>
            </w:r>
            <w:r w:rsidR="00DD1585">
              <w:rPr>
                <w:rFonts w:ascii="Arial" w:hAnsi="Arial" w:cs="Arial"/>
                <w:sz w:val="24"/>
                <w:szCs w:val="24"/>
                <w:shd w:val="clear" w:color="auto" w:fill="FFFFFF"/>
                <w:lang w:val="en-GB"/>
              </w:rPr>
              <w:t xml:space="preserve"> second</w:t>
            </w:r>
            <w:r w:rsidRPr="00587FC1">
              <w:rPr>
                <w:rFonts w:ascii="Arial" w:hAnsi="Arial" w:cs="Arial"/>
                <w:sz w:val="24"/>
                <w:szCs w:val="24"/>
                <w:shd w:val="clear" w:color="auto" w:fill="FFFFFF"/>
                <w:lang w:val="en-GB"/>
              </w:rPr>
              <w:t xml:space="preserve"> condonation application and the defe</w:t>
            </w:r>
            <w:r w:rsidR="00DD1585">
              <w:rPr>
                <w:rFonts w:ascii="Arial" w:hAnsi="Arial" w:cs="Arial"/>
                <w:sz w:val="24"/>
                <w:szCs w:val="24"/>
                <w:shd w:val="clear" w:color="auto" w:fill="FFFFFF"/>
                <w:lang w:val="en-GB"/>
              </w:rPr>
              <w:t>ndant persisted in its attempt</w:t>
            </w:r>
            <w:r w:rsidRPr="00587FC1">
              <w:rPr>
                <w:rFonts w:ascii="Arial" w:hAnsi="Arial" w:cs="Arial"/>
                <w:sz w:val="24"/>
                <w:szCs w:val="24"/>
                <w:shd w:val="clear" w:color="auto" w:fill="FFFFFF"/>
                <w:lang w:val="en-GB"/>
              </w:rPr>
              <w:t xml:space="preserve"> to obtain dates for the first condonation application.</w:t>
            </w:r>
          </w:p>
          <w:p w14:paraId="5763CB08" w14:textId="77777777" w:rsidR="00587FC1" w:rsidRPr="00587FC1" w:rsidRDefault="00587FC1" w:rsidP="00587FC1">
            <w:pPr>
              <w:pStyle w:val="ListParagraph"/>
              <w:rPr>
                <w:rFonts w:ascii="Arial" w:hAnsi="Arial" w:cs="Arial"/>
                <w:sz w:val="24"/>
                <w:szCs w:val="24"/>
                <w:shd w:val="clear" w:color="auto" w:fill="FFFFFF"/>
                <w:lang w:val="en-GB"/>
              </w:rPr>
            </w:pPr>
          </w:p>
          <w:p w14:paraId="2A70E0E0" w14:textId="7EA6D1F4" w:rsidR="00587FC1" w:rsidRDefault="001203FA"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 xml:space="preserve">The matter was, </w:t>
            </w:r>
            <w:r w:rsidR="003F3620">
              <w:rPr>
                <w:rFonts w:ascii="Arial" w:hAnsi="Arial" w:cs="Arial"/>
                <w:sz w:val="24"/>
                <w:szCs w:val="24"/>
                <w:shd w:val="clear" w:color="auto" w:fill="FFFFFF"/>
                <w:lang w:val="en-GB"/>
              </w:rPr>
              <w:t>again</w:t>
            </w:r>
            <w:r>
              <w:rPr>
                <w:rFonts w:ascii="Arial" w:hAnsi="Arial" w:cs="Arial"/>
                <w:sz w:val="24"/>
                <w:szCs w:val="24"/>
                <w:shd w:val="clear" w:color="auto" w:fill="FFFFFF"/>
                <w:lang w:val="en-GB"/>
              </w:rPr>
              <w:t>,</w:t>
            </w:r>
            <w:r w:rsidR="003F3620">
              <w:rPr>
                <w:rFonts w:ascii="Arial" w:hAnsi="Arial" w:cs="Arial"/>
                <w:sz w:val="24"/>
                <w:szCs w:val="24"/>
                <w:shd w:val="clear" w:color="auto" w:fill="FFFFFF"/>
                <w:lang w:val="en-GB"/>
              </w:rPr>
              <w:t xml:space="preserve"> </w:t>
            </w:r>
            <w:r w:rsidR="00587FC1" w:rsidRPr="00587FC1">
              <w:rPr>
                <w:rFonts w:ascii="Arial" w:hAnsi="Arial" w:cs="Arial"/>
                <w:sz w:val="24"/>
                <w:szCs w:val="24"/>
                <w:shd w:val="clear" w:color="auto" w:fill="FFFFFF"/>
                <w:lang w:val="en-GB"/>
              </w:rPr>
              <w:t>on 17 July 2022 postponed for the parties to address the court on the way forward, and to attempt to find common ground, or formally address the court.</w:t>
            </w:r>
          </w:p>
          <w:p w14:paraId="476FCB97" w14:textId="77777777" w:rsidR="00587FC1" w:rsidRPr="00587FC1" w:rsidRDefault="00587FC1" w:rsidP="00587FC1">
            <w:pPr>
              <w:pStyle w:val="ListParagraph"/>
              <w:rPr>
                <w:rFonts w:ascii="Arial" w:hAnsi="Arial" w:cs="Arial"/>
                <w:sz w:val="24"/>
                <w:szCs w:val="24"/>
                <w:shd w:val="clear" w:color="auto" w:fill="FFFFFF"/>
                <w:lang w:val="en-GB"/>
              </w:rPr>
            </w:pPr>
          </w:p>
          <w:p w14:paraId="26E22E02" w14:textId="522085DE"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1 August 2022, the court recorded the order of 8 June 2022 to reflect</w:t>
            </w:r>
            <w:r w:rsidR="0017313D">
              <w:rPr>
                <w:rFonts w:ascii="Arial" w:hAnsi="Arial" w:cs="Arial"/>
                <w:sz w:val="24"/>
                <w:szCs w:val="24"/>
                <w:shd w:val="clear" w:color="auto" w:fill="FFFFFF"/>
                <w:lang w:val="en-GB"/>
              </w:rPr>
              <w:t xml:space="preserve"> that</w:t>
            </w:r>
            <w:r w:rsidRPr="00587FC1">
              <w:rPr>
                <w:rFonts w:ascii="Arial" w:hAnsi="Arial" w:cs="Arial"/>
                <w:sz w:val="24"/>
                <w:szCs w:val="24"/>
                <w:shd w:val="clear" w:color="auto" w:fill="FFFFFF"/>
                <w:lang w:val="en-GB"/>
              </w:rPr>
              <w:t xml:space="preserve"> the defendant receive wasted costs for the hearing of 6 June 2022. The court also uplifted the bar </w:t>
            </w:r>
            <w:r w:rsidR="003F3620">
              <w:rPr>
                <w:rFonts w:ascii="Arial" w:hAnsi="Arial" w:cs="Arial"/>
                <w:sz w:val="24"/>
                <w:szCs w:val="24"/>
                <w:shd w:val="clear" w:color="auto" w:fill="FFFFFF"/>
                <w:lang w:val="en-GB"/>
              </w:rPr>
              <w:t>and accepted the plaintiff’s replying affidavit in the first condonation application</w:t>
            </w:r>
            <w:r w:rsidRPr="00587FC1">
              <w:rPr>
                <w:rFonts w:ascii="Arial" w:hAnsi="Arial" w:cs="Arial"/>
                <w:sz w:val="24"/>
                <w:szCs w:val="24"/>
                <w:shd w:val="clear" w:color="auto" w:fill="FFFFFF"/>
                <w:lang w:val="en-GB"/>
              </w:rPr>
              <w:t>, and postponed the matter to 13 September 2022</w:t>
            </w:r>
            <w:r w:rsidR="003F3620">
              <w:rPr>
                <w:rFonts w:ascii="Arial" w:hAnsi="Arial" w:cs="Arial"/>
                <w:sz w:val="24"/>
                <w:szCs w:val="24"/>
                <w:shd w:val="clear" w:color="auto" w:fill="FFFFFF"/>
                <w:lang w:val="en-GB"/>
              </w:rPr>
              <w:t xml:space="preserve"> for hearing of the </w:t>
            </w:r>
            <w:r w:rsidRPr="00587FC1">
              <w:rPr>
                <w:rFonts w:ascii="Arial" w:hAnsi="Arial" w:cs="Arial"/>
                <w:sz w:val="24"/>
                <w:szCs w:val="24"/>
                <w:shd w:val="clear" w:color="auto" w:fill="FFFFFF"/>
                <w:lang w:val="en-GB"/>
              </w:rPr>
              <w:t>application for the failure to file witness statements.</w:t>
            </w:r>
          </w:p>
          <w:p w14:paraId="4E0BC783" w14:textId="77777777" w:rsidR="00587FC1" w:rsidRPr="00587FC1" w:rsidRDefault="00587FC1" w:rsidP="00587FC1">
            <w:pPr>
              <w:pStyle w:val="ListParagraph"/>
              <w:rPr>
                <w:rFonts w:ascii="Arial" w:hAnsi="Arial" w:cs="Arial"/>
                <w:sz w:val="24"/>
                <w:szCs w:val="24"/>
                <w:shd w:val="clear" w:color="auto" w:fill="FFFFFF"/>
                <w:lang w:val="en-GB"/>
              </w:rPr>
            </w:pPr>
          </w:p>
          <w:p w14:paraId="34F1BCB0" w14:textId="77777777" w:rsidR="00587FC1" w:rsidRPr="003F3620" w:rsidRDefault="00587FC1"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The plaintiff was ordered to file head</w:t>
            </w:r>
            <w:r w:rsidR="003F3620">
              <w:rPr>
                <w:rFonts w:ascii="Arial" w:hAnsi="Arial" w:cs="Arial"/>
                <w:sz w:val="24"/>
                <w:szCs w:val="24"/>
                <w:shd w:val="clear" w:color="auto" w:fill="FFFFFF"/>
                <w:lang w:val="en-GB"/>
              </w:rPr>
              <w:t>s of argument on or before 6 September 2022, while t</w:t>
            </w:r>
            <w:r w:rsidRPr="003F3620">
              <w:rPr>
                <w:rFonts w:ascii="Arial" w:hAnsi="Arial" w:cs="Arial"/>
                <w:sz w:val="24"/>
                <w:szCs w:val="24"/>
                <w:shd w:val="clear" w:color="auto" w:fill="FFFFFF"/>
                <w:lang w:val="en-GB"/>
              </w:rPr>
              <w:t>he defendant was ordered to file heads on or before 8 September 2022.</w:t>
            </w:r>
          </w:p>
          <w:p w14:paraId="38E08C72" w14:textId="77777777" w:rsidR="00587FC1" w:rsidRPr="00587FC1" w:rsidRDefault="00587FC1" w:rsidP="00587FC1">
            <w:pPr>
              <w:pStyle w:val="ListParagraph"/>
              <w:rPr>
                <w:rFonts w:ascii="Arial" w:hAnsi="Arial" w:cs="Arial"/>
                <w:sz w:val="24"/>
                <w:szCs w:val="24"/>
                <w:shd w:val="clear" w:color="auto" w:fill="FFFFFF"/>
                <w:lang w:val="en-GB"/>
              </w:rPr>
            </w:pPr>
          </w:p>
          <w:p w14:paraId="1978C975" w14:textId="77777777" w:rsidR="00587FC1" w:rsidRPr="003F3620" w:rsidRDefault="00587FC1"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The defendant file</w:t>
            </w:r>
            <w:r w:rsidR="003F3620">
              <w:rPr>
                <w:rFonts w:ascii="Arial" w:hAnsi="Arial" w:cs="Arial"/>
                <w:sz w:val="24"/>
                <w:szCs w:val="24"/>
                <w:shd w:val="clear" w:color="auto" w:fill="FFFFFF"/>
                <w:lang w:val="en-GB"/>
              </w:rPr>
              <w:t>d its heads on 8 September 2022, while t</w:t>
            </w:r>
            <w:r w:rsidRPr="003F3620">
              <w:rPr>
                <w:rFonts w:ascii="Arial" w:hAnsi="Arial" w:cs="Arial"/>
                <w:sz w:val="24"/>
                <w:szCs w:val="24"/>
                <w:shd w:val="clear" w:color="auto" w:fill="FFFFFF"/>
                <w:lang w:val="en-GB"/>
              </w:rPr>
              <w:t>he plaintiff filed her head</w:t>
            </w:r>
            <w:r w:rsidR="003F3620" w:rsidRPr="003F3620">
              <w:rPr>
                <w:rFonts w:ascii="Arial" w:hAnsi="Arial" w:cs="Arial"/>
                <w:sz w:val="24"/>
                <w:szCs w:val="24"/>
                <w:shd w:val="clear" w:color="auto" w:fill="FFFFFF"/>
                <w:lang w:val="en-GB"/>
              </w:rPr>
              <w:t>s on 12 September 2022 at 16h40</w:t>
            </w:r>
            <w:r w:rsidRPr="003F3620">
              <w:rPr>
                <w:rFonts w:ascii="Arial" w:hAnsi="Arial" w:cs="Arial"/>
                <w:sz w:val="24"/>
                <w:szCs w:val="24"/>
                <w:shd w:val="clear" w:color="auto" w:fill="FFFFFF"/>
                <w:lang w:val="en-GB"/>
              </w:rPr>
              <w:t>.</w:t>
            </w:r>
          </w:p>
          <w:p w14:paraId="49D55163" w14:textId="77777777" w:rsidR="00587FC1" w:rsidRPr="00587FC1" w:rsidRDefault="00587FC1" w:rsidP="00587FC1">
            <w:pPr>
              <w:pStyle w:val="ListParagraph"/>
              <w:rPr>
                <w:rFonts w:ascii="Arial" w:hAnsi="Arial" w:cs="Arial"/>
                <w:sz w:val="24"/>
                <w:szCs w:val="24"/>
                <w:shd w:val="clear" w:color="auto" w:fill="FFFFFF"/>
                <w:lang w:val="en-GB"/>
              </w:rPr>
            </w:pPr>
          </w:p>
          <w:p w14:paraId="17A03289"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lastRenderedPageBreak/>
              <w:t>On 13 September 2022, the court struck the application for condonation for failure to file witness statements. The matter was postponed for the parties to file a status report on the further conduct of the matter.</w:t>
            </w:r>
          </w:p>
          <w:p w14:paraId="77BF7700" w14:textId="77777777" w:rsidR="00587FC1" w:rsidRPr="00587FC1" w:rsidRDefault="00587FC1" w:rsidP="00587FC1">
            <w:pPr>
              <w:pStyle w:val="ListParagraph"/>
              <w:rPr>
                <w:rFonts w:ascii="Arial" w:hAnsi="Arial" w:cs="Arial"/>
                <w:sz w:val="24"/>
                <w:szCs w:val="24"/>
                <w:shd w:val="clear" w:color="auto" w:fill="FFFFFF"/>
                <w:lang w:val="en-GB"/>
              </w:rPr>
            </w:pPr>
          </w:p>
          <w:p w14:paraId="074534EA" w14:textId="77777777" w:rsidR="00587FC1" w:rsidRPr="003F3620" w:rsidRDefault="00587FC1"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3F3620">
              <w:rPr>
                <w:rFonts w:ascii="Arial" w:hAnsi="Arial" w:cs="Arial"/>
                <w:sz w:val="24"/>
                <w:szCs w:val="24"/>
                <w:shd w:val="clear" w:color="auto" w:fill="FFFFFF"/>
                <w:lang w:val="en-GB"/>
              </w:rPr>
              <w:t>The parties filed a joint status report that the plaintiff intends to bring an application for the reinstatement o</w:t>
            </w:r>
            <w:r w:rsidR="003F3620" w:rsidRPr="003F3620">
              <w:rPr>
                <w:rFonts w:ascii="Arial" w:hAnsi="Arial" w:cs="Arial"/>
                <w:sz w:val="24"/>
                <w:szCs w:val="24"/>
                <w:shd w:val="clear" w:color="auto" w:fill="FFFFFF"/>
                <w:lang w:val="en-GB"/>
              </w:rPr>
              <w:t>f her condonation application.</w:t>
            </w:r>
            <w:r w:rsidR="003F3620">
              <w:rPr>
                <w:rFonts w:ascii="Arial" w:hAnsi="Arial" w:cs="Arial"/>
                <w:sz w:val="24"/>
                <w:szCs w:val="24"/>
                <w:shd w:val="clear" w:color="auto" w:fill="FFFFFF"/>
                <w:lang w:val="en-GB"/>
              </w:rPr>
              <w:t xml:space="preserve"> </w:t>
            </w:r>
            <w:r w:rsidRPr="003F3620">
              <w:rPr>
                <w:rFonts w:ascii="Arial" w:hAnsi="Arial" w:cs="Arial"/>
                <w:sz w:val="24"/>
                <w:szCs w:val="24"/>
                <w:shd w:val="clear" w:color="auto" w:fill="FFFFFF"/>
                <w:lang w:val="en-GB"/>
              </w:rPr>
              <w:t>The matter was again postponed to 17</w:t>
            </w:r>
            <w:r w:rsidR="003F3620">
              <w:rPr>
                <w:rFonts w:ascii="Arial" w:hAnsi="Arial" w:cs="Arial"/>
                <w:sz w:val="24"/>
                <w:szCs w:val="24"/>
                <w:shd w:val="clear" w:color="auto" w:fill="FFFFFF"/>
                <w:lang w:val="en-GB"/>
              </w:rPr>
              <w:t xml:space="preserve"> October 2022.</w:t>
            </w:r>
          </w:p>
          <w:p w14:paraId="050B9681" w14:textId="77777777" w:rsidR="00587FC1" w:rsidRPr="00587FC1" w:rsidRDefault="00587FC1" w:rsidP="00587FC1">
            <w:pPr>
              <w:pStyle w:val="ListParagraph"/>
              <w:rPr>
                <w:rFonts w:ascii="Arial" w:hAnsi="Arial" w:cs="Arial"/>
                <w:sz w:val="24"/>
                <w:szCs w:val="24"/>
                <w:shd w:val="clear" w:color="auto" w:fill="FFFFFF"/>
                <w:lang w:val="en-GB"/>
              </w:rPr>
            </w:pPr>
          </w:p>
          <w:p w14:paraId="28998DC2" w14:textId="77777777" w:rsidR="003F3620" w:rsidRDefault="003F3620"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O</w:t>
            </w:r>
            <w:r w:rsidR="00587FC1" w:rsidRPr="00587FC1">
              <w:rPr>
                <w:rFonts w:ascii="Arial" w:hAnsi="Arial" w:cs="Arial"/>
                <w:sz w:val="24"/>
                <w:szCs w:val="24"/>
                <w:shd w:val="clear" w:color="auto" w:fill="FFFFFF"/>
                <w:lang w:val="en-GB"/>
              </w:rPr>
              <w:t>n 13 October 2022</w:t>
            </w:r>
            <w:r>
              <w:rPr>
                <w:rFonts w:ascii="Arial" w:hAnsi="Arial" w:cs="Arial"/>
                <w:sz w:val="24"/>
                <w:szCs w:val="24"/>
                <w:shd w:val="clear" w:color="auto" w:fill="FFFFFF"/>
                <w:lang w:val="en-GB"/>
              </w:rPr>
              <w:t>, the plaintiff</w:t>
            </w:r>
            <w:r w:rsidR="00587FC1" w:rsidRPr="00587FC1">
              <w:rPr>
                <w:rFonts w:ascii="Arial" w:hAnsi="Arial" w:cs="Arial"/>
                <w:sz w:val="24"/>
                <w:szCs w:val="24"/>
                <w:shd w:val="clear" w:color="auto" w:fill="FFFFFF"/>
                <w:lang w:val="en-GB"/>
              </w:rPr>
              <w:t xml:space="preserve"> filed her application for reinstatement.</w:t>
            </w:r>
          </w:p>
          <w:p w14:paraId="25E01C7A" w14:textId="77777777" w:rsidR="003F3620" w:rsidRPr="003F3620" w:rsidRDefault="003F3620" w:rsidP="003F3620">
            <w:pPr>
              <w:pStyle w:val="ListParagraph"/>
              <w:rPr>
                <w:rFonts w:ascii="Arial" w:hAnsi="Arial" w:cs="Arial"/>
                <w:sz w:val="24"/>
                <w:szCs w:val="24"/>
                <w:shd w:val="clear" w:color="auto" w:fill="FFFFFF"/>
                <w:lang w:val="en-GB"/>
              </w:rPr>
            </w:pPr>
          </w:p>
          <w:p w14:paraId="21B1355C" w14:textId="6321CC32" w:rsidR="00587FC1" w:rsidRPr="003F3620" w:rsidRDefault="00DD1585" w:rsidP="003F3620">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 xml:space="preserve">Ms Ndilula-Ndamanomhata </w:t>
            </w:r>
            <w:r w:rsidR="00587FC1" w:rsidRPr="003F3620">
              <w:rPr>
                <w:rFonts w:ascii="Arial" w:hAnsi="Arial" w:cs="Arial"/>
                <w:sz w:val="24"/>
                <w:szCs w:val="24"/>
                <w:shd w:val="clear" w:color="auto" w:fill="FFFFFF"/>
                <w:lang w:val="en-GB"/>
              </w:rPr>
              <w:t>deposed to the affidavit averring she was inundated with work as she had an arbitration, and while she attended to all her other work earlier</w:t>
            </w:r>
            <w:r w:rsidR="001203FA">
              <w:rPr>
                <w:rFonts w:ascii="Arial" w:hAnsi="Arial" w:cs="Arial"/>
                <w:sz w:val="24"/>
                <w:szCs w:val="24"/>
                <w:shd w:val="clear" w:color="auto" w:fill="FFFFFF"/>
                <w:lang w:val="en-GB"/>
              </w:rPr>
              <w:t xml:space="preserve"> or by delegation, she misdiaris</w:t>
            </w:r>
            <w:r w:rsidR="00587FC1" w:rsidRPr="003F3620">
              <w:rPr>
                <w:rFonts w:ascii="Arial" w:hAnsi="Arial" w:cs="Arial"/>
                <w:sz w:val="24"/>
                <w:szCs w:val="24"/>
                <w:shd w:val="clear" w:color="auto" w:fill="FFFFFF"/>
                <w:lang w:val="en-GB"/>
              </w:rPr>
              <w:t xml:space="preserve">ed the dates for </w:t>
            </w:r>
            <w:r w:rsidR="003F3620">
              <w:rPr>
                <w:rFonts w:ascii="Arial" w:hAnsi="Arial" w:cs="Arial"/>
                <w:sz w:val="24"/>
                <w:szCs w:val="24"/>
                <w:shd w:val="clear" w:color="auto" w:fill="FFFFFF"/>
                <w:lang w:val="en-GB"/>
              </w:rPr>
              <w:t xml:space="preserve">filing of the </w:t>
            </w:r>
            <w:r w:rsidR="00587FC1" w:rsidRPr="003F3620">
              <w:rPr>
                <w:rFonts w:ascii="Arial" w:hAnsi="Arial" w:cs="Arial"/>
                <w:sz w:val="24"/>
                <w:szCs w:val="24"/>
                <w:shd w:val="clear" w:color="auto" w:fill="FFFFFF"/>
                <w:lang w:val="en-GB"/>
              </w:rPr>
              <w:t>heads</w:t>
            </w:r>
            <w:r w:rsidR="003F3620">
              <w:rPr>
                <w:rFonts w:ascii="Arial" w:hAnsi="Arial" w:cs="Arial"/>
                <w:sz w:val="24"/>
                <w:szCs w:val="24"/>
                <w:shd w:val="clear" w:color="auto" w:fill="FFFFFF"/>
                <w:lang w:val="en-GB"/>
              </w:rPr>
              <w:t xml:space="preserve"> of argument</w:t>
            </w:r>
            <w:r w:rsidR="00587FC1" w:rsidRPr="003F3620">
              <w:rPr>
                <w:rFonts w:ascii="Arial" w:hAnsi="Arial" w:cs="Arial"/>
                <w:sz w:val="24"/>
                <w:szCs w:val="24"/>
                <w:shd w:val="clear" w:color="auto" w:fill="FFFFFF"/>
                <w:lang w:val="en-GB"/>
              </w:rPr>
              <w:t>, hence the late failing leading to the application for condonation being struck.</w:t>
            </w:r>
          </w:p>
          <w:p w14:paraId="2658D760" w14:textId="77777777" w:rsidR="00587FC1" w:rsidRPr="00587FC1" w:rsidRDefault="00587FC1" w:rsidP="00587FC1">
            <w:pPr>
              <w:pStyle w:val="ListParagraph"/>
              <w:rPr>
                <w:rFonts w:ascii="Arial" w:hAnsi="Arial" w:cs="Arial"/>
                <w:sz w:val="24"/>
                <w:szCs w:val="24"/>
                <w:shd w:val="clear" w:color="auto" w:fill="FFFFFF"/>
                <w:lang w:val="en-GB"/>
              </w:rPr>
            </w:pPr>
          </w:p>
          <w:p w14:paraId="394B4642"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The defendant did not oppose the application.</w:t>
            </w:r>
          </w:p>
          <w:p w14:paraId="17D3174A" w14:textId="77777777" w:rsidR="00587FC1" w:rsidRPr="00587FC1" w:rsidRDefault="00587FC1" w:rsidP="00587FC1">
            <w:pPr>
              <w:pStyle w:val="ListParagraph"/>
              <w:rPr>
                <w:rFonts w:ascii="Arial" w:hAnsi="Arial" w:cs="Arial"/>
                <w:sz w:val="24"/>
                <w:szCs w:val="24"/>
                <w:shd w:val="clear" w:color="auto" w:fill="FFFFFF"/>
                <w:lang w:val="en-GB"/>
              </w:rPr>
            </w:pPr>
          </w:p>
          <w:p w14:paraId="18312609" w14:textId="77777777"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17 October 2022, the court reinstated the application for condonation, and postponed the matter to 5 December 2022, for hearing of the condonation application for failure to file witness statements.</w:t>
            </w:r>
          </w:p>
          <w:p w14:paraId="308CEAEE" w14:textId="77777777" w:rsidR="00587FC1" w:rsidRPr="00587FC1" w:rsidRDefault="00587FC1" w:rsidP="00587FC1">
            <w:pPr>
              <w:pStyle w:val="ListParagraph"/>
              <w:rPr>
                <w:rFonts w:ascii="Arial" w:hAnsi="Arial" w:cs="Arial"/>
                <w:sz w:val="24"/>
                <w:szCs w:val="24"/>
                <w:shd w:val="clear" w:color="auto" w:fill="FFFFFF"/>
                <w:lang w:val="en-GB"/>
              </w:rPr>
            </w:pPr>
          </w:p>
          <w:p w14:paraId="291D8720" w14:textId="77777777" w:rsidR="00587FC1" w:rsidRDefault="00DD1585"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On 15 November 2022, Ms Ndilu</w:t>
            </w:r>
            <w:r w:rsidR="009562CA">
              <w:rPr>
                <w:rFonts w:ascii="Arial" w:hAnsi="Arial" w:cs="Arial"/>
                <w:sz w:val="24"/>
                <w:szCs w:val="24"/>
                <w:shd w:val="clear" w:color="auto" w:fill="FFFFFF"/>
                <w:lang w:val="en-GB"/>
              </w:rPr>
              <w:t>l</w:t>
            </w:r>
            <w:r>
              <w:rPr>
                <w:rFonts w:ascii="Arial" w:hAnsi="Arial" w:cs="Arial"/>
                <w:sz w:val="24"/>
                <w:szCs w:val="24"/>
                <w:shd w:val="clear" w:color="auto" w:fill="FFFFFF"/>
                <w:lang w:val="en-GB"/>
              </w:rPr>
              <w:t xml:space="preserve">a-Ndamanomhata </w:t>
            </w:r>
            <w:r w:rsidR="00587FC1" w:rsidRPr="00587FC1">
              <w:rPr>
                <w:rFonts w:ascii="Arial" w:hAnsi="Arial" w:cs="Arial"/>
                <w:sz w:val="24"/>
                <w:szCs w:val="24"/>
                <w:shd w:val="clear" w:color="auto" w:fill="FFFFFF"/>
                <w:lang w:val="en-GB"/>
              </w:rPr>
              <w:t>fi</w:t>
            </w:r>
            <w:r w:rsidR="003F3620">
              <w:rPr>
                <w:rFonts w:ascii="Arial" w:hAnsi="Arial" w:cs="Arial"/>
                <w:sz w:val="24"/>
                <w:szCs w:val="24"/>
                <w:shd w:val="clear" w:color="auto" w:fill="FFFFFF"/>
                <w:lang w:val="en-GB"/>
              </w:rPr>
              <w:t>led a notice of withdrawal as legal practitioner</w:t>
            </w:r>
            <w:r w:rsidR="00587FC1" w:rsidRPr="00587FC1">
              <w:rPr>
                <w:rFonts w:ascii="Arial" w:hAnsi="Arial" w:cs="Arial"/>
                <w:sz w:val="24"/>
                <w:szCs w:val="24"/>
                <w:shd w:val="clear" w:color="auto" w:fill="FFFFFF"/>
                <w:lang w:val="en-GB"/>
              </w:rPr>
              <w:t xml:space="preserve"> of record.</w:t>
            </w:r>
          </w:p>
          <w:p w14:paraId="6CD5A838" w14:textId="77777777" w:rsidR="00587FC1" w:rsidRPr="00587FC1" w:rsidRDefault="00587FC1" w:rsidP="00587FC1">
            <w:pPr>
              <w:pStyle w:val="ListParagraph"/>
              <w:rPr>
                <w:rFonts w:ascii="Arial" w:hAnsi="Arial" w:cs="Arial"/>
                <w:sz w:val="24"/>
                <w:szCs w:val="24"/>
                <w:shd w:val="clear" w:color="auto" w:fill="FFFFFF"/>
                <w:lang w:val="en-GB"/>
              </w:rPr>
            </w:pPr>
          </w:p>
          <w:p w14:paraId="5BA36520" w14:textId="775AB15B"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 xml:space="preserve">On 5 December 2022, </w:t>
            </w:r>
            <w:r w:rsidR="003F3620">
              <w:rPr>
                <w:rFonts w:ascii="Arial" w:hAnsi="Arial" w:cs="Arial"/>
                <w:sz w:val="24"/>
                <w:szCs w:val="24"/>
                <w:shd w:val="clear" w:color="auto" w:fill="FFFFFF"/>
                <w:lang w:val="en-GB"/>
              </w:rPr>
              <w:t>the court postponed the m</w:t>
            </w:r>
            <w:r w:rsidR="00CE45C3">
              <w:rPr>
                <w:rFonts w:ascii="Arial" w:hAnsi="Arial" w:cs="Arial"/>
                <w:sz w:val="24"/>
                <w:szCs w:val="24"/>
                <w:shd w:val="clear" w:color="auto" w:fill="FFFFFF"/>
                <w:lang w:val="en-GB"/>
              </w:rPr>
              <w:t>atter, fo</w:t>
            </w:r>
            <w:r w:rsidR="003F3620">
              <w:rPr>
                <w:rFonts w:ascii="Arial" w:hAnsi="Arial" w:cs="Arial"/>
                <w:sz w:val="24"/>
                <w:szCs w:val="24"/>
                <w:shd w:val="clear" w:color="auto" w:fill="FFFFFF"/>
                <w:lang w:val="en-GB"/>
              </w:rPr>
              <w:t>r</w:t>
            </w:r>
            <w:r w:rsidR="00CE45C3">
              <w:rPr>
                <w:rFonts w:ascii="Arial" w:hAnsi="Arial" w:cs="Arial"/>
                <w:sz w:val="24"/>
                <w:szCs w:val="24"/>
                <w:shd w:val="clear" w:color="auto" w:fill="FFFFFF"/>
                <w:lang w:val="en-GB"/>
              </w:rPr>
              <w:t xml:space="preserve"> </w:t>
            </w:r>
            <w:r w:rsidR="00DD1585">
              <w:rPr>
                <w:rFonts w:ascii="Arial" w:hAnsi="Arial" w:cs="Arial"/>
                <w:sz w:val="24"/>
                <w:szCs w:val="24"/>
                <w:shd w:val="clear" w:color="auto" w:fill="FFFFFF"/>
                <w:lang w:val="en-GB"/>
              </w:rPr>
              <w:t>Ms Ndilula-Ndamanomhata</w:t>
            </w:r>
            <w:r w:rsidR="00CE45C3">
              <w:rPr>
                <w:rFonts w:ascii="Arial" w:hAnsi="Arial" w:cs="Arial"/>
                <w:sz w:val="24"/>
                <w:szCs w:val="24"/>
                <w:shd w:val="clear" w:color="auto" w:fill="FFFFFF"/>
                <w:lang w:val="en-GB"/>
              </w:rPr>
              <w:t xml:space="preserve"> </w:t>
            </w:r>
            <w:r w:rsidRPr="00587FC1">
              <w:rPr>
                <w:rFonts w:ascii="Arial" w:hAnsi="Arial" w:cs="Arial"/>
                <w:sz w:val="24"/>
                <w:szCs w:val="24"/>
                <w:shd w:val="clear" w:color="auto" w:fill="FFFFFF"/>
                <w:lang w:val="en-GB"/>
              </w:rPr>
              <w:t>to explain her failure to comply with the provisions of rule 44(6) and (7), the failure in those circumstances to appea</w:t>
            </w:r>
            <w:r w:rsidR="001203FA">
              <w:rPr>
                <w:rFonts w:ascii="Arial" w:hAnsi="Arial" w:cs="Arial"/>
                <w:sz w:val="24"/>
                <w:szCs w:val="24"/>
                <w:shd w:val="clear" w:color="auto" w:fill="FFFFFF"/>
                <w:lang w:val="en-GB"/>
              </w:rPr>
              <w:t>r in court, the reason</w:t>
            </w:r>
            <w:r w:rsidR="00CE45C3">
              <w:rPr>
                <w:rFonts w:ascii="Arial" w:hAnsi="Arial" w:cs="Arial"/>
                <w:sz w:val="24"/>
                <w:szCs w:val="24"/>
                <w:shd w:val="clear" w:color="auto" w:fill="FFFFFF"/>
                <w:lang w:val="en-GB"/>
              </w:rPr>
              <w:t xml:space="preserve"> why the</w:t>
            </w:r>
            <w:r w:rsidRPr="00587FC1">
              <w:rPr>
                <w:rFonts w:ascii="Arial" w:hAnsi="Arial" w:cs="Arial"/>
                <w:sz w:val="24"/>
                <w:szCs w:val="24"/>
                <w:shd w:val="clear" w:color="auto" w:fill="FFFFFF"/>
                <w:lang w:val="en-GB"/>
              </w:rPr>
              <w:t xml:space="preserve"> court should not order that the wasted costs of 5 December 2022, and </w:t>
            </w:r>
            <w:r w:rsidR="00CE45C3">
              <w:rPr>
                <w:rFonts w:ascii="Arial" w:hAnsi="Arial" w:cs="Arial"/>
                <w:sz w:val="24"/>
                <w:szCs w:val="24"/>
                <w:shd w:val="clear" w:color="auto" w:fill="FFFFFF"/>
                <w:lang w:val="en-GB"/>
              </w:rPr>
              <w:t xml:space="preserve">why these costs should not </w:t>
            </w:r>
            <w:r w:rsidRPr="00587FC1">
              <w:rPr>
                <w:rFonts w:ascii="Arial" w:hAnsi="Arial" w:cs="Arial"/>
                <w:sz w:val="24"/>
                <w:szCs w:val="24"/>
                <w:shd w:val="clear" w:color="auto" w:fill="FFFFFF"/>
                <w:lang w:val="en-GB"/>
              </w:rPr>
              <w:t xml:space="preserve">be paid </w:t>
            </w:r>
            <w:r w:rsidRPr="00DD1585">
              <w:rPr>
                <w:rFonts w:ascii="Arial" w:hAnsi="Arial" w:cs="Arial"/>
                <w:i/>
                <w:sz w:val="24"/>
                <w:szCs w:val="24"/>
                <w:shd w:val="clear" w:color="auto" w:fill="FFFFFF"/>
                <w:lang w:val="en-GB"/>
              </w:rPr>
              <w:t>de bonis propriis</w:t>
            </w:r>
            <w:r w:rsidRPr="00587FC1">
              <w:rPr>
                <w:rFonts w:ascii="Arial" w:hAnsi="Arial" w:cs="Arial"/>
                <w:sz w:val="24"/>
                <w:szCs w:val="24"/>
                <w:shd w:val="clear" w:color="auto" w:fill="FFFFFF"/>
                <w:lang w:val="en-GB"/>
              </w:rPr>
              <w:t>, alternatively why she should not be held in contempt of court for the above-mentioned conduct.</w:t>
            </w:r>
          </w:p>
          <w:p w14:paraId="266B7556" w14:textId="77777777" w:rsidR="00587FC1" w:rsidRPr="00587FC1" w:rsidRDefault="00587FC1" w:rsidP="00587FC1">
            <w:pPr>
              <w:pStyle w:val="ListParagraph"/>
              <w:rPr>
                <w:rFonts w:ascii="Arial" w:hAnsi="Arial" w:cs="Arial"/>
                <w:sz w:val="24"/>
                <w:szCs w:val="24"/>
                <w:shd w:val="clear" w:color="auto" w:fill="FFFFFF"/>
                <w:lang w:val="en-GB"/>
              </w:rPr>
            </w:pPr>
          </w:p>
          <w:p w14:paraId="03812FA0" w14:textId="4F6AEA3A" w:rsidR="00587FC1" w:rsidRDefault="00DD1585"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 xml:space="preserve">Ms Ndilula-Ndamanomhata </w:t>
            </w:r>
            <w:r w:rsidR="00587FC1" w:rsidRPr="00587FC1">
              <w:rPr>
                <w:rFonts w:ascii="Arial" w:hAnsi="Arial" w:cs="Arial"/>
                <w:sz w:val="24"/>
                <w:szCs w:val="24"/>
                <w:shd w:val="clear" w:color="auto" w:fill="FFFFFF"/>
                <w:lang w:val="en-GB"/>
              </w:rPr>
              <w:t>filed an affidavit explaining she filed the withdrawal ahead o</w:t>
            </w:r>
            <w:r w:rsidR="001203FA">
              <w:rPr>
                <w:rFonts w:ascii="Arial" w:hAnsi="Arial" w:cs="Arial"/>
                <w:sz w:val="24"/>
                <w:szCs w:val="24"/>
                <w:shd w:val="clear" w:color="auto" w:fill="FFFFFF"/>
                <w:lang w:val="en-GB"/>
              </w:rPr>
              <w:t>f time and during the week of 5</w:t>
            </w:r>
            <w:r w:rsidR="00587FC1" w:rsidRPr="00587FC1">
              <w:rPr>
                <w:rFonts w:ascii="Arial" w:hAnsi="Arial" w:cs="Arial"/>
                <w:sz w:val="24"/>
                <w:szCs w:val="24"/>
                <w:shd w:val="clear" w:color="auto" w:fill="FFFFFF"/>
                <w:lang w:val="en-GB"/>
              </w:rPr>
              <w:t>-7 December 2022, she was scheduled for a continuation of arbitration in Ondangwa, as such, she could not attend court on 5 December 2022</w:t>
            </w:r>
            <w:r>
              <w:rPr>
                <w:rFonts w:ascii="Arial" w:hAnsi="Arial" w:cs="Arial"/>
                <w:sz w:val="24"/>
                <w:szCs w:val="24"/>
                <w:shd w:val="clear" w:color="auto" w:fill="FFFFFF"/>
                <w:lang w:val="en-GB"/>
              </w:rPr>
              <w:t xml:space="preserve">. She </w:t>
            </w:r>
            <w:r w:rsidR="0017313D">
              <w:rPr>
                <w:rFonts w:ascii="Arial" w:hAnsi="Arial" w:cs="Arial"/>
                <w:sz w:val="24"/>
                <w:szCs w:val="24"/>
                <w:shd w:val="clear" w:color="auto" w:fill="FFFFFF"/>
                <w:lang w:val="en-GB"/>
              </w:rPr>
              <w:t>stated that</w:t>
            </w:r>
            <w:r w:rsidR="00587FC1" w:rsidRPr="00587FC1">
              <w:rPr>
                <w:rFonts w:ascii="Arial" w:hAnsi="Arial" w:cs="Arial"/>
                <w:sz w:val="24"/>
                <w:szCs w:val="24"/>
                <w:shd w:val="clear" w:color="auto" w:fill="FFFFFF"/>
                <w:lang w:val="en-GB"/>
              </w:rPr>
              <w:t xml:space="preserve"> all her matters were left with Mr Amoomo to deal </w:t>
            </w:r>
            <w:r w:rsidR="00587FC1" w:rsidRPr="00587FC1">
              <w:rPr>
                <w:rFonts w:ascii="Arial" w:hAnsi="Arial" w:cs="Arial"/>
                <w:sz w:val="24"/>
                <w:szCs w:val="24"/>
                <w:shd w:val="clear" w:color="auto" w:fill="FFFFFF"/>
                <w:lang w:val="en-GB"/>
              </w:rPr>
              <w:lastRenderedPageBreak/>
              <w:t xml:space="preserve">with, but he could not attend to </w:t>
            </w:r>
            <w:r>
              <w:rPr>
                <w:rFonts w:ascii="Arial" w:hAnsi="Arial" w:cs="Arial"/>
                <w:sz w:val="24"/>
                <w:szCs w:val="24"/>
                <w:shd w:val="clear" w:color="auto" w:fill="FFFFFF"/>
                <w:lang w:val="en-GB"/>
              </w:rPr>
              <w:t xml:space="preserve">the </w:t>
            </w:r>
            <w:r w:rsidR="00587FC1" w:rsidRPr="00587FC1">
              <w:rPr>
                <w:rFonts w:ascii="Arial" w:hAnsi="Arial" w:cs="Arial"/>
                <w:sz w:val="24"/>
                <w:szCs w:val="24"/>
                <w:shd w:val="clear" w:color="auto" w:fill="FFFFFF"/>
                <w:lang w:val="en-GB"/>
              </w:rPr>
              <w:t>hearing as he was before Justice Coleman, and they requested</w:t>
            </w:r>
            <w:r w:rsidR="00CE45C3">
              <w:rPr>
                <w:rFonts w:ascii="Arial" w:hAnsi="Arial" w:cs="Arial"/>
                <w:sz w:val="24"/>
                <w:szCs w:val="24"/>
                <w:shd w:val="clear" w:color="auto" w:fill="FFFFFF"/>
                <w:lang w:val="en-GB"/>
              </w:rPr>
              <w:t xml:space="preserve"> the legal practitioner</w:t>
            </w:r>
            <w:r w:rsidR="00587FC1" w:rsidRPr="00587FC1">
              <w:rPr>
                <w:rFonts w:ascii="Arial" w:hAnsi="Arial" w:cs="Arial"/>
                <w:sz w:val="24"/>
                <w:szCs w:val="24"/>
                <w:shd w:val="clear" w:color="auto" w:fill="FFFFFF"/>
                <w:lang w:val="en-GB"/>
              </w:rPr>
              <w:t xml:space="preserve"> of the defendant at the time – Mr Titus to stand in for them. Mr Amoomo deposed to a confirmatory affidavit.</w:t>
            </w:r>
          </w:p>
          <w:p w14:paraId="0E0CB644" w14:textId="77777777" w:rsidR="00587FC1" w:rsidRPr="00587FC1" w:rsidRDefault="00587FC1" w:rsidP="00587FC1">
            <w:pPr>
              <w:pStyle w:val="ListParagraph"/>
              <w:rPr>
                <w:rFonts w:ascii="Arial" w:hAnsi="Arial" w:cs="Arial"/>
                <w:sz w:val="24"/>
                <w:szCs w:val="24"/>
                <w:shd w:val="clear" w:color="auto" w:fill="FFFFFF"/>
                <w:lang w:val="en-GB"/>
              </w:rPr>
            </w:pPr>
          </w:p>
          <w:p w14:paraId="18B8F778" w14:textId="2821471A" w:rsidR="00587FC1" w:rsidRDefault="00587FC1" w:rsidP="00587FC1">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9 December 2022, the court orde</w:t>
            </w:r>
            <w:r w:rsidR="00CE45C3">
              <w:rPr>
                <w:rFonts w:ascii="Arial" w:hAnsi="Arial" w:cs="Arial"/>
                <w:sz w:val="24"/>
                <w:szCs w:val="24"/>
                <w:shd w:val="clear" w:color="auto" w:fill="FFFFFF"/>
                <w:lang w:val="en-GB"/>
              </w:rPr>
              <w:t>red Ms Nd</w:t>
            </w:r>
            <w:r w:rsidR="00DD1585">
              <w:rPr>
                <w:rFonts w:ascii="Arial" w:hAnsi="Arial" w:cs="Arial"/>
                <w:sz w:val="24"/>
                <w:szCs w:val="24"/>
                <w:shd w:val="clear" w:color="auto" w:fill="FFFFFF"/>
                <w:lang w:val="en-GB"/>
              </w:rPr>
              <w:t xml:space="preserve">ilula-Ndamanomhata </w:t>
            </w:r>
            <w:r w:rsidRPr="00587FC1">
              <w:rPr>
                <w:rFonts w:ascii="Arial" w:hAnsi="Arial" w:cs="Arial"/>
                <w:sz w:val="24"/>
                <w:szCs w:val="24"/>
                <w:shd w:val="clear" w:color="auto" w:fill="FFFFFF"/>
                <w:lang w:val="en-GB"/>
              </w:rPr>
              <w:t>pay the defendant's was</w:t>
            </w:r>
            <w:r w:rsidR="00DD1585">
              <w:rPr>
                <w:rFonts w:ascii="Arial" w:hAnsi="Arial" w:cs="Arial"/>
                <w:sz w:val="24"/>
                <w:szCs w:val="24"/>
                <w:shd w:val="clear" w:color="auto" w:fill="FFFFFF"/>
                <w:lang w:val="en-GB"/>
              </w:rPr>
              <w:t xml:space="preserve">ted costs for the appearance of </w:t>
            </w:r>
            <w:r w:rsidRPr="00587FC1">
              <w:rPr>
                <w:rFonts w:ascii="Arial" w:hAnsi="Arial" w:cs="Arial"/>
                <w:sz w:val="24"/>
                <w:szCs w:val="24"/>
                <w:shd w:val="clear" w:color="auto" w:fill="FFFFFF"/>
                <w:lang w:val="en-GB"/>
              </w:rPr>
              <w:t xml:space="preserve">5 December 2022 </w:t>
            </w:r>
            <w:r w:rsidRPr="00DD1585">
              <w:rPr>
                <w:rFonts w:ascii="Arial" w:hAnsi="Arial" w:cs="Arial"/>
                <w:i/>
                <w:sz w:val="24"/>
                <w:szCs w:val="24"/>
                <w:shd w:val="clear" w:color="auto" w:fill="FFFFFF"/>
                <w:lang w:val="en-GB"/>
              </w:rPr>
              <w:t>de bonis propriis</w:t>
            </w:r>
            <w:r w:rsidRPr="00587FC1">
              <w:rPr>
                <w:rFonts w:ascii="Arial" w:hAnsi="Arial" w:cs="Arial"/>
                <w:sz w:val="24"/>
                <w:szCs w:val="24"/>
                <w:shd w:val="clear" w:color="auto" w:fill="FFFFFF"/>
                <w:lang w:val="en-GB"/>
              </w:rPr>
              <w:t>, as her withdrawal was not rule compliant and</w:t>
            </w:r>
            <w:r w:rsidR="00DD1585">
              <w:rPr>
                <w:rFonts w:ascii="Arial" w:hAnsi="Arial" w:cs="Arial"/>
                <w:sz w:val="24"/>
                <w:szCs w:val="24"/>
                <w:shd w:val="clear" w:color="auto" w:fill="FFFFFF"/>
                <w:lang w:val="en-GB"/>
              </w:rPr>
              <w:t xml:space="preserve"> for </w:t>
            </w:r>
            <w:r w:rsidRPr="00587FC1">
              <w:rPr>
                <w:rFonts w:ascii="Arial" w:hAnsi="Arial" w:cs="Arial"/>
                <w:sz w:val="24"/>
                <w:szCs w:val="24"/>
                <w:shd w:val="clear" w:color="auto" w:fill="FFFFFF"/>
                <w:lang w:val="en-GB"/>
              </w:rPr>
              <w:t>her subsequent failure to appear in court</w:t>
            </w:r>
            <w:r w:rsidR="0017313D">
              <w:rPr>
                <w:rFonts w:ascii="Arial" w:hAnsi="Arial" w:cs="Arial"/>
                <w:sz w:val="24"/>
                <w:szCs w:val="24"/>
                <w:shd w:val="clear" w:color="auto" w:fill="FFFFFF"/>
                <w:lang w:val="en-GB"/>
              </w:rPr>
              <w:t xml:space="preserve"> insufficiently explained</w:t>
            </w:r>
            <w:r w:rsidRPr="00587FC1">
              <w:rPr>
                <w:rFonts w:ascii="Arial" w:hAnsi="Arial" w:cs="Arial"/>
                <w:sz w:val="24"/>
                <w:szCs w:val="24"/>
                <w:shd w:val="clear" w:color="auto" w:fill="FFFFFF"/>
                <w:lang w:val="en-GB"/>
              </w:rPr>
              <w:t>. The matter was postponed for allocation of hearing dates in the application for condonation for failure to file witness statements.</w:t>
            </w:r>
          </w:p>
          <w:p w14:paraId="0AFA62E1" w14:textId="77777777" w:rsidR="00587FC1" w:rsidRPr="00587FC1" w:rsidRDefault="00587FC1" w:rsidP="00587FC1">
            <w:pPr>
              <w:pStyle w:val="ListParagraph"/>
              <w:rPr>
                <w:rFonts w:ascii="Arial" w:hAnsi="Arial" w:cs="Arial"/>
                <w:sz w:val="24"/>
                <w:szCs w:val="24"/>
                <w:shd w:val="clear" w:color="auto" w:fill="FFFFFF"/>
                <w:lang w:val="en-GB"/>
              </w:rPr>
            </w:pPr>
          </w:p>
          <w:p w14:paraId="42B012A0" w14:textId="2F975E83" w:rsidR="00587FC1" w:rsidRPr="00CE45C3" w:rsidRDefault="00587FC1" w:rsidP="00CE45C3">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On 16 Janu</w:t>
            </w:r>
            <w:r w:rsidR="001203FA">
              <w:rPr>
                <w:rFonts w:ascii="Arial" w:hAnsi="Arial" w:cs="Arial"/>
                <w:sz w:val="24"/>
                <w:szCs w:val="24"/>
                <w:shd w:val="clear" w:color="auto" w:fill="FFFFFF"/>
                <w:lang w:val="en-GB"/>
              </w:rPr>
              <w:t>ary 2023,</w:t>
            </w:r>
            <w:r w:rsidR="00CE45C3">
              <w:rPr>
                <w:rFonts w:ascii="Arial" w:hAnsi="Arial" w:cs="Arial"/>
                <w:sz w:val="24"/>
                <w:szCs w:val="24"/>
                <w:shd w:val="clear" w:color="auto" w:fill="FFFFFF"/>
                <w:lang w:val="en-GB"/>
              </w:rPr>
              <w:t xml:space="preserve"> Ms Nd</w:t>
            </w:r>
            <w:r w:rsidR="00DD1585">
              <w:rPr>
                <w:rFonts w:ascii="Arial" w:hAnsi="Arial" w:cs="Arial"/>
                <w:sz w:val="24"/>
                <w:szCs w:val="24"/>
                <w:shd w:val="clear" w:color="auto" w:fill="FFFFFF"/>
                <w:lang w:val="en-GB"/>
              </w:rPr>
              <w:t xml:space="preserve">ilula-Ndamanomhata </w:t>
            </w:r>
            <w:r w:rsidRPr="00587FC1">
              <w:rPr>
                <w:rFonts w:ascii="Arial" w:hAnsi="Arial" w:cs="Arial"/>
                <w:sz w:val="24"/>
                <w:szCs w:val="24"/>
                <w:shd w:val="clear" w:color="auto" w:fill="FFFFFF"/>
                <w:lang w:val="en-GB"/>
              </w:rPr>
              <w:t>filed a return of non-service</w:t>
            </w:r>
            <w:r w:rsidR="00CE45C3">
              <w:rPr>
                <w:rFonts w:ascii="Arial" w:hAnsi="Arial" w:cs="Arial"/>
                <w:sz w:val="24"/>
                <w:szCs w:val="24"/>
                <w:shd w:val="clear" w:color="auto" w:fill="FFFFFF"/>
                <w:lang w:val="en-GB"/>
              </w:rPr>
              <w:t>, and o</w:t>
            </w:r>
            <w:r w:rsidRPr="00CE45C3">
              <w:rPr>
                <w:rFonts w:ascii="Arial" w:hAnsi="Arial" w:cs="Arial"/>
                <w:sz w:val="24"/>
                <w:szCs w:val="24"/>
                <w:shd w:val="clear" w:color="auto" w:fill="FFFFFF"/>
                <w:lang w:val="en-GB"/>
              </w:rPr>
              <w:t>n 13 F</w:t>
            </w:r>
            <w:r w:rsidR="00CE45C3">
              <w:rPr>
                <w:rFonts w:ascii="Arial" w:hAnsi="Arial" w:cs="Arial"/>
                <w:sz w:val="24"/>
                <w:szCs w:val="24"/>
                <w:shd w:val="clear" w:color="auto" w:fill="FFFFFF"/>
                <w:lang w:val="en-GB"/>
              </w:rPr>
              <w:t>ebruary 2023, the matter was postponed</w:t>
            </w:r>
            <w:r w:rsidRPr="00CE45C3">
              <w:rPr>
                <w:rFonts w:ascii="Arial" w:hAnsi="Arial" w:cs="Arial"/>
                <w:sz w:val="24"/>
                <w:szCs w:val="24"/>
                <w:shd w:val="clear" w:color="auto" w:fill="FFFFFF"/>
                <w:lang w:val="en-GB"/>
              </w:rPr>
              <w:t xml:space="preserve"> for hear</w:t>
            </w:r>
            <w:r w:rsidR="00694334">
              <w:rPr>
                <w:rFonts w:ascii="Arial" w:hAnsi="Arial" w:cs="Arial"/>
                <w:sz w:val="24"/>
                <w:szCs w:val="24"/>
                <w:shd w:val="clear" w:color="auto" w:fill="FFFFFF"/>
                <w:lang w:val="en-GB"/>
              </w:rPr>
              <w:t>ing of the application</w:t>
            </w:r>
            <w:r w:rsidRPr="00CE45C3">
              <w:rPr>
                <w:rFonts w:ascii="Arial" w:hAnsi="Arial" w:cs="Arial"/>
                <w:sz w:val="24"/>
                <w:szCs w:val="24"/>
                <w:shd w:val="clear" w:color="auto" w:fill="FFFFFF"/>
                <w:lang w:val="en-GB"/>
              </w:rPr>
              <w:t>.</w:t>
            </w:r>
          </w:p>
          <w:p w14:paraId="77C76980" w14:textId="77777777" w:rsidR="00587FC1" w:rsidRPr="00587FC1" w:rsidRDefault="00587FC1" w:rsidP="00587FC1">
            <w:pPr>
              <w:pStyle w:val="ListParagraph"/>
              <w:rPr>
                <w:rFonts w:ascii="Arial" w:hAnsi="Arial" w:cs="Arial"/>
                <w:sz w:val="24"/>
                <w:szCs w:val="24"/>
                <w:shd w:val="clear" w:color="auto" w:fill="FFFFFF"/>
                <w:lang w:val="en-GB"/>
              </w:rPr>
            </w:pPr>
          </w:p>
          <w:p w14:paraId="38274A7D" w14:textId="7583AD2F" w:rsidR="00587FC1" w:rsidRPr="00CE45C3" w:rsidRDefault="00587FC1" w:rsidP="00CE45C3">
            <w:pPr>
              <w:pStyle w:val="ListParagraph"/>
              <w:numPr>
                <w:ilvl w:val="0"/>
                <w:numId w:val="33"/>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The hearing date of 12 April 2023 was vacated by the court</w:t>
            </w:r>
            <w:r w:rsidR="0017313D">
              <w:rPr>
                <w:rFonts w:ascii="Arial" w:hAnsi="Arial" w:cs="Arial"/>
                <w:sz w:val="24"/>
                <w:szCs w:val="24"/>
                <w:shd w:val="clear" w:color="auto" w:fill="FFFFFF"/>
                <w:lang w:val="en-GB"/>
              </w:rPr>
              <w:t>.</w:t>
            </w:r>
            <w:r w:rsidR="00CE45C3">
              <w:rPr>
                <w:rFonts w:ascii="Arial" w:hAnsi="Arial" w:cs="Arial"/>
                <w:sz w:val="24"/>
                <w:szCs w:val="24"/>
                <w:shd w:val="clear" w:color="auto" w:fill="FFFFFF"/>
                <w:lang w:val="en-GB"/>
              </w:rPr>
              <w:t xml:space="preserve"> </w:t>
            </w:r>
            <w:r w:rsidRPr="00587FC1">
              <w:rPr>
                <w:rFonts w:ascii="Arial" w:hAnsi="Arial" w:cs="Arial"/>
                <w:sz w:val="24"/>
                <w:szCs w:val="24"/>
                <w:shd w:val="clear" w:color="auto" w:fill="FFFFFF"/>
                <w:lang w:val="en-GB"/>
              </w:rPr>
              <w:t>The matter was then postponed</w:t>
            </w:r>
            <w:r w:rsidR="00DD1585">
              <w:rPr>
                <w:rFonts w:ascii="Arial" w:hAnsi="Arial" w:cs="Arial"/>
                <w:sz w:val="24"/>
                <w:szCs w:val="24"/>
                <w:shd w:val="clear" w:color="auto" w:fill="FFFFFF"/>
                <w:lang w:val="en-GB"/>
              </w:rPr>
              <w:t xml:space="preserve"> for hearing on </w:t>
            </w:r>
            <w:r w:rsidRPr="00587FC1">
              <w:rPr>
                <w:rFonts w:ascii="Arial" w:hAnsi="Arial" w:cs="Arial"/>
                <w:sz w:val="24"/>
                <w:szCs w:val="24"/>
                <w:shd w:val="clear" w:color="auto" w:fill="FFFFFF"/>
                <w:lang w:val="en-GB"/>
              </w:rPr>
              <w:t>28 June 2023.</w:t>
            </w:r>
          </w:p>
          <w:p w14:paraId="566161F8" w14:textId="77777777" w:rsidR="00130B13" w:rsidRPr="00CE45C3" w:rsidRDefault="00130B13" w:rsidP="00CE45C3">
            <w:pPr>
              <w:rPr>
                <w:rFonts w:ascii="Arial" w:hAnsi="Arial" w:cs="Arial"/>
                <w:sz w:val="24"/>
                <w:szCs w:val="24"/>
                <w:shd w:val="clear" w:color="auto" w:fill="FFFFFF"/>
                <w:lang w:val="en-GB"/>
              </w:rPr>
            </w:pPr>
          </w:p>
          <w:p w14:paraId="70F848A6" w14:textId="77777777" w:rsidR="00E72B16" w:rsidRPr="00E72B16" w:rsidRDefault="00130B13" w:rsidP="00E72B16">
            <w:pPr>
              <w:pStyle w:val="ListParagraph"/>
              <w:numPr>
                <w:ilvl w:val="0"/>
                <w:numId w:val="33"/>
              </w:numPr>
              <w:spacing w:line="360" w:lineRule="auto"/>
              <w:ind w:left="0" w:firstLine="0"/>
              <w:jc w:val="both"/>
              <w:rPr>
                <w:rFonts w:ascii="Arial" w:hAnsi="Arial" w:cs="Arial"/>
                <w:sz w:val="24"/>
                <w:szCs w:val="24"/>
                <w:shd w:val="clear" w:color="auto" w:fill="FFFFFF"/>
              </w:rPr>
            </w:pPr>
            <w:r w:rsidRPr="00086E50">
              <w:rPr>
                <w:rFonts w:ascii="Arial" w:hAnsi="Arial" w:cs="Arial"/>
                <w:sz w:val="24"/>
                <w:szCs w:val="24"/>
                <w:shd w:val="clear" w:color="auto" w:fill="FFFFFF"/>
                <w:lang w:val="en-GB"/>
              </w:rPr>
              <w:t>The law on condonation application</w:t>
            </w:r>
            <w:r w:rsidR="00F43CEC">
              <w:rPr>
                <w:rFonts w:ascii="Arial" w:hAnsi="Arial" w:cs="Arial"/>
                <w:sz w:val="24"/>
                <w:szCs w:val="24"/>
                <w:shd w:val="clear" w:color="auto" w:fill="FFFFFF"/>
                <w:lang w:val="en-GB"/>
              </w:rPr>
              <w:t>s</w:t>
            </w:r>
            <w:r w:rsidRPr="00086E50">
              <w:rPr>
                <w:rFonts w:ascii="Arial" w:hAnsi="Arial" w:cs="Arial"/>
                <w:sz w:val="24"/>
                <w:szCs w:val="24"/>
                <w:shd w:val="clear" w:color="auto" w:fill="FFFFFF"/>
                <w:lang w:val="en-GB"/>
              </w:rPr>
              <w:t xml:space="preserve"> is trite. </w:t>
            </w:r>
            <w:r w:rsidRPr="00086E50">
              <w:rPr>
                <w:rFonts w:ascii="Arial" w:hAnsi="Arial" w:cs="Arial"/>
                <w:sz w:val="24"/>
                <w:szCs w:val="24"/>
                <w:shd w:val="clear" w:color="auto" w:fill="FFFFFF"/>
                <w:lang w:val="en-ZA"/>
              </w:rPr>
              <w:t>The factors</w:t>
            </w:r>
            <w:r w:rsidR="00F43CEC">
              <w:rPr>
                <w:rFonts w:ascii="Arial" w:hAnsi="Arial" w:cs="Arial"/>
                <w:sz w:val="24"/>
                <w:szCs w:val="24"/>
                <w:shd w:val="clear" w:color="auto" w:fill="FFFFFF"/>
                <w:lang w:val="en-ZA"/>
              </w:rPr>
              <w:t xml:space="preserve"> considered in an application for condonation</w:t>
            </w:r>
            <w:r w:rsidRPr="00086E50">
              <w:rPr>
                <w:rFonts w:ascii="Arial" w:hAnsi="Arial" w:cs="Arial"/>
                <w:sz w:val="24"/>
                <w:szCs w:val="24"/>
                <w:shd w:val="clear" w:color="auto" w:fill="FFFFFF"/>
                <w:lang w:val="en-ZA"/>
              </w:rPr>
              <w:t xml:space="preserve"> will be based on the surrounding circumstances of the case.</w:t>
            </w:r>
            <w:bookmarkStart w:id="0" w:name="sdfootnote5anc"/>
            <w:r w:rsidR="00F43CEC">
              <w:rPr>
                <w:rStyle w:val="FootnoteReference"/>
                <w:rFonts w:ascii="Arial" w:hAnsi="Arial" w:cs="Arial"/>
                <w:sz w:val="24"/>
                <w:szCs w:val="24"/>
                <w:shd w:val="clear" w:color="auto" w:fill="FFFFFF"/>
                <w:lang w:val="en-ZA"/>
              </w:rPr>
              <w:footnoteReference w:id="1"/>
            </w:r>
            <w:bookmarkEnd w:id="0"/>
            <w:r w:rsidR="00F43CEC">
              <w:rPr>
                <w:rFonts w:ascii="Arial" w:hAnsi="Arial" w:cs="Arial"/>
                <w:sz w:val="24"/>
                <w:szCs w:val="24"/>
                <w:shd w:val="clear" w:color="auto" w:fill="FFFFFF"/>
                <w:lang w:val="en-ZA"/>
              </w:rPr>
              <w:t xml:space="preserve"> </w:t>
            </w:r>
            <w:r w:rsidRPr="00086E50">
              <w:rPr>
                <w:rFonts w:ascii="Arial" w:hAnsi="Arial" w:cs="Arial"/>
                <w:sz w:val="24"/>
                <w:szCs w:val="24"/>
                <w:shd w:val="clear" w:color="auto" w:fill="FFFFFF"/>
                <w:lang w:val="en-ZA"/>
              </w:rPr>
              <w:t>The court in </w:t>
            </w:r>
            <w:r w:rsidRPr="00086E50">
              <w:rPr>
                <w:rFonts w:ascii="Arial" w:hAnsi="Arial" w:cs="Arial"/>
                <w:i/>
                <w:iCs/>
                <w:sz w:val="24"/>
                <w:szCs w:val="24"/>
                <w:shd w:val="clear" w:color="auto" w:fill="FFFFFF"/>
                <w:lang w:val="en-ZA"/>
              </w:rPr>
              <w:t>Telecom Namibia Ltd v Michael Nangolo &amp; others</w:t>
            </w:r>
            <w:r w:rsidRPr="00086E50">
              <w:rPr>
                <w:rFonts w:ascii="Arial" w:hAnsi="Arial" w:cs="Arial"/>
                <w:sz w:val="24"/>
                <w:szCs w:val="24"/>
                <w:shd w:val="clear" w:color="auto" w:fill="FFFFFF"/>
                <w:lang w:val="en-ZA"/>
              </w:rPr>
              <w:t>,</w:t>
            </w:r>
            <w:r w:rsidR="00F43CEC">
              <w:rPr>
                <w:rStyle w:val="FootnoteReference"/>
                <w:rFonts w:ascii="Arial" w:hAnsi="Arial" w:cs="Arial"/>
                <w:sz w:val="24"/>
                <w:szCs w:val="24"/>
                <w:shd w:val="clear" w:color="auto" w:fill="FFFFFF"/>
                <w:lang w:val="en-ZA"/>
              </w:rPr>
              <w:footnoteReference w:id="2"/>
            </w:r>
            <w:r w:rsidRPr="00086E50">
              <w:rPr>
                <w:rFonts w:ascii="Arial" w:hAnsi="Arial" w:cs="Arial"/>
                <w:sz w:val="24"/>
                <w:szCs w:val="24"/>
                <w:shd w:val="clear" w:color="auto" w:fill="FFFFFF"/>
                <w:lang w:val="en-ZA"/>
              </w:rPr>
              <w:t xml:space="preserve"> restated the settled legal principles and factors that a court will take into account when exercising its discretion notwithstanding that the respondents are not opposed to condonation.</w:t>
            </w:r>
            <w:r w:rsidR="00F43CEC">
              <w:rPr>
                <w:rStyle w:val="FootnoteReference"/>
                <w:rFonts w:ascii="Arial" w:hAnsi="Arial" w:cs="Arial"/>
                <w:sz w:val="24"/>
                <w:szCs w:val="24"/>
                <w:shd w:val="clear" w:color="auto" w:fill="FFFFFF"/>
                <w:lang w:val="en-ZA"/>
              </w:rPr>
              <w:footnoteReference w:id="3"/>
            </w:r>
            <w:r w:rsidRPr="00086E50">
              <w:rPr>
                <w:rFonts w:ascii="Arial" w:hAnsi="Arial" w:cs="Arial"/>
                <w:sz w:val="24"/>
                <w:szCs w:val="24"/>
                <w:shd w:val="clear" w:color="auto" w:fill="FFFFFF"/>
                <w:lang w:val="en-ZA"/>
              </w:rPr>
              <w:t xml:space="preserve"> </w:t>
            </w:r>
          </w:p>
          <w:p w14:paraId="0007F52E" w14:textId="77777777" w:rsidR="00E72B16" w:rsidRPr="00E72B16" w:rsidRDefault="00E72B16" w:rsidP="00E72B16">
            <w:pPr>
              <w:pStyle w:val="ListParagraph"/>
              <w:rPr>
                <w:rFonts w:ascii="Arial" w:hAnsi="Arial" w:cs="Arial"/>
                <w:sz w:val="24"/>
                <w:szCs w:val="24"/>
              </w:rPr>
            </w:pPr>
          </w:p>
          <w:p w14:paraId="4C559657" w14:textId="7CCE59DE" w:rsidR="00E72B16" w:rsidRDefault="00E72B16" w:rsidP="00E72B16">
            <w:pPr>
              <w:pStyle w:val="ListParagraph"/>
              <w:numPr>
                <w:ilvl w:val="0"/>
                <w:numId w:val="33"/>
              </w:numPr>
              <w:spacing w:line="360" w:lineRule="auto"/>
              <w:ind w:left="0" w:firstLine="0"/>
              <w:jc w:val="both"/>
              <w:rPr>
                <w:rFonts w:ascii="Arial" w:hAnsi="Arial" w:cs="Arial"/>
                <w:sz w:val="24"/>
                <w:szCs w:val="24"/>
                <w:shd w:val="clear" w:color="auto" w:fill="FFFFFF"/>
              </w:rPr>
            </w:pPr>
            <w:r w:rsidRPr="00E72B16">
              <w:rPr>
                <w:rFonts w:ascii="Arial" w:hAnsi="Arial" w:cs="Arial"/>
                <w:sz w:val="24"/>
                <w:szCs w:val="24"/>
              </w:rPr>
              <w:t>A party seeking condonation must furnish a satisfactory explanation for the non-compliance, explain the failure to act timeously and sh</w:t>
            </w:r>
            <w:r>
              <w:rPr>
                <w:rFonts w:ascii="Arial" w:hAnsi="Arial" w:cs="Arial"/>
                <w:sz w:val="24"/>
                <w:szCs w:val="24"/>
              </w:rPr>
              <w:t xml:space="preserve">ow the default was not willful. </w:t>
            </w:r>
            <w:r w:rsidRPr="009562CA">
              <w:rPr>
                <w:rFonts w:ascii="Arial" w:hAnsi="Arial" w:cs="Arial"/>
                <w:i/>
                <w:sz w:val="24"/>
                <w:szCs w:val="24"/>
              </w:rPr>
              <w:t>In Beukes</w:t>
            </w:r>
            <w:r w:rsidRPr="009562CA">
              <w:rPr>
                <w:rFonts w:ascii="Arial" w:hAnsi="Arial" w:cs="Arial"/>
                <w:i/>
                <w:iCs/>
                <w:sz w:val="24"/>
                <w:szCs w:val="24"/>
                <w:shd w:val="clear" w:color="auto" w:fill="FFFFFF"/>
              </w:rPr>
              <w:t xml:space="preserve"> and A</w:t>
            </w:r>
            <w:r w:rsidRPr="00E72B16">
              <w:rPr>
                <w:rFonts w:ascii="Arial" w:hAnsi="Arial" w:cs="Arial"/>
                <w:i/>
                <w:iCs/>
                <w:sz w:val="24"/>
                <w:szCs w:val="24"/>
                <w:shd w:val="clear" w:color="auto" w:fill="FFFFFF"/>
              </w:rPr>
              <w:t>nother v South West Africa Building Society (SWABOU) and Others</w:t>
            </w:r>
            <w:r w:rsidRPr="007B45B6">
              <w:rPr>
                <w:rStyle w:val="FootnoteReference"/>
                <w:rFonts w:ascii="Arial" w:hAnsi="Arial" w:cs="Arial"/>
                <w:i/>
                <w:iCs/>
                <w:sz w:val="24"/>
                <w:szCs w:val="24"/>
                <w:shd w:val="clear" w:color="auto" w:fill="FFFFFF"/>
              </w:rPr>
              <w:footnoteReference w:id="4"/>
            </w:r>
            <w:r w:rsidRPr="00E72B16">
              <w:rPr>
                <w:rFonts w:ascii="Arial" w:hAnsi="Arial" w:cs="Arial"/>
                <w:sz w:val="24"/>
                <w:szCs w:val="24"/>
                <w:shd w:val="clear" w:color="auto" w:fill="FFFFFF"/>
              </w:rPr>
              <w:t xml:space="preserve"> this</w:t>
            </w:r>
            <w:r w:rsidR="001203FA">
              <w:rPr>
                <w:rFonts w:ascii="Arial" w:hAnsi="Arial" w:cs="Arial"/>
                <w:sz w:val="24"/>
                <w:szCs w:val="24"/>
                <w:shd w:val="clear" w:color="auto" w:fill="FFFFFF"/>
              </w:rPr>
              <w:t xml:space="preserve"> c</w:t>
            </w:r>
            <w:r>
              <w:rPr>
                <w:rFonts w:ascii="Arial" w:hAnsi="Arial" w:cs="Arial"/>
                <w:sz w:val="24"/>
                <w:szCs w:val="24"/>
                <w:shd w:val="clear" w:color="auto" w:fill="FFFFFF"/>
              </w:rPr>
              <w:t>ourt held that:</w:t>
            </w:r>
            <w:r>
              <w:rPr>
                <w:rStyle w:val="FootnoteReference"/>
                <w:rFonts w:ascii="Arial" w:hAnsi="Arial" w:cs="Arial"/>
                <w:sz w:val="24"/>
                <w:szCs w:val="24"/>
                <w:shd w:val="clear" w:color="auto" w:fill="FFFFFF"/>
              </w:rPr>
              <w:footnoteReference w:id="5"/>
            </w:r>
          </w:p>
          <w:p w14:paraId="0A755D07" w14:textId="77777777" w:rsidR="00E72B16" w:rsidRPr="00E72B16" w:rsidRDefault="00E72B16" w:rsidP="00E72B16">
            <w:pPr>
              <w:pStyle w:val="ListParagraph"/>
              <w:spacing w:line="360" w:lineRule="auto"/>
              <w:ind w:left="0"/>
              <w:jc w:val="both"/>
              <w:rPr>
                <w:rFonts w:ascii="Arial" w:hAnsi="Arial" w:cs="Arial"/>
                <w:sz w:val="24"/>
                <w:szCs w:val="24"/>
                <w:shd w:val="clear" w:color="auto" w:fill="FFFFFF"/>
              </w:rPr>
            </w:pPr>
          </w:p>
          <w:p w14:paraId="537E995A" w14:textId="77777777" w:rsidR="00E72B16" w:rsidRDefault="00E72B16" w:rsidP="00E72B16">
            <w:pPr>
              <w:pStyle w:val="NormalWeb"/>
              <w:shd w:val="clear" w:color="auto" w:fill="FFFFFF"/>
              <w:spacing w:after="0" w:line="360" w:lineRule="auto"/>
              <w:ind w:firstLine="720"/>
              <w:jc w:val="both"/>
              <w:textAlignment w:val="baseline"/>
              <w:rPr>
                <w:rFonts w:ascii="Arial" w:hAnsi="Arial" w:cs="Arial"/>
                <w:shd w:val="clear" w:color="auto" w:fill="FFFFFF"/>
              </w:rPr>
            </w:pPr>
            <w:r w:rsidRPr="007B45B6">
              <w:rPr>
                <w:rFonts w:ascii="Arial" w:hAnsi="Arial" w:cs="Arial"/>
                <w:sz w:val="22"/>
                <w:szCs w:val="22"/>
                <w:shd w:val="clear" w:color="auto" w:fill="FFFFFF"/>
              </w:rPr>
              <w:lastRenderedPageBreak/>
              <w:t xml:space="preserve">‘An application for condonation is not a mere formality; the trigger for it is non-compliance with the Rules of Court. Accordingly, once there has been non-compliance, </w:t>
            </w:r>
            <w:r w:rsidRPr="00DD1585">
              <w:rPr>
                <w:rFonts w:ascii="Arial" w:hAnsi="Arial" w:cs="Arial"/>
                <w:sz w:val="22"/>
                <w:szCs w:val="22"/>
                <w:u w:val="single"/>
                <w:shd w:val="clear" w:color="auto" w:fill="FFFFFF"/>
              </w:rPr>
              <w:t>the applicant should, without delay, apply for condonation</w:t>
            </w:r>
            <w:r w:rsidRPr="00DD1585">
              <w:rPr>
                <w:rFonts w:ascii="Arial" w:hAnsi="Arial" w:cs="Arial"/>
                <w:sz w:val="22"/>
                <w:szCs w:val="22"/>
                <w:shd w:val="clear" w:color="auto" w:fill="FFFFFF"/>
              </w:rPr>
              <w:t xml:space="preserve"> and comply with the Rules….</w:t>
            </w:r>
            <w:r w:rsidRPr="00DD1585">
              <w:rPr>
                <w:rFonts w:ascii="Arial" w:hAnsi="Arial" w:cs="Arial"/>
                <w:sz w:val="22"/>
                <w:szCs w:val="22"/>
              </w:rPr>
              <w:t xml:space="preserve"> I</w:t>
            </w:r>
            <w:r w:rsidRPr="00DD1585">
              <w:rPr>
                <w:rFonts w:ascii="Arial" w:hAnsi="Arial" w:cs="Arial"/>
                <w:sz w:val="22"/>
                <w:szCs w:val="22"/>
                <w:shd w:val="clear" w:color="auto" w:fill="FFFFFF"/>
              </w:rPr>
              <w:t xml:space="preserve">n seeking condonation, the applicants have to make out their case on the papers submitted to explain the delay and the failure to comply with the Rules. </w:t>
            </w:r>
            <w:r w:rsidRPr="00DD1585">
              <w:rPr>
                <w:rFonts w:ascii="Arial" w:hAnsi="Arial" w:cs="Arial"/>
                <w:sz w:val="22"/>
                <w:szCs w:val="22"/>
                <w:u w:val="single"/>
                <w:shd w:val="clear" w:color="auto" w:fill="FFFFFF"/>
              </w:rPr>
              <w:t>The explanation must be full, detailed and accurate in order to enable the Court to understand clearly the reasons for it</w:t>
            </w:r>
            <w:r w:rsidRPr="00DD1585">
              <w:rPr>
                <w:rFonts w:ascii="Arial" w:hAnsi="Arial" w:cs="Arial"/>
                <w:sz w:val="22"/>
                <w:szCs w:val="22"/>
                <w:shd w:val="clear" w:color="auto" w:fill="FFFFFF"/>
              </w:rPr>
              <w:t>.’</w:t>
            </w:r>
            <w:r>
              <w:rPr>
                <w:rFonts w:ascii="Arial" w:hAnsi="Arial" w:cs="Arial"/>
                <w:shd w:val="clear" w:color="auto" w:fill="FFFFFF"/>
              </w:rPr>
              <w:t xml:space="preserve"> (Emphasis supplied).</w:t>
            </w:r>
          </w:p>
          <w:p w14:paraId="3ACDFA4C" w14:textId="77777777" w:rsidR="00E72B16" w:rsidRPr="007B45B6" w:rsidRDefault="00E72B16" w:rsidP="00E72B16">
            <w:pPr>
              <w:pStyle w:val="NormalWeb"/>
              <w:shd w:val="clear" w:color="auto" w:fill="FFFFFF"/>
              <w:spacing w:after="0" w:line="360" w:lineRule="auto"/>
              <w:jc w:val="both"/>
              <w:textAlignment w:val="baseline"/>
              <w:rPr>
                <w:rFonts w:ascii="Arial" w:hAnsi="Arial" w:cs="Arial"/>
                <w:shd w:val="clear" w:color="auto" w:fill="FFFFFF"/>
              </w:rPr>
            </w:pPr>
          </w:p>
          <w:p w14:paraId="0B07FEF8" w14:textId="77777777" w:rsidR="00DE2E76" w:rsidRPr="001434C7" w:rsidRDefault="00E72B16" w:rsidP="001434C7">
            <w:pPr>
              <w:pStyle w:val="ListParagraph"/>
              <w:numPr>
                <w:ilvl w:val="0"/>
                <w:numId w:val="33"/>
              </w:numPr>
              <w:spacing w:line="360" w:lineRule="auto"/>
              <w:ind w:left="0" w:firstLine="0"/>
              <w:jc w:val="both"/>
              <w:rPr>
                <w:rFonts w:ascii="Arial" w:hAnsi="Arial" w:cs="Arial"/>
                <w:sz w:val="24"/>
                <w:szCs w:val="24"/>
                <w:shd w:val="clear" w:color="auto" w:fill="FFFFFF"/>
              </w:rPr>
            </w:pPr>
            <w:r w:rsidRPr="00E72B16">
              <w:rPr>
                <w:rFonts w:ascii="Arial" w:hAnsi="Arial" w:cs="Arial"/>
                <w:sz w:val="24"/>
                <w:szCs w:val="24"/>
                <w:shd w:val="clear" w:color="auto" w:fill="FFFFFF"/>
                <w:lang w:val="en-ZA"/>
              </w:rPr>
              <w:t xml:space="preserve">The second leg for condonation as pronounced in </w:t>
            </w:r>
            <w:r w:rsidR="00130B13" w:rsidRPr="00E72B16">
              <w:rPr>
                <w:rFonts w:ascii="Arial" w:hAnsi="Arial" w:cs="Arial"/>
                <w:i/>
                <w:iCs/>
                <w:sz w:val="24"/>
                <w:szCs w:val="24"/>
                <w:shd w:val="clear" w:color="auto" w:fill="FFFFFF"/>
                <w:lang w:val="en-ZA"/>
              </w:rPr>
              <w:t>Met</w:t>
            </w:r>
            <w:r w:rsidRPr="00E72B16">
              <w:rPr>
                <w:rFonts w:ascii="Arial" w:hAnsi="Arial" w:cs="Arial"/>
                <w:i/>
                <w:iCs/>
                <w:sz w:val="24"/>
                <w:szCs w:val="24"/>
                <w:shd w:val="clear" w:color="auto" w:fill="FFFFFF"/>
                <w:lang w:val="en-ZA"/>
              </w:rPr>
              <w:t>ropolitan Namibia v Amos Nangolo,</w:t>
            </w:r>
            <w:r>
              <w:rPr>
                <w:rStyle w:val="FootnoteReference"/>
                <w:rFonts w:ascii="Arial" w:hAnsi="Arial" w:cs="Arial"/>
                <w:i/>
                <w:iCs/>
                <w:sz w:val="24"/>
                <w:szCs w:val="24"/>
                <w:shd w:val="clear" w:color="auto" w:fill="FFFFFF"/>
                <w:lang w:val="en-ZA"/>
              </w:rPr>
              <w:footnoteReference w:id="6"/>
            </w:r>
            <w:r w:rsidRPr="00E72B16">
              <w:rPr>
                <w:rFonts w:ascii="Arial" w:hAnsi="Arial" w:cs="Arial"/>
                <w:i/>
                <w:iCs/>
                <w:sz w:val="24"/>
                <w:szCs w:val="24"/>
                <w:shd w:val="clear" w:color="auto" w:fill="FFFFFF"/>
                <w:lang w:val="en-ZA"/>
              </w:rPr>
              <w:t xml:space="preserve"> </w:t>
            </w:r>
            <w:r w:rsidR="00130B13" w:rsidRPr="00E72B16">
              <w:rPr>
                <w:rFonts w:ascii="Arial" w:hAnsi="Arial" w:cs="Arial"/>
                <w:sz w:val="24"/>
                <w:szCs w:val="24"/>
                <w:shd w:val="clear" w:color="auto" w:fill="FFFFFF"/>
                <w:lang w:val="en-ZA"/>
              </w:rPr>
              <w:t>held that not only shall an applicant provide a reasonable and acceptable explanation for their non-compliance, it must also be shown that the main matter has prospects of success in fact and in terms of the applicable</w:t>
            </w:r>
            <w:r w:rsidRPr="00E72B16">
              <w:rPr>
                <w:rFonts w:ascii="Arial" w:hAnsi="Arial" w:cs="Arial"/>
                <w:sz w:val="24"/>
                <w:szCs w:val="24"/>
                <w:shd w:val="clear" w:color="auto" w:fill="FFFFFF"/>
                <w:lang w:val="en-ZA"/>
              </w:rPr>
              <w:t xml:space="preserve"> law, and that each case will be determined on its merits</w:t>
            </w:r>
            <w:r w:rsidR="00712E81">
              <w:rPr>
                <w:rFonts w:ascii="Arial" w:hAnsi="Arial" w:cs="Arial"/>
                <w:sz w:val="24"/>
                <w:szCs w:val="24"/>
                <w:shd w:val="clear" w:color="auto" w:fill="FFFFFF"/>
                <w:lang w:val="en-ZA"/>
              </w:rPr>
              <w:t>,</w:t>
            </w:r>
            <w:r>
              <w:rPr>
                <w:rStyle w:val="FootnoteReference"/>
                <w:rFonts w:ascii="Arial" w:hAnsi="Arial" w:cs="Arial"/>
                <w:sz w:val="24"/>
                <w:szCs w:val="24"/>
                <w:shd w:val="clear" w:color="auto" w:fill="FFFFFF"/>
                <w:lang w:val="en-ZA"/>
              </w:rPr>
              <w:footnoteReference w:id="7"/>
            </w:r>
            <w:r w:rsidR="00712E81">
              <w:rPr>
                <w:rFonts w:ascii="Arial" w:hAnsi="Arial" w:cs="Arial"/>
                <w:sz w:val="24"/>
                <w:szCs w:val="24"/>
                <w:shd w:val="clear" w:color="auto" w:fill="FFFFFF"/>
                <w:lang w:val="en-ZA"/>
              </w:rPr>
              <w:t xml:space="preserve"> while the court enjoys a very wide discretion.</w:t>
            </w:r>
            <w:r w:rsidR="00712E81">
              <w:rPr>
                <w:rStyle w:val="FootnoteReference"/>
                <w:rFonts w:ascii="Arial" w:hAnsi="Arial" w:cs="Arial"/>
                <w:sz w:val="24"/>
                <w:szCs w:val="24"/>
                <w:shd w:val="clear" w:color="auto" w:fill="FFFFFF"/>
                <w:lang w:val="en-ZA"/>
              </w:rPr>
              <w:footnoteReference w:id="8"/>
            </w:r>
            <w:r w:rsidRPr="00E72B16">
              <w:rPr>
                <w:rFonts w:ascii="Arial" w:hAnsi="Arial" w:cs="Arial"/>
                <w:sz w:val="24"/>
                <w:szCs w:val="24"/>
                <w:shd w:val="clear" w:color="auto" w:fill="FFFFFF"/>
                <w:lang w:val="en-ZA"/>
              </w:rPr>
              <w:t xml:space="preserve"> </w:t>
            </w:r>
          </w:p>
          <w:p w14:paraId="4CCD1CE7" w14:textId="77777777" w:rsidR="001434C7" w:rsidRPr="001434C7" w:rsidRDefault="001434C7" w:rsidP="001434C7">
            <w:pPr>
              <w:pStyle w:val="ListParagraph"/>
              <w:spacing w:line="360" w:lineRule="auto"/>
              <w:ind w:left="0"/>
              <w:jc w:val="both"/>
              <w:rPr>
                <w:rFonts w:ascii="Arial" w:hAnsi="Arial" w:cs="Arial"/>
                <w:sz w:val="24"/>
                <w:szCs w:val="24"/>
                <w:shd w:val="clear" w:color="auto" w:fill="FFFFFF"/>
              </w:rPr>
            </w:pPr>
          </w:p>
          <w:p w14:paraId="73DA9538" w14:textId="77777777" w:rsidR="00DE2E76" w:rsidRDefault="00DE2E76" w:rsidP="001434C7">
            <w:pPr>
              <w:pStyle w:val="ListParagraph"/>
              <w:numPr>
                <w:ilvl w:val="0"/>
                <w:numId w:val="33"/>
              </w:numPr>
              <w:spacing w:line="360" w:lineRule="auto"/>
              <w:ind w:left="0" w:firstLine="0"/>
              <w:jc w:val="both"/>
              <w:rPr>
                <w:rFonts w:ascii="Arial" w:hAnsi="Arial" w:cs="Arial"/>
                <w:sz w:val="24"/>
                <w:szCs w:val="24"/>
                <w:shd w:val="clear" w:color="auto" w:fill="FFFFFF"/>
              </w:rPr>
            </w:pPr>
            <w:r>
              <w:rPr>
                <w:rFonts w:ascii="Arial" w:hAnsi="Arial" w:cs="Arial"/>
                <w:sz w:val="24"/>
                <w:szCs w:val="24"/>
                <w:shd w:val="clear" w:color="auto" w:fill="FFFFFF"/>
              </w:rPr>
              <w:t xml:space="preserve">Having set out the factual matrix and the exposition of law, I am convinced the present matter is one that lends itself to granting of condonation in favour of the plaintiff. </w:t>
            </w:r>
          </w:p>
          <w:p w14:paraId="239B743D" w14:textId="77777777" w:rsidR="001434C7" w:rsidRPr="001434C7" w:rsidRDefault="001434C7" w:rsidP="001434C7">
            <w:pPr>
              <w:pStyle w:val="ListParagraph"/>
              <w:spacing w:line="360" w:lineRule="auto"/>
              <w:ind w:left="0"/>
              <w:jc w:val="both"/>
              <w:rPr>
                <w:rFonts w:ascii="Arial" w:hAnsi="Arial" w:cs="Arial"/>
                <w:sz w:val="24"/>
                <w:szCs w:val="24"/>
                <w:shd w:val="clear" w:color="auto" w:fill="FFFFFF"/>
              </w:rPr>
            </w:pPr>
          </w:p>
          <w:p w14:paraId="7A73370D" w14:textId="300FD312" w:rsidR="001434C7" w:rsidRPr="00694334" w:rsidRDefault="001203FA" w:rsidP="001434C7">
            <w:pPr>
              <w:pStyle w:val="ListParagraph"/>
              <w:numPr>
                <w:ilvl w:val="0"/>
                <w:numId w:val="33"/>
              </w:numPr>
              <w:spacing w:line="360" w:lineRule="auto"/>
              <w:ind w:left="0" w:firstLine="0"/>
              <w:jc w:val="both"/>
              <w:rPr>
                <w:rFonts w:ascii="Arial" w:hAnsi="Arial" w:cs="Arial"/>
                <w:sz w:val="24"/>
                <w:szCs w:val="24"/>
                <w:shd w:val="clear" w:color="auto" w:fill="FFFFFF"/>
              </w:rPr>
            </w:pPr>
            <w:r>
              <w:rPr>
                <w:rFonts w:ascii="Arial" w:hAnsi="Arial" w:cs="Arial"/>
                <w:sz w:val="24"/>
                <w:szCs w:val="24"/>
                <w:shd w:val="clear" w:color="auto" w:fill="FFFFFF"/>
              </w:rPr>
              <w:t xml:space="preserve">The plaintiff, </w:t>
            </w:r>
            <w:r w:rsidR="00DE2E76">
              <w:rPr>
                <w:rFonts w:ascii="Arial" w:hAnsi="Arial" w:cs="Arial"/>
                <w:sz w:val="24"/>
                <w:szCs w:val="24"/>
                <w:shd w:val="clear" w:color="auto" w:fill="FFFFFF"/>
              </w:rPr>
              <w:t>within 20 days of her failure to comply with the order, brought the first condonation application, explaining the non-compliance was occasioned by financial difficulties, as she could not place her legal practitioner in funds to prepare the witness statements. When the bill of her practitioner fell due and payable, a portion thereof was settled during January 2022, while she could only settled the remainder during April 2022. During oral argument, the plaintiff appeared in person, lamenting she cannot further afford the services of a legal practitioner. I am thus convinced, although not to be taken as a factor in and of itself for the granting of condonation, the financial position of the plaintiff as explained</w:t>
            </w:r>
            <w:r w:rsidR="001434C7">
              <w:rPr>
                <w:rFonts w:ascii="Arial" w:hAnsi="Arial" w:cs="Arial"/>
                <w:sz w:val="24"/>
                <w:szCs w:val="24"/>
                <w:shd w:val="clear" w:color="auto" w:fill="FFFFFF"/>
              </w:rPr>
              <w:t xml:space="preserve"> in this matter</w:t>
            </w:r>
            <w:r w:rsidR="00DE2E76">
              <w:rPr>
                <w:rFonts w:ascii="Arial" w:hAnsi="Arial" w:cs="Arial"/>
                <w:sz w:val="24"/>
                <w:szCs w:val="24"/>
                <w:shd w:val="clear" w:color="auto" w:fill="FFFFFF"/>
              </w:rPr>
              <w:t xml:space="preserve"> rendered her unable to comply with the court</w:t>
            </w:r>
            <w:r w:rsidR="001434C7">
              <w:rPr>
                <w:rFonts w:ascii="Arial" w:hAnsi="Arial" w:cs="Arial"/>
                <w:sz w:val="24"/>
                <w:szCs w:val="24"/>
                <w:shd w:val="clear" w:color="auto" w:fill="FFFFFF"/>
              </w:rPr>
              <w:t xml:space="preserve"> order</w:t>
            </w:r>
            <w:r w:rsidR="00DE2E76">
              <w:rPr>
                <w:rFonts w:ascii="Arial" w:hAnsi="Arial" w:cs="Arial"/>
                <w:sz w:val="24"/>
                <w:szCs w:val="24"/>
                <w:shd w:val="clear" w:color="auto" w:fill="FFFFFF"/>
              </w:rPr>
              <w:t xml:space="preserve"> and file her statements on time, and that such default was not wilful, as the plaintiff was desirous to settle her legal bill.</w:t>
            </w:r>
          </w:p>
          <w:p w14:paraId="3113D87F" w14:textId="46908AAE" w:rsidR="00DE2E76" w:rsidRDefault="00DE2E76" w:rsidP="001434C7">
            <w:pPr>
              <w:pStyle w:val="ListParagraph"/>
              <w:numPr>
                <w:ilvl w:val="0"/>
                <w:numId w:val="33"/>
              </w:numPr>
              <w:spacing w:line="360" w:lineRule="auto"/>
              <w:ind w:left="0" w:firstLine="0"/>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The plaintiff raises serious factual disputes and legal issues addressing her prospects of success. If the averments of the plaintiff stand proven and accepted at trial, she may very well </w:t>
            </w:r>
            <w:r w:rsidR="0017313D">
              <w:rPr>
                <w:rFonts w:ascii="Arial" w:hAnsi="Arial" w:cs="Arial"/>
                <w:sz w:val="24"/>
                <w:szCs w:val="24"/>
                <w:shd w:val="clear" w:color="auto" w:fill="FFFFFF"/>
              </w:rPr>
              <w:t>properly attack</w:t>
            </w:r>
            <w:r>
              <w:rPr>
                <w:rFonts w:ascii="Arial" w:hAnsi="Arial" w:cs="Arial"/>
                <w:sz w:val="24"/>
                <w:szCs w:val="24"/>
                <w:shd w:val="clear" w:color="auto" w:fill="FFFFFF"/>
              </w:rPr>
              <w:t xml:space="preserve"> the repudiation of the defendant and succeed in her claim.</w:t>
            </w:r>
          </w:p>
          <w:p w14:paraId="616553D4" w14:textId="77777777" w:rsidR="001434C7" w:rsidRPr="001434C7" w:rsidRDefault="001434C7" w:rsidP="001434C7">
            <w:pPr>
              <w:pStyle w:val="ListParagraph"/>
              <w:spacing w:line="360" w:lineRule="auto"/>
              <w:ind w:left="0"/>
              <w:jc w:val="both"/>
              <w:rPr>
                <w:rFonts w:ascii="Arial" w:hAnsi="Arial" w:cs="Arial"/>
                <w:sz w:val="24"/>
                <w:szCs w:val="24"/>
                <w:shd w:val="clear" w:color="auto" w:fill="FFFFFF"/>
              </w:rPr>
            </w:pPr>
          </w:p>
          <w:p w14:paraId="074DE81A" w14:textId="782CF457" w:rsidR="001434C7" w:rsidRDefault="00DE2E76" w:rsidP="001434C7">
            <w:pPr>
              <w:pStyle w:val="ListParagraph"/>
              <w:numPr>
                <w:ilvl w:val="0"/>
                <w:numId w:val="33"/>
              </w:numPr>
              <w:spacing w:line="360" w:lineRule="auto"/>
              <w:ind w:left="0" w:firstLine="0"/>
              <w:jc w:val="both"/>
              <w:rPr>
                <w:rFonts w:ascii="Arial" w:hAnsi="Arial" w:cs="Arial"/>
                <w:sz w:val="24"/>
                <w:szCs w:val="24"/>
                <w:shd w:val="clear" w:color="auto" w:fill="FFFFFF"/>
              </w:rPr>
            </w:pPr>
            <w:r>
              <w:rPr>
                <w:rFonts w:ascii="Arial" w:hAnsi="Arial" w:cs="Arial"/>
                <w:sz w:val="24"/>
                <w:szCs w:val="24"/>
                <w:shd w:val="clear" w:color="auto" w:fill="FFFFFF"/>
              </w:rPr>
              <w:t>While the manner in which the matter has been litigated leaves much to</w:t>
            </w:r>
            <w:r w:rsidR="001203FA">
              <w:rPr>
                <w:rFonts w:ascii="Arial" w:hAnsi="Arial" w:cs="Arial"/>
                <w:sz w:val="24"/>
                <w:szCs w:val="24"/>
                <w:shd w:val="clear" w:color="auto" w:fill="FFFFFF"/>
              </w:rPr>
              <w:t xml:space="preserve"> be</w:t>
            </w:r>
            <w:r>
              <w:rPr>
                <w:rFonts w:ascii="Arial" w:hAnsi="Arial" w:cs="Arial"/>
                <w:sz w:val="24"/>
                <w:szCs w:val="24"/>
                <w:shd w:val="clear" w:color="auto" w:fill="FFFFFF"/>
              </w:rPr>
              <w:t xml:space="preserve"> desire</w:t>
            </w:r>
            <w:r w:rsidR="0017313D">
              <w:rPr>
                <w:rFonts w:ascii="Arial" w:hAnsi="Arial" w:cs="Arial"/>
                <w:sz w:val="24"/>
                <w:szCs w:val="24"/>
                <w:shd w:val="clear" w:color="auto" w:fill="FFFFFF"/>
              </w:rPr>
              <w:t>d</w:t>
            </w:r>
            <w:r>
              <w:rPr>
                <w:rFonts w:ascii="Arial" w:hAnsi="Arial" w:cs="Arial"/>
                <w:sz w:val="24"/>
                <w:szCs w:val="24"/>
                <w:shd w:val="clear" w:color="auto" w:fill="FFFFFF"/>
              </w:rPr>
              <w:t>; it is also evident that along the way the defendant had been indemnified for its wasted costs</w:t>
            </w:r>
            <w:r w:rsidR="00C51A1E">
              <w:rPr>
                <w:rFonts w:ascii="Arial" w:hAnsi="Arial" w:cs="Arial"/>
                <w:sz w:val="24"/>
                <w:szCs w:val="24"/>
                <w:shd w:val="clear" w:color="auto" w:fill="FFFFFF"/>
              </w:rPr>
              <w:t xml:space="preserve"> in the delay. It is also in my considered view, apt in the circumstances that any delay occasioned so far in this application may be remedied </w:t>
            </w:r>
            <w:r w:rsidR="0017313D">
              <w:rPr>
                <w:rFonts w:ascii="Arial" w:hAnsi="Arial" w:cs="Arial"/>
                <w:sz w:val="24"/>
                <w:szCs w:val="24"/>
                <w:shd w:val="clear" w:color="auto" w:fill="FFFFFF"/>
              </w:rPr>
              <w:t>in favour of</w:t>
            </w:r>
            <w:r w:rsidR="00C51A1E">
              <w:rPr>
                <w:rFonts w:ascii="Arial" w:hAnsi="Arial" w:cs="Arial"/>
                <w:sz w:val="24"/>
                <w:szCs w:val="24"/>
                <w:shd w:val="clear" w:color="auto" w:fill="FFFFFF"/>
              </w:rPr>
              <w:t xml:space="preserve"> the defendant with an order as to costs.</w:t>
            </w:r>
          </w:p>
          <w:p w14:paraId="52CDD921" w14:textId="77777777" w:rsidR="001434C7" w:rsidRPr="001434C7" w:rsidRDefault="001434C7" w:rsidP="001434C7">
            <w:pPr>
              <w:pStyle w:val="ListParagraph"/>
              <w:spacing w:line="360" w:lineRule="auto"/>
              <w:ind w:left="0"/>
              <w:jc w:val="both"/>
              <w:rPr>
                <w:rFonts w:ascii="Arial" w:hAnsi="Arial" w:cs="Arial"/>
                <w:sz w:val="24"/>
                <w:szCs w:val="24"/>
                <w:shd w:val="clear" w:color="auto" w:fill="FFFFFF"/>
              </w:rPr>
            </w:pPr>
          </w:p>
          <w:p w14:paraId="3E0F9CDB" w14:textId="2D18BF05" w:rsidR="00C51A1E" w:rsidRPr="001434C7" w:rsidRDefault="00C51A1E" w:rsidP="001434C7">
            <w:pPr>
              <w:pStyle w:val="ListParagraph"/>
              <w:numPr>
                <w:ilvl w:val="0"/>
                <w:numId w:val="33"/>
              </w:numPr>
              <w:spacing w:line="360" w:lineRule="auto"/>
              <w:ind w:left="0" w:firstLine="0"/>
              <w:jc w:val="both"/>
              <w:rPr>
                <w:rFonts w:ascii="Arial" w:hAnsi="Arial" w:cs="Arial"/>
                <w:sz w:val="24"/>
                <w:szCs w:val="24"/>
                <w:shd w:val="clear" w:color="auto" w:fill="FFFFFF"/>
              </w:rPr>
            </w:pPr>
            <w:r w:rsidRPr="001434C7">
              <w:rPr>
                <w:rFonts w:ascii="Arial" w:hAnsi="Arial" w:cs="Arial"/>
                <w:sz w:val="24"/>
                <w:szCs w:val="24"/>
                <w:shd w:val="clear" w:color="auto" w:fill="FFFFFF"/>
              </w:rPr>
              <w:t>It is thus my consi</w:t>
            </w:r>
            <w:r w:rsidR="00694334">
              <w:rPr>
                <w:rFonts w:ascii="Arial" w:hAnsi="Arial" w:cs="Arial"/>
                <w:sz w:val="24"/>
                <w:szCs w:val="24"/>
                <w:shd w:val="clear" w:color="auto" w:fill="FFFFFF"/>
              </w:rPr>
              <w:t>dered view,</w:t>
            </w:r>
            <w:r w:rsidR="001203FA">
              <w:rPr>
                <w:rFonts w:ascii="Arial" w:hAnsi="Arial" w:cs="Arial"/>
                <w:sz w:val="24"/>
                <w:szCs w:val="24"/>
                <w:shd w:val="clear" w:color="auto" w:fill="FFFFFF"/>
              </w:rPr>
              <w:t xml:space="preserve"> the </w:t>
            </w:r>
            <w:r w:rsidRPr="001434C7">
              <w:rPr>
                <w:rFonts w:ascii="Arial" w:hAnsi="Arial" w:cs="Arial"/>
                <w:sz w:val="24"/>
                <w:szCs w:val="24"/>
                <w:shd w:val="clear" w:color="auto" w:fill="FFFFFF"/>
              </w:rPr>
              <w:t>plaintiff may succeed in her condonation application, as she hereby does, but no reason can b</w:t>
            </w:r>
            <w:r w:rsidR="001203FA">
              <w:rPr>
                <w:rFonts w:ascii="Arial" w:hAnsi="Arial" w:cs="Arial"/>
                <w:sz w:val="24"/>
                <w:szCs w:val="24"/>
                <w:shd w:val="clear" w:color="auto" w:fill="FFFFFF"/>
              </w:rPr>
              <w:t>e found why the defendant is not</w:t>
            </w:r>
            <w:r w:rsidRPr="001434C7">
              <w:rPr>
                <w:rFonts w:ascii="Arial" w:hAnsi="Arial" w:cs="Arial"/>
                <w:sz w:val="24"/>
                <w:szCs w:val="24"/>
                <w:shd w:val="clear" w:color="auto" w:fill="FFFFFF"/>
              </w:rPr>
              <w:t xml:space="preserve"> entitled to its costs.</w:t>
            </w:r>
          </w:p>
          <w:p w14:paraId="78015D8A" w14:textId="77777777" w:rsidR="00587FC1" w:rsidRDefault="00587FC1" w:rsidP="00587FC1">
            <w:pPr>
              <w:pStyle w:val="ListParagraph"/>
              <w:spacing w:after="0" w:line="360" w:lineRule="auto"/>
              <w:ind w:left="0"/>
              <w:jc w:val="both"/>
              <w:rPr>
                <w:rFonts w:ascii="Arial" w:hAnsi="Arial" w:cs="Arial"/>
                <w:sz w:val="24"/>
                <w:szCs w:val="24"/>
                <w:shd w:val="clear" w:color="auto" w:fill="FFFFFF"/>
                <w:lang w:val="en-GB"/>
              </w:rPr>
            </w:pPr>
          </w:p>
          <w:p w14:paraId="676E6B1F" w14:textId="77777777" w:rsidR="00520685" w:rsidRPr="00587FC1" w:rsidRDefault="00DD3AA1" w:rsidP="00130B13">
            <w:pPr>
              <w:pStyle w:val="ListParagraph"/>
              <w:numPr>
                <w:ilvl w:val="0"/>
                <w:numId w:val="42"/>
              </w:numPr>
              <w:spacing w:after="0" w:line="360" w:lineRule="auto"/>
              <w:ind w:left="0" w:firstLine="0"/>
              <w:jc w:val="both"/>
              <w:rPr>
                <w:rFonts w:ascii="Arial" w:hAnsi="Arial" w:cs="Arial"/>
                <w:sz w:val="24"/>
                <w:szCs w:val="24"/>
                <w:shd w:val="clear" w:color="auto" w:fill="FFFFFF"/>
                <w:lang w:val="en-GB"/>
              </w:rPr>
            </w:pPr>
            <w:r w:rsidRPr="00587FC1">
              <w:rPr>
                <w:rFonts w:ascii="Arial" w:hAnsi="Arial" w:cs="Arial"/>
                <w:sz w:val="24"/>
                <w:szCs w:val="24"/>
                <w:shd w:val="clear" w:color="auto" w:fill="FFFFFF"/>
                <w:lang w:val="en-GB"/>
              </w:rPr>
              <w:t xml:space="preserve">In </w:t>
            </w:r>
            <w:r w:rsidR="00520685" w:rsidRPr="00587FC1">
              <w:rPr>
                <w:rFonts w:ascii="Arial" w:hAnsi="Arial" w:cs="Arial"/>
                <w:sz w:val="24"/>
                <w:szCs w:val="24"/>
                <w:shd w:val="clear" w:color="auto" w:fill="FFFFFF"/>
                <w:lang w:val="en-GB"/>
              </w:rPr>
              <w:t>the circumstances</w:t>
            </w:r>
            <w:r w:rsidR="003523C7" w:rsidRPr="00587FC1">
              <w:rPr>
                <w:rFonts w:ascii="Arial" w:hAnsi="Arial" w:cs="Arial"/>
                <w:sz w:val="24"/>
                <w:szCs w:val="24"/>
                <w:shd w:val="clear" w:color="auto" w:fill="FFFFFF"/>
                <w:lang w:val="en-GB"/>
              </w:rPr>
              <w:t>,</w:t>
            </w:r>
            <w:r w:rsidR="008C602D" w:rsidRPr="00587FC1">
              <w:rPr>
                <w:rFonts w:ascii="Arial" w:hAnsi="Arial" w:cs="Arial"/>
                <w:sz w:val="24"/>
                <w:szCs w:val="24"/>
                <w:shd w:val="clear" w:color="auto" w:fill="FFFFFF"/>
                <w:lang w:val="en-GB"/>
              </w:rPr>
              <w:t xml:space="preserve"> I make the following order:</w:t>
            </w:r>
          </w:p>
          <w:p w14:paraId="121064FF" w14:textId="77777777" w:rsidR="00520685" w:rsidRDefault="00520685" w:rsidP="00520685">
            <w:pPr>
              <w:pStyle w:val="ListParagraph"/>
              <w:rPr>
                <w:rFonts w:ascii="Arial" w:hAnsi="Arial" w:cs="Arial"/>
                <w:sz w:val="24"/>
                <w:szCs w:val="24"/>
                <w:shd w:val="clear" w:color="auto" w:fill="FFFFFF"/>
                <w:lang w:val="en-GB"/>
              </w:rPr>
            </w:pPr>
          </w:p>
          <w:p w14:paraId="19FF5139" w14:textId="77777777" w:rsidR="00DD3AA1" w:rsidRDefault="00C51A1E" w:rsidP="00587FC1">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The plaintiff’s application for condonation dated 29 April 2022 is granted.</w:t>
            </w:r>
          </w:p>
          <w:p w14:paraId="5F055402" w14:textId="77777777" w:rsidR="001203FA" w:rsidRDefault="001203FA" w:rsidP="001203FA">
            <w:pPr>
              <w:pStyle w:val="ListParagraph"/>
              <w:spacing w:after="0" w:line="360" w:lineRule="auto"/>
              <w:jc w:val="both"/>
              <w:rPr>
                <w:rFonts w:ascii="Arial" w:hAnsi="Arial" w:cs="Arial"/>
                <w:sz w:val="24"/>
                <w:szCs w:val="24"/>
              </w:rPr>
            </w:pPr>
          </w:p>
          <w:p w14:paraId="074F495C" w14:textId="72C10486" w:rsidR="001203FA" w:rsidRPr="001203FA" w:rsidRDefault="00C51A1E" w:rsidP="001203FA">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The plaintiff must pay the defendant’s costs in the condonation application, capped in terms of rule 32(1</w:t>
            </w:r>
            <w:r w:rsidR="0017313D">
              <w:rPr>
                <w:rFonts w:ascii="Arial" w:hAnsi="Arial" w:cs="Arial"/>
                <w:sz w:val="24"/>
                <w:szCs w:val="24"/>
              </w:rPr>
              <w:t>1</w:t>
            </w:r>
            <w:r>
              <w:rPr>
                <w:rFonts w:ascii="Arial" w:hAnsi="Arial" w:cs="Arial"/>
                <w:sz w:val="24"/>
                <w:szCs w:val="24"/>
              </w:rPr>
              <w:t>).</w:t>
            </w:r>
          </w:p>
          <w:p w14:paraId="5DCFC898" w14:textId="77777777" w:rsidR="001203FA" w:rsidRPr="001203FA" w:rsidRDefault="001203FA" w:rsidP="001203FA">
            <w:pPr>
              <w:pStyle w:val="ListParagraph"/>
              <w:spacing w:after="0" w:line="360" w:lineRule="auto"/>
              <w:jc w:val="both"/>
              <w:rPr>
                <w:rFonts w:ascii="Arial" w:hAnsi="Arial" w:cs="Arial"/>
                <w:sz w:val="24"/>
                <w:szCs w:val="24"/>
              </w:rPr>
            </w:pPr>
          </w:p>
          <w:p w14:paraId="73636697" w14:textId="1D38A2A7" w:rsidR="001203FA" w:rsidRPr="001203FA" w:rsidRDefault="002836AB" w:rsidP="001203FA">
            <w:pPr>
              <w:pStyle w:val="ListParagraph"/>
              <w:numPr>
                <w:ilvl w:val="0"/>
                <w:numId w:val="32"/>
              </w:numPr>
              <w:spacing w:line="360" w:lineRule="auto"/>
              <w:jc w:val="both"/>
              <w:rPr>
                <w:rFonts w:ascii="Arial" w:hAnsi="Arial" w:cs="Arial"/>
                <w:sz w:val="24"/>
                <w:szCs w:val="24"/>
              </w:rPr>
            </w:pPr>
            <w:r w:rsidRPr="002836AB">
              <w:rPr>
                <w:rFonts w:ascii="Arial" w:hAnsi="Arial" w:cs="Arial"/>
                <w:sz w:val="24"/>
                <w:szCs w:val="24"/>
              </w:rPr>
              <w:t>The taxing master is granted leave to tax the defendant’s costs in the condonation application before the finalization of the matter.</w:t>
            </w:r>
          </w:p>
          <w:p w14:paraId="71D78056" w14:textId="77777777" w:rsidR="001203FA" w:rsidRPr="002836AB" w:rsidRDefault="001203FA" w:rsidP="001203FA">
            <w:pPr>
              <w:pStyle w:val="ListParagraph"/>
              <w:spacing w:line="360" w:lineRule="auto"/>
              <w:jc w:val="both"/>
              <w:rPr>
                <w:rFonts w:ascii="Arial" w:hAnsi="Arial" w:cs="Arial"/>
                <w:sz w:val="24"/>
                <w:szCs w:val="24"/>
              </w:rPr>
            </w:pPr>
          </w:p>
          <w:p w14:paraId="179AFDE0" w14:textId="3522CB2F" w:rsidR="00C51A1E" w:rsidRDefault="00C51A1E" w:rsidP="00587FC1">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 xml:space="preserve">The parties must file a joint </w:t>
            </w:r>
            <w:r w:rsidR="00E96B2B">
              <w:rPr>
                <w:rFonts w:ascii="Arial" w:hAnsi="Arial" w:cs="Arial"/>
                <w:sz w:val="24"/>
                <w:szCs w:val="24"/>
              </w:rPr>
              <w:t>case management report</w:t>
            </w:r>
            <w:r>
              <w:rPr>
                <w:rFonts w:ascii="Arial" w:hAnsi="Arial" w:cs="Arial"/>
                <w:sz w:val="24"/>
                <w:szCs w:val="24"/>
              </w:rPr>
              <w:t xml:space="preserve"> on or before </w:t>
            </w:r>
            <w:r w:rsidRPr="00C731AF">
              <w:rPr>
                <w:rFonts w:ascii="Arial" w:hAnsi="Arial" w:cs="Arial"/>
                <w:b/>
                <w:sz w:val="24"/>
                <w:szCs w:val="24"/>
              </w:rPr>
              <w:t>31 August 2023 at 15h00</w:t>
            </w:r>
            <w:r>
              <w:rPr>
                <w:rFonts w:ascii="Arial" w:hAnsi="Arial" w:cs="Arial"/>
                <w:sz w:val="24"/>
                <w:szCs w:val="24"/>
              </w:rPr>
              <w:t>.</w:t>
            </w:r>
          </w:p>
          <w:p w14:paraId="12D9AB56" w14:textId="77777777" w:rsidR="001203FA" w:rsidRPr="001203FA" w:rsidRDefault="001203FA" w:rsidP="001203FA">
            <w:pPr>
              <w:spacing w:after="0" w:line="360" w:lineRule="auto"/>
              <w:jc w:val="both"/>
              <w:rPr>
                <w:rFonts w:ascii="Arial" w:hAnsi="Arial" w:cs="Arial"/>
                <w:sz w:val="24"/>
                <w:szCs w:val="24"/>
              </w:rPr>
            </w:pPr>
          </w:p>
          <w:p w14:paraId="300A368B" w14:textId="77777777" w:rsidR="00C51A1E" w:rsidRDefault="00C51A1E" w:rsidP="00587FC1">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 xml:space="preserve">The matter is postponed to </w:t>
            </w:r>
            <w:r w:rsidRPr="00A1116D">
              <w:rPr>
                <w:rFonts w:ascii="Arial" w:hAnsi="Arial" w:cs="Arial"/>
                <w:b/>
                <w:sz w:val="24"/>
                <w:szCs w:val="24"/>
              </w:rPr>
              <w:t>4 September 2023 at 15h30</w:t>
            </w:r>
            <w:r>
              <w:rPr>
                <w:rFonts w:ascii="Arial" w:hAnsi="Arial" w:cs="Arial"/>
                <w:sz w:val="24"/>
                <w:szCs w:val="24"/>
              </w:rPr>
              <w:t xml:space="preserve"> for a Case Management Conference Hearing.</w:t>
            </w:r>
          </w:p>
          <w:p w14:paraId="0A2C819A" w14:textId="77777777" w:rsidR="001203FA" w:rsidRPr="001203FA" w:rsidRDefault="001203FA" w:rsidP="001203FA">
            <w:pPr>
              <w:pStyle w:val="ListParagraph"/>
              <w:rPr>
                <w:rFonts w:ascii="Arial" w:hAnsi="Arial" w:cs="Arial"/>
                <w:sz w:val="24"/>
                <w:szCs w:val="24"/>
              </w:rPr>
            </w:pPr>
          </w:p>
          <w:p w14:paraId="4B0B4395" w14:textId="77777777" w:rsidR="001203FA" w:rsidRDefault="001203FA" w:rsidP="001203FA">
            <w:pPr>
              <w:pStyle w:val="ListParagraph"/>
              <w:spacing w:after="0" w:line="360" w:lineRule="auto"/>
              <w:jc w:val="both"/>
              <w:rPr>
                <w:rFonts w:ascii="Arial" w:hAnsi="Arial" w:cs="Arial"/>
                <w:sz w:val="24"/>
                <w:szCs w:val="24"/>
              </w:rPr>
            </w:pPr>
          </w:p>
          <w:p w14:paraId="2964E3EE" w14:textId="77777777" w:rsidR="00587FC1" w:rsidRDefault="00587FC1" w:rsidP="00587FC1">
            <w:pPr>
              <w:pStyle w:val="ListParagraph"/>
              <w:spacing w:after="0" w:line="360" w:lineRule="auto"/>
              <w:jc w:val="both"/>
              <w:rPr>
                <w:rFonts w:ascii="Arial" w:hAnsi="Arial" w:cs="Arial"/>
                <w:sz w:val="24"/>
                <w:szCs w:val="24"/>
              </w:rPr>
            </w:pPr>
          </w:p>
          <w:p w14:paraId="12DB46DE" w14:textId="77777777" w:rsidR="00694334" w:rsidRPr="00587FC1" w:rsidRDefault="00694334" w:rsidP="00587FC1">
            <w:pPr>
              <w:pStyle w:val="ListParagraph"/>
              <w:spacing w:after="0" w:line="360" w:lineRule="auto"/>
              <w:jc w:val="both"/>
              <w:rPr>
                <w:rFonts w:ascii="Arial" w:hAnsi="Arial" w:cs="Arial"/>
                <w:sz w:val="24"/>
                <w:szCs w:val="24"/>
              </w:rPr>
            </w:pPr>
            <w:bookmarkStart w:id="1" w:name="_GoBack"/>
            <w:bookmarkEnd w:id="1"/>
          </w:p>
        </w:tc>
      </w:tr>
      <w:tr w:rsidR="00341832" w14:paraId="22F6DC70" w14:textId="77777777" w:rsidTr="00DC16E0">
        <w:tc>
          <w:tcPr>
            <w:tcW w:w="4570" w:type="dxa"/>
            <w:tcBorders>
              <w:top w:val="single" w:sz="4" w:space="0" w:color="auto"/>
              <w:left w:val="single" w:sz="4" w:space="0" w:color="auto"/>
              <w:bottom w:val="single" w:sz="4" w:space="0" w:color="auto"/>
              <w:right w:val="single" w:sz="4" w:space="0" w:color="auto"/>
            </w:tcBorders>
            <w:hideMark/>
          </w:tcPr>
          <w:p w14:paraId="3B74C861" w14:textId="77777777" w:rsidR="00341832" w:rsidRDefault="00341832">
            <w:pPr>
              <w:spacing w:after="0" w:line="360" w:lineRule="auto"/>
              <w:jc w:val="center"/>
              <w:rPr>
                <w:rFonts w:ascii="Arial" w:hAnsi="Arial" w:cs="Arial"/>
                <w:b/>
                <w:sz w:val="24"/>
                <w:szCs w:val="24"/>
                <w:lang w:val="en-GB"/>
              </w:rPr>
            </w:pPr>
            <w:r>
              <w:rPr>
                <w:rFonts w:ascii="Arial" w:hAnsi="Arial" w:cs="Arial"/>
                <w:b/>
                <w:sz w:val="24"/>
                <w:szCs w:val="24"/>
                <w:lang w:val="en-GB"/>
              </w:rPr>
              <w:lastRenderedPageBreak/>
              <w:t>Judge’s signature</w:t>
            </w:r>
          </w:p>
        </w:tc>
        <w:tc>
          <w:tcPr>
            <w:tcW w:w="4644" w:type="dxa"/>
            <w:gridSpan w:val="2"/>
            <w:tcBorders>
              <w:top w:val="single" w:sz="4" w:space="0" w:color="auto"/>
              <w:left w:val="single" w:sz="4" w:space="0" w:color="auto"/>
              <w:bottom w:val="single" w:sz="4" w:space="0" w:color="auto"/>
              <w:right w:val="single" w:sz="4" w:space="0" w:color="auto"/>
            </w:tcBorders>
            <w:hideMark/>
          </w:tcPr>
          <w:p w14:paraId="0A380A7C" w14:textId="77777777" w:rsidR="00341832" w:rsidRDefault="00341832">
            <w:pPr>
              <w:spacing w:after="0" w:line="360" w:lineRule="auto"/>
              <w:jc w:val="center"/>
              <w:rPr>
                <w:rFonts w:ascii="Arial" w:hAnsi="Arial" w:cs="Arial"/>
                <w:b/>
                <w:sz w:val="24"/>
                <w:szCs w:val="24"/>
                <w:lang w:val="en-GB"/>
              </w:rPr>
            </w:pPr>
            <w:r>
              <w:rPr>
                <w:rFonts w:ascii="Arial" w:hAnsi="Arial" w:cs="Arial"/>
                <w:b/>
                <w:sz w:val="24"/>
                <w:szCs w:val="24"/>
                <w:lang w:val="en-GB"/>
              </w:rPr>
              <w:t>Note to the parties:</w:t>
            </w:r>
          </w:p>
        </w:tc>
      </w:tr>
      <w:tr w:rsidR="00341832" w14:paraId="49EA6698" w14:textId="77777777" w:rsidTr="00DC16E0">
        <w:trPr>
          <w:trHeight w:val="1114"/>
        </w:trPr>
        <w:tc>
          <w:tcPr>
            <w:tcW w:w="4570" w:type="dxa"/>
            <w:tcBorders>
              <w:top w:val="single" w:sz="4" w:space="0" w:color="auto"/>
              <w:left w:val="single" w:sz="4" w:space="0" w:color="auto"/>
              <w:bottom w:val="single" w:sz="4" w:space="0" w:color="auto"/>
              <w:right w:val="single" w:sz="4" w:space="0" w:color="auto"/>
            </w:tcBorders>
          </w:tcPr>
          <w:p w14:paraId="737380A9" w14:textId="77777777" w:rsidR="00341832" w:rsidRDefault="00341832">
            <w:pPr>
              <w:spacing w:after="0" w:line="360" w:lineRule="auto"/>
              <w:jc w:val="both"/>
              <w:rPr>
                <w:rFonts w:ascii="Arial" w:hAnsi="Arial" w:cs="Arial"/>
                <w:sz w:val="24"/>
                <w:szCs w:val="24"/>
                <w:lang w:val="en-GB"/>
              </w:rPr>
            </w:pPr>
          </w:p>
          <w:p w14:paraId="311BDAA4" w14:textId="77777777" w:rsidR="00341832" w:rsidRDefault="00341832">
            <w:pPr>
              <w:spacing w:after="0" w:line="360" w:lineRule="auto"/>
              <w:jc w:val="both"/>
              <w:rPr>
                <w:rFonts w:ascii="Arial" w:hAnsi="Arial" w:cs="Arial"/>
                <w:sz w:val="24"/>
                <w:szCs w:val="24"/>
                <w:lang w:val="en-GB"/>
              </w:rPr>
            </w:pPr>
          </w:p>
        </w:tc>
        <w:tc>
          <w:tcPr>
            <w:tcW w:w="4644" w:type="dxa"/>
            <w:gridSpan w:val="2"/>
            <w:tcBorders>
              <w:top w:val="single" w:sz="4" w:space="0" w:color="auto"/>
              <w:left w:val="single" w:sz="4" w:space="0" w:color="auto"/>
              <w:bottom w:val="single" w:sz="4" w:space="0" w:color="auto"/>
              <w:right w:val="single" w:sz="4" w:space="0" w:color="auto"/>
            </w:tcBorders>
            <w:hideMark/>
          </w:tcPr>
          <w:p w14:paraId="149F9A2D" w14:textId="77777777" w:rsidR="00341832" w:rsidRDefault="00341832" w:rsidP="00116497">
            <w:pPr>
              <w:spacing w:after="0" w:line="360" w:lineRule="auto"/>
              <w:jc w:val="center"/>
              <w:rPr>
                <w:rFonts w:ascii="Arial" w:hAnsi="Arial" w:cs="Arial"/>
                <w:sz w:val="24"/>
                <w:szCs w:val="24"/>
                <w:lang w:val="en-GB"/>
              </w:rPr>
            </w:pPr>
            <w:r>
              <w:rPr>
                <w:rFonts w:ascii="Arial" w:hAnsi="Arial" w:cs="Arial"/>
                <w:sz w:val="24"/>
                <w:szCs w:val="24"/>
                <w:lang w:val="en-GB"/>
              </w:rPr>
              <w:t>Not applicable.</w:t>
            </w:r>
          </w:p>
        </w:tc>
      </w:tr>
      <w:tr w:rsidR="00341832" w14:paraId="742A027E" w14:textId="77777777" w:rsidTr="00DC16E0">
        <w:tc>
          <w:tcPr>
            <w:tcW w:w="9214" w:type="dxa"/>
            <w:gridSpan w:val="3"/>
            <w:tcBorders>
              <w:top w:val="single" w:sz="4" w:space="0" w:color="auto"/>
              <w:left w:val="single" w:sz="4" w:space="0" w:color="auto"/>
              <w:bottom w:val="single" w:sz="4" w:space="0" w:color="auto"/>
              <w:right w:val="single" w:sz="4" w:space="0" w:color="auto"/>
            </w:tcBorders>
            <w:hideMark/>
          </w:tcPr>
          <w:p w14:paraId="406EC28A" w14:textId="77777777" w:rsidR="00341832" w:rsidRDefault="00341832">
            <w:pPr>
              <w:spacing w:after="0" w:line="360" w:lineRule="auto"/>
              <w:jc w:val="center"/>
              <w:rPr>
                <w:rFonts w:ascii="Arial" w:hAnsi="Arial" w:cs="Arial"/>
                <w:b/>
                <w:sz w:val="24"/>
                <w:szCs w:val="24"/>
                <w:lang w:val="en-GB"/>
              </w:rPr>
            </w:pPr>
            <w:r>
              <w:rPr>
                <w:rFonts w:ascii="Arial" w:hAnsi="Arial" w:cs="Arial"/>
                <w:b/>
                <w:sz w:val="24"/>
                <w:szCs w:val="24"/>
                <w:lang w:val="en-GB"/>
              </w:rPr>
              <w:t>Counsel:</w:t>
            </w:r>
          </w:p>
        </w:tc>
      </w:tr>
      <w:tr w:rsidR="00341832" w14:paraId="6A5022C2" w14:textId="77777777" w:rsidTr="00DC16E0">
        <w:tc>
          <w:tcPr>
            <w:tcW w:w="4570" w:type="dxa"/>
            <w:tcBorders>
              <w:top w:val="single" w:sz="4" w:space="0" w:color="auto"/>
              <w:left w:val="single" w:sz="4" w:space="0" w:color="auto"/>
              <w:bottom w:val="single" w:sz="4" w:space="0" w:color="auto"/>
              <w:right w:val="single" w:sz="4" w:space="0" w:color="auto"/>
            </w:tcBorders>
            <w:hideMark/>
          </w:tcPr>
          <w:p w14:paraId="0AAE9E3A" w14:textId="77777777" w:rsidR="00341832" w:rsidRDefault="00450149" w:rsidP="00B603FA">
            <w:pPr>
              <w:spacing w:after="0" w:line="360" w:lineRule="auto"/>
              <w:jc w:val="center"/>
              <w:rPr>
                <w:rFonts w:ascii="Arial" w:hAnsi="Arial" w:cs="Arial"/>
                <w:b/>
                <w:sz w:val="24"/>
                <w:szCs w:val="24"/>
                <w:lang w:val="en-GB"/>
              </w:rPr>
            </w:pPr>
            <w:r>
              <w:rPr>
                <w:rFonts w:ascii="Arial" w:hAnsi="Arial" w:cs="Arial"/>
                <w:b/>
                <w:sz w:val="24"/>
                <w:szCs w:val="24"/>
                <w:lang w:val="en-GB"/>
              </w:rPr>
              <w:t>Plaintiff</w:t>
            </w:r>
          </w:p>
          <w:p w14:paraId="67F8D3AF" w14:textId="77777777" w:rsidR="00450149" w:rsidRDefault="00587FC1" w:rsidP="00B603FA">
            <w:pPr>
              <w:spacing w:after="0" w:line="360" w:lineRule="auto"/>
              <w:jc w:val="center"/>
              <w:rPr>
                <w:rFonts w:ascii="Arial" w:hAnsi="Arial" w:cs="Arial"/>
                <w:bCs/>
                <w:sz w:val="24"/>
                <w:szCs w:val="24"/>
                <w:lang w:val="en-GB"/>
              </w:rPr>
            </w:pPr>
            <w:r>
              <w:rPr>
                <w:rFonts w:ascii="Arial" w:hAnsi="Arial" w:cs="Arial"/>
                <w:bCs/>
                <w:sz w:val="24"/>
                <w:szCs w:val="24"/>
                <w:lang w:val="en-GB"/>
              </w:rPr>
              <w:t>O Kangandjela</w:t>
            </w:r>
          </w:p>
          <w:p w14:paraId="4FDDDEC1" w14:textId="77777777" w:rsidR="00450149" w:rsidRPr="00450149" w:rsidRDefault="00587FC1" w:rsidP="00587FC1">
            <w:pPr>
              <w:spacing w:after="0" w:line="360" w:lineRule="auto"/>
              <w:jc w:val="center"/>
              <w:rPr>
                <w:rFonts w:ascii="Arial" w:hAnsi="Arial" w:cs="Arial"/>
                <w:bCs/>
                <w:sz w:val="24"/>
                <w:szCs w:val="24"/>
                <w:lang w:val="en-GB"/>
              </w:rPr>
            </w:pPr>
            <w:r>
              <w:rPr>
                <w:rFonts w:ascii="Arial" w:hAnsi="Arial" w:cs="Arial"/>
                <w:bCs/>
                <w:sz w:val="24"/>
                <w:szCs w:val="24"/>
                <w:lang w:val="en-GB"/>
              </w:rPr>
              <w:t>In person</w:t>
            </w:r>
          </w:p>
        </w:tc>
        <w:tc>
          <w:tcPr>
            <w:tcW w:w="4644" w:type="dxa"/>
            <w:gridSpan w:val="2"/>
            <w:tcBorders>
              <w:top w:val="single" w:sz="4" w:space="0" w:color="auto"/>
              <w:left w:val="single" w:sz="4" w:space="0" w:color="auto"/>
              <w:bottom w:val="single" w:sz="4" w:space="0" w:color="auto"/>
              <w:right w:val="single" w:sz="4" w:space="0" w:color="auto"/>
            </w:tcBorders>
            <w:hideMark/>
          </w:tcPr>
          <w:p w14:paraId="0DB76776" w14:textId="77777777" w:rsidR="00341832" w:rsidRDefault="00587FC1" w:rsidP="00B603FA">
            <w:pPr>
              <w:spacing w:after="0" w:line="360" w:lineRule="auto"/>
              <w:jc w:val="center"/>
              <w:rPr>
                <w:rFonts w:ascii="Arial" w:hAnsi="Arial" w:cs="Arial"/>
                <w:b/>
                <w:sz w:val="24"/>
                <w:szCs w:val="24"/>
                <w:lang w:val="en-GB"/>
              </w:rPr>
            </w:pPr>
            <w:r>
              <w:rPr>
                <w:rFonts w:ascii="Arial" w:hAnsi="Arial" w:cs="Arial"/>
                <w:b/>
                <w:sz w:val="24"/>
                <w:szCs w:val="24"/>
                <w:lang w:val="en-GB"/>
              </w:rPr>
              <w:t>Defendant</w:t>
            </w:r>
          </w:p>
          <w:p w14:paraId="5008C912" w14:textId="77777777" w:rsidR="00587FC1" w:rsidRDefault="00587FC1" w:rsidP="00B603FA">
            <w:pPr>
              <w:spacing w:after="0" w:line="360" w:lineRule="auto"/>
              <w:jc w:val="center"/>
              <w:rPr>
                <w:rFonts w:ascii="Arial" w:hAnsi="Arial" w:cs="Arial"/>
                <w:bCs/>
                <w:sz w:val="24"/>
                <w:szCs w:val="24"/>
                <w:lang w:val="en-GB"/>
              </w:rPr>
            </w:pPr>
            <w:r>
              <w:rPr>
                <w:rFonts w:ascii="Arial" w:hAnsi="Arial" w:cs="Arial"/>
                <w:bCs/>
                <w:sz w:val="24"/>
                <w:szCs w:val="24"/>
                <w:lang w:val="en-GB"/>
              </w:rPr>
              <w:t>F Pretorius</w:t>
            </w:r>
          </w:p>
          <w:p w14:paraId="7C16A202" w14:textId="64B7DFE5" w:rsidR="00DD3AA1" w:rsidRDefault="00587FC1" w:rsidP="00B603FA">
            <w:pPr>
              <w:spacing w:after="0" w:line="360" w:lineRule="auto"/>
              <w:jc w:val="center"/>
              <w:rPr>
                <w:rFonts w:ascii="Arial" w:hAnsi="Arial" w:cs="Arial"/>
                <w:bCs/>
                <w:sz w:val="24"/>
                <w:szCs w:val="24"/>
                <w:lang w:val="en-GB"/>
              </w:rPr>
            </w:pPr>
            <w:r>
              <w:rPr>
                <w:rFonts w:ascii="Arial" w:hAnsi="Arial" w:cs="Arial"/>
                <w:bCs/>
                <w:sz w:val="24"/>
                <w:szCs w:val="24"/>
                <w:lang w:val="en-GB"/>
              </w:rPr>
              <w:t>Of Francois Erasmus &amp; Partners</w:t>
            </w:r>
            <w:r w:rsidR="001203FA">
              <w:rPr>
                <w:rFonts w:ascii="Arial" w:hAnsi="Arial" w:cs="Arial"/>
                <w:bCs/>
                <w:sz w:val="24"/>
                <w:szCs w:val="24"/>
                <w:lang w:val="en-GB"/>
              </w:rPr>
              <w:t>,</w:t>
            </w:r>
          </w:p>
          <w:p w14:paraId="0B522B34" w14:textId="77777777" w:rsidR="00C3030C" w:rsidRPr="00DD3AA1" w:rsidRDefault="00450149" w:rsidP="00DD3AA1">
            <w:pPr>
              <w:spacing w:after="0" w:line="360" w:lineRule="auto"/>
              <w:jc w:val="center"/>
              <w:rPr>
                <w:rFonts w:ascii="Arial" w:hAnsi="Arial" w:cs="Arial"/>
                <w:bCs/>
                <w:sz w:val="24"/>
                <w:szCs w:val="24"/>
                <w:lang w:val="en-GB"/>
              </w:rPr>
            </w:pPr>
            <w:r>
              <w:rPr>
                <w:rFonts w:ascii="Arial" w:hAnsi="Arial" w:cs="Arial"/>
                <w:bCs/>
                <w:sz w:val="24"/>
                <w:szCs w:val="24"/>
                <w:lang w:val="en-GB"/>
              </w:rPr>
              <w:t>Windhoek</w:t>
            </w:r>
          </w:p>
        </w:tc>
      </w:tr>
    </w:tbl>
    <w:p w14:paraId="0782CA26" w14:textId="547A7F24" w:rsidR="00341832" w:rsidRPr="00392F26" w:rsidRDefault="00341832" w:rsidP="00392F26">
      <w:pPr>
        <w:tabs>
          <w:tab w:val="left" w:pos="5916"/>
        </w:tabs>
        <w:rPr>
          <w:rFonts w:ascii="Arial" w:hAnsi="Arial" w:cs="Arial"/>
          <w:sz w:val="24"/>
          <w:szCs w:val="24"/>
          <w:lang w:val="en-GB"/>
        </w:rPr>
      </w:pPr>
    </w:p>
    <w:sectPr w:rsidR="00341832" w:rsidRPr="00392F26" w:rsidSect="009A14A0">
      <w:headerReference w:type="default" r:id="rId9"/>
      <w:headerReference w:type="first" r:id="rId10"/>
      <w:footerReference w:type="first" r:id="rId11"/>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BFCF0" w14:textId="77777777" w:rsidR="00C23E80" w:rsidRDefault="00C23E80" w:rsidP="00341832">
      <w:pPr>
        <w:spacing w:after="0" w:line="240" w:lineRule="auto"/>
      </w:pPr>
      <w:r>
        <w:separator/>
      </w:r>
    </w:p>
  </w:endnote>
  <w:endnote w:type="continuationSeparator" w:id="0">
    <w:p w14:paraId="09DEAD50" w14:textId="77777777" w:rsidR="00C23E80" w:rsidRDefault="00C23E80" w:rsidP="003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1D5C" w14:textId="77777777" w:rsidR="00E556CA" w:rsidRDefault="00E556CA">
    <w:pPr>
      <w:pStyle w:val="Footer"/>
      <w:jc w:val="right"/>
    </w:pPr>
  </w:p>
  <w:p w14:paraId="571D163B" w14:textId="77777777" w:rsidR="00E556CA" w:rsidRDefault="00E5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D690" w14:textId="77777777" w:rsidR="00C23E80" w:rsidRDefault="00C23E80" w:rsidP="00341832">
      <w:pPr>
        <w:spacing w:after="0" w:line="240" w:lineRule="auto"/>
      </w:pPr>
      <w:r>
        <w:separator/>
      </w:r>
    </w:p>
  </w:footnote>
  <w:footnote w:type="continuationSeparator" w:id="0">
    <w:p w14:paraId="6253DDD2" w14:textId="77777777" w:rsidR="00C23E80" w:rsidRDefault="00C23E80" w:rsidP="00341832">
      <w:pPr>
        <w:spacing w:after="0" w:line="240" w:lineRule="auto"/>
      </w:pPr>
      <w:r>
        <w:continuationSeparator/>
      </w:r>
    </w:p>
  </w:footnote>
  <w:footnote w:id="1">
    <w:p w14:paraId="29E8554C" w14:textId="77777777" w:rsidR="00E556CA" w:rsidRPr="00CD4D53" w:rsidRDefault="00E556CA" w:rsidP="001203FA">
      <w:pPr>
        <w:pStyle w:val="FootnoteText"/>
        <w:rPr>
          <w:rFonts w:ascii="Arial" w:hAnsi="Arial" w:cs="Arial"/>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Channel Life Namibia (Pty) Ltd v Ott</w:t>
      </w:r>
      <w:r w:rsidRPr="00CD4D53">
        <w:rPr>
          <w:rFonts w:ascii="Arial" w:hAnsi="Arial" w:cs="Arial"/>
        </w:rPr>
        <w:t>o 2008(2) NR 432(SC) at 445 para 45.</w:t>
      </w:r>
    </w:p>
  </w:footnote>
  <w:footnote w:id="2">
    <w:p w14:paraId="511D1010" w14:textId="77777777" w:rsidR="00E556CA" w:rsidRPr="00CD4D53" w:rsidRDefault="00E556CA" w:rsidP="001203FA">
      <w:pPr>
        <w:pStyle w:val="FootnoteText"/>
        <w:rPr>
          <w:rFonts w:ascii="Arial" w:hAnsi="Arial" w:cs="Arial"/>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Telecom Namibia Ltd v Nangolo and Others</w:t>
      </w:r>
      <w:r w:rsidRPr="00CD4D53">
        <w:rPr>
          <w:rFonts w:ascii="Arial" w:hAnsi="Arial" w:cs="Arial"/>
        </w:rPr>
        <w:t xml:space="preserve"> 2015 (2) NR 510 (SC).</w:t>
      </w:r>
    </w:p>
  </w:footnote>
  <w:footnote w:id="3">
    <w:p w14:paraId="62FE0C47" w14:textId="77777777" w:rsidR="00E556CA" w:rsidRPr="00CD4D53" w:rsidRDefault="00E556CA" w:rsidP="001203FA">
      <w:pPr>
        <w:pStyle w:val="FootnoteText"/>
        <w:rPr>
          <w:rFonts w:ascii="Arial" w:hAnsi="Arial" w:cs="Arial"/>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De Klerk v Penderis and Others</w:t>
      </w:r>
      <w:r w:rsidRPr="00CD4D53">
        <w:rPr>
          <w:rFonts w:ascii="Arial" w:hAnsi="Arial" w:cs="Arial"/>
        </w:rPr>
        <w:t xml:space="preserve"> (SA 76 of 2020) 2023 NASC 1 (1 March 2023).</w:t>
      </w:r>
    </w:p>
  </w:footnote>
  <w:footnote w:id="4">
    <w:p w14:paraId="4729F129" w14:textId="77777777" w:rsidR="00E556CA" w:rsidRPr="00CD4D53" w:rsidRDefault="00E556CA" w:rsidP="001203FA">
      <w:pPr>
        <w:pStyle w:val="FootnoteText"/>
        <w:tabs>
          <w:tab w:val="left" w:pos="284"/>
        </w:tabs>
        <w:rPr>
          <w:rFonts w:ascii="Arial" w:hAnsi="Arial" w:cs="Arial"/>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iCs/>
          <w:shd w:val="clear" w:color="auto" w:fill="FFFFFF"/>
        </w:rPr>
        <w:t>Beukes and Another v South West Africa Building Society (SWABOU) and Others</w:t>
      </w:r>
      <w:r w:rsidRPr="00CD4D53">
        <w:rPr>
          <w:rStyle w:val="FootnoteReference"/>
          <w:rFonts w:ascii="Arial" w:hAnsi="Arial" w:cs="Arial"/>
          <w:i/>
          <w:iCs/>
          <w:shd w:val="clear" w:color="auto" w:fill="FFFFFF"/>
        </w:rPr>
        <w:footnoteRef/>
      </w:r>
      <w:r w:rsidRPr="00CD4D53">
        <w:rPr>
          <w:rFonts w:ascii="Arial" w:hAnsi="Arial" w:cs="Arial"/>
          <w:shd w:val="clear" w:color="auto" w:fill="FFFFFF"/>
        </w:rPr>
        <w:t xml:space="preserve"> (SA 10/2006) [2010] NASC 14 (05   November 2010).</w:t>
      </w:r>
    </w:p>
  </w:footnote>
  <w:footnote w:id="5">
    <w:p w14:paraId="2F1584EB" w14:textId="77777777" w:rsidR="00E556CA" w:rsidRPr="00E72B16" w:rsidRDefault="00E556CA" w:rsidP="001203FA">
      <w:pPr>
        <w:pStyle w:val="FootnoteText"/>
        <w:rPr>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Lewis v Draghoender</w:t>
      </w:r>
      <w:r w:rsidRPr="00CD4D53">
        <w:rPr>
          <w:rFonts w:ascii="Arial" w:hAnsi="Arial" w:cs="Arial"/>
        </w:rPr>
        <w:t xml:space="preserve"> (HC-MD-LAB-APP-AAA-2021/00042) [2022] NAHCMD 41 (22 July 2022) para 17.</w:t>
      </w:r>
    </w:p>
  </w:footnote>
  <w:footnote w:id="6">
    <w:p w14:paraId="6798E8BC" w14:textId="77777777" w:rsidR="00E556CA" w:rsidRPr="00CD4D53" w:rsidRDefault="00E556CA" w:rsidP="001203FA">
      <w:pPr>
        <w:pStyle w:val="FootnoteText"/>
        <w:rPr>
          <w:rFonts w:ascii="Arial" w:hAnsi="Arial" w:cs="Arial"/>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Metropolitan Namibia v Amos Nangolo</w:t>
      </w:r>
      <w:r w:rsidRPr="00CD4D53">
        <w:rPr>
          <w:rFonts w:ascii="Arial" w:hAnsi="Arial" w:cs="Arial"/>
        </w:rPr>
        <w:t xml:space="preserve"> (CA 03/2015) [2017] NAHCNLD 2 (30 January 2017).</w:t>
      </w:r>
    </w:p>
  </w:footnote>
  <w:footnote w:id="7">
    <w:p w14:paraId="70256B6E" w14:textId="77777777" w:rsidR="00E556CA" w:rsidRPr="00CD4D53" w:rsidRDefault="00E556CA" w:rsidP="001203FA">
      <w:pPr>
        <w:pStyle w:val="FootnoteText"/>
        <w:rPr>
          <w:rFonts w:ascii="Arial" w:hAnsi="Arial" w:cs="Arial"/>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Prosecutor-General v Paulo</w:t>
      </w:r>
      <w:r w:rsidRPr="00CD4D53">
        <w:rPr>
          <w:rFonts w:ascii="Arial" w:hAnsi="Arial" w:cs="Arial"/>
        </w:rPr>
        <w:t xml:space="preserve"> (2) [2020] NASC 19 (24 June 2020) para 22.</w:t>
      </w:r>
    </w:p>
  </w:footnote>
  <w:footnote w:id="8">
    <w:p w14:paraId="669753D1" w14:textId="77777777" w:rsidR="00E556CA" w:rsidRPr="00712E81" w:rsidRDefault="00E556CA" w:rsidP="001203FA">
      <w:pPr>
        <w:pStyle w:val="FootnoteText"/>
        <w:rPr>
          <w:lang w:val="en-US"/>
        </w:rPr>
      </w:pPr>
      <w:r w:rsidRPr="00CD4D53">
        <w:rPr>
          <w:rStyle w:val="FootnoteReference"/>
          <w:rFonts w:ascii="Arial" w:hAnsi="Arial" w:cs="Arial"/>
        </w:rPr>
        <w:footnoteRef/>
      </w:r>
      <w:r w:rsidRPr="00CD4D53">
        <w:rPr>
          <w:rFonts w:ascii="Arial" w:hAnsi="Arial" w:cs="Arial"/>
        </w:rPr>
        <w:t xml:space="preserve"> </w:t>
      </w:r>
      <w:r w:rsidRPr="00CD4D53">
        <w:rPr>
          <w:rFonts w:ascii="Arial" w:hAnsi="Arial" w:cs="Arial"/>
          <w:i/>
        </w:rPr>
        <w:t>Lewis v Draghoender</w:t>
      </w:r>
      <w:r w:rsidRPr="00CD4D53">
        <w:rPr>
          <w:rFonts w:ascii="Arial" w:hAnsi="Arial" w:cs="Arial"/>
        </w:rPr>
        <w:t xml:space="preserve"> (HC-MD-LAB-APP-AAA-2021/00042) [2022] NAHCMD 41 (22 July 2022)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68712"/>
      <w:docPartObj>
        <w:docPartGallery w:val="Page Numbers (Top of Page)"/>
        <w:docPartUnique/>
      </w:docPartObj>
    </w:sdtPr>
    <w:sdtEndPr>
      <w:rPr>
        <w:noProof/>
      </w:rPr>
    </w:sdtEndPr>
    <w:sdtContent>
      <w:p w14:paraId="18CDF29A" w14:textId="77777777" w:rsidR="00E556CA" w:rsidRDefault="00E556CA">
        <w:pPr>
          <w:pStyle w:val="Header"/>
          <w:jc w:val="right"/>
        </w:pPr>
        <w:r>
          <w:fldChar w:fldCharType="begin"/>
        </w:r>
        <w:r>
          <w:instrText xml:space="preserve"> PAGE   \* MERGEFORMAT </w:instrText>
        </w:r>
        <w:r>
          <w:fldChar w:fldCharType="separate"/>
        </w:r>
        <w:r w:rsidR="00694334">
          <w:rPr>
            <w:noProof/>
          </w:rPr>
          <w:t>9</w:t>
        </w:r>
        <w:r>
          <w:rPr>
            <w:noProof/>
          </w:rPr>
          <w:fldChar w:fldCharType="end"/>
        </w:r>
      </w:p>
    </w:sdtContent>
  </w:sdt>
  <w:p w14:paraId="2FE0AEBA" w14:textId="77777777" w:rsidR="00E556CA" w:rsidRDefault="00E55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B29B" w14:textId="77777777" w:rsidR="00E556CA" w:rsidRDefault="00E556CA" w:rsidP="009A14A0">
    <w:pPr>
      <w:pStyle w:val="Header"/>
    </w:pPr>
  </w:p>
  <w:p w14:paraId="2575CB69" w14:textId="77777777" w:rsidR="00E556CA" w:rsidRDefault="00E55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724"/>
    <w:multiLevelType w:val="hybridMultilevel"/>
    <w:tmpl w:val="4084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0156AB"/>
    <w:multiLevelType w:val="hybridMultilevel"/>
    <w:tmpl w:val="6E2887D4"/>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F97CCB"/>
    <w:multiLevelType w:val="hybridMultilevel"/>
    <w:tmpl w:val="93AE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F6136"/>
    <w:multiLevelType w:val="hybridMultilevel"/>
    <w:tmpl w:val="51162916"/>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490FA7"/>
    <w:multiLevelType w:val="hybridMultilevel"/>
    <w:tmpl w:val="62F61326"/>
    <w:lvl w:ilvl="0" w:tplc="C5F4C3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13268F"/>
    <w:multiLevelType w:val="hybridMultilevel"/>
    <w:tmpl w:val="7040E49E"/>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10554"/>
    <w:multiLevelType w:val="hybridMultilevel"/>
    <w:tmpl w:val="C82CBA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4E56A9"/>
    <w:multiLevelType w:val="hybridMultilevel"/>
    <w:tmpl w:val="2166B636"/>
    <w:lvl w:ilvl="0" w:tplc="BE00B05E">
      <w:start w:val="4"/>
      <w:numFmt w:val="decimal"/>
      <w:lvlText w:val="[%1]"/>
      <w:lvlJc w:val="left"/>
      <w:pPr>
        <w:ind w:left="394" w:hanging="360"/>
      </w:pPr>
      <w:rPr>
        <w:rFonts w:ascii="Arial" w:hAnsi="Arial" w:cs="Arial"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8E38C7"/>
    <w:multiLevelType w:val="hybridMultilevel"/>
    <w:tmpl w:val="D94A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FB77D1"/>
    <w:multiLevelType w:val="hybridMultilevel"/>
    <w:tmpl w:val="C714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63B07"/>
    <w:multiLevelType w:val="hybridMultilevel"/>
    <w:tmpl w:val="7FEC1B30"/>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7D4E31"/>
    <w:multiLevelType w:val="hybridMultilevel"/>
    <w:tmpl w:val="CABE7CDA"/>
    <w:lvl w:ilvl="0" w:tplc="D7F6AE32">
      <w:start w:val="17"/>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340D7"/>
    <w:multiLevelType w:val="multilevel"/>
    <w:tmpl w:val="9146B3E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CD6B18"/>
    <w:multiLevelType w:val="hybridMultilevel"/>
    <w:tmpl w:val="93083EA4"/>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AA7AC7"/>
    <w:multiLevelType w:val="hybridMultilevel"/>
    <w:tmpl w:val="E40E7B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36F6E5B"/>
    <w:multiLevelType w:val="hybridMultilevel"/>
    <w:tmpl w:val="6114A44C"/>
    <w:lvl w:ilvl="0" w:tplc="7B028D44">
      <w:start w:val="1"/>
      <w:numFmt w:val="decimal"/>
      <w:lvlText w:val="[%1]"/>
      <w:lvlJc w:val="left"/>
      <w:pPr>
        <w:ind w:left="4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D64F69"/>
    <w:multiLevelType w:val="multilevel"/>
    <w:tmpl w:val="DA64CB52"/>
    <w:lvl w:ilvl="0">
      <w:start w:val="42"/>
      <w:numFmt w:val="decimal"/>
      <w:lvlText w:val="[%1]"/>
      <w:lvlJc w:val="left"/>
      <w:pPr>
        <w:ind w:left="678" w:hanging="408"/>
      </w:pPr>
      <w:rPr>
        <w:rFonts w:ascii="Arial" w:hAnsi="Arial" w:cs="Arial" w:hint="default"/>
        <w:sz w:val="24"/>
      </w:rPr>
    </w:lvl>
    <w:lvl w:ilvl="1">
      <w:start w:val="1"/>
      <w:numFmt w:val="decimal"/>
      <w:lvlText w:val="%1.%2."/>
      <w:lvlJc w:val="left"/>
      <w:pPr>
        <w:ind w:left="1710" w:hanging="7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230" w:hanging="1080"/>
      </w:pPr>
      <w:rPr>
        <w:rFonts w:cs="Times New Roman" w:hint="default"/>
      </w:rPr>
    </w:lvl>
    <w:lvl w:ilvl="5">
      <w:start w:val="1"/>
      <w:numFmt w:val="decimal"/>
      <w:lvlText w:val="%1.%2.%3.%4.%5.%6."/>
      <w:lvlJc w:val="left"/>
      <w:pPr>
        <w:ind w:left="5310"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10" w:hanging="1800"/>
      </w:pPr>
      <w:rPr>
        <w:rFonts w:cs="Times New Roman" w:hint="default"/>
      </w:rPr>
    </w:lvl>
    <w:lvl w:ilvl="8">
      <w:start w:val="1"/>
      <w:numFmt w:val="decimal"/>
      <w:lvlText w:val="%1.%2.%3.%4.%5.%6.%7.%8.%9."/>
      <w:lvlJc w:val="left"/>
      <w:pPr>
        <w:ind w:left="8190" w:hanging="2160"/>
      </w:pPr>
      <w:rPr>
        <w:rFonts w:cs="Times New Roman" w:hint="default"/>
      </w:rPr>
    </w:lvl>
  </w:abstractNum>
  <w:abstractNum w:abstractNumId="18">
    <w:nsid w:val="37E3455B"/>
    <w:multiLevelType w:val="hybridMultilevel"/>
    <w:tmpl w:val="6114A44C"/>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102635"/>
    <w:multiLevelType w:val="hybridMultilevel"/>
    <w:tmpl w:val="F9BC4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617CE2"/>
    <w:multiLevelType w:val="hybridMultilevel"/>
    <w:tmpl w:val="1EECC6CC"/>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F7F56"/>
    <w:multiLevelType w:val="hybridMultilevel"/>
    <w:tmpl w:val="90B86538"/>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230E04"/>
    <w:multiLevelType w:val="multilevel"/>
    <w:tmpl w:val="C012FD14"/>
    <w:lvl w:ilvl="0">
      <w:start w:val="44"/>
      <w:numFmt w:val="decimal"/>
      <w:lvlText w:val="[%1]"/>
      <w:lvlJc w:val="left"/>
      <w:pPr>
        <w:ind w:left="768" w:hanging="408"/>
      </w:pPr>
      <w:rPr>
        <w:rFonts w:ascii="Arial" w:hAnsi="Arial" w:cs="Arial" w:hint="default"/>
        <w:sz w:val="24"/>
      </w:rPr>
    </w:lvl>
    <w:lvl w:ilvl="1">
      <w:start w:val="1"/>
      <w:numFmt w:val="decimal"/>
      <w:lvlText w:val="%1.%2."/>
      <w:lvlJc w:val="left"/>
      <w:pPr>
        <w:ind w:left="1710" w:hanging="7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230" w:hanging="1080"/>
      </w:pPr>
      <w:rPr>
        <w:rFonts w:cs="Times New Roman" w:hint="default"/>
      </w:rPr>
    </w:lvl>
    <w:lvl w:ilvl="5">
      <w:start w:val="1"/>
      <w:numFmt w:val="decimal"/>
      <w:lvlText w:val="%1.%2.%3.%4.%5.%6."/>
      <w:lvlJc w:val="left"/>
      <w:pPr>
        <w:ind w:left="5310"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10" w:hanging="1800"/>
      </w:pPr>
      <w:rPr>
        <w:rFonts w:cs="Times New Roman" w:hint="default"/>
      </w:rPr>
    </w:lvl>
    <w:lvl w:ilvl="8">
      <w:start w:val="1"/>
      <w:numFmt w:val="decimal"/>
      <w:lvlText w:val="%1.%2.%3.%4.%5.%6.%7.%8.%9."/>
      <w:lvlJc w:val="left"/>
      <w:pPr>
        <w:ind w:left="8190" w:hanging="2160"/>
      </w:pPr>
      <w:rPr>
        <w:rFonts w:cs="Times New Roman" w:hint="default"/>
      </w:rPr>
    </w:lvl>
  </w:abstractNum>
  <w:abstractNum w:abstractNumId="23">
    <w:nsid w:val="4A0031D4"/>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4463ED"/>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9F6825"/>
    <w:multiLevelType w:val="hybridMultilevel"/>
    <w:tmpl w:val="C8D67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C785C12"/>
    <w:multiLevelType w:val="hybridMultilevel"/>
    <w:tmpl w:val="DB1AFE86"/>
    <w:lvl w:ilvl="0" w:tplc="0B286AD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26670"/>
    <w:multiLevelType w:val="hybridMultilevel"/>
    <w:tmpl w:val="4DF87F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D99193D"/>
    <w:multiLevelType w:val="hybridMultilevel"/>
    <w:tmpl w:val="19D2CF80"/>
    <w:lvl w:ilvl="0" w:tplc="AA4484E8">
      <w:start w:val="1"/>
      <w:numFmt w:val="decimal"/>
      <w:lvlText w:val="[%1]"/>
      <w:lvlJc w:val="left"/>
      <w:pPr>
        <w:ind w:left="644"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0354F8C"/>
    <w:multiLevelType w:val="hybridMultilevel"/>
    <w:tmpl w:val="AA002F5A"/>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260793"/>
    <w:multiLevelType w:val="hybridMultilevel"/>
    <w:tmpl w:val="E6A0156A"/>
    <w:lvl w:ilvl="0" w:tplc="DD802F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C2FF5"/>
    <w:multiLevelType w:val="hybridMultilevel"/>
    <w:tmpl w:val="FFF040B6"/>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EC2379"/>
    <w:multiLevelType w:val="hybridMultilevel"/>
    <w:tmpl w:val="49D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B0C78"/>
    <w:multiLevelType w:val="multilevel"/>
    <w:tmpl w:val="2856F6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C056D8"/>
    <w:multiLevelType w:val="hybridMultilevel"/>
    <w:tmpl w:val="CE96DD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1F22C4"/>
    <w:multiLevelType w:val="hybridMultilevel"/>
    <w:tmpl w:val="070A5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42A71A5"/>
    <w:multiLevelType w:val="hybridMultilevel"/>
    <w:tmpl w:val="2C3EAE64"/>
    <w:lvl w:ilvl="0" w:tplc="1C8A21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DBC150D"/>
    <w:multiLevelType w:val="hybridMultilevel"/>
    <w:tmpl w:val="28EC31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5E27F1"/>
    <w:multiLevelType w:val="hybridMultilevel"/>
    <w:tmpl w:val="1DBC130A"/>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A665E3"/>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C580EB8"/>
    <w:multiLevelType w:val="hybridMultilevel"/>
    <w:tmpl w:val="9EA6D3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0"/>
  </w:num>
  <w:num w:numId="7">
    <w:abstractNumId w:val="16"/>
  </w:num>
  <w:num w:numId="8">
    <w:abstractNumId w:val="35"/>
  </w:num>
  <w:num w:numId="9">
    <w:abstractNumId w:val="37"/>
  </w:num>
  <w:num w:numId="10">
    <w:abstractNumId w:val="27"/>
  </w:num>
  <w:num w:numId="11">
    <w:abstractNumId w:val="40"/>
  </w:num>
  <w:num w:numId="12">
    <w:abstractNumId w:val="11"/>
  </w:num>
  <w:num w:numId="13">
    <w:abstractNumId w:val="21"/>
  </w:num>
  <w:num w:numId="14">
    <w:abstractNumId w:val="34"/>
  </w:num>
  <w:num w:numId="15">
    <w:abstractNumId w:val="19"/>
  </w:num>
  <w:num w:numId="16">
    <w:abstractNumId w:val="1"/>
  </w:num>
  <w:num w:numId="17">
    <w:abstractNumId w:val="14"/>
  </w:num>
  <w:num w:numId="18">
    <w:abstractNumId w:val="31"/>
  </w:num>
  <w:num w:numId="19">
    <w:abstractNumId w:val="38"/>
  </w:num>
  <w:num w:numId="20">
    <w:abstractNumId w:val="6"/>
  </w:num>
  <w:num w:numId="21">
    <w:abstractNumId w:val="3"/>
  </w:num>
  <w:num w:numId="22">
    <w:abstractNumId w:val="29"/>
  </w:num>
  <w:num w:numId="23">
    <w:abstractNumId w:val="9"/>
  </w:num>
  <w:num w:numId="24">
    <w:abstractNumId w:val="18"/>
  </w:num>
  <w:num w:numId="25">
    <w:abstractNumId w:val="39"/>
  </w:num>
  <w:num w:numId="26">
    <w:abstractNumId w:val="2"/>
  </w:num>
  <w:num w:numId="27">
    <w:abstractNumId w:val="5"/>
  </w:num>
  <w:num w:numId="28">
    <w:abstractNumId w:val="8"/>
  </w:num>
  <w:num w:numId="29">
    <w:abstractNumId w:val="32"/>
  </w:num>
  <w:num w:numId="30">
    <w:abstractNumId w:val="20"/>
  </w:num>
  <w:num w:numId="31">
    <w:abstractNumId w:val="10"/>
  </w:num>
  <w:num w:numId="32">
    <w:abstractNumId w:val="23"/>
  </w:num>
  <w:num w:numId="33">
    <w:abstractNumId w:val="30"/>
  </w:num>
  <w:num w:numId="34">
    <w:abstractNumId w:val="7"/>
  </w:num>
  <w:num w:numId="35">
    <w:abstractNumId w:val="36"/>
  </w:num>
  <w:num w:numId="36">
    <w:abstractNumId w:val="4"/>
  </w:num>
  <w:num w:numId="37">
    <w:abstractNumId w:val="12"/>
  </w:num>
  <w:num w:numId="38">
    <w:abstractNumId w:val="13"/>
  </w:num>
  <w:num w:numId="39">
    <w:abstractNumId w:val="33"/>
  </w:num>
  <w:num w:numId="40">
    <w:abstractNumId w:val="22"/>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D2"/>
    <w:rsid w:val="00000CDB"/>
    <w:rsid w:val="000038C4"/>
    <w:rsid w:val="00006604"/>
    <w:rsid w:val="00013AC8"/>
    <w:rsid w:val="000252D0"/>
    <w:rsid w:val="000267BE"/>
    <w:rsid w:val="00041ACB"/>
    <w:rsid w:val="00042FC1"/>
    <w:rsid w:val="0004343E"/>
    <w:rsid w:val="00046A2F"/>
    <w:rsid w:val="0006033F"/>
    <w:rsid w:val="00061739"/>
    <w:rsid w:val="00067823"/>
    <w:rsid w:val="000764BA"/>
    <w:rsid w:val="000808F6"/>
    <w:rsid w:val="00086E50"/>
    <w:rsid w:val="00095D30"/>
    <w:rsid w:val="000974B8"/>
    <w:rsid w:val="000B32F0"/>
    <w:rsid w:val="000B49B9"/>
    <w:rsid w:val="000C31E3"/>
    <w:rsid w:val="000C4A89"/>
    <w:rsid w:val="000C6F31"/>
    <w:rsid w:val="000C7208"/>
    <w:rsid w:val="000D45D2"/>
    <w:rsid w:val="000F179A"/>
    <w:rsid w:val="000F5567"/>
    <w:rsid w:val="000F6CA9"/>
    <w:rsid w:val="00114D12"/>
    <w:rsid w:val="00116497"/>
    <w:rsid w:val="001203FA"/>
    <w:rsid w:val="00121807"/>
    <w:rsid w:val="00130B13"/>
    <w:rsid w:val="0013319C"/>
    <w:rsid w:val="001367E1"/>
    <w:rsid w:val="001379AE"/>
    <w:rsid w:val="001434C7"/>
    <w:rsid w:val="00144E6D"/>
    <w:rsid w:val="00147EEE"/>
    <w:rsid w:val="00151ABF"/>
    <w:rsid w:val="00154624"/>
    <w:rsid w:val="001547C7"/>
    <w:rsid w:val="00163F54"/>
    <w:rsid w:val="0017313D"/>
    <w:rsid w:val="00176C28"/>
    <w:rsid w:val="00176D2D"/>
    <w:rsid w:val="0019059C"/>
    <w:rsid w:val="00191891"/>
    <w:rsid w:val="0019498D"/>
    <w:rsid w:val="001A0927"/>
    <w:rsid w:val="001A2895"/>
    <w:rsid w:val="001A7804"/>
    <w:rsid w:val="001B69B3"/>
    <w:rsid w:val="001D0677"/>
    <w:rsid w:val="001D0DC3"/>
    <w:rsid w:val="001D31B9"/>
    <w:rsid w:val="001D77A3"/>
    <w:rsid w:val="001E18EF"/>
    <w:rsid w:val="001E35E4"/>
    <w:rsid w:val="0020614E"/>
    <w:rsid w:val="00206972"/>
    <w:rsid w:val="002246E1"/>
    <w:rsid w:val="00264BAF"/>
    <w:rsid w:val="00265BC2"/>
    <w:rsid w:val="00272478"/>
    <w:rsid w:val="002735B1"/>
    <w:rsid w:val="002836AB"/>
    <w:rsid w:val="0028678F"/>
    <w:rsid w:val="002908C8"/>
    <w:rsid w:val="00293459"/>
    <w:rsid w:val="003013CA"/>
    <w:rsid w:val="0032662A"/>
    <w:rsid w:val="00341832"/>
    <w:rsid w:val="003523C7"/>
    <w:rsid w:val="00363B0A"/>
    <w:rsid w:val="00377454"/>
    <w:rsid w:val="00382151"/>
    <w:rsid w:val="00392F26"/>
    <w:rsid w:val="00397975"/>
    <w:rsid w:val="003A1E4D"/>
    <w:rsid w:val="003B0D31"/>
    <w:rsid w:val="003B19BC"/>
    <w:rsid w:val="003B4BAB"/>
    <w:rsid w:val="003C433D"/>
    <w:rsid w:val="003D3385"/>
    <w:rsid w:val="003E4F28"/>
    <w:rsid w:val="003E55CD"/>
    <w:rsid w:val="003E6B3F"/>
    <w:rsid w:val="003F179A"/>
    <w:rsid w:val="003F3620"/>
    <w:rsid w:val="003F367B"/>
    <w:rsid w:val="003F5E11"/>
    <w:rsid w:val="00401316"/>
    <w:rsid w:val="00410744"/>
    <w:rsid w:val="0041765A"/>
    <w:rsid w:val="004361E4"/>
    <w:rsid w:val="0043625C"/>
    <w:rsid w:val="00437411"/>
    <w:rsid w:val="00450149"/>
    <w:rsid w:val="00464042"/>
    <w:rsid w:val="00480D4A"/>
    <w:rsid w:val="004816B5"/>
    <w:rsid w:val="00493556"/>
    <w:rsid w:val="004B51D3"/>
    <w:rsid w:val="004D587D"/>
    <w:rsid w:val="004E3CA8"/>
    <w:rsid w:val="005013A4"/>
    <w:rsid w:val="005016E9"/>
    <w:rsid w:val="005064C8"/>
    <w:rsid w:val="00510BA3"/>
    <w:rsid w:val="00511BA2"/>
    <w:rsid w:val="00520685"/>
    <w:rsid w:val="00536894"/>
    <w:rsid w:val="00547EA5"/>
    <w:rsid w:val="00563189"/>
    <w:rsid w:val="005652E1"/>
    <w:rsid w:val="005660E1"/>
    <w:rsid w:val="0056623E"/>
    <w:rsid w:val="00585E47"/>
    <w:rsid w:val="0058628E"/>
    <w:rsid w:val="00587FC1"/>
    <w:rsid w:val="00590A1E"/>
    <w:rsid w:val="005A3160"/>
    <w:rsid w:val="005A5003"/>
    <w:rsid w:val="005B48DA"/>
    <w:rsid w:val="005B527C"/>
    <w:rsid w:val="005D6C47"/>
    <w:rsid w:val="005F05ED"/>
    <w:rsid w:val="005F6C7C"/>
    <w:rsid w:val="00601C16"/>
    <w:rsid w:val="006027F1"/>
    <w:rsid w:val="00610482"/>
    <w:rsid w:val="0061345A"/>
    <w:rsid w:val="00620A50"/>
    <w:rsid w:val="00637B41"/>
    <w:rsid w:val="00650C54"/>
    <w:rsid w:val="00656D7E"/>
    <w:rsid w:val="00667104"/>
    <w:rsid w:val="006873C0"/>
    <w:rsid w:val="00694334"/>
    <w:rsid w:val="006A1AC5"/>
    <w:rsid w:val="006B4882"/>
    <w:rsid w:val="006D4B08"/>
    <w:rsid w:val="006D52CE"/>
    <w:rsid w:val="006E4B2D"/>
    <w:rsid w:val="006F4AF2"/>
    <w:rsid w:val="006F5796"/>
    <w:rsid w:val="0070751E"/>
    <w:rsid w:val="00712E81"/>
    <w:rsid w:val="0071755C"/>
    <w:rsid w:val="00717C83"/>
    <w:rsid w:val="0072112C"/>
    <w:rsid w:val="007405A8"/>
    <w:rsid w:val="00746AE0"/>
    <w:rsid w:val="007516F1"/>
    <w:rsid w:val="00763FFB"/>
    <w:rsid w:val="00767AED"/>
    <w:rsid w:val="00793301"/>
    <w:rsid w:val="00793FFF"/>
    <w:rsid w:val="007950BC"/>
    <w:rsid w:val="007A4480"/>
    <w:rsid w:val="007B3584"/>
    <w:rsid w:val="007C399B"/>
    <w:rsid w:val="007D56B6"/>
    <w:rsid w:val="007E259E"/>
    <w:rsid w:val="007E61BD"/>
    <w:rsid w:val="007F680B"/>
    <w:rsid w:val="0080207D"/>
    <w:rsid w:val="00804682"/>
    <w:rsid w:val="008120FE"/>
    <w:rsid w:val="008312B6"/>
    <w:rsid w:val="008605DF"/>
    <w:rsid w:val="008642BA"/>
    <w:rsid w:val="008649FA"/>
    <w:rsid w:val="008825B7"/>
    <w:rsid w:val="0088380A"/>
    <w:rsid w:val="00884AC3"/>
    <w:rsid w:val="00887407"/>
    <w:rsid w:val="00895913"/>
    <w:rsid w:val="008A4346"/>
    <w:rsid w:val="008A69CF"/>
    <w:rsid w:val="008A69FA"/>
    <w:rsid w:val="008B2B1D"/>
    <w:rsid w:val="008B37D1"/>
    <w:rsid w:val="008C602D"/>
    <w:rsid w:val="008C60A3"/>
    <w:rsid w:val="008E0049"/>
    <w:rsid w:val="008F3A11"/>
    <w:rsid w:val="008F52B4"/>
    <w:rsid w:val="00913FF1"/>
    <w:rsid w:val="00914BAD"/>
    <w:rsid w:val="009205BF"/>
    <w:rsid w:val="009307D8"/>
    <w:rsid w:val="0093134B"/>
    <w:rsid w:val="009353D5"/>
    <w:rsid w:val="00936F8B"/>
    <w:rsid w:val="00944084"/>
    <w:rsid w:val="009460A8"/>
    <w:rsid w:val="00946169"/>
    <w:rsid w:val="009557E4"/>
    <w:rsid w:val="009562CA"/>
    <w:rsid w:val="00963210"/>
    <w:rsid w:val="00965CA0"/>
    <w:rsid w:val="00970862"/>
    <w:rsid w:val="00974E51"/>
    <w:rsid w:val="009804AC"/>
    <w:rsid w:val="00985B88"/>
    <w:rsid w:val="009A14A0"/>
    <w:rsid w:val="009A160C"/>
    <w:rsid w:val="009B1F3B"/>
    <w:rsid w:val="009B4E4B"/>
    <w:rsid w:val="009C13D2"/>
    <w:rsid w:val="009C15B2"/>
    <w:rsid w:val="009C15CA"/>
    <w:rsid w:val="009C48AE"/>
    <w:rsid w:val="009D1423"/>
    <w:rsid w:val="009E15DC"/>
    <w:rsid w:val="009F09F9"/>
    <w:rsid w:val="00A1116D"/>
    <w:rsid w:val="00A14740"/>
    <w:rsid w:val="00A1519D"/>
    <w:rsid w:val="00A47567"/>
    <w:rsid w:val="00A60DF1"/>
    <w:rsid w:val="00A81568"/>
    <w:rsid w:val="00AA433D"/>
    <w:rsid w:val="00AC53E7"/>
    <w:rsid w:val="00B075B2"/>
    <w:rsid w:val="00B26D31"/>
    <w:rsid w:val="00B278B7"/>
    <w:rsid w:val="00B30550"/>
    <w:rsid w:val="00B30BA1"/>
    <w:rsid w:val="00B3576A"/>
    <w:rsid w:val="00B4718D"/>
    <w:rsid w:val="00B5290A"/>
    <w:rsid w:val="00B54D64"/>
    <w:rsid w:val="00B55B1E"/>
    <w:rsid w:val="00B55D7F"/>
    <w:rsid w:val="00B603FA"/>
    <w:rsid w:val="00B72370"/>
    <w:rsid w:val="00B84E1D"/>
    <w:rsid w:val="00B9143A"/>
    <w:rsid w:val="00B967CC"/>
    <w:rsid w:val="00B96D96"/>
    <w:rsid w:val="00BA3ED1"/>
    <w:rsid w:val="00BB7B09"/>
    <w:rsid w:val="00BC0A26"/>
    <w:rsid w:val="00BC40C3"/>
    <w:rsid w:val="00BC73F6"/>
    <w:rsid w:val="00BD0523"/>
    <w:rsid w:val="00BD2F7A"/>
    <w:rsid w:val="00BD6A0D"/>
    <w:rsid w:val="00BE4E76"/>
    <w:rsid w:val="00BF1476"/>
    <w:rsid w:val="00C23E80"/>
    <w:rsid w:val="00C3030C"/>
    <w:rsid w:val="00C51A1E"/>
    <w:rsid w:val="00C60949"/>
    <w:rsid w:val="00C731AF"/>
    <w:rsid w:val="00C85E48"/>
    <w:rsid w:val="00C86E49"/>
    <w:rsid w:val="00CC6301"/>
    <w:rsid w:val="00CD4D53"/>
    <w:rsid w:val="00CE45C3"/>
    <w:rsid w:val="00D0226C"/>
    <w:rsid w:val="00D10746"/>
    <w:rsid w:val="00D2074B"/>
    <w:rsid w:val="00D55BA7"/>
    <w:rsid w:val="00D64284"/>
    <w:rsid w:val="00D65E38"/>
    <w:rsid w:val="00D70122"/>
    <w:rsid w:val="00D81362"/>
    <w:rsid w:val="00D91697"/>
    <w:rsid w:val="00D957B2"/>
    <w:rsid w:val="00DC16E0"/>
    <w:rsid w:val="00DD1585"/>
    <w:rsid w:val="00DD3AA1"/>
    <w:rsid w:val="00DE2E76"/>
    <w:rsid w:val="00DE3225"/>
    <w:rsid w:val="00E06028"/>
    <w:rsid w:val="00E15FB6"/>
    <w:rsid w:val="00E20696"/>
    <w:rsid w:val="00E249E5"/>
    <w:rsid w:val="00E24E70"/>
    <w:rsid w:val="00E36AD2"/>
    <w:rsid w:val="00E47024"/>
    <w:rsid w:val="00E556CA"/>
    <w:rsid w:val="00E64DFF"/>
    <w:rsid w:val="00E72B16"/>
    <w:rsid w:val="00E8248B"/>
    <w:rsid w:val="00E87850"/>
    <w:rsid w:val="00E91889"/>
    <w:rsid w:val="00E96B2B"/>
    <w:rsid w:val="00EB2D77"/>
    <w:rsid w:val="00EC7E3A"/>
    <w:rsid w:val="00ED22D5"/>
    <w:rsid w:val="00ED5831"/>
    <w:rsid w:val="00F013AC"/>
    <w:rsid w:val="00F01C96"/>
    <w:rsid w:val="00F03A1C"/>
    <w:rsid w:val="00F063A8"/>
    <w:rsid w:val="00F36387"/>
    <w:rsid w:val="00F40B2A"/>
    <w:rsid w:val="00F41B1C"/>
    <w:rsid w:val="00F43CEC"/>
    <w:rsid w:val="00F54D86"/>
    <w:rsid w:val="00F7511F"/>
    <w:rsid w:val="00F80226"/>
    <w:rsid w:val="00F90310"/>
    <w:rsid w:val="00F9522A"/>
    <w:rsid w:val="00FA78B8"/>
    <w:rsid w:val="00FC0DE9"/>
    <w:rsid w:val="00FC7B60"/>
    <w:rsid w:val="00FD1DD5"/>
    <w:rsid w:val="00FD3A10"/>
    <w:rsid w:val="00FD65FE"/>
    <w:rsid w:val="00FE3106"/>
    <w:rsid w:val="00FF4D06"/>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C31E"/>
  <w15:chartTrackingRefBased/>
  <w15:docId w15:val="{6E9E8719-7C33-4A5B-A7EF-D287875E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2D"/>
    <w:pPr>
      <w:spacing w:line="25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341832"/>
    <w:pPr>
      <w:spacing w:after="0" w:line="360" w:lineRule="auto"/>
      <w:jc w:val="both"/>
    </w:pPr>
    <w:rPr>
      <w:rFonts w:ascii="Arial Narrow" w:hAnsi="Arial Narrow"/>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341832"/>
    <w:rPr>
      <w:rFonts w:ascii="Arial Narrow" w:eastAsia="Calibri" w:hAnsi="Arial Narrow" w:cs="Times New Roman"/>
      <w:sz w:val="20"/>
      <w:szCs w:val="20"/>
      <w:lang w:val="en-ZA"/>
    </w:rPr>
  </w:style>
  <w:style w:type="character" w:customStyle="1" w:styleId="ListParagraphChar">
    <w:name w:val="List Paragraph Char"/>
    <w:aliases w:val="Bullet Main Char"/>
    <w:link w:val="ListParagraph"/>
    <w:uiPriority w:val="34"/>
    <w:locked/>
    <w:rsid w:val="00341832"/>
    <w:rPr>
      <w:lang w:val="en-US"/>
    </w:rPr>
  </w:style>
  <w:style w:type="paragraph" w:styleId="ListParagraph">
    <w:name w:val="List Paragraph"/>
    <w:aliases w:val="Bullet Main"/>
    <w:basedOn w:val="Normal"/>
    <w:link w:val="ListParagraphChar"/>
    <w:uiPriority w:val="34"/>
    <w:qFormat/>
    <w:rsid w:val="00341832"/>
    <w:pPr>
      <w:ind w:left="720"/>
      <w:contextualSpacing/>
    </w:pPr>
    <w:rPr>
      <w:rFonts w:asciiTheme="minorHAnsi" w:eastAsiaTheme="minorHAnsi" w:hAnsiTheme="minorHAnsi" w:cstheme="minorBidi"/>
      <w:lang w:val="en-US"/>
    </w:rPr>
  </w:style>
  <w:style w:type="paragraph" w:customStyle="1" w:styleId="form-control-static">
    <w:name w:val="form-control-static"/>
    <w:basedOn w:val="Normal"/>
    <w:rsid w:val="00341832"/>
    <w:pPr>
      <w:spacing w:before="100" w:beforeAutospacing="1" w:after="100" w:afterAutospacing="1" w:line="240" w:lineRule="auto"/>
    </w:pPr>
    <w:rPr>
      <w:rFonts w:ascii="Times New Roman" w:eastAsia="Times New Roman" w:hAnsi="Times New Roman"/>
      <w:sz w:val="24"/>
      <w:szCs w:val="24"/>
      <w:lang w:val="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341832"/>
    <w:rPr>
      <w:vertAlign w:val="superscript"/>
    </w:rPr>
  </w:style>
  <w:style w:type="paragraph" w:styleId="NoSpacing">
    <w:name w:val="No Spacing"/>
    <w:uiPriority w:val="1"/>
    <w:qFormat/>
    <w:rsid w:val="000F6CA9"/>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3C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3D"/>
    <w:rPr>
      <w:rFonts w:ascii="Segoe UI" w:eastAsia="Calibri" w:hAnsi="Segoe UI" w:cs="Segoe UI"/>
      <w:sz w:val="18"/>
      <w:szCs w:val="18"/>
      <w:lang w:val="en-ZA"/>
    </w:rPr>
  </w:style>
  <w:style w:type="paragraph" w:styleId="Header">
    <w:name w:val="header"/>
    <w:basedOn w:val="Normal"/>
    <w:link w:val="HeaderChar"/>
    <w:uiPriority w:val="99"/>
    <w:unhideWhenUsed/>
    <w:rsid w:val="0036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0A"/>
    <w:rPr>
      <w:rFonts w:ascii="Calibri" w:eastAsia="Calibri" w:hAnsi="Calibri" w:cs="Times New Roman"/>
      <w:lang w:val="en-ZA"/>
    </w:rPr>
  </w:style>
  <w:style w:type="paragraph" w:styleId="Footer">
    <w:name w:val="footer"/>
    <w:basedOn w:val="Normal"/>
    <w:link w:val="FooterChar"/>
    <w:uiPriority w:val="99"/>
    <w:unhideWhenUsed/>
    <w:rsid w:val="0036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0A"/>
    <w:rPr>
      <w:rFonts w:ascii="Calibri" w:eastAsia="Calibri" w:hAnsi="Calibri" w:cs="Times New Roman"/>
      <w:lang w:val="en-ZA"/>
    </w:rPr>
  </w:style>
  <w:style w:type="paragraph" w:styleId="NormalWeb">
    <w:name w:val="Normal (Web)"/>
    <w:basedOn w:val="Normal"/>
    <w:uiPriority w:val="99"/>
    <w:unhideWhenUsed/>
    <w:rsid w:val="00130B13"/>
    <w:rPr>
      <w:rFonts w:ascii="Times New Roman" w:hAnsi="Times New Roman"/>
      <w:sz w:val="24"/>
      <w:szCs w:val="24"/>
    </w:rPr>
  </w:style>
  <w:style w:type="character" w:styleId="Hyperlink">
    <w:name w:val="Hyperlink"/>
    <w:basedOn w:val="DefaultParagraphFont"/>
    <w:uiPriority w:val="99"/>
    <w:unhideWhenUsed/>
    <w:rsid w:val="00130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0279">
      <w:bodyDiv w:val="1"/>
      <w:marLeft w:val="0"/>
      <w:marRight w:val="0"/>
      <w:marTop w:val="0"/>
      <w:marBottom w:val="0"/>
      <w:divBdr>
        <w:top w:val="none" w:sz="0" w:space="0" w:color="auto"/>
        <w:left w:val="none" w:sz="0" w:space="0" w:color="auto"/>
        <w:bottom w:val="none" w:sz="0" w:space="0" w:color="auto"/>
        <w:right w:val="none" w:sz="0" w:space="0" w:color="auto"/>
      </w:divBdr>
    </w:div>
    <w:div w:id="9504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2023-07-18T18:30:00+00:00</Judgment_x0020_Date>
    <Year xmlns="c1afb1bd-f2fb-40fd-9abb-aea55b4d7662">2023</Year>
  </documentManagement>
</p:properties>
</file>

<file path=customXml/itemProps1.xml><?xml version="1.0" encoding="utf-8"?>
<ds:datastoreItem xmlns:ds="http://schemas.openxmlformats.org/officeDocument/2006/customXml" ds:itemID="{2D4BE9C2-B1CC-435F-96F0-6CDEC377A6DA}"/>
</file>

<file path=customXml/itemProps2.xml><?xml version="1.0" encoding="utf-8"?>
<ds:datastoreItem xmlns:ds="http://schemas.openxmlformats.org/officeDocument/2006/customXml" ds:itemID="{5EC93415-F4CC-4698-9F93-FD5EC6D79239}"/>
</file>

<file path=customXml/itemProps3.xml><?xml version="1.0" encoding="utf-8"?>
<ds:datastoreItem xmlns:ds="http://schemas.openxmlformats.org/officeDocument/2006/customXml" ds:itemID="{4A6A2209-B274-462C-95A2-658769542D28}"/>
</file>

<file path=customXml/itemProps4.xml><?xml version="1.0" encoding="utf-8"?>
<ds:datastoreItem xmlns:ds="http://schemas.openxmlformats.org/officeDocument/2006/customXml" ds:itemID="{1966694B-C024-42AB-95E0-F8776C06672E}"/>
</file>

<file path=docProps/app.xml><?xml version="1.0" encoding="utf-8"?>
<Properties xmlns="http://schemas.openxmlformats.org/officeDocument/2006/extended-properties" xmlns:vt="http://schemas.openxmlformats.org/officeDocument/2006/docPropsVTypes">
  <Template>Normal</Template>
  <TotalTime>48</TotalTime>
  <Pages>9</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Kangandjela v Hollard Insurance Company of Namibia Limited (HC-MD-CIV-ACT-CON-2021-01626) [2023] NAHCMD 411 (19 July 2023)</dc:title>
  <dc:subject/>
  <dc:creator>Bradley Khoa</dc:creator>
  <cp:keywords/>
  <dc:description/>
  <cp:lastModifiedBy>Bradley Khoa</cp:lastModifiedBy>
  <cp:revision>8</cp:revision>
  <cp:lastPrinted>2022-07-22T07:35:00Z</cp:lastPrinted>
  <dcterms:created xsi:type="dcterms:W3CDTF">2023-07-16T09:48:00Z</dcterms:created>
  <dcterms:modified xsi:type="dcterms:W3CDTF">2023-07-19T08:57:00Z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b9e0d30f92530c9a61c653dbcc178907e6bca9e143886839daf031a418ce5010</vt:lpwstr>
  </property>
  <property fmtid="{D5CDD505-2E9C-101B-9397-08002B2CF9AE}" pid="3" name="ContentTypeId">
    <vt:lpwstr>0x0101000ECE0F99B3F8644397ECB0C536651393</vt:lpwstr>
  </property>
</Properties>
</file>