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BC" w:rsidRPr="008E52C4" w:rsidRDefault="00FF6DBC" w:rsidP="00FF6DBC">
      <w:pPr>
        <w:spacing w:after="0" w:line="240" w:lineRule="auto"/>
        <w:jc w:val="center"/>
        <w:rPr>
          <w:rFonts w:ascii="Arial" w:eastAsia="Calibri" w:hAnsi="Arial" w:cs="Arial"/>
          <w:b/>
          <w:sz w:val="24"/>
          <w:szCs w:val="24"/>
        </w:rPr>
      </w:pPr>
      <w:r w:rsidRPr="008E52C4">
        <w:rPr>
          <w:rFonts w:ascii="Arial" w:eastAsia="Calibri" w:hAnsi="Arial" w:cs="Arial"/>
          <w:b/>
          <w:sz w:val="24"/>
          <w:szCs w:val="24"/>
        </w:rPr>
        <w:t xml:space="preserve">REPUBLIC OF NAMIBIA </w:t>
      </w:r>
    </w:p>
    <w:p w:rsidR="00FF6DBC" w:rsidRPr="008E52C4" w:rsidRDefault="00FF6DBC" w:rsidP="00FF6DBC">
      <w:pPr>
        <w:spacing w:after="0" w:line="360" w:lineRule="auto"/>
        <w:jc w:val="center"/>
        <w:rPr>
          <w:rFonts w:ascii="Arial" w:eastAsia="Calibri" w:hAnsi="Arial" w:cs="Arial"/>
          <w:sz w:val="24"/>
          <w:szCs w:val="24"/>
        </w:rPr>
      </w:pPr>
      <w:r w:rsidRPr="008E52C4">
        <w:rPr>
          <w:rFonts w:ascii="Calibri" w:eastAsia="Calibri" w:hAnsi="Calibri" w:cs="Times New Roman"/>
          <w:b/>
          <w:noProof/>
          <w:sz w:val="32"/>
          <w:szCs w:val="32"/>
          <w:lang w:val="en-GB" w:eastAsia="en-GB"/>
        </w:rPr>
        <w:drawing>
          <wp:inline distT="0" distB="0" distL="0" distR="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FF6DBC" w:rsidRPr="008E52C4" w:rsidRDefault="00FF6DBC" w:rsidP="00FF6DBC">
      <w:pPr>
        <w:spacing w:after="0" w:line="360" w:lineRule="auto"/>
        <w:jc w:val="center"/>
        <w:rPr>
          <w:rFonts w:ascii="Arial" w:eastAsia="Calibri" w:hAnsi="Arial" w:cs="Arial"/>
          <w:b/>
          <w:sz w:val="24"/>
          <w:szCs w:val="24"/>
        </w:rPr>
      </w:pPr>
      <w:r w:rsidRPr="008E52C4">
        <w:rPr>
          <w:rFonts w:ascii="Arial" w:eastAsia="Calibri" w:hAnsi="Arial" w:cs="Arial"/>
          <w:b/>
          <w:sz w:val="24"/>
          <w:szCs w:val="24"/>
        </w:rPr>
        <w:t>IN THE HIGH COURT OF NAMIBIA, MAIN DIVISION</w:t>
      </w:r>
    </w:p>
    <w:p w:rsidR="00FF6DBC" w:rsidRPr="008E52C4" w:rsidRDefault="00E9702A" w:rsidP="00FF6DBC">
      <w:pPr>
        <w:spacing w:after="0" w:line="360" w:lineRule="auto"/>
        <w:jc w:val="center"/>
        <w:rPr>
          <w:rFonts w:ascii="Arial" w:eastAsia="Calibri" w:hAnsi="Arial" w:cs="Arial"/>
          <w:b/>
          <w:sz w:val="24"/>
          <w:szCs w:val="24"/>
        </w:rPr>
      </w:pPr>
      <w:r>
        <w:rPr>
          <w:rFonts w:ascii="Arial" w:eastAsia="Calibri" w:hAnsi="Arial" w:cs="Arial"/>
          <w:b/>
          <w:sz w:val="24"/>
          <w:szCs w:val="24"/>
        </w:rPr>
        <w:t>PRACTICE DIRECTIONS 61</w:t>
      </w:r>
      <w:bookmarkStart w:id="0" w:name="_GoBack"/>
      <w:bookmarkEnd w:id="0"/>
    </w:p>
    <w:p w:rsidR="00FF6DBC" w:rsidRPr="008E52C4" w:rsidRDefault="00FF6DBC" w:rsidP="00FF6DBC">
      <w:pPr>
        <w:spacing w:after="0" w:line="360" w:lineRule="auto"/>
        <w:jc w:val="both"/>
        <w:rPr>
          <w:rFonts w:ascii="Arial" w:eastAsia="Calibri" w:hAnsi="Arial" w:cs="Arial"/>
          <w:sz w:val="24"/>
          <w:szCs w:val="24"/>
          <w:lang w:val="en-US"/>
        </w:rPr>
      </w:pPr>
    </w:p>
    <w:tbl>
      <w:tblPr>
        <w:tblStyle w:val="TableGrid1"/>
        <w:tblW w:w="9720" w:type="dxa"/>
        <w:tblInd w:w="-275" w:type="dxa"/>
        <w:tblLook w:val="04A0" w:firstRow="1" w:lastRow="0" w:firstColumn="1" w:lastColumn="0" w:noHBand="0" w:noVBand="1"/>
      </w:tblPr>
      <w:tblGrid>
        <w:gridCol w:w="4770"/>
        <w:gridCol w:w="1620"/>
        <w:gridCol w:w="3330"/>
      </w:tblGrid>
      <w:tr w:rsidR="008E52C4" w:rsidRPr="008E52C4" w:rsidTr="008E52C4">
        <w:trPr>
          <w:trHeight w:val="744"/>
        </w:trPr>
        <w:tc>
          <w:tcPr>
            <w:tcW w:w="6390" w:type="dxa"/>
            <w:gridSpan w:val="2"/>
            <w:vMerge w:val="restart"/>
          </w:tcPr>
          <w:p w:rsidR="00FF6DBC" w:rsidRPr="008E52C4" w:rsidRDefault="00FF6DBC" w:rsidP="00FF6DBC">
            <w:pPr>
              <w:spacing w:line="360" w:lineRule="auto"/>
              <w:jc w:val="both"/>
              <w:rPr>
                <w:rFonts w:ascii="Arial" w:eastAsia="Calibri" w:hAnsi="Arial" w:cs="Arial"/>
                <w:sz w:val="24"/>
                <w:szCs w:val="24"/>
              </w:rPr>
            </w:pPr>
            <w:r w:rsidRPr="008E52C4">
              <w:rPr>
                <w:rFonts w:ascii="Arial" w:eastAsia="Calibri" w:hAnsi="Arial" w:cs="Arial"/>
                <w:b/>
                <w:sz w:val="24"/>
                <w:szCs w:val="24"/>
              </w:rPr>
              <w:t>Case Title:</w:t>
            </w:r>
          </w:p>
          <w:p w:rsidR="00FF6DBC" w:rsidRPr="008E52C4" w:rsidRDefault="008E52C4" w:rsidP="00FF6DBC">
            <w:pPr>
              <w:tabs>
                <w:tab w:val="left" w:pos="6750"/>
              </w:tabs>
              <w:spacing w:line="360" w:lineRule="auto"/>
              <w:jc w:val="both"/>
              <w:rPr>
                <w:rFonts w:ascii="Arial" w:eastAsia="Times New Roman" w:hAnsi="Arial" w:cs="Arial"/>
                <w:sz w:val="24"/>
                <w:szCs w:val="24"/>
              </w:rPr>
            </w:pPr>
            <w:r w:rsidRPr="008E52C4">
              <w:rPr>
                <w:rFonts w:ascii="Arial" w:eastAsia="Times New Roman" w:hAnsi="Arial" w:cs="Arial"/>
                <w:sz w:val="24"/>
                <w:szCs w:val="24"/>
              </w:rPr>
              <w:t>Bank Windhoek Limited</w:t>
            </w:r>
            <w:r>
              <w:rPr>
                <w:rFonts w:ascii="Arial" w:eastAsia="Times New Roman" w:hAnsi="Arial" w:cs="Arial"/>
                <w:sz w:val="24"/>
                <w:szCs w:val="24"/>
              </w:rPr>
              <w:t xml:space="preserve">       </w:t>
            </w:r>
            <w:r w:rsidR="006F2B94">
              <w:rPr>
                <w:rFonts w:ascii="Arial" w:eastAsia="Times New Roman" w:hAnsi="Arial" w:cs="Arial"/>
                <w:sz w:val="24"/>
                <w:szCs w:val="24"/>
              </w:rPr>
              <w:t xml:space="preserve">                </w:t>
            </w:r>
            <w:r>
              <w:rPr>
                <w:rFonts w:ascii="Arial" w:eastAsia="Times New Roman" w:hAnsi="Arial" w:cs="Arial"/>
                <w:sz w:val="24"/>
                <w:szCs w:val="24"/>
              </w:rPr>
              <w:t>Applicant</w:t>
            </w:r>
          </w:p>
          <w:p w:rsidR="00FF6DBC" w:rsidRPr="008E52C4" w:rsidRDefault="00FF6DBC" w:rsidP="00FF6DBC">
            <w:pPr>
              <w:tabs>
                <w:tab w:val="left" w:pos="6750"/>
              </w:tabs>
              <w:spacing w:line="360" w:lineRule="auto"/>
              <w:jc w:val="both"/>
              <w:rPr>
                <w:rFonts w:ascii="Arial" w:eastAsia="Times New Roman" w:hAnsi="Arial" w:cs="Arial"/>
                <w:sz w:val="24"/>
                <w:szCs w:val="24"/>
              </w:rPr>
            </w:pPr>
            <w:r w:rsidRPr="008E52C4">
              <w:rPr>
                <w:rFonts w:ascii="Arial" w:eastAsia="Times New Roman" w:hAnsi="Arial" w:cs="Arial"/>
                <w:sz w:val="24"/>
                <w:szCs w:val="24"/>
              </w:rPr>
              <w:t xml:space="preserve">vs </w:t>
            </w:r>
          </w:p>
          <w:p w:rsidR="00FF6DBC" w:rsidRPr="008E52C4" w:rsidRDefault="007F3560" w:rsidP="00FF6DBC">
            <w:pPr>
              <w:tabs>
                <w:tab w:val="left" w:pos="6750"/>
              </w:tabs>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Grace City Investments CC</w:t>
            </w:r>
            <w:r w:rsidR="006F2B94">
              <w:rPr>
                <w:rFonts w:ascii="Arial" w:eastAsia="Times New Roman" w:hAnsi="Arial" w:cs="Arial"/>
                <w:sz w:val="24"/>
                <w:szCs w:val="24"/>
                <w:lang w:val="en-GB"/>
              </w:rPr>
              <w:t xml:space="preserve">                 </w:t>
            </w:r>
            <w:r w:rsidR="008E52C4">
              <w:rPr>
                <w:rFonts w:ascii="Arial" w:eastAsia="Times New Roman" w:hAnsi="Arial" w:cs="Arial"/>
                <w:sz w:val="24"/>
                <w:szCs w:val="24"/>
                <w:lang w:val="en-GB"/>
              </w:rPr>
              <w:t>First Respondent</w:t>
            </w:r>
          </w:p>
          <w:p w:rsidR="0048631F" w:rsidRPr="008E52C4" w:rsidRDefault="007F3560" w:rsidP="00FF6DBC">
            <w:pPr>
              <w:tabs>
                <w:tab w:val="left" w:pos="6750"/>
              </w:tabs>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Nelson Daniel </w:t>
            </w:r>
            <w:proofErr w:type="spellStart"/>
            <w:r>
              <w:rPr>
                <w:rFonts w:ascii="Arial" w:eastAsia="Times New Roman" w:hAnsi="Arial" w:cs="Arial"/>
                <w:sz w:val="24"/>
                <w:szCs w:val="24"/>
                <w:lang w:val="en-GB"/>
              </w:rPr>
              <w:t>Weyulu</w:t>
            </w:r>
            <w:proofErr w:type="spellEnd"/>
            <w:r w:rsidR="008E52C4" w:rsidRPr="008E52C4">
              <w:rPr>
                <w:rFonts w:ascii="Arial" w:eastAsia="Times New Roman" w:hAnsi="Arial" w:cs="Arial"/>
                <w:sz w:val="24"/>
                <w:szCs w:val="24"/>
                <w:lang w:val="en-GB"/>
              </w:rPr>
              <w:t xml:space="preserve"> </w:t>
            </w:r>
            <w:proofErr w:type="spellStart"/>
            <w:r w:rsidR="008E52C4" w:rsidRPr="008E52C4">
              <w:rPr>
                <w:rFonts w:ascii="Arial" w:eastAsia="Times New Roman" w:hAnsi="Arial" w:cs="Arial"/>
                <w:sz w:val="24"/>
                <w:szCs w:val="24"/>
                <w:lang w:val="en-GB"/>
              </w:rPr>
              <w:t>Haihambo</w:t>
            </w:r>
            <w:proofErr w:type="spellEnd"/>
            <w:r w:rsidR="006F2B94">
              <w:rPr>
                <w:rFonts w:ascii="Arial" w:eastAsia="Times New Roman" w:hAnsi="Arial" w:cs="Arial"/>
                <w:sz w:val="24"/>
                <w:szCs w:val="24"/>
                <w:lang w:val="en-GB"/>
              </w:rPr>
              <w:t xml:space="preserve">          </w:t>
            </w:r>
            <w:r w:rsidR="008E52C4">
              <w:rPr>
                <w:rFonts w:ascii="Arial" w:eastAsia="Times New Roman" w:hAnsi="Arial" w:cs="Arial"/>
                <w:sz w:val="24"/>
                <w:szCs w:val="24"/>
                <w:lang w:val="en-GB"/>
              </w:rPr>
              <w:t>Second Respondent</w:t>
            </w:r>
          </w:p>
          <w:p w:rsidR="0048631F" w:rsidRPr="008E52C4" w:rsidRDefault="008E52C4" w:rsidP="00FF6DBC">
            <w:pPr>
              <w:tabs>
                <w:tab w:val="left" w:pos="6750"/>
              </w:tabs>
              <w:spacing w:line="360" w:lineRule="auto"/>
              <w:jc w:val="both"/>
              <w:rPr>
                <w:rFonts w:ascii="Arial" w:eastAsia="Times New Roman" w:hAnsi="Arial" w:cs="Arial"/>
                <w:sz w:val="24"/>
                <w:szCs w:val="24"/>
                <w:lang w:val="en-GB"/>
              </w:rPr>
            </w:pPr>
            <w:proofErr w:type="spellStart"/>
            <w:r w:rsidRPr="008E52C4">
              <w:rPr>
                <w:rFonts w:ascii="Arial" w:eastAsia="Times New Roman" w:hAnsi="Arial" w:cs="Arial"/>
                <w:sz w:val="24"/>
                <w:szCs w:val="24"/>
                <w:lang w:val="en-GB"/>
              </w:rPr>
              <w:t>Loide</w:t>
            </w:r>
            <w:proofErr w:type="spellEnd"/>
            <w:r w:rsidRPr="008E52C4">
              <w:rPr>
                <w:rFonts w:ascii="Arial" w:eastAsia="Times New Roman" w:hAnsi="Arial" w:cs="Arial"/>
                <w:sz w:val="24"/>
                <w:szCs w:val="24"/>
                <w:lang w:val="en-GB"/>
              </w:rPr>
              <w:t xml:space="preserve"> </w:t>
            </w:r>
            <w:proofErr w:type="spellStart"/>
            <w:r w:rsidRPr="008E52C4">
              <w:rPr>
                <w:rFonts w:ascii="Arial" w:eastAsia="Times New Roman" w:hAnsi="Arial" w:cs="Arial"/>
                <w:sz w:val="24"/>
                <w:szCs w:val="24"/>
                <w:lang w:val="en-GB"/>
              </w:rPr>
              <w:t>Haihambo</w:t>
            </w:r>
            <w:proofErr w:type="spellEnd"/>
            <w:r>
              <w:rPr>
                <w:rFonts w:ascii="Arial" w:eastAsia="Times New Roman" w:hAnsi="Arial" w:cs="Arial"/>
                <w:sz w:val="24"/>
                <w:szCs w:val="24"/>
                <w:lang w:val="en-GB"/>
              </w:rPr>
              <w:t xml:space="preserve">  </w:t>
            </w:r>
            <w:r w:rsidR="006F2B94">
              <w:rPr>
                <w:rFonts w:ascii="Arial" w:eastAsia="Times New Roman" w:hAnsi="Arial" w:cs="Arial"/>
                <w:sz w:val="24"/>
                <w:szCs w:val="24"/>
                <w:lang w:val="en-GB"/>
              </w:rPr>
              <w:t xml:space="preserve">                                </w:t>
            </w:r>
            <w:r>
              <w:rPr>
                <w:rFonts w:ascii="Arial" w:eastAsia="Times New Roman" w:hAnsi="Arial" w:cs="Arial"/>
                <w:sz w:val="24"/>
                <w:szCs w:val="24"/>
                <w:lang w:val="en-GB"/>
              </w:rPr>
              <w:t xml:space="preserve">Third Respondent </w:t>
            </w:r>
          </w:p>
          <w:p w:rsidR="0048631F" w:rsidRPr="008E52C4" w:rsidRDefault="007F3560" w:rsidP="00FF6DBC">
            <w:pPr>
              <w:tabs>
                <w:tab w:val="left" w:pos="6750"/>
              </w:tabs>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Shrike Investments CC</w:t>
            </w:r>
            <w:r w:rsidR="006F2B94">
              <w:rPr>
                <w:rFonts w:ascii="Arial" w:eastAsia="Times New Roman" w:hAnsi="Arial" w:cs="Arial"/>
                <w:sz w:val="24"/>
                <w:szCs w:val="24"/>
                <w:lang w:val="en-GB"/>
              </w:rPr>
              <w:t xml:space="preserve">                        </w:t>
            </w:r>
            <w:r w:rsidR="008E52C4">
              <w:rPr>
                <w:rFonts w:ascii="Arial" w:eastAsia="Times New Roman" w:hAnsi="Arial" w:cs="Arial"/>
                <w:sz w:val="24"/>
                <w:szCs w:val="24"/>
                <w:lang w:val="en-GB"/>
              </w:rPr>
              <w:t>Fourth Respondent</w:t>
            </w:r>
          </w:p>
        </w:tc>
        <w:tc>
          <w:tcPr>
            <w:tcW w:w="3330" w:type="dxa"/>
          </w:tcPr>
          <w:p w:rsidR="00FF6DBC" w:rsidRPr="008E52C4" w:rsidRDefault="00FF6DBC" w:rsidP="00FF6DBC">
            <w:pPr>
              <w:spacing w:line="360" w:lineRule="auto"/>
              <w:jc w:val="both"/>
              <w:rPr>
                <w:rFonts w:ascii="Arial" w:eastAsia="Calibri" w:hAnsi="Arial" w:cs="Arial"/>
                <w:sz w:val="24"/>
                <w:szCs w:val="24"/>
              </w:rPr>
            </w:pPr>
            <w:r w:rsidRPr="008E52C4">
              <w:rPr>
                <w:rFonts w:ascii="Arial" w:eastAsia="Calibri" w:hAnsi="Arial" w:cs="Arial"/>
                <w:b/>
                <w:sz w:val="24"/>
                <w:szCs w:val="24"/>
              </w:rPr>
              <w:t>Case No:</w:t>
            </w:r>
          </w:p>
          <w:p w:rsidR="00995BD8" w:rsidRDefault="00995BD8" w:rsidP="0048631F">
            <w:pPr>
              <w:spacing w:line="360" w:lineRule="auto"/>
              <w:jc w:val="both"/>
              <w:rPr>
                <w:rFonts w:ascii="Arial" w:eastAsia="Calibri" w:hAnsi="Arial" w:cs="Arial"/>
                <w:sz w:val="24"/>
                <w:szCs w:val="24"/>
                <w:shd w:val="clear" w:color="auto" w:fill="FFFFFF"/>
              </w:rPr>
            </w:pPr>
            <w:r w:rsidRPr="00995BD8">
              <w:rPr>
                <w:rFonts w:ascii="Arial" w:eastAsia="Calibri" w:hAnsi="Arial" w:cs="Arial"/>
                <w:sz w:val="24"/>
                <w:szCs w:val="24"/>
                <w:shd w:val="clear" w:color="auto" w:fill="FFFFFF"/>
              </w:rPr>
              <w:t xml:space="preserve">HC-MD-CIV-ACT-CON-2023/00993 </w:t>
            </w:r>
          </w:p>
          <w:p w:rsidR="00FF6DBC" w:rsidRPr="008E52C4" w:rsidRDefault="00995BD8" w:rsidP="0048631F">
            <w:pPr>
              <w:spacing w:line="360" w:lineRule="auto"/>
              <w:jc w:val="both"/>
              <w:rPr>
                <w:rFonts w:ascii="Arial" w:eastAsia="Calibri" w:hAnsi="Arial" w:cs="Arial"/>
                <w:sz w:val="24"/>
                <w:szCs w:val="24"/>
                <w:shd w:val="clear" w:color="auto" w:fill="FFFFFF"/>
              </w:rPr>
            </w:pPr>
            <w:r w:rsidRPr="00995BD8">
              <w:rPr>
                <w:rFonts w:ascii="Arial" w:eastAsia="Calibri" w:hAnsi="Arial" w:cs="Arial"/>
                <w:sz w:val="24"/>
                <w:szCs w:val="24"/>
                <w:shd w:val="clear" w:color="auto" w:fill="FFFFFF"/>
              </w:rPr>
              <w:t>(INT-HC-SUMJUD-2023/00194)</w:t>
            </w:r>
          </w:p>
        </w:tc>
      </w:tr>
      <w:tr w:rsidR="008E52C4" w:rsidRPr="008E52C4" w:rsidTr="008E52C4">
        <w:trPr>
          <w:trHeight w:val="872"/>
        </w:trPr>
        <w:tc>
          <w:tcPr>
            <w:tcW w:w="6390" w:type="dxa"/>
            <w:gridSpan w:val="2"/>
            <w:vMerge/>
          </w:tcPr>
          <w:p w:rsidR="00FF6DBC" w:rsidRPr="008E52C4" w:rsidRDefault="00FF6DBC" w:rsidP="00FF6DBC">
            <w:pPr>
              <w:spacing w:line="360" w:lineRule="auto"/>
              <w:jc w:val="both"/>
              <w:rPr>
                <w:rFonts w:ascii="Arial" w:eastAsia="Calibri" w:hAnsi="Arial" w:cs="Arial"/>
                <w:sz w:val="24"/>
                <w:szCs w:val="24"/>
              </w:rPr>
            </w:pPr>
          </w:p>
        </w:tc>
        <w:tc>
          <w:tcPr>
            <w:tcW w:w="3330" w:type="dxa"/>
          </w:tcPr>
          <w:p w:rsidR="00FF6DBC" w:rsidRPr="008E52C4" w:rsidRDefault="00FF6DBC" w:rsidP="00FF6DBC">
            <w:pPr>
              <w:spacing w:line="360" w:lineRule="auto"/>
              <w:jc w:val="both"/>
              <w:rPr>
                <w:rFonts w:ascii="Arial" w:eastAsia="Calibri" w:hAnsi="Arial" w:cs="Arial"/>
                <w:sz w:val="24"/>
                <w:szCs w:val="24"/>
              </w:rPr>
            </w:pPr>
            <w:r w:rsidRPr="008E52C4">
              <w:rPr>
                <w:rFonts w:ascii="Arial" w:eastAsia="Calibri" w:hAnsi="Arial" w:cs="Arial"/>
                <w:b/>
                <w:sz w:val="24"/>
                <w:szCs w:val="24"/>
              </w:rPr>
              <w:t>Division of Court:</w:t>
            </w:r>
          </w:p>
          <w:p w:rsidR="00FF6DBC" w:rsidRPr="008E52C4" w:rsidRDefault="00ED67A8" w:rsidP="00ED67A8">
            <w:pPr>
              <w:spacing w:line="360" w:lineRule="auto"/>
              <w:rPr>
                <w:rFonts w:ascii="Arial" w:eastAsia="Calibri" w:hAnsi="Arial" w:cs="Arial"/>
                <w:sz w:val="24"/>
                <w:szCs w:val="24"/>
              </w:rPr>
            </w:pPr>
            <w:r>
              <w:rPr>
                <w:rFonts w:ascii="Arial" w:eastAsia="Calibri" w:hAnsi="Arial" w:cs="Arial"/>
                <w:sz w:val="24"/>
                <w:szCs w:val="24"/>
              </w:rPr>
              <w:t xml:space="preserve">HIGH </w:t>
            </w:r>
            <w:r w:rsidR="00FF6DBC" w:rsidRPr="008E52C4">
              <w:rPr>
                <w:rFonts w:ascii="Arial" w:eastAsia="Calibri" w:hAnsi="Arial" w:cs="Arial"/>
                <w:sz w:val="24"/>
                <w:szCs w:val="24"/>
              </w:rPr>
              <w:t>COURT(MAIN DIVISION)</w:t>
            </w:r>
          </w:p>
        </w:tc>
      </w:tr>
      <w:tr w:rsidR="008E52C4" w:rsidRPr="008E52C4" w:rsidTr="008E52C4">
        <w:trPr>
          <w:trHeight w:val="645"/>
        </w:trPr>
        <w:tc>
          <w:tcPr>
            <w:tcW w:w="6390" w:type="dxa"/>
            <w:gridSpan w:val="2"/>
            <w:vMerge w:val="restart"/>
          </w:tcPr>
          <w:p w:rsidR="00FF6DBC" w:rsidRPr="008E52C4" w:rsidRDefault="00FF6DBC" w:rsidP="00FF6DBC">
            <w:pPr>
              <w:spacing w:line="360" w:lineRule="auto"/>
              <w:jc w:val="both"/>
              <w:rPr>
                <w:rFonts w:ascii="Arial" w:eastAsia="Calibri" w:hAnsi="Arial" w:cs="Arial"/>
                <w:b/>
                <w:sz w:val="24"/>
                <w:szCs w:val="24"/>
              </w:rPr>
            </w:pPr>
            <w:r w:rsidRPr="008E52C4">
              <w:rPr>
                <w:rFonts w:ascii="Arial" w:eastAsia="Calibri" w:hAnsi="Arial" w:cs="Arial"/>
                <w:b/>
                <w:sz w:val="24"/>
                <w:szCs w:val="24"/>
              </w:rPr>
              <w:t>Heard before:</w:t>
            </w:r>
          </w:p>
          <w:p w:rsidR="00FF6DBC" w:rsidRPr="008E52C4" w:rsidRDefault="00FF6DBC" w:rsidP="00FF6DBC">
            <w:pPr>
              <w:spacing w:line="360" w:lineRule="auto"/>
              <w:jc w:val="both"/>
              <w:rPr>
                <w:rFonts w:ascii="Arial" w:eastAsia="Calibri" w:hAnsi="Arial" w:cs="Arial"/>
                <w:sz w:val="24"/>
                <w:szCs w:val="24"/>
              </w:rPr>
            </w:pPr>
            <w:r w:rsidRPr="008E52C4">
              <w:rPr>
                <w:rFonts w:ascii="Arial" w:eastAsia="Calibri" w:hAnsi="Arial" w:cs="Arial"/>
                <w:sz w:val="24"/>
                <w:szCs w:val="24"/>
              </w:rPr>
              <w:t>HONOURABLE LADY JUSTICE CLAASEN</w:t>
            </w:r>
          </w:p>
        </w:tc>
        <w:tc>
          <w:tcPr>
            <w:tcW w:w="3330" w:type="dxa"/>
          </w:tcPr>
          <w:p w:rsidR="00FF6DBC" w:rsidRPr="008E52C4" w:rsidRDefault="00FF6DBC" w:rsidP="00FF6DBC">
            <w:pPr>
              <w:spacing w:line="360" w:lineRule="auto"/>
              <w:jc w:val="both"/>
              <w:rPr>
                <w:rFonts w:ascii="Arial" w:eastAsia="Calibri" w:hAnsi="Arial" w:cs="Arial"/>
                <w:b/>
                <w:sz w:val="24"/>
                <w:szCs w:val="24"/>
              </w:rPr>
            </w:pPr>
            <w:r w:rsidRPr="008E52C4">
              <w:rPr>
                <w:rFonts w:ascii="Arial" w:eastAsia="Calibri" w:hAnsi="Arial" w:cs="Arial"/>
                <w:b/>
                <w:sz w:val="24"/>
                <w:szCs w:val="24"/>
              </w:rPr>
              <w:t>Date of hearing:</w:t>
            </w:r>
          </w:p>
          <w:p w:rsidR="00FF6DBC" w:rsidRPr="008E52C4" w:rsidRDefault="0048631F" w:rsidP="00FF6DBC">
            <w:pPr>
              <w:spacing w:line="360" w:lineRule="auto"/>
              <w:rPr>
                <w:rFonts w:ascii="Arial" w:eastAsia="Calibri" w:hAnsi="Arial" w:cs="Arial"/>
                <w:sz w:val="24"/>
                <w:szCs w:val="24"/>
              </w:rPr>
            </w:pPr>
            <w:r w:rsidRPr="008E52C4">
              <w:rPr>
                <w:rFonts w:ascii="Arial" w:eastAsia="Calibri" w:hAnsi="Arial" w:cs="Arial"/>
                <w:sz w:val="24"/>
                <w:szCs w:val="24"/>
              </w:rPr>
              <w:t>05 July</w:t>
            </w:r>
            <w:r w:rsidR="00FF6DBC" w:rsidRPr="008E52C4">
              <w:rPr>
                <w:rFonts w:ascii="Arial" w:eastAsia="Calibri" w:hAnsi="Arial" w:cs="Arial"/>
                <w:sz w:val="24"/>
                <w:szCs w:val="24"/>
              </w:rPr>
              <w:t xml:space="preserve"> 2023</w:t>
            </w:r>
          </w:p>
        </w:tc>
      </w:tr>
      <w:tr w:rsidR="008E52C4" w:rsidRPr="008E52C4" w:rsidTr="008E52C4">
        <w:trPr>
          <w:trHeight w:val="588"/>
        </w:trPr>
        <w:tc>
          <w:tcPr>
            <w:tcW w:w="6390" w:type="dxa"/>
            <w:gridSpan w:val="2"/>
            <w:vMerge/>
          </w:tcPr>
          <w:p w:rsidR="00FF6DBC" w:rsidRPr="008E52C4" w:rsidRDefault="00FF6DBC" w:rsidP="00FF6DBC">
            <w:pPr>
              <w:spacing w:line="360" w:lineRule="auto"/>
              <w:jc w:val="both"/>
              <w:rPr>
                <w:rFonts w:ascii="Arial" w:eastAsia="Calibri" w:hAnsi="Arial" w:cs="Arial"/>
                <w:b/>
                <w:sz w:val="24"/>
                <w:szCs w:val="24"/>
              </w:rPr>
            </w:pPr>
          </w:p>
        </w:tc>
        <w:tc>
          <w:tcPr>
            <w:tcW w:w="3330" w:type="dxa"/>
          </w:tcPr>
          <w:p w:rsidR="00FF6DBC" w:rsidRPr="008E52C4" w:rsidRDefault="00FF6DBC" w:rsidP="00FF6DBC">
            <w:pPr>
              <w:spacing w:line="360" w:lineRule="auto"/>
              <w:jc w:val="both"/>
              <w:rPr>
                <w:rFonts w:ascii="Arial" w:eastAsia="Calibri" w:hAnsi="Arial" w:cs="Arial"/>
                <w:b/>
                <w:sz w:val="24"/>
                <w:szCs w:val="24"/>
              </w:rPr>
            </w:pPr>
            <w:r w:rsidRPr="008E52C4">
              <w:rPr>
                <w:rFonts w:ascii="Arial" w:eastAsia="Calibri" w:hAnsi="Arial" w:cs="Arial"/>
                <w:b/>
                <w:sz w:val="24"/>
                <w:szCs w:val="24"/>
              </w:rPr>
              <w:t xml:space="preserve">Delivered on: </w:t>
            </w:r>
          </w:p>
          <w:p w:rsidR="00FF6DBC" w:rsidRPr="008E52C4" w:rsidRDefault="0048631F" w:rsidP="0048631F">
            <w:pPr>
              <w:spacing w:line="360" w:lineRule="auto"/>
              <w:jc w:val="both"/>
              <w:rPr>
                <w:rFonts w:ascii="Arial" w:eastAsia="Calibri" w:hAnsi="Arial" w:cs="Arial"/>
                <w:b/>
                <w:sz w:val="24"/>
                <w:szCs w:val="24"/>
              </w:rPr>
            </w:pPr>
            <w:r w:rsidRPr="008E52C4">
              <w:rPr>
                <w:rFonts w:ascii="Arial" w:eastAsia="Calibri" w:hAnsi="Arial" w:cs="Arial"/>
                <w:sz w:val="24"/>
                <w:szCs w:val="24"/>
              </w:rPr>
              <w:t>21 July</w:t>
            </w:r>
            <w:r w:rsidR="00FF6DBC" w:rsidRPr="008E52C4">
              <w:rPr>
                <w:rFonts w:ascii="Arial" w:eastAsia="Calibri" w:hAnsi="Arial" w:cs="Arial"/>
                <w:sz w:val="24"/>
                <w:szCs w:val="24"/>
              </w:rPr>
              <w:t xml:space="preserve"> 2023</w:t>
            </w:r>
          </w:p>
        </w:tc>
      </w:tr>
      <w:tr w:rsidR="008E52C4" w:rsidRPr="008E52C4" w:rsidTr="00B1387A">
        <w:trPr>
          <w:trHeight w:val="710"/>
        </w:trPr>
        <w:tc>
          <w:tcPr>
            <w:tcW w:w="9720" w:type="dxa"/>
            <w:gridSpan w:val="3"/>
          </w:tcPr>
          <w:p w:rsidR="00FF6DBC" w:rsidRPr="008E52C4" w:rsidRDefault="00FF6DBC" w:rsidP="00B403FA">
            <w:pPr>
              <w:tabs>
                <w:tab w:val="left" w:pos="6750"/>
              </w:tabs>
              <w:spacing w:line="360" w:lineRule="auto"/>
              <w:ind w:left="1962" w:hanging="1962"/>
              <w:jc w:val="both"/>
              <w:rPr>
                <w:rFonts w:ascii="Arial" w:eastAsia="Times New Roman" w:hAnsi="Arial" w:cs="Arial"/>
                <w:sz w:val="24"/>
                <w:szCs w:val="24"/>
              </w:rPr>
            </w:pPr>
            <w:r w:rsidRPr="008E52C4">
              <w:rPr>
                <w:rFonts w:ascii="Arial" w:eastAsia="Times New Roman" w:hAnsi="Arial" w:cs="Arial"/>
                <w:b/>
                <w:sz w:val="24"/>
                <w:szCs w:val="24"/>
              </w:rPr>
              <w:t>Neutral citation:</w:t>
            </w:r>
            <w:r w:rsidRPr="008E52C4">
              <w:rPr>
                <w:rFonts w:ascii="Arial" w:eastAsia="Times New Roman" w:hAnsi="Arial" w:cs="Arial"/>
                <w:sz w:val="24"/>
                <w:szCs w:val="24"/>
              </w:rPr>
              <w:t xml:space="preserve"> </w:t>
            </w:r>
            <w:r w:rsidR="0048631F" w:rsidRPr="008E52C4">
              <w:rPr>
                <w:rFonts w:ascii="Arial" w:eastAsia="Times New Roman" w:hAnsi="Arial" w:cs="Arial"/>
                <w:i/>
                <w:sz w:val="24"/>
                <w:szCs w:val="24"/>
              </w:rPr>
              <w:t>Bank Windhoek Limited  v</w:t>
            </w:r>
            <w:r w:rsidR="0048631F" w:rsidRPr="008E52C4">
              <w:rPr>
                <w:rFonts w:ascii="Arial" w:eastAsia="Times New Roman" w:hAnsi="Arial" w:cs="Arial"/>
                <w:i/>
                <w:sz w:val="24"/>
                <w:szCs w:val="24"/>
                <w:lang w:val="en-GB"/>
              </w:rPr>
              <w:t xml:space="preserve"> Grace City Investments</w:t>
            </w:r>
            <w:r w:rsidR="0048631F" w:rsidRPr="008E52C4">
              <w:rPr>
                <w:rFonts w:ascii="Arial" w:eastAsia="Times New Roman" w:hAnsi="Arial" w:cs="Arial"/>
                <w:i/>
                <w:sz w:val="24"/>
                <w:szCs w:val="24"/>
              </w:rPr>
              <w:t xml:space="preserve"> </w:t>
            </w:r>
            <w:r w:rsidR="004F60F0" w:rsidRPr="008E52C4">
              <w:rPr>
                <w:rFonts w:ascii="Arial" w:eastAsia="Times New Roman" w:hAnsi="Arial" w:cs="Arial"/>
                <w:i/>
                <w:sz w:val="24"/>
                <w:szCs w:val="24"/>
              </w:rPr>
              <w:t>CC</w:t>
            </w:r>
            <w:r w:rsidRPr="008E52C4">
              <w:rPr>
                <w:rFonts w:ascii="Arial" w:eastAsia="Times New Roman" w:hAnsi="Arial" w:cs="Arial"/>
                <w:sz w:val="24"/>
                <w:szCs w:val="24"/>
              </w:rPr>
              <w:t xml:space="preserve"> (HC-MD-CIV-</w:t>
            </w:r>
            <w:r w:rsidR="008E52C4">
              <w:rPr>
                <w:rFonts w:ascii="Arial" w:eastAsia="Times New Roman" w:hAnsi="Arial" w:cs="Arial"/>
                <w:sz w:val="24"/>
                <w:szCs w:val="24"/>
              </w:rPr>
              <w:t xml:space="preserve">                                                           </w:t>
            </w:r>
            <w:r w:rsidRPr="008E52C4">
              <w:rPr>
                <w:rFonts w:ascii="Arial" w:eastAsia="Times New Roman" w:hAnsi="Arial" w:cs="Arial"/>
                <w:sz w:val="24"/>
                <w:szCs w:val="24"/>
              </w:rPr>
              <w:t>ACT-</w:t>
            </w:r>
            <w:r w:rsidR="004F60F0" w:rsidRPr="008E52C4">
              <w:rPr>
                <w:rFonts w:ascii="Arial" w:eastAsia="Times New Roman" w:hAnsi="Arial" w:cs="Arial"/>
                <w:sz w:val="24"/>
                <w:szCs w:val="24"/>
              </w:rPr>
              <w:t>CON</w:t>
            </w:r>
            <w:r w:rsidRPr="008E52C4">
              <w:rPr>
                <w:rFonts w:ascii="Arial" w:eastAsia="Times New Roman" w:hAnsi="Arial" w:cs="Arial"/>
                <w:sz w:val="24"/>
                <w:szCs w:val="24"/>
              </w:rPr>
              <w:t>-</w:t>
            </w:r>
            <w:r w:rsidR="004F60F0" w:rsidRPr="008E52C4">
              <w:rPr>
                <w:rFonts w:ascii="Arial" w:eastAsia="Times New Roman" w:hAnsi="Arial" w:cs="Arial"/>
                <w:sz w:val="24"/>
                <w:szCs w:val="24"/>
              </w:rPr>
              <w:t>202</w:t>
            </w:r>
            <w:r w:rsidR="0048631F" w:rsidRPr="008E52C4">
              <w:rPr>
                <w:rFonts w:ascii="Arial" w:eastAsia="Times New Roman" w:hAnsi="Arial" w:cs="Arial"/>
                <w:sz w:val="24"/>
                <w:szCs w:val="24"/>
              </w:rPr>
              <w:t>3</w:t>
            </w:r>
            <w:r w:rsidRPr="008E52C4">
              <w:rPr>
                <w:rFonts w:ascii="Arial" w:eastAsia="Times New Roman" w:hAnsi="Arial" w:cs="Arial"/>
                <w:sz w:val="24"/>
                <w:szCs w:val="24"/>
              </w:rPr>
              <w:t>/</w:t>
            </w:r>
            <w:r w:rsidR="0048631F" w:rsidRPr="008E52C4">
              <w:rPr>
                <w:rFonts w:ascii="Arial" w:eastAsia="Times New Roman" w:hAnsi="Arial" w:cs="Arial"/>
                <w:sz w:val="24"/>
                <w:szCs w:val="24"/>
              </w:rPr>
              <w:t>00993</w:t>
            </w:r>
            <w:r w:rsidRPr="008E52C4">
              <w:rPr>
                <w:rFonts w:ascii="Arial" w:eastAsia="Times New Roman" w:hAnsi="Arial" w:cs="Arial"/>
                <w:sz w:val="24"/>
                <w:szCs w:val="24"/>
              </w:rPr>
              <w:t>) [</w:t>
            </w:r>
            <w:r w:rsidR="004F60F0" w:rsidRPr="008E52C4">
              <w:rPr>
                <w:rFonts w:ascii="Arial" w:eastAsia="Times New Roman" w:hAnsi="Arial" w:cs="Arial"/>
                <w:sz w:val="24"/>
                <w:szCs w:val="24"/>
              </w:rPr>
              <w:t>2023</w:t>
            </w:r>
            <w:r w:rsidRPr="008E52C4">
              <w:rPr>
                <w:rFonts w:ascii="Arial" w:eastAsia="Times New Roman" w:hAnsi="Arial" w:cs="Arial"/>
                <w:sz w:val="24"/>
                <w:szCs w:val="24"/>
              </w:rPr>
              <w:t xml:space="preserve">] NAHCMD </w:t>
            </w:r>
            <w:r w:rsidR="00B403FA">
              <w:rPr>
                <w:rFonts w:ascii="Arial" w:eastAsia="Times New Roman" w:hAnsi="Arial" w:cs="Arial"/>
                <w:sz w:val="24"/>
                <w:szCs w:val="24"/>
              </w:rPr>
              <w:t>421</w:t>
            </w:r>
            <w:r w:rsidRPr="008E52C4">
              <w:rPr>
                <w:rFonts w:ascii="Arial" w:eastAsia="Times New Roman" w:hAnsi="Arial" w:cs="Arial"/>
                <w:sz w:val="24"/>
                <w:szCs w:val="24"/>
              </w:rPr>
              <w:t xml:space="preserve"> (</w:t>
            </w:r>
            <w:r w:rsidR="0048631F" w:rsidRPr="008E52C4">
              <w:rPr>
                <w:rFonts w:ascii="Arial" w:eastAsia="Times New Roman" w:hAnsi="Arial" w:cs="Arial"/>
                <w:sz w:val="24"/>
                <w:szCs w:val="24"/>
              </w:rPr>
              <w:t xml:space="preserve">21 July </w:t>
            </w:r>
            <w:r w:rsidR="004F60F0" w:rsidRPr="008E52C4">
              <w:rPr>
                <w:rFonts w:ascii="Arial" w:eastAsia="Times New Roman" w:hAnsi="Arial" w:cs="Arial"/>
                <w:sz w:val="24"/>
                <w:szCs w:val="24"/>
              </w:rPr>
              <w:t>2023</w:t>
            </w:r>
            <w:r w:rsidRPr="008E52C4">
              <w:rPr>
                <w:rFonts w:ascii="Arial" w:eastAsia="Times New Roman" w:hAnsi="Arial" w:cs="Arial"/>
                <w:sz w:val="24"/>
                <w:szCs w:val="24"/>
              </w:rPr>
              <w:t>)</w:t>
            </w:r>
          </w:p>
        </w:tc>
      </w:tr>
      <w:tr w:rsidR="008E52C4" w:rsidRPr="008E52C4" w:rsidTr="00B1387A">
        <w:tc>
          <w:tcPr>
            <w:tcW w:w="9720" w:type="dxa"/>
            <w:gridSpan w:val="3"/>
          </w:tcPr>
          <w:p w:rsidR="00BE14C8" w:rsidRDefault="00FF6DBC" w:rsidP="00BE14C8">
            <w:pPr>
              <w:spacing w:before="240" w:line="360" w:lineRule="auto"/>
              <w:jc w:val="both"/>
              <w:rPr>
                <w:rFonts w:ascii="Arial" w:eastAsia="Calibri" w:hAnsi="Arial" w:cs="Arial"/>
                <w:b/>
                <w:sz w:val="24"/>
                <w:szCs w:val="24"/>
              </w:rPr>
            </w:pPr>
            <w:r w:rsidRPr="008E52C4">
              <w:rPr>
                <w:rFonts w:ascii="Arial" w:eastAsia="Calibri" w:hAnsi="Arial" w:cs="Arial"/>
                <w:b/>
                <w:sz w:val="24"/>
                <w:szCs w:val="24"/>
              </w:rPr>
              <w:t>The order:</w:t>
            </w:r>
          </w:p>
          <w:p w:rsidR="00657E16" w:rsidRPr="00BE14C8" w:rsidRDefault="004F60F0" w:rsidP="00BE14C8">
            <w:pPr>
              <w:pStyle w:val="ListParagraph"/>
              <w:numPr>
                <w:ilvl w:val="0"/>
                <w:numId w:val="30"/>
              </w:numPr>
              <w:spacing w:before="240" w:line="360" w:lineRule="auto"/>
              <w:jc w:val="both"/>
              <w:rPr>
                <w:rFonts w:ascii="Arial" w:eastAsia="Calibri" w:hAnsi="Arial" w:cs="Arial"/>
                <w:b/>
                <w:sz w:val="24"/>
                <w:szCs w:val="24"/>
              </w:rPr>
            </w:pPr>
            <w:r w:rsidRPr="00BE14C8">
              <w:rPr>
                <w:rFonts w:ascii="Arial" w:eastAsia="Calibri" w:hAnsi="Arial" w:cs="Arial"/>
                <w:sz w:val="24"/>
                <w:szCs w:val="24"/>
              </w:rPr>
              <w:t>The application f</w:t>
            </w:r>
            <w:r w:rsidR="0048631F" w:rsidRPr="00BE14C8">
              <w:rPr>
                <w:rFonts w:ascii="Arial" w:eastAsia="Calibri" w:hAnsi="Arial" w:cs="Arial"/>
                <w:sz w:val="24"/>
                <w:szCs w:val="24"/>
              </w:rPr>
              <w:t>or summary judgment is</w:t>
            </w:r>
            <w:r w:rsidR="008649D7" w:rsidRPr="00BE14C8">
              <w:rPr>
                <w:rFonts w:ascii="Arial" w:eastAsia="Calibri" w:hAnsi="Arial" w:cs="Arial"/>
                <w:sz w:val="24"/>
                <w:szCs w:val="24"/>
              </w:rPr>
              <w:t xml:space="preserve"> granted in the following terms:</w:t>
            </w:r>
          </w:p>
          <w:p w:rsidR="00BE14C8" w:rsidRPr="00BE14C8" w:rsidRDefault="00BE14C8" w:rsidP="00BE14C8">
            <w:pPr>
              <w:pStyle w:val="ListParagraph"/>
              <w:spacing w:before="240" w:line="360" w:lineRule="auto"/>
              <w:jc w:val="both"/>
              <w:rPr>
                <w:rFonts w:ascii="Arial" w:eastAsia="Calibri" w:hAnsi="Arial" w:cs="Arial"/>
                <w:b/>
                <w:sz w:val="24"/>
                <w:szCs w:val="24"/>
              </w:rPr>
            </w:pPr>
          </w:p>
          <w:p w:rsidR="008649D7" w:rsidRPr="008E52C4" w:rsidRDefault="008649D7" w:rsidP="008E52C4">
            <w:pPr>
              <w:pStyle w:val="ListParagraph"/>
              <w:spacing w:line="360" w:lineRule="auto"/>
              <w:ind w:left="1080" w:hanging="378"/>
              <w:jc w:val="both"/>
              <w:rPr>
                <w:rFonts w:ascii="Arial" w:eastAsia="Calibri" w:hAnsi="Arial" w:cs="Arial"/>
                <w:sz w:val="24"/>
                <w:szCs w:val="24"/>
              </w:rPr>
            </w:pPr>
            <w:r w:rsidRPr="008E52C4">
              <w:rPr>
                <w:rFonts w:ascii="Arial" w:eastAsia="Calibri" w:hAnsi="Arial" w:cs="Arial"/>
                <w:sz w:val="24"/>
                <w:szCs w:val="24"/>
              </w:rPr>
              <w:t>Claim 1:</w:t>
            </w:r>
          </w:p>
          <w:p w:rsidR="007F3560" w:rsidRDefault="005B0AEC" w:rsidP="007F3560">
            <w:pPr>
              <w:pStyle w:val="ListParagraph"/>
              <w:numPr>
                <w:ilvl w:val="1"/>
                <w:numId w:val="23"/>
              </w:numPr>
              <w:spacing w:line="360" w:lineRule="auto"/>
              <w:jc w:val="both"/>
              <w:rPr>
                <w:rFonts w:ascii="Arial" w:eastAsia="Calibri" w:hAnsi="Arial" w:cs="Arial"/>
                <w:sz w:val="24"/>
                <w:szCs w:val="24"/>
              </w:rPr>
            </w:pPr>
            <w:r w:rsidRPr="007F3560">
              <w:rPr>
                <w:rFonts w:ascii="Arial" w:eastAsia="Calibri" w:hAnsi="Arial" w:cs="Arial"/>
                <w:sz w:val="24"/>
                <w:szCs w:val="24"/>
              </w:rPr>
              <w:t>Payment in the amount of N$2 775 646.82</w:t>
            </w:r>
            <w:r w:rsidR="00FA1BCE" w:rsidRPr="007F3560">
              <w:rPr>
                <w:rFonts w:ascii="Arial" w:eastAsia="Calibri" w:hAnsi="Arial" w:cs="Arial"/>
                <w:sz w:val="24"/>
                <w:szCs w:val="24"/>
              </w:rPr>
              <w:t>;</w:t>
            </w:r>
          </w:p>
          <w:p w:rsidR="00236628" w:rsidRDefault="005B0AEC" w:rsidP="00236628">
            <w:pPr>
              <w:pStyle w:val="ListParagraph"/>
              <w:numPr>
                <w:ilvl w:val="1"/>
                <w:numId w:val="23"/>
              </w:numPr>
              <w:spacing w:line="360" w:lineRule="auto"/>
              <w:jc w:val="both"/>
              <w:rPr>
                <w:rFonts w:ascii="Arial" w:eastAsia="Calibri" w:hAnsi="Arial" w:cs="Arial"/>
                <w:sz w:val="24"/>
                <w:szCs w:val="24"/>
              </w:rPr>
            </w:pPr>
            <w:r w:rsidRPr="007F3560">
              <w:rPr>
                <w:rFonts w:ascii="Arial" w:eastAsia="Calibri" w:hAnsi="Arial" w:cs="Arial"/>
                <w:sz w:val="24"/>
                <w:szCs w:val="24"/>
              </w:rPr>
              <w:lastRenderedPageBreak/>
              <w:t>Compound interest</w:t>
            </w:r>
            <w:r w:rsidR="008649D7" w:rsidRPr="007F3560">
              <w:rPr>
                <w:rFonts w:ascii="Arial" w:eastAsia="Calibri" w:hAnsi="Arial" w:cs="Arial"/>
                <w:sz w:val="24"/>
                <w:szCs w:val="24"/>
              </w:rPr>
              <w:t xml:space="preserve"> calculated daily and capitalised monthly at plaintiff’s prime lending rate of interest from time to time, currently 10.5% plus 1.5% per year calculated from 8 Februar</w:t>
            </w:r>
            <w:r w:rsidR="00FA1BCE" w:rsidRPr="007F3560">
              <w:rPr>
                <w:rFonts w:ascii="Arial" w:eastAsia="Calibri" w:hAnsi="Arial" w:cs="Arial"/>
                <w:sz w:val="24"/>
                <w:szCs w:val="24"/>
              </w:rPr>
              <w:t xml:space="preserve">y 2023 to date of final payment; </w:t>
            </w:r>
          </w:p>
          <w:p w:rsidR="00C43A9E" w:rsidRPr="00236628" w:rsidRDefault="00C43A9E" w:rsidP="00236628">
            <w:pPr>
              <w:pStyle w:val="ListParagraph"/>
              <w:numPr>
                <w:ilvl w:val="1"/>
                <w:numId w:val="23"/>
              </w:numPr>
              <w:spacing w:line="360" w:lineRule="auto"/>
              <w:jc w:val="both"/>
              <w:rPr>
                <w:rFonts w:ascii="Arial" w:eastAsia="Calibri" w:hAnsi="Arial" w:cs="Arial"/>
                <w:sz w:val="24"/>
                <w:szCs w:val="24"/>
              </w:rPr>
            </w:pPr>
            <w:r w:rsidRPr="00236628">
              <w:rPr>
                <w:rFonts w:ascii="Arial" w:eastAsia="Calibri" w:hAnsi="Arial" w:cs="Arial"/>
                <w:sz w:val="24"/>
                <w:szCs w:val="24"/>
              </w:rPr>
              <w:t>Cost of suit on scale as between attorney and own client as agreed.</w:t>
            </w:r>
          </w:p>
          <w:p w:rsidR="00C43A9E" w:rsidRPr="00C43A9E" w:rsidRDefault="00C43A9E" w:rsidP="00C43A9E">
            <w:pPr>
              <w:spacing w:line="360" w:lineRule="auto"/>
              <w:ind w:left="1080"/>
              <w:contextualSpacing/>
              <w:jc w:val="both"/>
              <w:rPr>
                <w:rFonts w:ascii="Arial" w:eastAsia="Calibri" w:hAnsi="Arial" w:cs="Arial"/>
                <w:sz w:val="24"/>
                <w:szCs w:val="24"/>
              </w:rPr>
            </w:pPr>
          </w:p>
          <w:p w:rsidR="008649D7" w:rsidRPr="008E52C4" w:rsidRDefault="00BE14C8" w:rsidP="00BE14C8">
            <w:pPr>
              <w:pStyle w:val="ListParagraph"/>
              <w:spacing w:line="360" w:lineRule="auto"/>
              <w:ind w:left="18"/>
              <w:jc w:val="both"/>
              <w:rPr>
                <w:rFonts w:ascii="Arial" w:eastAsia="Calibri" w:hAnsi="Arial" w:cs="Arial"/>
                <w:sz w:val="24"/>
                <w:szCs w:val="24"/>
              </w:rPr>
            </w:pPr>
            <w:r>
              <w:rPr>
                <w:rFonts w:ascii="Arial" w:eastAsia="Calibri" w:hAnsi="Arial" w:cs="Arial"/>
                <w:sz w:val="24"/>
                <w:szCs w:val="24"/>
              </w:rPr>
              <w:tab/>
            </w:r>
            <w:r w:rsidR="008649D7" w:rsidRPr="008E52C4">
              <w:rPr>
                <w:rFonts w:ascii="Arial" w:eastAsia="Calibri" w:hAnsi="Arial" w:cs="Arial"/>
                <w:sz w:val="24"/>
                <w:szCs w:val="24"/>
              </w:rPr>
              <w:t>Claim 2:</w:t>
            </w:r>
          </w:p>
          <w:p w:rsidR="00236628" w:rsidRDefault="008649D7" w:rsidP="00236628">
            <w:pPr>
              <w:pStyle w:val="ListParagraph"/>
              <w:numPr>
                <w:ilvl w:val="1"/>
                <w:numId w:val="23"/>
              </w:numPr>
              <w:spacing w:line="360" w:lineRule="auto"/>
              <w:jc w:val="both"/>
              <w:rPr>
                <w:rFonts w:ascii="Arial" w:eastAsia="Calibri" w:hAnsi="Arial" w:cs="Arial"/>
                <w:sz w:val="24"/>
                <w:szCs w:val="24"/>
              </w:rPr>
            </w:pPr>
            <w:r w:rsidRPr="00236628">
              <w:rPr>
                <w:rFonts w:ascii="Arial" w:eastAsia="Calibri" w:hAnsi="Arial" w:cs="Arial"/>
                <w:sz w:val="24"/>
                <w:szCs w:val="24"/>
              </w:rPr>
              <w:t xml:space="preserve">Payment in the amount of </w:t>
            </w:r>
            <w:r w:rsidR="00B634E2" w:rsidRPr="00236628">
              <w:rPr>
                <w:rFonts w:ascii="Arial" w:eastAsia="Calibri" w:hAnsi="Arial" w:cs="Arial"/>
                <w:sz w:val="24"/>
                <w:szCs w:val="24"/>
              </w:rPr>
              <w:t>N$1 889 629.31</w:t>
            </w:r>
            <w:r w:rsidR="00FA1BCE" w:rsidRPr="00236628">
              <w:rPr>
                <w:rFonts w:ascii="Arial" w:eastAsia="Calibri" w:hAnsi="Arial" w:cs="Arial"/>
                <w:sz w:val="24"/>
                <w:szCs w:val="24"/>
              </w:rPr>
              <w:t>;</w:t>
            </w:r>
          </w:p>
          <w:p w:rsidR="00236628" w:rsidRDefault="008649D7" w:rsidP="00236628">
            <w:pPr>
              <w:pStyle w:val="ListParagraph"/>
              <w:numPr>
                <w:ilvl w:val="1"/>
                <w:numId w:val="23"/>
              </w:numPr>
              <w:spacing w:line="360" w:lineRule="auto"/>
              <w:jc w:val="both"/>
              <w:rPr>
                <w:rFonts w:ascii="Arial" w:eastAsia="Calibri" w:hAnsi="Arial" w:cs="Arial"/>
                <w:sz w:val="24"/>
                <w:szCs w:val="24"/>
              </w:rPr>
            </w:pPr>
            <w:r w:rsidRPr="00236628">
              <w:rPr>
                <w:rFonts w:ascii="Arial" w:eastAsia="Calibri" w:hAnsi="Arial" w:cs="Arial"/>
                <w:sz w:val="24"/>
                <w:szCs w:val="24"/>
              </w:rPr>
              <w:t>Compound interest calculated daily and capitalised monthly at plaintiff’s prime lending rate of interest from time to time, currently 10.5% plus 1.5% per year calculated from 8 Februar</w:t>
            </w:r>
            <w:r w:rsidR="00FA1BCE" w:rsidRPr="00236628">
              <w:rPr>
                <w:rFonts w:ascii="Arial" w:eastAsia="Calibri" w:hAnsi="Arial" w:cs="Arial"/>
                <w:sz w:val="24"/>
                <w:szCs w:val="24"/>
              </w:rPr>
              <w:t>y 2023 to date of final payment;</w:t>
            </w:r>
          </w:p>
          <w:p w:rsidR="00236628" w:rsidRDefault="00C43A9E" w:rsidP="00236628">
            <w:pPr>
              <w:pStyle w:val="ListParagraph"/>
              <w:numPr>
                <w:ilvl w:val="1"/>
                <w:numId w:val="23"/>
              </w:numPr>
              <w:spacing w:line="360" w:lineRule="auto"/>
              <w:jc w:val="both"/>
              <w:rPr>
                <w:rFonts w:ascii="Arial" w:eastAsia="Calibri" w:hAnsi="Arial" w:cs="Arial"/>
                <w:sz w:val="24"/>
                <w:szCs w:val="24"/>
              </w:rPr>
            </w:pPr>
            <w:r w:rsidRPr="00236628">
              <w:rPr>
                <w:rFonts w:ascii="Arial" w:eastAsia="Calibri" w:hAnsi="Arial" w:cs="Arial"/>
                <w:sz w:val="24"/>
                <w:szCs w:val="24"/>
              </w:rPr>
              <w:t>Cost of suit on scale as between attorney and own client as agreed.</w:t>
            </w:r>
          </w:p>
          <w:p w:rsidR="00BE14C8" w:rsidRDefault="00BE14C8" w:rsidP="00BE14C8">
            <w:pPr>
              <w:spacing w:line="360" w:lineRule="auto"/>
              <w:jc w:val="both"/>
              <w:rPr>
                <w:rFonts w:ascii="Arial" w:eastAsia="Calibri" w:hAnsi="Arial" w:cs="Arial"/>
                <w:sz w:val="24"/>
                <w:szCs w:val="24"/>
              </w:rPr>
            </w:pPr>
          </w:p>
          <w:p w:rsidR="00C43A9E" w:rsidRDefault="00FA1BCE" w:rsidP="00BE14C8">
            <w:pPr>
              <w:pStyle w:val="ListParagraph"/>
              <w:numPr>
                <w:ilvl w:val="0"/>
                <w:numId w:val="23"/>
              </w:numPr>
              <w:spacing w:line="360" w:lineRule="auto"/>
              <w:ind w:left="588" w:hanging="284"/>
              <w:jc w:val="both"/>
              <w:rPr>
                <w:rFonts w:ascii="Arial" w:eastAsia="Calibri" w:hAnsi="Arial" w:cs="Arial"/>
                <w:sz w:val="24"/>
                <w:szCs w:val="24"/>
              </w:rPr>
            </w:pPr>
            <w:r w:rsidRPr="00BE14C8">
              <w:rPr>
                <w:rFonts w:ascii="Arial" w:eastAsia="Calibri" w:hAnsi="Arial" w:cs="Arial"/>
                <w:sz w:val="24"/>
                <w:szCs w:val="24"/>
              </w:rPr>
              <w:t>The application to declare the</w:t>
            </w:r>
            <w:r w:rsidR="00C43A9E" w:rsidRPr="00BE14C8">
              <w:rPr>
                <w:rFonts w:ascii="Arial" w:eastAsia="Calibri" w:hAnsi="Arial" w:cs="Arial"/>
                <w:sz w:val="24"/>
                <w:szCs w:val="24"/>
              </w:rPr>
              <w:t xml:space="preserve"> property as per the notice of motion executable is refused with costs</w:t>
            </w:r>
            <w:r w:rsidR="00236628" w:rsidRPr="00BE14C8">
              <w:rPr>
                <w:rFonts w:ascii="Arial" w:eastAsia="Calibri" w:hAnsi="Arial" w:cs="Arial"/>
                <w:sz w:val="24"/>
                <w:szCs w:val="24"/>
              </w:rPr>
              <w:t>.</w:t>
            </w:r>
          </w:p>
          <w:p w:rsidR="00BE14C8" w:rsidRPr="00BE14C8" w:rsidRDefault="00BE14C8" w:rsidP="00BE14C8">
            <w:pPr>
              <w:pStyle w:val="ListParagraph"/>
              <w:numPr>
                <w:ilvl w:val="0"/>
                <w:numId w:val="23"/>
              </w:numPr>
              <w:spacing w:line="360" w:lineRule="auto"/>
              <w:ind w:left="588" w:hanging="284"/>
              <w:jc w:val="both"/>
              <w:rPr>
                <w:rFonts w:ascii="Arial" w:eastAsia="Calibri" w:hAnsi="Arial" w:cs="Arial"/>
                <w:sz w:val="24"/>
                <w:szCs w:val="24"/>
              </w:rPr>
            </w:pPr>
            <w:r>
              <w:rPr>
                <w:rFonts w:ascii="Arial" w:eastAsia="Calibri" w:hAnsi="Arial" w:cs="Arial"/>
                <w:sz w:val="24"/>
                <w:szCs w:val="24"/>
              </w:rPr>
              <w:t>The matter is removed from the roll and regarded as finalised.</w:t>
            </w:r>
          </w:p>
          <w:p w:rsidR="00FF6DBC" w:rsidRPr="00C43A9E" w:rsidRDefault="00FF6DBC" w:rsidP="00C43A9E">
            <w:pPr>
              <w:spacing w:line="360" w:lineRule="auto"/>
              <w:ind w:left="1062"/>
              <w:contextualSpacing/>
              <w:jc w:val="both"/>
              <w:rPr>
                <w:rFonts w:ascii="Arial" w:eastAsia="Calibri" w:hAnsi="Arial" w:cs="Arial"/>
                <w:sz w:val="24"/>
                <w:szCs w:val="24"/>
              </w:rPr>
            </w:pPr>
          </w:p>
        </w:tc>
      </w:tr>
      <w:tr w:rsidR="008E52C4" w:rsidRPr="008E52C4" w:rsidTr="00B1387A">
        <w:tc>
          <w:tcPr>
            <w:tcW w:w="9720" w:type="dxa"/>
            <w:gridSpan w:val="3"/>
          </w:tcPr>
          <w:p w:rsidR="00FF6DBC" w:rsidRPr="008E52C4" w:rsidRDefault="00FF6DBC" w:rsidP="004F60F0">
            <w:pPr>
              <w:spacing w:before="240" w:line="360" w:lineRule="auto"/>
              <w:jc w:val="both"/>
              <w:rPr>
                <w:rFonts w:ascii="Arial" w:eastAsia="Calibri" w:hAnsi="Arial" w:cs="Arial"/>
                <w:b/>
                <w:sz w:val="24"/>
                <w:szCs w:val="24"/>
              </w:rPr>
            </w:pPr>
            <w:r w:rsidRPr="008E52C4">
              <w:rPr>
                <w:rFonts w:ascii="Arial" w:eastAsia="Calibri" w:hAnsi="Arial" w:cs="Arial"/>
                <w:b/>
                <w:sz w:val="24"/>
                <w:szCs w:val="24"/>
              </w:rPr>
              <w:lastRenderedPageBreak/>
              <w:t>Reasons for orders:</w:t>
            </w:r>
          </w:p>
        </w:tc>
      </w:tr>
      <w:tr w:rsidR="008E52C4" w:rsidRPr="008E52C4" w:rsidTr="00B1387A">
        <w:tc>
          <w:tcPr>
            <w:tcW w:w="9720" w:type="dxa"/>
            <w:gridSpan w:val="3"/>
          </w:tcPr>
          <w:p w:rsidR="00BD61FA" w:rsidRPr="008E52C4" w:rsidRDefault="00870166" w:rsidP="00C6012B">
            <w:pPr>
              <w:spacing w:before="240"/>
              <w:jc w:val="both"/>
              <w:rPr>
                <w:rFonts w:ascii="Arial" w:eastAsia="Calibri" w:hAnsi="Arial" w:cs="Arial"/>
                <w:sz w:val="24"/>
                <w:szCs w:val="24"/>
                <w:u w:val="single"/>
              </w:rPr>
            </w:pPr>
            <w:r w:rsidRPr="008E52C4">
              <w:rPr>
                <w:rFonts w:ascii="Arial" w:eastAsia="Calibri" w:hAnsi="Arial" w:cs="Arial"/>
                <w:sz w:val="24"/>
                <w:szCs w:val="24"/>
                <w:u w:val="single"/>
              </w:rPr>
              <w:t>Introduction</w:t>
            </w:r>
          </w:p>
          <w:p w:rsidR="009227BF" w:rsidRPr="008E52C4" w:rsidRDefault="009227BF" w:rsidP="009227BF">
            <w:pPr>
              <w:jc w:val="both"/>
              <w:rPr>
                <w:rFonts w:ascii="Arial" w:eastAsia="Calibri" w:hAnsi="Arial" w:cs="Arial"/>
                <w:sz w:val="24"/>
                <w:szCs w:val="24"/>
                <w:u w:val="single"/>
              </w:rPr>
            </w:pPr>
          </w:p>
          <w:p w:rsidR="00236628" w:rsidRDefault="00A943C2" w:rsidP="00236628">
            <w:pPr>
              <w:pStyle w:val="ListParagraph"/>
              <w:numPr>
                <w:ilvl w:val="0"/>
                <w:numId w:val="27"/>
              </w:numPr>
              <w:spacing w:before="240" w:line="360" w:lineRule="auto"/>
              <w:ind w:left="0" w:firstLine="0"/>
              <w:contextualSpacing w:val="0"/>
              <w:jc w:val="both"/>
              <w:rPr>
                <w:rFonts w:ascii="Arial" w:eastAsia="Calibri" w:hAnsi="Arial" w:cs="Arial"/>
                <w:sz w:val="24"/>
                <w:szCs w:val="24"/>
              </w:rPr>
            </w:pPr>
            <w:r w:rsidRPr="008E52C4">
              <w:rPr>
                <w:rFonts w:ascii="Arial" w:eastAsia="Calibri" w:hAnsi="Arial" w:cs="Arial"/>
                <w:sz w:val="24"/>
                <w:szCs w:val="24"/>
              </w:rPr>
              <w:t>This is an ap</w:t>
            </w:r>
            <w:r w:rsidR="00AF54CB" w:rsidRPr="008E52C4">
              <w:rPr>
                <w:rFonts w:ascii="Arial" w:eastAsia="Calibri" w:hAnsi="Arial" w:cs="Arial"/>
                <w:sz w:val="24"/>
                <w:szCs w:val="24"/>
              </w:rPr>
              <w:t>plication for summary judgment for two claims as well as an order authorising the Registrar to issue a warrant of execution against certain immovable</w:t>
            </w:r>
            <w:r w:rsidR="00362D2B" w:rsidRPr="008E52C4">
              <w:rPr>
                <w:rFonts w:ascii="Arial" w:eastAsia="Calibri" w:hAnsi="Arial" w:cs="Arial"/>
                <w:sz w:val="24"/>
                <w:szCs w:val="24"/>
              </w:rPr>
              <w:t xml:space="preserve"> property.</w:t>
            </w:r>
            <w:r w:rsidR="00AF54CB" w:rsidRPr="008E52C4">
              <w:rPr>
                <w:rFonts w:ascii="Arial" w:eastAsia="Calibri" w:hAnsi="Arial" w:cs="Arial"/>
                <w:sz w:val="24"/>
                <w:szCs w:val="24"/>
              </w:rPr>
              <w:t xml:space="preserve"> </w:t>
            </w:r>
          </w:p>
          <w:p w:rsidR="00236628" w:rsidRDefault="00A943C2" w:rsidP="00236628">
            <w:pPr>
              <w:pStyle w:val="ListParagraph"/>
              <w:numPr>
                <w:ilvl w:val="0"/>
                <w:numId w:val="27"/>
              </w:numPr>
              <w:spacing w:before="240" w:line="360" w:lineRule="auto"/>
              <w:ind w:left="0" w:firstLine="0"/>
              <w:contextualSpacing w:val="0"/>
              <w:jc w:val="both"/>
              <w:rPr>
                <w:rFonts w:ascii="Arial" w:eastAsia="Calibri" w:hAnsi="Arial" w:cs="Arial"/>
                <w:sz w:val="24"/>
                <w:szCs w:val="24"/>
              </w:rPr>
            </w:pPr>
            <w:r w:rsidRPr="00236628">
              <w:rPr>
                <w:rFonts w:ascii="Arial" w:eastAsia="Calibri" w:hAnsi="Arial" w:cs="Arial"/>
                <w:sz w:val="24"/>
                <w:szCs w:val="24"/>
              </w:rPr>
              <w:t xml:space="preserve">The </w:t>
            </w:r>
            <w:r w:rsidR="005B0AEC" w:rsidRPr="00236628">
              <w:rPr>
                <w:rFonts w:ascii="Arial" w:eastAsia="Calibri" w:hAnsi="Arial" w:cs="Arial"/>
                <w:sz w:val="24"/>
                <w:szCs w:val="24"/>
              </w:rPr>
              <w:t xml:space="preserve">claims are based on breach of contract for two loan agreements concluded between the plaintiff and the first defendant. </w:t>
            </w:r>
            <w:r w:rsidR="001C0342" w:rsidRPr="00236628">
              <w:rPr>
                <w:rFonts w:ascii="Arial" w:eastAsia="Calibri" w:hAnsi="Arial" w:cs="Arial"/>
                <w:sz w:val="24"/>
                <w:szCs w:val="24"/>
              </w:rPr>
              <w:t>F</w:t>
            </w:r>
            <w:r w:rsidRPr="00236628">
              <w:rPr>
                <w:rFonts w:ascii="Arial" w:eastAsia="Calibri" w:hAnsi="Arial" w:cs="Arial"/>
                <w:sz w:val="24"/>
                <w:szCs w:val="24"/>
              </w:rPr>
              <w:t>irstly</w:t>
            </w:r>
            <w:r w:rsidR="00AF54CB" w:rsidRPr="00236628">
              <w:rPr>
                <w:rFonts w:ascii="Arial" w:eastAsia="Calibri" w:hAnsi="Arial" w:cs="Arial"/>
                <w:sz w:val="24"/>
                <w:szCs w:val="24"/>
              </w:rPr>
              <w:t>,</w:t>
            </w:r>
            <w:r w:rsidRPr="00236628">
              <w:rPr>
                <w:rFonts w:ascii="Arial" w:eastAsia="Calibri" w:hAnsi="Arial" w:cs="Arial"/>
                <w:sz w:val="24"/>
                <w:szCs w:val="24"/>
              </w:rPr>
              <w:t xml:space="preserve"> a written loan agreement </w:t>
            </w:r>
            <w:r w:rsidR="008E52C4" w:rsidRPr="00236628">
              <w:rPr>
                <w:rFonts w:ascii="Arial" w:eastAsia="Calibri" w:hAnsi="Arial" w:cs="Arial"/>
                <w:sz w:val="24"/>
                <w:szCs w:val="24"/>
              </w:rPr>
              <w:t xml:space="preserve">which was </w:t>
            </w:r>
            <w:r w:rsidRPr="00236628">
              <w:rPr>
                <w:rFonts w:ascii="Arial" w:eastAsia="Calibri" w:hAnsi="Arial" w:cs="Arial"/>
                <w:sz w:val="24"/>
                <w:szCs w:val="24"/>
              </w:rPr>
              <w:t xml:space="preserve">entered into </w:t>
            </w:r>
            <w:r w:rsidR="001C0342" w:rsidRPr="00236628">
              <w:rPr>
                <w:rFonts w:ascii="Arial" w:eastAsia="Calibri" w:hAnsi="Arial" w:cs="Arial"/>
                <w:sz w:val="24"/>
                <w:szCs w:val="24"/>
              </w:rPr>
              <w:t>for the amount of N$2 700 000 and secondly</w:t>
            </w:r>
            <w:r w:rsidR="00AF54CB" w:rsidRPr="00236628">
              <w:rPr>
                <w:rFonts w:ascii="Arial" w:eastAsia="Calibri" w:hAnsi="Arial" w:cs="Arial"/>
                <w:sz w:val="24"/>
                <w:szCs w:val="24"/>
              </w:rPr>
              <w:t>,</w:t>
            </w:r>
            <w:r w:rsidR="001C0342" w:rsidRPr="00236628">
              <w:rPr>
                <w:rFonts w:ascii="Arial" w:eastAsia="Calibri" w:hAnsi="Arial" w:cs="Arial"/>
                <w:sz w:val="24"/>
                <w:szCs w:val="24"/>
              </w:rPr>
              <w:t xml:space="preserve"> a written mortgage loan for the amo</w:t>
            </w:r>
            <w:r w:rsidR="00236628" w:rsidRPr="00236628">
              <w:rPr>
                <w:rFonts w:ascii="Arial" w:eastAsia="Calibri" w:hAnsi="Arial" w:cs="Arial"/>
                <w:sz w:val="24"/>
                <w:szCs w:val="24"/>
              </w:rPr>
              <w:t>unt of N$</w:t>
            </w:r>
            <w:r w:rsidR="001C0342" w:rsidRPr="00236628">
              <w:rPr>
                <w:rFonts w:ascii="Arial" w:eastAsia="Calibri" w:hAnsi="Arial" w:cs="Arial"/>
                <w:sz w:val="24"/>
                <w:szCs w:val="24"/>
              </w:rPr>
              <w:t>1 800 000. The secon</w:t>
            </w:r>
            <w:r w:rsidR="00D523EB" w:rsidRPr="00236628">
              <w:rPr>
                <w:rFonts w:ascii="Arial" w:eastAsia="Calibri" w:hAnsi="Arial" w:cs="Arial"/>
                <w:sz w:val="24"/>
                <w:szCs w:val="24"/>
              </w:rPr>
              <w:t>d, t</w:t>
            </w:r>
            <w:r w:rsidR="005B0AEC" w:rsidRPr="00236628">
              <w:rPr>
                <w:rFonts w:ascii="Arial" w:eastAsia="Calibri" w:hAnsi="Arial" w:cs="Arial"/>
                <w:sz w:val="24"/>
                <w:szCs w:val="24"/>
              </w:rPr>
              <w:t>hird and fourth defendants</w:t>
            </w:r>
            <w:r w:rsidR="00D523EB" w:rsidRPr="00236628">
              <w:rPr>
                <w:rFonts w:ascii="Arial" w:eastAsia="Calibri" w:hAnsi="Arial" w:cs="Arial"/>
                <w:sz w:val="24"/>
                <w:szCs w:val="24"/>
              </w:rPr>
              <w:t xml:space="preserve"> </w:t>
            </w:r>
            <w:r w:rsidR="005B0AEC" w:rsidRPr="00236628">
              <w:rPr>
                <w:rFonts w:ascii="Arial" w:eastAsia="Calibri" w:hAnsi="Arial" w:cs="Arial"/>
                <w:sz w:val="24"/>
                <w:szCs w:val="24"/>
              </w:rPr>
              <w:t xml:space="preserve">respectively </w:t>
            </w:r>
            <w:r w:rsidR="00D523EB" w:rsidRPr="00236628">
              <w:rPr>
                <w:rFonts w:ascii="Arial" w:eastAsia="Calibri" w:hAnsi="Arial" w:cs="Arial"/>
                <w:sz w:val="24"/>
                <w:szCs w:val="24"/>
              </w:rPr>
              <w:t>concluded suretyship contracts wherein they bound themselves for the debt</w:t>
            </w:r>
            <w:r w:rsidR="00236628" w:rsidRPr="00236628">
              <w:rPr>
                <w:rFonts w:ascii="Arial" w:eastAsia="Calibri" w:hAnsi="Arial" w:cs="Arial"/>
                <w:sz w:val="24"/>
                <w:szCs w:val="24"/>
              </w:rPr>
              <w:t>s</w:t>
            </w:r>
            <w:r w:rsidR="00D523EB" w:rsidRPr="00236628">
              <w:rPr>
                <w:rFonts w:ascii="Arial" w:eastAsia="Calibri" w:hAnsi="Arial" w:cs="Arial"/>
                <w:sz w:val="24"/>
                <w:szCs w:val="24"/>
              </w:rPr>
              <w:t xml:space="preserve"> o</w:t>
            </w:r>
            <w:r w:rsidR="00AF54CB" w:rsidRPr="00236628">
              <w:rPr>
                <w:rFonts w:ascii="Arial" w:eastAsia="Calibri" w:hAnsi="Arial" w:cs="Arial"/>
                <w:sz w:val="24"/>
                <w:szCs w:val="24"/>
              </w:rPr>
              <w:t>f the first defendant. T</w:t>
            </w:r>
            <w:r w:rsidR="00D523EB" w:rsidRPr="00236628">
              <w:rPr>
                <w:rFonts w:ascii="Arial" w:eastAsia="Calibri" w:hAnsi="Arial" w:cs="Arial"/>
                <w:sz w:val="24"/>
                <w:szCs w:val="24"/>
              </w:rPr>
              <w:t xml:space="preserve">he first defendant defaulted on the loan repayments as </w:t>
            </w:r>
            <w:r w:rsidR="008E52C4" w:rsidRPr="00236628">
              <w:rPr>
                <w:rFonts w:ascii="Arial" w:eastAsia="Calibri" w:hAnsi="Arial" w:cs="Arial"/>
                <w:sz w:val="24"/>
                <w:szCs w:val="24"/>
              </w:rPr>
              <w:t>from</w:t>
            </w:r>
            <w:r w:rsidR="00D523EB" w:rsidRPr="00236628">
              <w:rPr>
                <w:rFonts w:ascii="Arial" w:eastAsia="Calibri" w:hAnsi="Arial" w:cs="Arial"/>
                <w:sz w:val="24"/>
                <w:szCs w:val="24"/>
              </w:rPr>
              <w:t xml:space="preserve"> October 2022 where</w:t>
            </w:r>
            <w:r w:rsidR="00AF54CB" w:rsidRPr="00236628">
              <w:rPr>
                <w:rFonts w:ascii="Arial" w:eastAsia="Calibri" w:hAnsi="Arial" w:cs="Arial"/>
                <w:sz w:val="24"/>
                <w:szCs w:val="24"/>
              </w:rPr>
              <w:t xml:space="preserve"> </w:t>
            </w:r>
            <w:r w:rsidR="00D523EB" w:rsidRPr="00236628">
              <w:rPr>
                <w:rFonts w:ascii="Arial" w:eastAsia="Calibri" w:hAnsi="Arial" w:cs="Arial"/>
                <w:sz w:val="24"/>
                <w:szCs w:val="24"/>
              </w:rPr>
              <w:t xml:space="preserve">after the </w:t>
            </w:r>
            <w:r w:rsidR="005B0AEC" w:rsidRPr="00236628">
              <w:rPr>
                <w:rFonts w:ascii="Arial" w:eastAsia="Calibri" w:hAnsi="Arial" w:cs="Arial"/>
                <w:sz w:val="24"/>
                <w:szCs w:val="24"/>
              </w:rPr>
              <w:t xml:space="preserve">plaintiff </w:t>
            </w:r>
            <w:r w:rsidR="0020215F" w:rsidRPr="00236628">
              <w:rPr>
                <w:rFonts w:ascii="Arial" w:eastAsia="Calibri" w:hAnsi="Arial" w:cs="Arial"/>
                <w:sz w:val="24"/>
                <w:szCs w:val="24"/>
              </w:rPr>
              <w:t>issued summons for tha</w:t>
            </w:r>
            <w:r w:rsidR="005B0AEC" w:rsidRPr="00236628">
              <w:rPr>
                <w:rFonts w:ascii="Arial" w:eastAsia="Calibri" w:hAnsi="Arial" w:cs="Arial"/>
                <w:sz w:val="24"/>
                <w:szCs w:val="24"/>
              </w:rPr>
              <w:t xml:space="preserve">t. </w:t>
            </w:r>
          </w:p>
          <w:p w:rsidR="00B634E2" w:rsidRPr="00236628" w:rsidRDefault="00B634E2" w:rsidP="00236628">
            <w:pPr>
              <w:pStyle w:val="ListParagraph"/>
              <w:numPr>
                <w:ilvl w:val="0"/>
                <w:numId w:val="27"/>
              </w:numPr>
              <w:spacing w:before="240" w:line="360" w:lineRule="auto"/>
              <w:ind w:left="0" w:firstLine="0"/>
              <w:contextualSpacing w:val="0"/>
              <w:jc w:val="both"/>
              <w:rPr>
                <w:rFonts w:ascii="Arial" w:eastAsia="Calibri" w:hAnsi="Arial" w:cs="Arial"/>
                <w:sz w:val="24"/>
                <w:szCs w:val="24"/>
              </w:rPr>
            </w:pPr>
            <w:r w:rsidRPr="00236628">
              <w:rPr>
                <w:rFonts w:ascii="Arial" w:eastAsia="Calibri" w:hAnsi="Arial" w:cs="Arial"/>
                <w:sz w:val="24"/>
                <w:szCs w:val="24"/>
              </w:rPr>
              <w:lastRenderedPageBreak/>
              <w:t>The relief prayed for in the notice of motion are as follows:</w:t>
            </w:r>
          </w:p>
          <w:p w:rsidR="00B634E2" w:rsidRPr="008E52C4" w:rsidRDefault="00B634E2" w:rsidP="00240FCD">
            <w:pPr>
              <w:pStyle w:val="ListParagraph"/>
              <w:spacing w:before="240" w:line="360" w:lineRule="auto"/>
              <w:ind w:left="-12"/>
              <w:contextualSpacing w:val="0"/>
              <w:jc w:val="both"/>
              <w:rPr>
                <w:rFonts w:ascii="Arial" w:eastAsia="Calibri" w:hAnsi="Arial" w:cs="Arial"/>
                <w:sz w:val="24"/>
                <w:szCs w:val="24"/>
              </w:rPr>
            </w:pPr>
            <w:r w:rsidRPr="008E52C4">
              <w:rPr>
                <w:rFonts w:ascii="Arial" w:eastAsia="Calibri" w:hAnsi="Arial" w:cs="Arial"/>
                <w:sz w:val="24"/>
                <w:szCs w:val="24"/>
              </w:rPr>
              <w:t xml:space="preserve">            AD CLAIM 1</w:t>
            </w:r>
          </w:p>
          <w:p w:rsidR="00B634E2" w:rsidRPr="008E52C4" w:rsidRDefault="00456721" w:rsidP="00F02B85">
            <w:pPr>
              <w:pStyle w:val="ListParagraph"/>
              <w:spacing w:line="360" w:lineRule="auto"/>
              <w:ind w:left="1080" w:hanging="378"/>
              <w:jc w:val="both"/>
              <w:rPr>
                <w:rFonts w:ascii="Arial" w:eastAsia="Calibri" w:hAnsi="Arial" w:cs="Arial"/>
                <w:sz w:val="24"/>
                <w:szCs w:val="24"/>
              </w:rPr>
            </w:pPr>
            <w:r w:rsidRPr="008E52C4">
              <w:rPr>
                <w:rFonts w:ascii="Arial" w:eastAsia="Calibri" w:hAnsi="Arial" w:cs="Arial"/>
                <w:sz w:val="24"/>
                <w:szCs w:val="24"/>
              </w:rPr>
              <w:t xml:space="preserve">1. </w:t>
            </w:r>
            <w:r w:rsidR="00B634E2" w:rsidRPr="008E52C4">
              <w:rPr>
                <w:rFonts w:ascii="Arial" w:eastAsia="Calibri" w:hAnsi="Arial" w:cs="Arial"/>
                <w:sz w:val="24"/>
                <w:szCs w:val="24"/>
              </w:rPr>
              <w:t>Payment in the amount of Payment in the amount of N$2 775 646.82</w:t>
            </w:r>
          </w:p>
          <w:p w:rsidR="00B634E2" w:rsidRPr="00C43A9E" w:rsidRDefault="00B634E2" w:rsidP="00C43A9E">
            <w:pPr>
              <w:pStyle w:val="ListParagraph"/>
              <w:numPr>
                <w:ilvl w:val="0"/>
                <w:numId w:val="16"/>
              </w:numPr>
              <w:spacing w:line="360" w:lineRule="auto"/>
              <w:jc w:val="both"/>
              <w:rPr>
                <w:rFonts w:ascii="Arial" w:eastAsia="Calibri" w:hAnsi="Arial" w:cs="Arial"/>
                <w:sz w:val="24"/>
                <w:szCs w:val="24"/>
              </w:rPr>
            </w:pPr>
            <w:r w:rsidRPr="00C43A9E">
              <w:rPr>
                <w:rFonts w:ascii="Arial" w:eastAsia="Calibri" w:hAnsi="Arial" w:cs="Arial"/>
                <w:sz w:val="24"/>
                <w:szCs w:val="24"/>
              </w:rPr>
              <w:t>Compound interest calculated daily and capitalised monthly at plaintiff’s prime lending rate of interest from time to time, currently 10.5% plus 1.5% per year calculated from 8 February 2023 to date of final payment.</w:t>
            </w:r>
          </w:p>
          <w:p w:rsidR="00B634E2" w:rsidRPr="008E52C4" w:rsidRDefault="00B634E2" w:rsidP="00B634E2">
            <w:pPr>
              <w:spacing w:line="360" w:lineRule="auto"/>
              <w:ind w:left="1080"/>
              <w:contextualSpacing/>
              <w:jc w:val="both"/>
              <w:rPr>
                <w:rFonts w:ascii="Arial" w:eastAsia="Calibri" w:hAnsi="Arial" w:cs="Arial"/>
                <w:sz w:val="24"/>
                <w:szCs w:val="24"/>
              </w:rPr>
            </w:pPr>
          </w:p>
          <w:p w:rsidR="00B634E2" w:rsidRPr="008E52C4" w:rsidRDefault="00B634E2" w:rsidP="00236628">
            <w:pPr>
              <w:spacing w:line="360" w:lineRule="auto"/>
              <w:ind w:left="702"/>
              <w:contextualSpacing/>
              <w:jc w:val="both"/>
              <w:rPr>
                <w:rFonts w:ascii="Arial" w:eastAsia="Calibri" w:hAnsi="Arial" w:cs="Arial"/>
                <w:sz w:val="24"/>
                <w:szCs w:val="24"/>
              </w:rPr>
            </w:pPr>
            <w:r w:rsidRPr="008E52C4">
              <w:rPr>
                <w:rFonts w:ascii="Arial" w:eastAsia="Calibri" w:hAnsi="Arial" w:cs="Arial"/>
                <w:sz w:val="24"/>
                <w:szCs w:val="24"/>
              </w:rPr>
              <w:t>AD CLAIM 2</w:t>
            </w:r>
          </w:p>
          <w:p w:rsidR="00B634E2" w:rsidRPr="00C43A9E" w:rsidRDefault="00B634E2" w:rsidP="00C43A9E">
            <w:pPr>
              <w:pStyle w:val="ListParagraph"/>
              <w:numPr>
                <w:ilvl w:val="0"/>
                <w:numId w:val="16"/>
              </w:numPr>
              <w:spacing w:line="360" w:lineRule="auto"/>
              <w:jc w:val="both"/>
              <w:rPr>
                <w:rFonts w:ascii="Arial" w:eastAsia="Calibri" w:hAnsi="Arial" w:cs="Arial"/>
                <w:sz w:val="24"/>
                <w:szCs w:val="24"/>
              </w:rPr>
            </w:pPr>
            <w:r w:rsidRPr="00C43A9E">
              <w:rPr>
                <w:rFonts w:ascii="Arial" w:eastAsia="Calibri" w:hAnsi="Arial" w:cs="Arial"/>
                <w:sz w:val="24"/>
                <w:szCs w:val="24"/>
              </w:rPr>
              <w:t>Payment in the amount of N$1 889 629.31</w:t>
            </w:r>
          </w:p>
          <w:p w:rsidR="00B634E2" w:rsidRPr="00C43A9E" w:rsidRDefault="00B634E2" w:rsidP="00C43A9E">
            <w:pPr>
              <w:pStyle w:val="ListParagraph"/>
              <w:numPr>
                <w:ilvl w:val="0"/>
                <w:numId w:val="16"/>
              </w:numPr>
              <w:spacing w:line="360" w:lineRule="auto"/>
              <w:jc w:val="both"/>
              <w:rPr>
                <w:rFonts w:ascii="Arial" w:eastAsia="Calibri" w:hAnsi="Arial" w:cs="Arial"/>
                <w:sz w:val="24"/>
                <w:szCs w:val="24"/>
              </w:rPr>
            </w:pPr>
            <w:r w:rsidRPr="00C43A9E">
              <w:rPr>
                <w:rFonts w:ascii="Arial" w:eastAsia="Calibri" w:hAnsi="Arial" w:cs="Arial"/>
                <w:sz w:val="24"/>
                <w:szCs w:val="24"/>
              </w:rPr>
              <w:t>Compound interest calculated daily and capitalised monthly at plaintiff’s prime lending rate of interest from time to time, currently 10.5% plus 1.5% per year calculated from 8 February 2023 to date of final payment.</w:t>
            </w:r>
          </w:p>
          <w:p w:rsidR="002056CD" w:rsidRPr="008E52C4" w:rsidRDefault="002056CD" w:rsidP="002056CD">
            <w:pPr>
              <w:spacing w:line="360" w:lineRule="auto"/>
              <w:ind w:left="1080"/>
              <w:contextualSpacing/>
              <w:jc w:val="both"/>
              <w:rPr>
                <w:rFonts w:ascii="Arial" w:eastAsia="Calibri" w:hAnsi="Arial" w:cs="Arial"/>
                <w:sz w:val="24"/>
                <w:szCs w:val="24"/>
              </w:rPr>
            </w:pPr>
          </w:p>
          <w:p w:rsidR="00456721" w:rsidRPr="008E52C4" w:rsidRDefault="00456721" w:rsidP="00236628">
            <w:pPr>
              <w:spacing w:line="360" w:lineRule="auto"/>
              <w:ind w:left="792"/>
              <w:contextualSpacing/>
              <w:jc w:val="both"/>
              <w:rPr>
                <w:rFonts w:ascii="Arial" w:eastAsia="Calibri" w:hAnsi="Arial" w:cs="Arial"/>
                <w:sz w:val="24"/>
                <w:szCs w:val="24"/>
              </w:rPr>
            </w:pPr>
            <w:r w:rsidRPr="008E52C4">
              <w:rPr>
                <w:rFonts w:ascii="Arial" w:eastAsia="Calibri" w:hAnsi="Arial" w:cs="Arial"/>
                <w:sz w:val="24"/>
                <w:szCs w:val="24"/>
              </w:rPr>
              <w:t>AD ALL CLAIMS</w:t>
            </w:r>
          </w:p>
          <w:p w:rsidR="00456721" w:rsidRPr="008E52C4" w:rsidRDefault="00456721" w:rsidP="00C43A9E">
            <w:pPr>
              <w:pStyle w:val="ListParagraph"/>
              <w:numPr>
                <w:ilvl w:val="0"/>
                <w:numId w:val="16"/>
              </w:numPr>
              <w:spacing w:line="360" w:lineRule="auto"/>
              <w:jc w:val="both"/>
              <w:rPr>
                <w:rFonts w:ascii="Arial" w:eastAsia="Calibri" w:hAnsi="Arial" w:cs="Arial"/>
                <w:sz w:val="24"/>
                <w:szCs w:val="24"/>
              </w:rPr>
            </w:pPr>
            <w:r w:rsidRPr="008E52C4">
              <w:rPr>
                <w:rFonts w:ascii="Arial" w:eastAsia="Calibri" w:hAnsi="Arial" w:cs="Arial"/>
                <w:sz w:val="24"/>
                <w:szCs w:val="24"/>
              </w:rPr>
              <w:t>An order declaring the following property executable:</w:t>
            </w:r>
          </w:p>
          <w:p w:rsidR="00456721" w:rsidRPr="008E52C4" w:rsidRDefault="00456721" w:rsidP="00456721">
            <w:pPr>
              <w:pStyle w:val="ListParagraph"/>
              <w:spacing w:line="360" w:lineRule="auto"/>
              <w:ind w:left="1080"/>
              <w:jc w:val="both"/>
              <w:rPr>
                <w:rFonts w:ascii="Arial" w:eastAsia="Calibri" w:hAnsi="Arial" w:cs="Arial"/>
                <w:sz w:val="24"/>
                <w:szCs w:val="24"/>
              </w:rPr>
            </w:pPr>
            <w:r w:rsidRPr="008E52C4">
              <w:rPr>
                <w:rFonts w:ascii="Arial" w:eastAsia="Calibri" w:hAnsi="Arial" w:cs="Arial"/>
                <w:sz w:val="24"/>
                <w:szCs w:val="24"/>
              </w:rPr>
              <w:t xml:space="preserve">Certain:     </w:t>
            </w:r>
            <w:r w:rsidR="00ED67A8">
              <w:rPr>
                <w:rFonts w:ascii="Arial" w:eastAsia="Calibri" w:hAnsi="Arial" w:cs="Arial"/>
                <w:sz w:val="24"/>
                <w:szCs w:val="24"/>
              </w:rPr>
              <w:t xml:space="preserve">     </w:t>
            </w:r>
            <w:proofErr w:type="spellStart"/>
            <w:r w:rsidRPr="008E52C4">
              <w:rPr>
                <w:rFonts w:ascii="Arial" w:eastAsia="Calibri" w:hAnsi="Arial" w:cs="Arial"/>
                <w:sz w:val="24"/>
                <w:szCs w:val="24"/>
              </w:rPr>
              <w:t>Erf</w:t>
            </w:r>
            <w:proofErr w:type="spellEnd"/>
            <w:r w:rsidRPr="008E52C4">
              <w:rPr>
                <w:rFonts w:ascii="Arial" w:eastAsia="Calibri" w:hAnsi="Arial" w:cs="Arial"/>
                <w:sz w:val="24"/>
                <w:szCs w:val="24"/>
              </w:rPr>
              <w:t xml:space="preserve"> No. 449 Eros Park</w:t>
            </w:r>
          </w:p>
          <w:p w:rsidR="00456721" w:rsidRPr="008E52C4" w:rsidRDefault="00456721" w:rsidP="00456721">
            <w:pPr>
              <w:pStyle w:val="ListParagraph"/>
              <w:spacing w:line="360" w:lineRule="auto"/>
              <w:ind w:left="1080"/>
              <w:jc w:val="both"/>
              <w:rPr>
                <w:rFonts w:ascii="Arial" w:eastAsia="Calibri" w:hAnsi="Arial" w:cs="Arial"/>
                <w:sz w:val="24"/>
                <w:szCs w:val="24"/>
              </w:rPr>
            </w:pPr>
            <w:r w:rsidRPr="008E52C4">
              <w:rPr>
                <w:rFonts w:ascii="Arial" w:eastAsia="Calibri" w:hAnsi="Arial" w:cs="Arial"/>
                <w:sz w:val="24"/>
                <w:szCs w:val="24"/>
              </w:rPr>
              <w:t xml:space="preserve">Situate:      </w:t>
            </w:r>
            <w:r w:rsidR="00ED67A8">
              <w:rPr>
                <w:rFonts w:ascii="Arial" w:eastAsia="Calibri" w:hAnsi="Arial" w:cs="Arial"/>
                <w:sz w:val="24"/>
                <w:szCs w:val="24"/>
              </w:rPr>
              <w:t xml:space="preserve">    </w:t>
            </w:r>
            <w:r w:rsidRPr="008E52C4">
              <w:rPr>
                <w:rFonts w:ascii="Arial" w:eastAsia="Calibri" w:hAnsi="Arial" w:cs="Arial"/>
                <w:sz w:val="24"/>
                <w:szCs w:val="24"/>
              </w:rPr>
              <w:t>In the Municipality of Windhoek  Registration Division “K”</w:t>
            </w:r>
          </w:p>
          <w:p w:rsidR="00456721" w:rsidRPr="008E52C4" w:rsidRDefault="00456721" w:rsidP="00456721">
            <w:pPr>
              <w:pStyle w:val="ListParagraph"/>
              <w:spacing w:line="360" w:lineRule="auto"/>
              <w:ind w:left="1080"/>
              <w:jc w:val="both"/>
              <w:rPr>
                <w:rFonts w:ascii="Arial" w:eastAsia="Calibri" w:hAnsi="Arial" w:cs="Arial"/>
                <w:sz w:val="24"/>
                <w:szCs w:val="24"/>
              </w:rPr>
            </w:pPr>
            <w:r w:rsidRPr="008E52C4">
              <w:rPr>
                <w:rFonts w:ascii="Arial" w:eastAsia="Calibri" w:hAnsi="Arial" w:cs="Arial"/>
                <w:sz w:val="24"/>
                <w:szCs w:val="24"/>
              </w:rPr>
              <w:t xml:space="preserve">Measuring: 1337(one thousand </w:t>
            </w:r>
            <w:r w:rsidR="002B34F6" w:rsidRPr="008E52C4">
              <w:rPr>
                <w:rFonts w:ascii="Arial" w:eastAsia="Calibri" w:hAnsi="Arial" w:cs="Arial"/>
                <w:sz w:val="24"/>
                <w:szCs w:val="24"/>
              </w:rPr>
              <w:t>three hundred and seventy seven)                         square metres</w:t>
            </w:r>
          </w:p>
          <w:p w:rsidR="002B34F6" w:rsidRPr="008E52C4" w:rsidRDefault="002B34F6" w:rsidP="00ED67A8">
            <w:pPr>
              <w:pStyle w:val="ListParagraph"/>
              <w:spacing w:line="360" w:lineRule="auto"/>
              <w:ind w:left="1013"/>
              <w:jc w:val="both"/>
              <w:rPr>
                <w:rFonts w:ascii="Arial" w:eastAsia="Calibri" w:hAnsi="Arial" w:cs="Arial"/>
                <w:sz w:val="24"/>
                <w:szCs w:val="24"/>
              </w:rPr>
            </w:pPr>
            <w:r w:rsidRPr="008E52C4">
              <w:rPr>
                <w:rFonts w:ascii="Arial" w:eastAsia="Calibri" w:hAnsi="Arial" w:cs="Arial"/>
                <w:sz w:val="24"/>
                <w:szCs w:val="24"/>
              </w:rPr>
              <w:t xml:space="preserve"> Held by: </w:t>
            </w:r>
            <w:r w:rsidR="00ED67A8">
              <w:rPr>
                <w:rFonts w:ascii="Arial" w:eastAsia="Calibri" w:hAnsi="Arial" w:cs="Arial"/>
                <w:sz w:val="24"/>
                <w:szCs w:val="24"/>
              </w:rPr>
              <w:t xml:space="preserve">         </w:t>
            </w:r>
            <w:r w:rsidRPr="008E52C4">
              <w:rPr>
                <w:rFonts w:ascii="Arial" w:eastAsia="Calibri" w:hAnsi="Arial" w:cs="Arial"/>
                <w:sz w:val="24"/>
                <w:szCs w:val="24"/>
              </w:rPr>
              <w:t>Deed of transfer no T 8904/2002.</w:t>
            </w:r>
          </w:p>
          <w:p w:rsidR="002B34F6" w:rsidRPr="008E52C4" w:rsidRDefault="002B34F6" w:rsidP="00456721">
            <w:pPr>
              <w:pStyle w:val="ListParagraph"/>
              <w:spacing w:line="360" w:lineRule="auto"/>
              <w:ind w:left="1080"/>
              <w:jc w:val="both"/>
              <w:rPr>
                <w:rFonts w:ascii="Arial" w:eastAsia="Calibri" w:hAnsi="Arial" w:cs="Arial"/>
                <w:sz w:val="24"/>
                <w:szCs w:val="24"/>
              </w:rPr>
            </w:pPr>
            <w:r w:rsidRPr="008E52C4">
              <w:rPr>
                <w:rFonts w:ascii="Arial" w:eastAsia="Calibri" w:hAnsi="Arial" w:cs="Arial"/>
                <w:sz w:val="24"/>
                <w:szCs w:val="24"/>
              </w:rPr>
              <w:t xml:space="preserve">Subject: </w:t>
            </w:r>
            <w:r w:rsidR="00ED67A8">
              <w:rPr>
                <w:rFonts w:ascii="Arial" w:eastAsia="Calibri" w:hAnsi="Arial" w:cs="Arial"/>
                <w:sz w:val="24"/>
                <w:szCs w:val="24"/>
              </w:rPr>
              <w:t xml:space="preserve">         </w:t>
            </w:r>
            <w:r w:rsidRPr="008E52C4">
              <w:rPr>
                <w:rFonts w:ascii="Arial" w:eastAsia="Calibri" w:hAnsi="Arial" w:cs="Arial"/>
                <w:sz w:val="24"/>
                <w:szCs w:val="24"/>
              </w:rPr>
              <w:t>To all the conditions contained therein</w:t>
            </w:r>
          </w:p>
          <w:p w:rsidR="00456721" w:rsidRPr="008E52C4" w:rsidRDefault="00456721" w:rsidP="002B34F6">
            <w:pPr>
              <w:spacing w:line="360" w:lineRule="auto"/>
              <w:jc w:val="both"/>
              <w:rPr>
                <w:rFonts w:ascii="Arial" w:eastAsia="Calibri" w:hAnsi="Arial" w:cs="Arial"/>
                <w:sz w:val="24"/>
                <w:szCs w:val="24"/>
              </w:rPr>
            </w:pPr>
            <w:r w:rsidRPr="008E52C4">
              <w:rPr>
                <w:rFonts w:ascii="Arial" w:eastAsia="Calibri" w:hAnsi="Arial" w:cs="Arial"/>
                <w:sz w:val="24"/>
                <w:szCs w:val="24"/>
              </w:rPr>
              <w:t xml:space="preserve">        </w:t>
            </w:r>
          </w:p>
          <w:p w:rsidR="00B634E2" w:rsidRPr="008E52C4" w:rsidRDefault="00B634E2" w:rsidP="00C43A9E">
            <w:pPr>
              <w:numPr>
                <w:ilvl w:val="0"/>
                <w:numId w:val="16"/>
              </w:numPr>
              <w:spacing w:line="360" w:lineRule="auto"/>
              <w:contextualSpacing/>
              <w:jc w:val="both"/>
              <w:rPr>
                <w:rFonts w:ascii="Arial" w:eastAsia="Calibri" w:hAnsi="Arial" w:cs="Arial"/>
                <w:sz w:val="24"/>
                <w:szCs w:val="24"/>
              </w:rPr>
            </w:pPr>
            <w:r w:rsidRPr="008E52C4">
              <w:rPr>
                <w:rFonts w:ascii="Arial" w:eastAsia="Calibri" w:hAnsi="Arial" w:cs="Arial"/>
                <w:sz w:val="24"/>
                <w:szCs w:val="24"/>
              </w:rPr>
              <w:t>Cost of suit on scale as between attorney and own client as agreed.</w:t>
            </w:r>
          </w:p>
          <w:p w:rsidR="00870166" w:rsidRPr="00236628" w:rsidRDefault="00870166" w:rsidP="00870166">
            <w:pPr>
              <w:spacing w:before="240"/>
              <w:jc w:val="both"/>
              <w:rPr>
                <w:rFonts w:ascii="Arial" w:eastAsia="Calibri" w:hAnsi="Arial" w:cs="Arial"/>
                <w:i/>
                <w:sz w:val="24"/>
                <w:szCs w:val="24"/>
              </w:rPr>
            </w:pPr>
            <w:r w:rsidRPr="00236628">
              <w:rPr>
                <w:rFonts w:ascii="Arial" w:eastAsia="Calibri" w:hAnsi="Arial" w:cs="Arial"/>
                <w:i/>
                <w:sz w:val="24"/>
                <w:szCs w:val="24"/>
              </w:rPr>
              <w:t xml:space="preserve">Summary Judgment </w:t>
            </w:r>
          </w:p>
          <w:p w:rsidR="00346400" w:rsidRPr="008E52C4" w:rsidRDefault="00346400" w:rsidP="009227BF">
            <w:pPr>
              <w:jc w:val="both"/>
              <w:rPr>
                <w:rFonts w:ascii="Arial" w:eastAsia="Calibri" w:hAnsi="Arial" w:cs="Arial"/>
                <w:sz w:val="24"/>
                <w:szCs w:val="24"/>
              </w:rPr>
            </w:pPr>
          </w:p>
          <w:p w:rsidR="00FD7272" w:rsidRPr="00013904" w:rsidRDefault="005B0AEC" w:rsidP="00013904">
            <w:pPr>
              <w:pStyle w:val="ListParagraph"/>
              <w:numPr>
                <w:ilvl w:val="0"/>
                <w:numId w:val="27"/>
              </w:numPr>
              <w:spacing w:before="240" w:line="360" w:lineRule="auto"/>
              <w:ind w:left="0" w:firstLine="18"/>
              <w:jc w:val="both"/>
              <w:rPr>
                <w:rFonts w:ascii="Arial" w:eastAsia="Calibri" w:hAnsi="Arial" w:cs="Arial"/>
                <w:sz w:val="24"/>
                <w:szCs w:val="24"/>
              </w:rPr>
            </w:pPr>
            <w:r w:rsidRPr="00013904">
              <w:rPr>
                <w:rFonts w:ascii="Arial" w:eastAsia="Calibri" w:hAnsi="Arial" w:cs="Arial"/>
                <w:sz w:val="24"/>
                <w:szCs w:val="24"/>
              </w:rPr>
              <w:t xml:space="preserve">The application </w:t>
            </w:r>
            <w:r w:rsidR="000F2F0F" w:rsidRPr="00013904">
              <w:rPr>
                <w:rFonts w:ascii="Arial" w:eastAsia="Calibri" w:hAnsi="Arial" w:cs="Arial"/>
                <w:sz w:val="24"/>
                <w:szCs w:val="24"/>
              </w:rPr>
              <w:t xml:space="preserve">was </w:t>
            </w:r>
            <w:r w:rsidR="002056CD" w:rsidRPr="00013904">
              <w:rPr>
                <w:rFonts w:ascii="Arial" w:eastAsia="Calibri" w:hAnsi="Arial" w:cs="Arial"/>
                <w:sz w:val="24"/>
                <w:szCs w:val="24"/>
              </w:rPr>
              <w:t xml:space="preserve">opposed only in respect of </w:t>
            </w:r>
            <w:r w:rsidR="000B0F72" w:rsidRPr="00013904">
              <w:rPr>
                <w:rFonts w:ascii="Arial" w:eastAsia="Calibri" w:hAnsi="Arial" w:cs="Arial"/>
                <w:sz w:val="24"/>
                <w:szCs w:val="24"/>
              </w:rPr>
              <w:t xml:space="preserve">the </w:t>
            </w:r>
            <w:r w:rsidR="000F2F0F" w:rsidRPr="00013904">
              <w:rPr>
                <w:rFonts w:ascii="Arial" w:eastAsia="Calibri" w:hAnsi="Arial" w:cs="Arial"/>
                <w:sz w:val="24"/>
                <w:szCs w:val="24"/>
              </w:rPr>
              <w:t xml:space="preserve">prayer </w:t>
            </w:r>
            <w:r w:rsidR="000B0F72" w:rsidRPr="00013904">
              <w:rPr>
                <w:rFonts w:ascii="Arial" w:eastAsia="Calibri" w:hAnsi="Arial" w:cs="Arial"/>
                <w:sz w:val="24"/>
                <w:szCs w:val="24"/>
              </w:rPr>
              <w:t>in respect of declaring the immovable property specially execut</w:t>
            </w:r>
            <w:r w:rsidR="00B20ACB" w:rsidRPr="00013904">
              <w:rPr>
                <w:rFonts w:ascii="Arial" w:eastAsia="Calibri" w:hAnsi="Arial" w:cs="Arial"/>
                <w:sz w:val="24"/>
                <w:szCs w:val="24"/>
              </w:rPr>
              <w:t>a</w:t>
            </w:r>
            <w:r w:rsidR="000B0F72" w:rsidRPr="00013904">
              <w:rPr>
                <w:rFonts w:ascii="Arial" w:eastAsia="Calibri" w:hAnsi="Arial" w:cs="Arial"/>
                <w:sz w:val="24"/>
                <w:szCs w:val="24"/>
              </w:rPr>
              <w:t>ble</w:t>
            </w:r>
            <w:r w:rsidR="000F2F0F" w:rsidRPr="00013904">
              <w:rPr>
                <w:rFonts w:ascii="Arial" w:eastAsia="Calibri" w:hAnsi="Arial" w:cs="Arial"/>
                <w:sz w:val="24"/>
                <w:szCs w:val="24"/>
              </w:rPr>
              <w:t xml:space="preserve">, leaving that as the only issue for determination. </w:t>
            </w:r>
            <w:r w:rsidRPr="00013904">
              <w:rPr>
                <w:rFonts w:ascii="Arial" w:eastAsia="Calibri" w:hAnsi="Arial" w:cs="Arial"/>
                <w:sz w:val="24"/>
                <w:szCs w:val="24"/>
              </w:rPr>
              <w:t xml:space="preserve"> </w:t>
            </w:r>
            <w:r w:rsidR="002056CD" w:rsidRPr="00013904">
              <w:rPr>
                <w:rFonts w:ascii="Arial" w:eastAsia="Calibri" w:hAnsi="Arial" w:cs="Arial"/>
                <w:sz w:val="24"/>
                <w:szCs w:val="24"/>
              </w:rPr>
              <w:t xml:space="preserve">Having considered the nature of the claims for summary judgment and that </w:t>
            </w:r>
            <w:r w:rsidR="002056CD" w:rsidRPr="00013904">
              <w:rPr>
                <w:rFonts w:ascii="Arial" w:eastAsia="Calibri" w:hAnsi="Arial" w:cs="Arial"/>
                <w:sz w:val="24"/>
                <w:szCs w:val="24"/>
              </w:rPr>
              <w:lastRenderedPageBreak/>
              <w:t xml:space="preserve">no </w:t>
            </w:r>
            <w:proofErr w:type="spellStart"/>
            <w:r w:rsidR="002056CD" w:rsidRPr="00013904">
              <w:rPr>
                <w:rFonts w:ascii="Arial" w:eastAsia="Calibri" w:hAnsi="Arial" w:cs="Arial"/>
                <w:sz w:val="24"/>
                <w:szCs w:val="24"/>
              </w:rPr>
              <w:t>defense</w:t>
            </w:r>
            <w:proofErr w:type="spellEnd"/>
            <w:r w:rsidR="002056CD" w:rsidRPr="00013904">
              <w:rPr>
                <w:rFonts w:ascii="Arial" w:eastAsia="Calibri" w:hAnsi="Arial" w:cs="Arial"/>
                <w:sz w:val="24"/>
                <w:szCs w:val="24"/>
              </w:rPr>
              <w:t xml:space="preserve"> was postulated, summary judgment, interest and costs stand to be granted in respect of both claims. </w:t>
            </w:r>
          </w:p>
          <w:p w:rsidR="005B0AEC" w:rsidRPr="00236628" w:rsidRDefault="00BD61FA" w:rsidP="00240FCD">
            <w:pPr>
              <w:pStyle w:val="ListParagraph"/>
              <w:spacing w:before="240" w:line="360" w:lineRule="auto"/>
              <w:ind w:left="-12"/>
              <w:contextualSpacing w:val="0"/>
              <w:jc w:val="both"/>
              <w:rPr>
                <w:rFonts w:ascii="Arial" w:eastAsia="Calibri" w:hAnsi="Arial" w:cs="Arial"/>
                <w:i/>
                <w:sz w:val="24"/>
                <w:szCs w:val="24"/>
              </w:rPr>
            </w:pPr>
            <w:r w:rsidRPr="00236628">
              <w:rPr>
                <w:rFonts w:ascii="Arial" w:eastAsia="Calibri" w:hAnsi="Arial" w:cs="Arial"/>
                <w:i/>
                <w:sz w:val="24"/>
                <w:szCs w:val="24"/>
              </w:rPr>
              <w:t>Execution of immovable property</w:t>
            </w:r>
          </w:p>
          <w:p w:rsidR="00013904" w:rsidRDefault="00BD61FA" w:rsidP="00BE283C">
            <w:pPr>
              <w:pStyle w:val="ListParagraph"/>
              <w:numPr>
                <w:ilvl w:val="0"/>
                <w:numId w:val="27"/>
              </w:numPr>
              <w:spacing w:before="240" w:line="360" w:lineRule="auto"/>
              <w:ind w:left="0" w:firstLine="18"/>
              <w:jc w:val="both"/>
              <w:rPr>
                <w:rFonts w:ascii="Arial" w:eastAsia="Calibri" w:hAnsi="Arial" w:cs="Arial"/>
                <w:sz w:val="24"/>
                <w:szCs w:val="24"/>
              </w:rPr>
            </w:pPr>
            <w:r w:rsidRPr="00013904">
              <w:rPr>
                <w:rFonts w:ascii="Arial" w:eastAsia="Calibri" w:hAnsi="Arial" w:cs="Arial"/>
                <w:sz w:val="24"/>
                <w:szCs w:val="24"/>
              </w:rPr>
              <w:t>According to the particulars of claim</w:t>
            </w:r>
            <w:r w:rsidR="00236628" w:rsidRPr="00013904">
              <w:rPr>
                <w:rFonts w:ascii="Arial" w:eastAsia="Calibri" w:hAnsi="Arial" w:cs="Arial"/>
                <w:sz w:val="24"/>
                <w:szCs w:val="24"/>
              </w:rPr>
              <w:t>,</w:t>
            </w:r>
            <w:r w:rsidRPr="00013904">
              <w:rPr>
                <w:rFonts w:ascii="Arial" w:eastAsia="Calibri" w:hAnsi="Arial" w:cs="Arial"/>
                <w:sz w:val="24"/>
                <w:szCs w:val="24"/>
              </w:rPr>
              <w:t xml:space="preserve"> the loans were secured by the registration of a first continuing covering mortgage bond (B 2965/20</w:t>
            </w:r>
            <w:r w:rsidR="00362D2B" w:rsidRPr="00013904">
              <w:rPr>
                <w:rFonts w:ascii="Arial" w:eastAsia="Calibri" w:hAnsi="Arial" w:cs="Arial"/>
                <w:sz w:val="24"/>
                <w:szCs w:val="24"/>
              </w:rPr>
              <w:t>2</w:t>
            </w:r>
            <w:r w:rsidRPr="00013904">
              <w:rPr>
                <w:rFonts w:ascii="Arial" w:eastAsia="Calibri" w:hAnsi="Arial" w:cs="Arial"/>
                <w:sz w:val="24"/>
                <w:szCs w:val="24"/>
              </w:rPr>
              <w:t xml:space="preserve">1) for the amount of N$4 800 000 plus an additional amount of N$960 000, as well as a second </w:t>
            </w:r>
            <w:r w:rsidR="00362D2B" w:rsidRPr="00013904">
              <w:rPr>
                <w:rFonts w:ascii="Arial" w:eastAsia="Calibri" w:hAnsi="Arial" w:cs="Arial"/>
                <w:sz w:val="24"/>
                <w:szCs w:val="24"/>
              </w:rPr>
              <w:t>c</w:t>
            </w:r>
            <w:r w:rsidRPr="00013904">
              <w:rPr>
                <w:rFonts w:ascii="Arial" w:eastAsia="Calibri" w:hAnsi="Arial" w:cs="Arial"/>
                <w:sz w:val="24"/>
                <w:szCs w:val="24"/>
              </w:rPr>
              <w:t>ontinuing covering mortgage bond (B</w:t>
            </w:r>
            <w:r w:rsidR="00362D2B" w:rsidRPr="00013904">
              <w:rPr>
                <w:rFonts w:ascii="Arial" w:eastAsia="Calibri" w:hAnsi="Arial" w:cs="Arial"/>
                <w:sz w:val="24"/>
                <w:szCs w:val="24"/>
              </w:rPr>
              <w:t xml:space="preserve"> 5741</w:t>
            </w:r>
            <w:r w:rsidRPr="00013904">
              <w:rPr>
                <w:rFonts w:ascii="Arial" w:eastAsia="Calibri" w:hAnsi="Arial" w:cs="Arial"/>
                <w:sz w:val="24"/>
                <w:szCs w:val="24"/>
              </w:rPr>
              <w:t>/20</w:t>
            </w:r>
            <w:r w:rsidR="00362D2B" w:rsidRPr="00013904">
              <w:rPr>
                <w:rFonts w:ascii="Arial" w:eastAsia="Calibri" w:hAnsi="Arial" w:cs="Arial"/>
                <w:sz w:val="24"/>
                <w:szCs w:val="24"/>
              </w:rPr>
              <w:t>22</w:t>
            </w:r>
            <w:r w:rsidRPr="00013904">
              <w:rPr>
                <w:rFonts w:ascii="Arial" w:eastAsia="Calibri" w:hAnsi="Arial" w:cs="Arial"/>
                <w:sz w:val="24"/>
                <w:szCs w:val="24"/>
              </w:rPr>
              <w:t>) for the amount of N$</w:t>
            </w:r>
            <w:r w:rsidR="00362D2B" w:rsidRPr="00013904">
              <w:rPr>
                <w:rFonts w:ascii="Arial" w:eastAsia="Calibri" w:hAnsi="Arial" w:cs="Arial"/>
                <w:sz w:val="24"/>
                <w:szCs w:val="24"/>
              </w:rPr>
              <w:t>1 0</w:t>
            </w:r>
            <w:r w:rsidRPr="00013904">
              <w:rPr>
                <w:rFonts w:ascii="Arial" w:eastAsia="Calibri" w:hAnsi="Arial" w:cs="Arial"/>
                <w:sz w:val="24"/>
                <w:szCs w:val="24"/>
              </w:rPr>
              <w:t>00 000 plus an additional amount of N$</w:t>
            </w:r>
            <w:r w:rsidR="00362D2B" w:rsidRPr="00013904">
              <w:rPr>
                <w:rFonts w:ascii="Arial" w:eastAsia="Calibri" w:hAnsi="Arial" w:cs="Arial"/>
                <w:sz w:val="24"/>
                <w:szCs w:val="24"/>
              </w:rPr>
              <w:t xml:space="preserve">200 </w:t>
            </w:r>
            <w:r w:rsidRPr="00013904">
              <w:rPr>
                <w:rFonts w:ascii="Arial" w:eastAsia="Calibri" w:hAnsi="Arial" w:cs="Arial"/>
                <w:sz w:val="24"/>
                <w:szCs w:val="24"/>
              </w:rPr>
              <w:t>000</w:t>
            </w:r>
            <w:r w:rsidR="00362D2B" w:rsidRPr="00013904">
              <w:rPr>
                <w:rFonts w:ascii="Arial" w:eastAsia="Calibri" w:hAnsi="Arial" w:cs="Arial"/>
                <w:sz w:val="24"/>
                <w:szCs w:val="24"/>
              </w:rPr>
              <w:t xml:space="preserve"> in favour of the plaintiff over </w:t>
            </w:r>
            <w:r w:rsidR="00FD7272" w:rsidRPr="00013904">
              <w:rPr>
                <w:rFonts w:ascii="Arial" w:eastAsia="Calibri" w:hAnsi="Arial" w:cs="Arial"/>
                <w:sz w:val="24"/>
                <w:szCs w:val="24"/>
              </w:rPr>
              <w:t>the</w:t>
            </w:r>
            <w:r w:rsidR="00362D2B" w:rsidRPr="00013904">
              <w:rPr>
                <w:rFonts w:ascii="Arial" w:eastAsia="Calibri" w:hAnsi="Arial" w:cs="Arial"/>
                <w:sz w:val="24"/>
                <w:szCs w:val="24"/>
              </w:rPr>
              <w:t xml:space="preserve"> specified immovable property situate</w:t>
            </w:r>
            <w:r w:rsidR="00FD7272" w:rsidRPr="00013904">
              <w:rPr>
                <w:rFonts w:ascii="Arial" w:eastAsia="Calibri" w:hAnsi="Arial" w:cs="Arial"/>
                <w:sz w:val="24"/>
                <w:szCs w:val="24"/>
              </w:rPr>
              <w:t>d</w:t>
            </w:r>
            <w:r w:rsidR="00362D2B" w:rsidRPr="00013904">
              <w:rPr>
                <w:rFonts w:ascii="Arial" w:eastAsia="Calibri" w:hAnsi="Arial" w:cs="Arial"/>
                <w:sz w:val="24"/>
                <w:szCs w:val="24"/>
              </w:rPr>
              <w:t xml:space="preserve"> in Windhoek. The plaintiff pleaded that it was not aware as to whether the said property constitutes a primary home of the defendants. </w:t>
            </w:r>
          </w:p>
          <w:p w:rsidR="00013904" w:rsidRDefault="00013904" w:rsidP="00013904">
            <w:pPr>
              <w:pStyle w:val="ListParagraph"/>
              <w:spacing w:before="240" w:line="360" w:lineRule="auto"/>
              <w:ind w:left="18"/>
              <w:jc w:val="both"/>
              <w:rPr>
                <w:rFonts w:ascii="Arial" w:eastAsia="Calibri" w:hAnsi="Arial" w:cs="Arial"/>
                <w:sz w:val="24"/>
                <w:szCs w:val="24"/>
              </w:rPr>
            </w:pPr>
          </w:p>
          <w:p w:rsidR="00013904" w:rsidRDefault="00362D2B" w:rsidP="00BA5AC5">
            <w:pPr>
              <w:pStyle w:val="ListParagraph"/>
              <w:numPr>
                <w:ilvl w:val="0"/>
                <w:numId w:val="27"/>
              </w:numPr>
              <w:spacing w:before="240" w:line="360" w:lineRule="auto"/>
              <w:ind w:left="0" w:firstLine="18"/>
              <w:jc w:val="both"/>
              <w:rPr>
                <w:rFonts w:ascii="Arial" w:eastAsia="Calibri" w:hAnsi="Arial" w:cs="Arial"/>
                <w:sz w:val="24"/>
                <w:szCs w:val="24"/>
              </w:rPr>
            </w:pPr>
            <w:r w:rsidRPr="00013904">
              <w:rPr>
                <w:rFonts w:ascii="Arial" w:eastAsia="Calibri" w:hAnsi="Arial" w:cs="Arial"/>
                <w:sz w:val="24"/>
                <w:szCs w:val="24"/>
              </w:rPr>
              <w:t>T</w:t>
            </w:r>
            <w:r w:rsidR="008D29C5" w:rsidRPr="00013904">
              <w:rPr>
                <w:rFonts w:ascii="Arial" w:eastAsia="Calibri" w:hAnsi="Arial" w:cs="Arial"/>
                <w:sz w:val="24"/>
                <w:szCs w:val="24"/>
              </w:rPr>
              <w:t xml:space="preserve">he case for the applicant as execution creditor </w:t>
            </w:r>
            <w:r w:rsidRPr="00013904">
              <w:rPr>
                <w:rFonts w:ascii="Arial" w:eastAsia="Calibri" w:hAnsi="Arial" w:cs="Arial"/>
                <w:sz w:val="24"/>
                <w:szCs w:val="24"/>
              </w:rPr>
              <w:t xml:space="preserve">as deposed to by the acting head of Legal Collections at </w:t>
            </w:r>
            <w:r w:rsidR="008D29C5" w:rsidRPr="00013904">
              <w:rPr>
                <w:rFonts w:ascii="Arial" w:eastAsia="Calibri" w:hAnsi="Arial" w:cs="Arial"/>
                <w:sz w:val="24"/>
                <w:szCs w:val="24"/>
              </w:rPr>
              <w:t>Bank Windhoek</w:t>
            </w:r>
            <w:r w:rsidRPr="00013904">
              <w:rPr>
                <w:rFonts w:ascii="Arial" w:eastAsia="Calibri" w:hAnsi="Arial" w:cs="Arial"/>
                <w:sz w:val="24"/>
                <w:szCs w:val="24"/>
              </w:rPr>
              <w:t xml:space="preserve"> i</w:t>
            </w:r>
            <w:r w:rsidR="000E275A" w:rsidRPr="00013904">
              <w:rPr>
                <w:rFonts w:ascii="Arial" w:eastAsia="Calibri" w:hAnsi="Arial" w:cs="Arial"/>
                <w:sz w:val="24"/>
                <w:szCs w:val="24"/>
              </w:rPr>
              <w:t>n the founding affidavit merely states that the plaintiff meet</w:t>
            </w:r>
            <w:r w:rsidR="006F460A" w:rsidRPr="00013904">
              <w:rPr>
                <w:rFonts w:ascii="Arial" w:eastAsia="Calibri" w:hAnsi="Arial" w:cs="Arial"/>
                <w:sz w:val="24"/>
                <w:szCs w:val="24"/>
              </w:rPr>
              <w:t>s</w:t>
            </w:r>
            <w:r w:rsidR="000E275A" w:rsidRPr="00013904">
              <w:rPr>
                <w:rFonts w:ascii="Arial" w:eastAsia="Calibri" w:hAnsi="Arial" w:cs="Arial"/>
                <w:sz w:val="24"/>
                <w:szCs w:val="24"/>
              </w:rPr>
              <w:t xml:space="preserve"> the requirements for the court to declare the specified property </w:t>
            </w:r>
            <w:r w:rsidR="00013904">
              <w:rPr>
                <w:rFonts w:ascii="Arial" w:eastAsia="Calibri" w:hAnsi="Arial" w:cs="Arial"/>
                <w:sz w:val="24"/>
                <w:szCs w:val="24"/>
              </w:rPr>
              <w:t>specifically executable.</w:t>
            </w:r>
          </w:p>
          <w:p w:rsidR="00013904" w:rsidRDefault="00013904" w:rsidP="00013904">
            <w:pPr>
              <w:pStyle w:val="ListParagraph"/>
              <w:spacing w:before="240" w:line="360" w:lineRule="auto"/>
              <w:ind w:left="18"/>
              <w:jc w:val="both"/>
              <w:rPr>
                <w:rFonts w:ascii="Arial" w:eastAsia="Calibri" w:hAnsi="Arial" w:cs="Arial"/>
                <w:sz w:val="24"/>
                <w:szCs w:val="24"/>
              </w:rPr>
            </w:pPr>
          </w:p>
          <w:p w:rsidR="00013904" w:rsidRDefault="008D29C5" w:rsidP="00BA5AC5">
            <w:pPr>
              <w:pStyle w:val="ListParagraph"/>
              <w:numPr>
                <w:ilvl w:val="0"/>
                <w:numId w:val="27"/>
              </w:numPr>
              <w:spacing w:before="240" w:line="360" w:lineRule="auto"/>
              <w:ind w:left="0" w:firstLine="18"/>
              <w:jc w:val="both"/>
              <w:rPr>
                <w:rFonts w:ascii="Arial" w:eastAsia="Calibri" w:hAnsi="Arial" w:cs="Arial"/>
                <w:sz w:val="24"/>
                <w:szCs w:val="24"/>
              </w:rPr>
            </w:pPr>
            <w:r w:rsidRPr="00013904">
              <w:rPr>
                <w:rFonts w:ascii="Arial" w:eastAsia="Calibri" w:hAnsi="Arial" w:cs="Arial"/>
                <w:sz w:val="24"/>
                <w:szCs w:val="24"/>
              </w:rPr>
              <w:t>The case for the opposition for the execution was set out by the</w:t>
            </w:r>
            <w:r w:rsidR="00236628" w:rsidRPr="00013904">
              <w:rPr>
                <w:rFonts w:ascii="Arial" w:eastAsia="Calibri" w:hAnsi="Arial" w:cs="Arial"/>
                <w:sz w:val="24"/>
                <w:szCs w:val="24"/>
              </w:rPr>
              <w:t xml:space="preserve"> second</w:t>
            </w:r>
            <w:r w:rsidRPr="00013904">
              <w:rPr>
                <w:rFonts w:ascii="Arial" w:eastAsia="Calibri" w:hAnsi="Arial" w:cs="Arial"/>
                <w:sz w:val="24"/>
                <w:szCs w:val="24"/>
              </w:rPr>
              <w:t xml:space="preserve"> defendant who is a member of the first and fourth defendant. </w:t>
            </w:r>
            <w:r w:rsidR="002056CD" w:rsidRPr="00013904">
              <w:rPr>
                <w:rFonts w:ascii="Arial" w:eastAsia="Calibri" w:hAnsi="Arial" w:cs="Arial"/>
                <w:sz w:val="24"/>
                <w:szCs w:val="24"/>
              </w:rPr>
              <w:t xml:space="preserve">Mr </w:t>
            </w:r>
            <w:proofErr w:type="spellStart"/>
            <w:r w:rsidR="002056CD" w:rsidRPr="00013904">
              <w:rPr>
                <w:rFonts w:ascii="Arial" w:eastAsia="Calibri" w:hAnsi="Arial" w:cs="Arial"/>
                <w:sz w:val="24"/>
                <w:szCs w:val="24"/>
              </w:rPr>
              <w:t>Haihambo</w:t>
            </w:r>
            <w:proofErr w:type="spellEnd"/>
            <w:r w:rsidRPr="00013904">
              <w:rPr>
                <w:rFonts w:ascii="Arial" w:eastAsia="Calibri" w:hAnsi="Arial" w:cs="Arial"/>
                <w:sz w:val="24"/>
                <w:szCs w:val="24"/>
              </w:rPr>
              <w:t xml:space="preserve"> deposed that the property was currently leased to a certain Mr </w:t>
            </w:r>
            <w:proofErr w:type="spellStart"/>
            <w:r w:rsidRPr="00013904">
              <w:rPr>
                <w:rFonts w:ascii="Arial" w:eastAsia="Calibri" w:hAnsi="Arial" w:cs="Arial"/>
                <w:sz w:val="24"/>
                <w:szCs w:val="24"/>
              </w:rPr>
              <w:t>Hango</w:t>
            </w:r>
            <w:proofErr w:type="spellEnd"/>
            <w:r w:rsidRPr="00013904">
              <w:rPr>
                <w:rFonts w:ascii="Arial" w:eastAsia="Calibri" w:hAnsi="Arial" w:cs="Arial"/>
                <w:sz w:val="24"/>
                <w:szCs w:val="24"/>
              </w:rPr>
              <w:t xml:space="preserve"> who uses it </w:t>
            </w:r>
            <w:r w:rsidR="00DE0993" w:rsidRPr="00013904">
              <w:rPr>
                <w:rFonts w:ascii="Arial" w:eastAsia="Calibri" w:hAnsi="Arial" w:cs="Arial"/>
                <w:sz w:val="24"/>
                <w:szCs w:val="24"/>
              </w:rPr>
              <w:t>as his primary residence. H</w:t>
            </w:r>
            <w:r w:rsidR="00081D5B" w:rsidRPr="00013904">
              <w:rPr>
                <w:rFonts w:ascii="Arial" w:eastAsia="Calibri" w:hAnsi="Arial" w:cs="Arial"/>
                <w:sz w:val="24"/>
                <w:szCs w:val="24"/>
              </w:rPr>
              <w:t>e has attached a copy of a</w:t>
            </w:r>
            <w:r w:rsidR="00DE0993" w:rsidRPr="00013904">
              <w:rPr>
                <w:rFonts w:ascii="Arial" w:eastAsia="Calibri" w:hAnsi="Arial" w:cs="Arial"/>
                <w:sz w:val="24"/>
                <w:szCs w:val="24"/>
              </w:rPr>
              <w:t xml:space="preserve"> lease between them showing a monthly rental amount of N$25 000.</w:t>
            </w:r>
            <w:r w:rsidR="00081D5B" w:rsidRPr="00013904">
              <w:rPr>
                <w:rFonts w:ascii="Arial" w:eastAsia="Calibri" w:hAnsi="Arial" w:cs="Arial"/>
                <w:sz w:val="24"/>
                <w:szCs w:val="24"/>
              </w:rPr>
              <w:t xml:space="preserve"> Furthermore that there are less drastic measures available in that</w:t>
            </w:r>
            <w:r w:rsidR="00236628" w:rsidRPr="00013904">
              <w:rPr>
                <w:rFonts w:ascii="Arial" w:eastAsia="Calibri" w:hAnsi="Arial" w:cs="Arial"/>
                <w:sz w:val="24"/>
                <w:szCs w:val="24"/>
              </w:rPr>
              <w:t xml:space="preserve"> the business has concluded a three </w:t>
            </w:r>
            <w:r w:rsidR="00081D5B" w:rsidRPr="00013904">
              <w:rPr>
                <w:rFonts w:ascii="Arial" w:eastAsia="Calibri" w:hAnsi="Arial" w:cs="Arial"/>
                <w:sz w:val="24"/>
                <w:szCs w:val="24"/>
              </w:rPr>
              <w:t xml:space="preserve">year contract to supply salt to a company in Zambia and the deponent has annexed a copy of the said contract and invoice for the first consignment so delivered. </w:t>
            </w:r>
            <w:r w:rsidR="0051490F" w:rsidRPr="00013904">
              <w:rPr>
                <w:rFonts w:ascii="Arial" w:eastAsia="Calibri" w:hAnsi="Arial" w:cs="Arial"/>
                <w:sz w:val="24"/>
                <w:szCs w:val="24"/>
              </w:rPr>
              <w:t>He furthermore states that he is able to mak</w:t>
            </w:r>
            <w:r w:rsidR="00696772" w:rsidRPr="00013904">
              <w:rPr>
                <w:rFonts w:ascii="Arial" w:eastAsia="Calibri" w:hAnsi="Arial" w:cs="Arial"/>
                <w:sz w:val="24"/>
                <w:szCs w:val="24"/>
              </w:rPr>
              <w:t>e payments in the amount of N$</w:t>
            </w:r>
            <w:r w:rsidR="0051490F" w:rsidRPr="00013904">
              <w:rPr>
                <w:rFonts w:ascii="Arial" w:eastAsia="Calibri" w:hAnsi="Arial" w:cs="Arial"/>
                <w:sz w:val="24"/>
                <w:szCs w:val="24"/>
              </w:rPr>
              <w:t xml:space="preserve">120 000 </w:t>
            </w:r>
            <w:r w:rsidR="004867BC" w:rsidRPr="00013904">
              <w:rPr>
                <w:rFonts w:ascii="Arial" w:eastAsia="Calibri" w:hAnsi="Arial" w:cs="Arial"/>
                <w:sz w:val="24"/>
                <w:szCs w:val="24"/>
              </w:rPr>
              <w:t>monthly as from July 2023 for 6 months</w:t>
            </w:r>
            <w:r w:rsidR="002056CD" w:rsidRPr="00013904">
              <w:rPr>
                <w:rFonts w:ascii="Arial" w:eastAsia="Calibri" w:hAnsi="Arial" w:cs="Arial"/>
                <w:sz w:val="24"/>
                <w:szCs w:val="24"/>
              </w:rPr>
              <w:t xml:space="preserve"> towards the </w:t>
            </w:r>
            <w:r w:rsidR="004867BC" w:rsidRPr="00013904">
              <w:rPr>
                <w:rFonts w:ascii="Arial" w:eastAsia="Calibri" w:hAnsi="Arial" w:cs="Arial"/>
                <w:sz w:val="24"/>
                <w:szCs w:val="24"/>
              </w:rPr>
              <w:t>arrears and</w:t>
            </w:r>
            <w:r w:rsidR="002056CD" w:rsidRPr="00013904">
              <w:rPr>
                <w:rFonts w:ascii="Arial" w:eastAsia="Calibri" w:hAnsi="Arial" w:cs="Arial"/>
                <w:sz w:val="24"/>
                <w:szCs w:val="24"/>
              </w:rPr>
              <w:t xml:space="preserve"> </w:t>
            </w:r>
            <w:r w:rsidR="00013904">
              <w:rPr>
                <w:rFonts w:ascii="Arial" w:eastAsia="Calibri" w:hAnsi="Arial" w:cs="Arial"/>
                <w:sz w:val="24"/>
                <w:szCs w:val="24"/>
              </w:rPr>
              <w:t>pay the monthly premiums.</w:t>
            </w:r>
          </w:p>
          <w:p w:rsidR="00013904" w:rsidRDefault="00013904" w:rsidP="00013904">
            <w:pPr>
              <w:pStyle w:val="ListParagraph"/>
              <w:spacing w:before="240" w:line="360" w:lineRule="auto"/>
              <w:ind w:left="18"/>
              <w:jc w:val="both"/>
              <w:rPr>
                <w:rFonts w:ascii="Arial" w:eastAsia="Calibri" w:hAnsi="Arial" w:cs="Arial"/>
                <w:sz w:val="24"/>
                <w:szCs w:val="24"/>
              </w:rPr>
            </w:pPr>
          </w:p>
          <w:p w:rsidR="00013904" w:rsidRDefault="00B80CAE" w:rsidP="004E5A18">
            <w:pPr>
              <w:pStyle w:val="ListParagraph"/>
              <w:numPr>
                <w:ilvl w:val="0"/>
                <w:numId w:val="27"/>
              </w:numPr>
              <w:spacing w:before="240" w:line="360" w:lineRule="auto"/>
              <w:ind w:left="0" w:firstLine="18"/>
              <w:jc w:val="both"/>
              <w:rPr>
                <w:rFonts w:ascii="Arial" w:eastAsia="Calibri" w:hAnsi="Arial" w:cs="Arial"/>
                <w:sz w:val="24"/>
                <w:szCs w:val="24"/>
              </w:rPr>
            </w:pPr>
            <w:r w:rsidRPr="00013904">
              <w:rPr>
                <w:rFonts w:ascii="Arial" w:eastAsia="Calibri" w:hAnsi="Arial" w:cs="Arial"/>
                <w:sz w:val="24"/>
                <w:szCs w:val="24"/>
              </w:rPr>
              <w:t xml:space="preserve">There has been no </w:t>
            </w:r>
            <w:r w:rsidR="00852096" w:rsidRPr="00013904">
              <w:rPr>
                <w:rFonts w:ascii="Arial" w:eastAsia="Calibri" w:hAnsi="Arial" w:cs="Arial"/>
                <w:sz w:val="24"/>
                <w:szCs w:val="24"/>
              </w:rPr>
              <w:t xml:space="preserve">service on the </w:t>
            </w:r>
            <w:r w:rsidRPr="00013904">
              <w:rPr>
                <w:rFonts w:ascii="Arial" w:eastAsia="Calibri" w:hAnsi="Arial" w:cs="Arial"/>
                <w:sz w:val="24"/>
                <w:szCs w:val="24"/>
              </w:rPr>
              <w:t xml:space="preserve">application for execution on the </w:t>
            </w:r>
            <w:r w:rsidR="00852096" w:rsidRPr="00013904">
              <w:rPr>
                <w:rFonts w:ascii="Arial" w:eastAsia="Calibri" w:hAnsi="Arial" w:cs="Arial"/>
                <w:sz w:val="24"/>
                <w:szCs w:val="24"/>
              </w:rPr>
              <w:t>lessee of the said property</w:t>
            </w:r>
            <w:r w:rsidR="00BC0B5A" w:rsidRPr="00013904">
              <w:rPr>
                <w:rFonts w:ascii="Arial" w:eastAsia="Calibri" w:hAnsi="Arial" w:cs="Arial"/>
                <w:sz w:val="24"/>
                <w:szCs w:val="24"/>
              </w:rPr>
              <w:t xml:space="preserve">. However, </w:t>
            </w:r>
            <w:r w:rsidRPr="00013904">
              <w:rPr>
                <w:rFonts w:ascii="Arial" w:eastAsia="Calibri" w:hAnsi="Arial" w:cs="Arial"/>
                <w:sz w:val="24"/>
                <w:szCs w:val="24"/>
              </w:rPr>
              <w:t xml:space="preserve">counsel for the execution creditor </w:t>
            </w:r>
            <w:r w:rsidR="00D46EE0" w:rsidRPr="00013904">
              <w:rPr>
                <w:rFonts w:ascii="Arial" w:eastAsia="Calibri" w:hAnsi="Arial" w:cs="Arial"/>
                <w:sz w:val="24"/>
                <w:szCs w:val="24"/>
              </w:rPr>
              <w:t>submitted</w:t>
            </w:r>
            <w:r w:rsidR="00852096" w:rsidRPr="00013904">
              <w:rPr>
                <w:rFonts w:ascii="Arial" w:eastAsia="Calibri" w:hAnsi="Arial" w:cs="Arial"/>
                <w:sz w:val="24"/>
                <w:szCs w:val="24"/>
              </w:rPr>
              <w:t xml:space="preserve"> </w:t>
            </w:r>
            <w:r w:rsidR="002056CD" w:rsidRPr="00013904">
              <w:rPr>
                <w:rFonts w:ascii="Arial" w:eastAsia="Calibri" w:hAnsi="Arial" w:cs="Arial"/>
                <w:sz w:val="24"/>
                <w:szCs w:val="24"/>
              </w:rPr>
              <w:t>that strict formalism of F</w:t>
            </w:r>
            <w:r w:rsidR="00D46EE0" w:rsidRPr="00013904">
              <w:rPr>
                <w:rFonts w:ascii="Arial" w:eastAsia="Calibri" w:hAnsi="Arial" w:cs="Arial"/>
                <w:sz w:val="24"/>
                <w:szCs w:val="24"/>
              </w:rPr>
              <w:t>orm 24 should be discouraged</w:t>
            </w:r>
            <w:r w:rsidR="002056CD" w:rsidRPr="00013904">
              <w:rPr>
                <w:rFonts w:ascii="Arial" w:eastAsia="Calibri" w:hAnsi="Arial" w:cs="Arial"/>
                <w:sz w:val="24"/>
                <w:szCs w:val="24"/>
              </w:rPr>
              <w:t xml:space="preserve">. He contends that it can </w:t>
            </w:r>
            <w:r w:rsidR="00852096" w:rsidRPr="00013904">
              <w:rPr>
                <w:rFonts w:ascii="Arial" w:eastAsia="Calibri" w:hAnsi="Arial" w:cs="Arial"/>
                <w:sz w:val="24"/>
                <w:szCs w:val="24"/>
              </w:rPr>
              <w:t xml:space="preserve">be assumed </w:t>
            </w:r>
            <w:r w:rsidR="002056CD" w:rsidRPr="00013904">
              <w:rPr>
                <w:rFonts w:ascii="Arial" w:eastAsia="Calibri" w:hAnsi="Arial" w:cs="Arial"/>
                <w:sz w:val="24"/>
                <w:szCs w:val="24"/>
              </w:rPr>
              <w:t>that the lessee saw the documents because the res</w:t>
            </w:r>
            <w:r w:rsidR="00852096" w:rsidRPr="00013904">
              <w:rPr>
                <w:rFonts w:ascii="Arial" w:eastAsia="Calibri" w:hAnsi="Arial" w:cs="Arial"/>
                <w:sz w:val="24"/>
                <w:szCs w:val="24"/>
              </w:rPr>
              <w:t xml:space="preserve">pondent’s answering affidavit </w:t>
            </w:r>
            <w:r w:rsidR="002056CD" w:rsidRPr="00013904">
              <w:rPr>
                <w:rFonts w:ascii="Arial" w:eastAsia="Calibri" w:hAnsi="Arial" w:cs="Arial"/>
                <w:sz w:val="24"/>
                <w:szCs w:val="24"/>
              </w:rPr>
              <w:t xml:space="preserve">makes reference about a </w:t>
            </w:r>
            <w:r w:rsidR="002056CD" w:rsidRPr="00013904">
              <w:rPr>
                <w:rFonts w:ascii="Arial" w:eastAsia="Calibri" w:hAnsi="Arial" w:cs="Arial"/>
                <w:sz w:val="24"/>
                <w:szCs w:val="24"/>
              </w:rPr>
              <w:lastRenderedPageBreak/>
              <w:t xml:space="preserve">proposal by the </w:t>
            </w:r>
            <w:r w:rsidR="00852096" w:rsidRPr="00013904">
              <w:rPr>
                <w:rFonts w:ascii="Arial" w:eastAsia="Calibri" w:hAnsi="Arial" w:cs="Arial"/>
                <w:sz w:val="24"/>
                <w:szCs w:val="24"/>
              </w:rPr>
              <w:t xml:space="preserve">lessee to assist Mr </w:t>
            </w:r>
            <w:proofErr w:type="spellStart"/>
            <w:r w:rsidR="00852096" w:rsidRPr="00013904">
              <w:rPr>
                <w:rFonts w:ascii="Arial" w:eastAsia="Calibri" w:hAnsi="Arial" w:cs="Arial"/>
                <w:sz w:val="24"/>
                <w:szCs w:val="24"/>
              </w:rPr>
              <w:t>Haihambo</w:t>
            </w:r>
            <w:proofErr w:type="spellEnd"/>
            <w:r w:rsidR="004F3B33" w:rsidRPr="00013904">
              <w:rPr>
                <w:rFonts w:ascii="Arial" w:eastAsia="Calibri" w:hAnsi="Arial" w:cs="Arial"/>
                <w:sz w:val="24"/>
                <w:szCs w:val="24"/>
              </w:rPr>
              <w:t>.</w:t>
            </w:r>
            <w:r w:rsidR="00BC0B5A" w:rsidRPr="00013904">
              <w:rPr>
                <w:rFonts w:ascii="Arial" w:eastAsia="Calibri" w:hAnsi="Arial" w:cs="Arial"/>
                <w:sz w:val="24"/>
                <w:szCs w:val="24"/>
              </w:rPr>
              <w:t xml:space="preserve"> A</w:t>
            </w:r>
            <w:r w:rsidR="005E3499" w:rsidRPr="00013904">
              <w:rPr>
                <w:rFonts w:ascii="Arial" w:eastAsia="Calibri" w:hAnsi="Arial" w:cs="Arial"/>
                <w:sz w:val="24"/>
                <w:szCs w:val="24"/>
              </w:rPr>
              <w:t>s far as the proposal that the rental amount can be applied towards the debt, co</w:t>
            </w:r>
            <w:r w:rsidR="004F3B33" w:rsidRPr="00013904">
              <w:rPr>
                <w:rFonts w:ascii="Arial" w:eastAsia="Calibri" w:hAnsi="Arial" w:cs="Arial"/>
                <w:sz w:val="24"/>
                <w:szCs w:val="24"/>
              </w:rPr>
              <w:t xml:space="preserve">unsel laments the position that neither Mr </w:t>
            </w:r>
            <w:proofErr w:type="spellStart"/>
            <w:r w:rsidR="004F3B33" w:rsidRPr="00013904">
              <w:rPr>
                <w:rFonts w:ascii="Arial" w:eastAsia="Calibri" w:hAnsi="Arial" w:cs="Arial"/>
                <w:sz w:val="24"/>
                <w:szCs w:val="24"/>
              </w:rPr>
              <w:t>H</w:t>
            </w:r>
            <w:r w:rsidR="005E3499" w:rsidRPr="00013904">
              <w:rPr>
                <w:rFonts w:ascii="Arial" w:eastAsia="Calibri" w:hAnsi="Arial" w:cs="Arial"/>
                <w:sz w:val="24"/>
                <w:szCs w:val="24"/>
              </w:rPr>
              <w:t>aihambo</w:t>
            </w:r>
            <w:proofErr w:type="spellEnd"/>
            <w:r w:rsidR="005E3499" w:rsidRPr="00013904">
              <w:rPr>
                <w:rFonts w:ascii="Arial" w:eastAsia="Calibri" w:hAnsi="Arial" w:cs="Arial"/>
                <w:sz w:val="24"/>
                <w:szCs w:val="24"/>
              </w:rPr>
              <w:t xml:space="preserve">, nor the lessee, has explained why there are no viable alternatives for the lessee’s housing situation. As for the purported salt contract, </w:t>
            </w:r>
            <w:r w:rsidR="00811969" w:rsidRPr="00013904">
              <w:rPr>
                <w:rFonts w:ascii="Arial" w:eastAsia="Calibri" w:hAnsi="Arial" w:cs="Arial"/>
                <w:sz w:val="24"/>
                <w:szCs w:val="24"/>
              </w:rPr>
              <w:t xml:space="preserve">the concern was that it was a once off delivery of 6 000 bags to the value of N$1 459 036.60, which information appears on a purchase order dated 3 May 2023. </w:t>
            </w:r>
            <w:r w:rsidR="00501176" w:rsidRPr="00013904">
              <w:rPr>
                <w:rFonts w:ascii="Arial" w:eastAsia="Calibri" w:hAnsi="Arial" w:cs="Arial"/>
                <w:sz w:val="24"/>
                <w:szCs w:val="24"/>
              </w:rPr>
              <w:t xml:space="preserve">Nor does the first defendant specify the overheads or other information as to his employment status or other sources of income. Thus he does not regard these as a reasonable way </w:t>
            </w:r>
            <w:r w:rsidR="00013904">
              <w:rPr>
                <w:rFonts w:ascii="Arial" w:eastAsia="Calibri" w:hAnsi="Arial" w:cs="Arial"/>
                <w:sz w:val="24"/>
                <w:szCs w:val="24"/>
              </w:rPr>
              <w:t>to settle the outstanding debt.</w:t>
            </w:r>
          </w:p>
          <w:p w:rsidR="00013904" w:rsidRDefault="00013904" w:rsidP="00013904">
            <w:pPr>
              <w:pStyle w:val="ListParagraph"/>
              <w:spacing w:before="240" w:line="360" w:lineRule="auto"/>
              <w:ind w:left="18"/>
              <w:jc w:val="both"/>
              <w:rPr>
                <w:rFonts w:ascii="Arial" w:eastAsia="Calibri" w:hAnsi="Arial" w:cs="Arial"/>
                <w:sz w:val="24"/>
                <w:szCs w:val="24"/>
              </w:rPr>
            </w:pPr>
          </w:p>
          <w:p w:rsidR="00013904" w:rsidRDefault="004E5A18" w:rsidP="004E5A18">
            <w:pPr>
              <w:pStyle w:val="ListParagraph"/>
              <w:numPr>
                <w:ilvl w:val="0"/>
                <w:numId w:val="27"/>
              </w:numPr>
              <w:spacing w:before="240" w:line="360" w:lineRule="auto"/>
              <w:ind w:left="0" w:firstLine="18"/>
              <w:jc w:val="both"/>
              <w:rPr>
                <w:rFonts w:ascii="Arial" w:eastAsia="Calibri" w:hAnsi="Arial" w:cs="Arial"/>
                <w:sz w:val="24"/>
                <w:szCs w:val="24"/>
              </w:rPr>
            </w:pPr>
            <w:r w:rsidRPr="00013904">
              <w:rPr>
                <w:rFonts w:ascii="Arial" w:eastAsia="Calibri" w:hAnsi="Arial" w:cs="Arial"/>
                <w:sz w:val="24"/>
                <w:szCs w:val="24"/>
              </w:rPr>
              <w:t xml:space="preserve">In opposition of the application, the arguments were that </w:t>
            </w:r>
            <w:r w:rsidR="006F2B94">
              <w:rPr>
                <w:rFonts w:ascii="Arial" w:eastAsia="Calibri" w:hAnsi="Arial" w:cs="Arial"/>
                <w:sz w:val="24"/>
                <w:szCs w:val="24"/>
              </w:rPr>
              <w:t>the property was the primary residence of the lessee, but there w</w:t>
            </w:r>
            <w:r w:rsidR="00384E52">
              <w:rPr>
                <w:rFonts w:ascii="Arial" w:eastAsia="Calibri" w:hAnsi="Arial" w:cs="Arial"/>
                <w:sz w:val="24"/>
                <w:szCs w:val="24"/>
              </w:rPr>
              <w:t>as no personal service on him. F</w:t>
            </w:r>
            <w:r w:rsidR="006F2B94">
              <w:rPr>
                <w:rFonts w:ascii="Arial" w:eastAsia="Calibri" w:hAnsi="Arial" w:cs="Arial"/>
                <w:sz w:val="24"/>
                <w:szCs w:val="24"/>
              </w:rPr>
              <w:t xml:space="preserve">urthermore, it was argued that </w:t>
            </w:r>
            <w:r w:rsidRPr="00013904">
              <w:rPr>
                <w:rFonts w:ascii="Arial" w:eastAsia="Calibri" w:hAnsi="Arial" w:cs="Arial"/>
                <w:sz w:val="24"/>
                <w:szCs w:val="24"/>
              </w:rPr>
              <w:t>there are less drastic measures available o</w:t>
            </w:r>
            <w:r w:rsidR="00212F12" w:rsidRPr="00013904">
              <w:rPr>
                <w:rFonts w:ascii="Arial" w:eastAsia="Calibri" w:hAnsi="Arial" w:cs="Arial"/>
                <w:sz w:val="24"/>
                <w:szCs w:val="24"/>
              </w:rPr>
              <w:t>ther than to sell the property, namely that the debt can be served from the income of the salt co</w:t>
            </w:r>
            <w:r w:rsidR="00013904">
              <w:rPr>
                <w:rFonts w:ascii="Arial" w:eastAsia="Calibri" w:hAnsi="Arial" w:cs="Arial"/>
                <w:sz w:val="24"/>
                <w:szCs w:val="24"/>
              </w:rPr>
              <w:t>ntract and the rental contract.</w:t>
            </w:r>
          </w:p>
          <w:p w:rsidR="00013904" w:rsidRDefault="00013904" w:rsidP="00013904">
            <w:pPr>
              <w:pStyle w:val="ListParagraph"/>
              <w:spacing w:before="240" w:line="360" w:lineRule="auto"/>
              <w:ind w:left="18"/>
              <w:jc w:val="both"/>
              <w:rPr>
                <w:rFonts w:ascii="Arial" w:eastAsia="Calibri" w:hAnsi="Arial" w:cs="Arial"/>
                <w:sz w:val="24"/>
                <w:szCs w:val="24"/>
              </w:rPr>
            </w:pPr>
          </w:p>
          <w:p w:rsidR="00013904" w:rsidRDefault="00212F12" w:rsidP="004E5A18">
            <w:pPr>
              <w:pStyle w:val="ListParagraph"/>
              <w:numPr>
                <w:ilvl w:val="0"/>
                <w:numId w:val="27"/>
              </w:numPr>
              <w:spacing w:before="240" w:line="360" w:lineRule="auto"/>
              <w:ind w:left="0" w:firstLine="18"/>
              <w:jc w:val="both"/>
              <w:rPr>
                <w:rFonts w:ascii="Arial" w:eastAsia="Calibri" w:hAnsi="Arial" w:cs="Arial"/>
                <w:sz w:val="24"/>
                <w:szCs w:val="24"/>
              </w:rPr>
            </w:pPr>
            <w:r w:rsidRPr="00013904">
              <w:rPr>
                <w:rFonts w:ascii="Arial" w:eastAsia="Calibri" w:hAnsi="Arial" w:cs="Arial"/>
                <w:sz w:val="24"/>
                <w:szCs w:val="24"/>
              </w:rPr>
              <w:t>As for the strike out application, it was argued that there was no proper application for that and that it is not</w:t>
            </w:r>
            <w:r w:rsidR="002056CD" w:rsidRPr="00013904">
              <w:rPr>
                <w:rFonts w:ascii="Arial" w:eastAsia="Calibri" w:hAnsi="Arial" w:cs="Arial"/>
                <w:sz w:val="24"/>
                <w:szCs w:val="24"/>
              </w:rPr>
              <w:t xml:space="preserve"> to be </w:t>
            </w:r>
            <w:r w:rsidRPr="00013904">
              <w:rPr>
                <w:rFonts w:ascii="Arial" w:eastAsia="Calibri" w:hAnsi="Arial" w:cs="Arial"/>
                <w:sz w:val="24"/>
                <w:szCs w:val="24"/>
              </w:rPr>
              <w:t xml:space="preserve">readily granted. </w:t>
            </w:r>
          </w:p>
          <w:p w:rsidR="00013904" w:rsidRDefault="00013904" w:rsidP="00013904">
            <w:pPr>
              <w:pStyle w:val="ListParagraph"/>
              <w:spacing w:before="240" w:line="360" w:lineRule="auto"/>
              <w:ind w:left="18"/>
              <w:jc w:val="both"/>
              <w:rPr>
                <w:rFonts w:ascii="Arial" w:eastAsia="Calibri" w:hAnsi="Arial" w:cs="Arial"/>
                <w:sz w:val="24"/>
                <w:szCs w:val="24"/>
              </w:rPr>
            </w:pPr>
          </w:p>
          <w:p w:rsidR="00346400" w:rsidRPr="00013904" w:rsidRDefault="00907D3E" w:rsidP="004E5A18">
            <w:pPr>
              <w:pStyle w:val="ListParagraph"/>
              <w:numPr>
                <w:ilvl w:val="0"/>
                <w:numId w:val="27"/>
              </w:numPr>
              <w:spacing w:before="240" w:line="360" w:lineRule="auto"/>
              <w:ind w:left="0" w:firstLine="18"/>
              <w:jc w:val="both"/>
              <w:rPr>
                <w:rFonts w:ascii="Arial" w:eastAsia="Calibri" w:hAnsi="Arial" w:cs="Arial"/>
                <w:sz w:val="24"/>
                <w:szCs w:val="24"/>
              </w:rPr>
            </w:pPr>
            <w:r w:rsidRPr="00013904">
              <w:rPr>
                <w:rFonts w:ascii="Arial" w:eastAsia="Calibri" w:hAnsi="Arial" w:cs="Arial"/>
                <w:sz w:val="24"/>
                <w:szCs w:val="24"/>
              </w:rPr>
              <w:t>In turning to the applicable law the cou</w:t>
            </w:r>
            <w:r w:rsidR="00346400" w:rsidRPr="00013904">
              <w:rPr>
                <w:rFonts w:ascii="Arial" w:eastAsia="Cambria" w:hAnsi="Arial" w:cs="Arial"/>
                <w:sz w:val="24"/>
                <w:szCs w:val="24"/>
              </w:rPr>
              <w:t xml:space="preserve">rt has in </w:t>
            </w:r>
            <w:r w:rsidR="00346400" w:rsidRPr="00013904">
              <w:rPr>
                <w:rFonts w:ascii="Arial" w:eastAsia="Cambria" w:hAnsi="Arial" w:cs="Arial"/>
                <w:i/>
                <w:sz w:val="24"/>
                <w:szCs w:val="24"/>
              </w:rPr>
              <w:t xml:space="preserve">Bank Windhoek Namibia Ltd v </w:t>
            </w:r>
            <w:proofErr w:type="spellStart"/>
            <w:r w:rsidR="00346400" w:rsidRPr="00013904">
              <w:rPr>
                <w:rFonts w:ascii="Arial" w:eastAsia="Cambria" w:hAnsi="Arial" w:cs="Arial"/>
                <w:i/>
                <w:sz w:val="24"/>
                <w:szCs w:val="24"/>
              </w:rPr>
              <w:t>Mokasa</w:t>
            </w:r>
            <w:proofErr w:type="spellEnd"/>
            <w:r w:rsidR="00346400" w:rsidRPr="00013904">
              <w:rPr>
                <w:rFonts w:ascii="Arial" w:eastAsia="Cambria" w:hAnsi="Arial" w:cs="Arial"/>
                <w:i/>
                <w:sz w:val="24"/>
                <w:szCs w:val="24"/>
              </w:rPr>
              <w:t xml:space="preserve"> Trading Enterprises CC</w:t>
            </w:r>
            <w:r w:rsidR="00346400" w:rsidRPr="008E52C4">
              <w:rPr>
                <w:rStyle w:val="FootnoteReference"/>
                <w:rFonts w:ascii="Arial" w:eastAsia="Cambria" w:hAnsi="Arial" w:cs="Arial"/>
                <w:sz w:val="24"/>
                <w:szCs w:val="24"/>
              </w:rPr>
              <w:footnoteReference w:id="1"/>
            </w:r>
            <w:r w:rsidR="00C30079" w:rsidRPr="00013904">
              <w:rPr>
                <w:rFonts w:ascii="Arial" w:eastAsia="Cambria" w:hAnsi="Arial" w:cs="Arial"/>
                <w:i/>
                <w:sz w:val="24"/>
                <w:szCs w:val="24"/>
              </w:rPr>
              <w:t xml:space="preserve"> </w:t>
            </w:r>
            <w:r w:rsidR="00852096" w:rsidRPr="00013904">
              <w:rPr>
                <w:rFonts w:ascii="Arial" w:eastAsia="Cambria" w:hAnsi="Arial" w:cs="Arial"/>
                <w:sz w:val="24"/>
                <w:szCs w:val="24"/>
              </w:rPr>
              <w:t>encapsulated</w:t>
            </w:r>
            <w:r w:rsidR="00C30079" w:rsidRPr="00013904">
              <w:rPr>
                <w:rFonts w:ascii="Arial" w:eastAsia="Cambria" w:hAnsi="Arial" w:cs="Arial"/>
                <w:sz w:val="24"/>
                <w:szCs w:val="24"/>
              </w:rPr>
              <w:t xml:space="preserve"> the requirements of r</w:t>
            </w:r>
            <w:r w:rsidR="00346400" w:rsidRPr="00013904">
              <w:rPr>
                <w:rFonts w:ascii="Arial" w:eastAsia="Cambria" w:hAnsi="Arial" w:cs="Arial"/>
                <w:sz w:val="24"/>
                <w:szCs w:val="24"/>
              </w:rPr>
              <w:t>ule 108 of the Rules of this Court</w:t>
            </w:r>
            <w:r w:rsidR="00C30079" w:rsidRPr="00013904">
              <w:rPr>
                <w:rFonts w:ascii="Arial" w:eastAsia="Cambria" w:hAnsi="Arial" w:cs="Arial"/>
                <w:sz w:val="24"/>
                <w:szCs w:val="24"/>
              </w:rPr>
              <w:t xml:space="preserve"> as follows: </w:t>
            </w:r>
          </w:p>
          <w:p w:rsidR="00346400" w:rsidRPr="008E52C4" w:rsidRDefault="00346400" w:rsidP="00346400">
            <w:pPr>
              <w:pStyle w:val="ListParagraph"/>
              <w:spacing w:line="360" w:lineRule="auto"/>
              <w:ind w:left="0"/>
              <w:jc w:val="both"/>
              <w:rPr>
                <w:rFonts w:ascii="Arial" w:eastAsia="Cambria" w:hAnsi="Arial" w:cs="Arial"/>
                <w:sz w:val="24"/>
                <w:szCs w:val="24"/>
              </w:rPr>
            </w:pPr>
          </w:p>
          <w:p w:rsidR="00346400" w:rsidRPr="00657E16" w:rsidRDefault="00C30079" w:rsidP="00875FE1">
            <w:pPr>
              <w:pStyle w:val="ListParagraph"/>
              <w:spacing w:after="200" w:line="360" w:lineRule="auto"/>
              <w:ind w:left="0" w:firstLine="342"/>
              <w:jc w:val="both"/>
              <w:rPr>
                <w:rFonts w:ascii="Arial" w:eastAsia="Cambria" w:hAnsi="Arial" w:cs="Arial"/>
              </w:rPr>
            </w:pPr>
            <w:r w:rsidRPr="008E52C4">
              <w:rPr>
                <w:rFonts w:ascii="Arial" w:eastAsia="Cambria" w:hAnsi="Arial" w:cs="Arial"/>
                <w:b/>
                <w:sz w:val="24"/>
                <w:szCs w:val="24"/>
              </w:rPr>
              <w:t xml:space="preserve">  </w:t>
            </w:r>
            <w:r w:rsidRPr="008E52C4">
              <w:rPr>
                <w:rFonts w:ascii="Arial" w:eastAsia="Cambria" w:hAnsi="Arial" w:cs="Arial"/>
                <w:sz w:val="24"/>
                <w:szCs w:val="24"/>
              </w:rPr>
              <w:t>‘[</w:t>
            </w:r>
            <w:r w:rsidRPr="00657E16">
              <w:rPr>
                <w:rFonts w:ascii="Arial" w:eastAsia="Cambria" w:hAnsi="Arial" w:cs="Arial"/>
              </w:rPr>
              <w:t>16]</w:t>
            </w:r>
            <w:r w:rsidRPr="00657E16">
              <w:rPr>
                <w:rFonts w:ascii="Arial" w:eastAsia="Cambria" w:hAnsi="Arial" w:cs="Arial"/>
                <w:b/>
              </w:rPr>
              <w:t xml:space="preserve"> </w:t>
            </w:r>
            <w:r w:rsidR="00346400" w:rsidRPr="00657E16">
              <w:rPr>
                <w:rFonts w:ascii="Arial" w:eastAsia="Cambria" w:hAnsi="Arial" w:cs="Arial"/>
              </w:rPr>
              <w:t>Firstly, a writ of execution against the immovable property of an execution debtor or of any other person may not be issued by the Registrar unless two jurisdictional facts set out in rule 108(1</w:t>
            </w:r>
            <w:proofErr w:type="gramStart"/>
            <w:r w:rsidR="00346400" w:rsidRPr="00657E16">
              <w:rPr>
                <w:rFonts w:ascii="Arial" w:eastAsia="Cambria" w:hAnsi="Arial" w:cs="Arial"/>
              </w:rPr>
              <w:t>)</w:t>
            </w:r>
            <w:r w:rsidR="00346400" w:rsidRPr="00657E16">
              <w:rPr>
                <w:rFonts w:ascii="Arial" w:eastAsia="Cambria" w:hAnsi="Arial" w:cs="Arial"/>
                <w:i/>
              </w:rPr>
              <w:t>(</w:t>
            </w:r>
            <w:proofErr w:type="gramEnd"/>
            <w:r w:rsidR="00346400" w:rsidRPr="00657E16">
              <w:rPr>
                <w:rFonts w:ascii="Arial" w:eastAsia="Cambria" w:hAnsi="Arial" w:cs="Arial"/>
                <w:i/>
              </w:rPr>
              <w:t>a)</w:t>
            </w:r>
            <w:r w:rsidR="00346400" w:rsidRPr="00657E16">
              <w:rPr>
                <w:rFonts w:ascii="Arial" w:eastAsia="Cambria" w:hAnsi="Arial" w:cs="Arial"/>
              </w:rPr>
              <w:t xml:space="preserve"> and </w:t>
            </w:r>
            <w:r w:rsidR="00346400" w:rsidRPr="00657E16">
              <w:rPr>
                <w:rFonts w:ascii="Arial" w:eastAsia="Cambria" w:hAnsi="Arial" w:cs="Arial"/>
                <w:i/>
              </w:rPr>
              <w:t>(b)</w:t>
            </w:r>
            <w:r w:rsidR="00346400" w:rsidRPr="00657E16">
              <w:rPr>
                <w:rFonts w:ascii="Arial" w:eastAsia="Cambria" w:hAnsi="Arial" w:cs="Arial"/>
              </w:rPr>
              <w:t xml:space="preserve"> are present. These are:</w:t>
            </w:r>
          </w:p>
          <w:p w:rsidR="00346400" w:rsidRPr="00657E16" w:rsidRDefault="00346400" w:rsidP="00346400">
            <w:pPr>
              <w:pStyle w:val="ListParagraph"/>
              <w:widowControl w:val="0"/>
              <w:autoSpaceDE w:val="0"/>
              <w:autoSpaceDN w:val="0"/>
              <w:adjustRightInd w:val="0"/>
              <w:spacing w:line="360" w:lineRule="auto"/>
              <w:ind w:left="0"/>
              <w:jc w:val="both"/>
              <w:rPr>
                <w:rFonts w:ascii="Arial" w:eastAsia="Cambria" w:hAnsi="Arial" w:cs="Arial"/>
              </w:rPr>
            </w:pPr>
          </w:p>
          <w:p w:rsidR="00346400" w:rsidRPr="00657E16" w:rsidRDefault="00346400" w:rsidP="00346400">
            <w:pPr>
              <w:pStyle w:val="ListParagraph"/>
              <w:numPr>
                <w:ilvl w:val="0"/>
                <w:numId w:val="9"/>
              </w:numPr>
              <w:spacing w:after="200" w:line="360" w:lineRule="auto"/>
              <w:jc w:val="both"/>
              <w:rPr>
                <w:rFonts w:ascii="Arial" w:eastAsia="Cambria" w:hAnsi="Arial" w:cs="Arial"/>
              </w:rPr>
            </w:pPr>
            <w:r w:rsidRPr="00657E16">
              <w:rPr>
                <w:rFonts w:ascii="Arial" w:eastAsia="Cambria" w:hAnsi="Arial" w:cs="Arial"/>
              </w:rPr>
              <w:t xml:space="preserve">A return issued against the movable property of the execution debtor from which it appears that the execution debtor or person has insufficient movable property to satisfy the writ; </w:t>
            </w:r>
          </w:p>
          <w:p w:rsidR="00346400" w:rsidRPr="00657E16" w:rsidRDefault="00346400" w:rsidP="00346400">
            <w:pPr>
              <w:pStyle w:val="ListParagraph"/>
              <w:spacing w:line="360" w:lineRule="auto"/>
              <w:jc w:val="both"/>
              <w:rPr>
                <w:rFonts w:ascii="Arial" w:eastAsia="Cambria" w:hAnsi="Arial" w:cs="Arial"/>
              </w:rPr>
            </w:pPr>
          </w:p>
          <w:p w:rsidR="00346400" w:rsidRPr="00657E16" w:rsidRDefault="00346400" w:rsidP="00346400">
            <w:pPr>
              <w:pStyle w:val="ListParagraph"/>
              <w:numPr>
                <w:ilvl w:val="0"/>
                <w:numId w:val="9"/>
              </w:numPr>
              <w:spacing w:after="200" w:line="360" w:lineRule="auto"/>
              <w:jc w:val="both"/>
              <w:rPr>
                <w:rFonts w:ascii="Arial" w:eastAsia="Cambria" w:hAnsi="Arial" w:cs="Arial"/>
              </w:rPr>
            </w:pPr>
            <w:r w:rsidRPr="00657E16">
              <w:rPr>
                <w:rFonts w:ascii="Arial" w:eastAsia="Cambria" w:hAnsi="Arial" w:cs="Arial"/>
              </w:rPr>
              <w:lastRenderedPageBreak/>
              <w:t xml:space="preserve">The immovable property has, on application made to the court by the execution creditor, been, declared to be </w:t>
            </w:r>
            <w:proofErr w:type="gramStart"/>
            <w:r w:rsidRPr="00657E16">
              <w:rPr>
                <w:rFonts w:ascii="Arial" w:eastAsia="Cambria" w:hAnsi="Arial" w:cs="Arial"/>
              </w:rPr>
              <w:t>specially</w:t>
            </w:r>
            <w:proofErr w:type="gramEnd"/>
            <w:r w:rsidRPr="00657E16">
              <w:rPr>
                <w:rFonts w:ascii="Arial" w:eastAsia="Cambria" w:hAnsi="Arial" w:cs="Arial"/>
              </w:rPr>
              <w:t xml:space="preserve"> executable.</w:t>
            </w:r>
          </w:p>
          <w:p w:rsidR="00346400" w:rsidRPr="00657E16" w:rsidRDefault="00346400" w:rsidP="00346400">
            <w:pPr>
              <w:pStyle w:val="ListParagraph"/>
              <w:widowControl w:val="0"/>
              <w:autoSpaceDE w:val="0"/>
              <w:autoSpaceDN w:val="0"/>
              <w:adjustRightInd w:val="0"/>
              <w:spacing w:line="360" w:lineRule="auto"/>
              <w:ind w:left="0"/>
              <w:jc w:val="both"/>
              <w:rPr>
                <w:rFonts w:ascii="Arial" w:eastAsia="Cambria" w:hAnsi="Arial" w:cs="Arial"/>
              </w:rPr>
            </w:pPr>
          </w:p>
          <w:p w:rsidR="00346400" w:rsidRPr="008E52C4" w:rsidRDefault="00C30079" w:rsidP="00C30079">
            <w:pPr>
              <w:pStyle w:val="ListParagraph"/>
              <w:spacing w:after="200" w:line="360" w:lineRule="auto"/>
              <w:ind w:left="0"/>
              <w:jc w:val="both"/>
              <w:rPr>
                <w:rFonts w:ascii="Arial" w:eastAsia="Cambria" w:hAnsi="Arial" w:cs="Arial"/>
                <w:sz w:val="24"/>
                <w:szCs w:val="24"/>
              </w:rPr>
            </w:pPr>
            <w:r w:rsidRPr="00657E16">
              <w:rPr>
                <w:rFonts w:ascii="Arial" w:eastAsia="Cambria" w:hAnsi="Arial" w:cs="Arial"/>
              </w:rPr>
              <w:t>[17]</w:t>
            </w:r>
            <w:r w:rsidRPr="00657E16">
              <w:rPr>
                <w:rFonts w:ascii="Arial" w:eastAsia="Cambria" w:hAnsi="Arial" w:cs="Arial"/>
              </w:rPr>
              <w:tab/>
            </w:r>
            <w:r w:rsidR="00346400" w:rsidRPr="00995BD8">
              <w:rPr>
                <w:rFonts w:ascii="Arial" w:eastAsia="Cambria" w:hAnsi="Arial" w:cs="Arial"/>
              </w:rPr>
              <w:t>Secondly,</w:t>
            </w:r>
            <w:r w:rsidR="00346400" w:rsidRPr="00657E16">
              <w:rPr>
                <w:rFonts w:ascii="Arial" w:eastAsia="Cambria" w:hAnsi="Arial" w:cs="Arial"/>
              </w:rPr>
              <w:t xml:space="preserve"> if the immovable property sought to be attached is the primary home of the execution debtor or is leased to a third party as a home, a court order declaring the immovable property specially executable may only be granted subject to the presence of certain jurisdictional facts under Rule 108(2)(a) and </w:t>
            </w:r>
            <w:r w:rsidR="00346400" w:rsidRPr="00657E16">
              <w:rPr>
                <w:rFonts w:ascii="Arial" w:eastAsia="Cambria" w:hAnsi="Arial" w:cs="Arial"/>
                <w:i/>
              </w:rPr>
              <w:t>(b).</w:t>
            </w:r>
            <w:r w:rsidR="00657E16">
              <w:rPr>
                <w:rFonts w:ascii="Arial" w:eastAsia="Cambria" w:hAnsi="Arial" w:cs="Arial"/>
              </w:rPr>
              <w:t>’</w:t>
            </w:r>
          </w:p>
          <w:p w:rsidR="00907D3E" w:rsidRPr="008E52C4" w:rsidRDefault="00907D3E" w:rsidP="00C30079">
            <w:pPr>
              <w:pStyle w:val="ListParagraph"/>
              <w:spacing w:after="200" w:line="360" w:lineRule="auto"/>
              <w:ind w:left="0"/>
              <w:jc w:val="both"/>
              <w:rPr>
                <w:rFonts w:ascii="Arial" w:eastAsia="Cambria" w:hAnsi="Arial" w:cs="Arial"/>
                <w:sz w:val="24"/>
                <w:szCs w:val="24"/>
              </w:rPr>
            </w:pPr>
          </w:p>
          <w:p w:rsidR="00F74A80" w:rsidRDefault="00F74A80" w:rsidP="00875FE1">
            <w:pPr>
              <w:pStyle w:val="ListParagraph"/>
              <w:numPr>
                <w:ilvl w:val="0"/>
                <w:numId w:val="27"/>
              </w:numPr>
              <w:spacing w:after="200" w:line="360" w:lineRule="auto"/>
              <w:ind w:left="0" w:firstLine="18"/>
              <w:jc w:val="both"/>
              <w:rPr>
                <w:rFonts w:ascii="Arial" w:eastAsia="Cambria" w:hAnsi="Arial" w:cs="Arial"/>
              </w:rPr>
            </w:pPr>
            <w:r w:rsidRPr="008E52C4">
              <w:rPr>
                <w:rFonts w:ascii="Arial" w:eastAsia="Cambria" w:hAnsi="Arial" w:cs="Arial"/>
                <w:sz w:val="24"/>
                <w:szCs w:val="24"/>
              </w:rPr>
              <w:t>There is no doubt that a mortgagee has the right to have recour</w:t>
            </w:r>
            <w:r w:rsidR="00C06641" w:rsidRPr="008E52C4">
              <w:rPr>
                <w:rFonts w:ascii="Arial" w:eastAsia="Cambria" w:hAnsi="Arial" w:cs="Arial"/>
                <w:sz w:val="24"/>
                <w:szCs w:val="24"/>
              </w:rPr>
              <w:t>se against the bonded property but also that the execution creditor has to follow the required procedures. I</w:t>
            </w:r>
            <w:r w:rsidR="00753DAC" w:rsidRPr="008E52C4">
              <w:rPr>
                <w:rFonts w:ascii="Arial" w:eastAsia="Cambria" w:hAnsi="Arial" w:cs="Arial"/>
                <w:sz w:val="24"/>
                <w:szCs w:val="24"/>
              </w:rPr>
              <w:t xml:space="preserve">n </w:t>
            </w:r>
            <w:r w:rsidRPr="008E52C4">
              <w:rPr>
                <w:rFonts w:ascii="Arial" w:eastAsia="Cambria" w:hAnsi="Arial" w:cs="Arial"/>
                <w:i/>
                <w:sz w:val="24"/>
                <w:szCs w:val="24"/>
              </w:rPr>
              <w:t xml:space="preserve">Standard Bank Namibia Ltd v </w:t>
            </w:r>
            <w:proofErr w:type="spellStart"/>
            <w:r w:rsidRPr="008E52C4">
              <w:rPr>
                <w:rFonts w:ascii="Arial" w:eastAsia="Cambria" w:hAnsi="Arial" w:cs="Arial"/>
                <w:i/>
                <w:sz w:val="24"/>
                <w:szCs w:val="24"/>
              </w:rPr>
              <w:t>Shipila</w:t>
            </w:r>
            <w:proofErr w:type="spellEnd"/>
            <w:r w:rsidRPr="008E52C4">
              <w:rPr>
                <w:rFonts w:ascii="Arial" w:eastAsia="Cambria" w:hAnsi="Arial" w:cs="Arial"/>
                <w:i/>
                <w:sz w:val="24"/>
                <w:szCs w:val="24"/>
              </w:rPr>
              <w:t xml:space="preserve"> and Others</w:t>
            </w:r>
            <w:r w:rsidRPr="008E52C4">
              <w:rPr>
                <w:rStyle w:val="FootnoteReference"/>
                <w:rFonts w:ascii="Arial" w:eastAsia="Cambria" w:hAnsi="Arial" w:cs="Arial"/>
                <w:i/>
                <w:sz w:val="24"/>
                <w:szCs w:val="24"/>
              </w:rPr>
              <w:footnoteReference w:id="2"/>
            </w:r>
            <w:r w:rsidRPr="008E52C4">
              <w:rPr>
                <w:rFonts w:ascii="Arial" w:eastAsia="Cambria" w:hAnsi="Arial" w:cs="Arial"/>
                <w:i/>
                <w:sz w:val="24"/>
                <w:szCs w:val="24"/>
              </w:rPr>
              <w:t xml:space="preserve"> </w:t>
            </w:r>
            <w:r w:rsidRPr="008E52C4">
              <w:rPr>
                <w:rFonts w:ascii="Arial" w:eastAsia="Cambria" w:hAnsi="Arial" w:cs="Arial"/>
                <w:sz w:val="24"/>
                <w:szCs w:val="24"/>
              </w:rPr>
              <w:t xml:space="preserve"> it was </w:t>
            </w:r>
            <w:r w:rsidR="00657E16">
              <w:rPr>
                <w:rFonts w:ascii="Arial" w:eastAsia="Cambria" w:hAnsi="Arial" w:cs="Arial"/>
                <w:sz w:val="24"/>
                <w:szCs w:val="24"/>
              </w:rPr>
              <w:t>held</w:t>
            </w:r>
            <w:r w:rsidR="00753DAC" w:rsidRPr="008E52C4">
              <w:rPr>
                <w:rFonts w:ascii="Arial" w:eastAsia="Cambria" w:hAnsi="Arial" w:cs="Arial"/>
                <w:sz w:val="24"/>
                <w:szCs w:val="24"/>
              </w:rPr>
              <w:t xml:space="preserve"> that</w:t>
            </w:r>
            <w:r w:rsidRPr="008E52C4">
              <w:rPr>
                <w:rFonts w:ascii="Arial" w:eastAsia="Cambria" w:hAnsi="Arial" w:cs="Arial"/>
                <w:sz w:val="24"/>
                <w:szCs w:val="24"/>
              </w:rPr>
              <w:t>:</w:t>
            </w:r>
            <w:r w:rsidRPr="008E52C4">
              <w:rPr>
                <w:rFonts w:ascii="Arial" w:eastAsia="Cambria" w:hAnsi="Arial" w:cs="Arial"/>
              </w:rPr>
              <w:t xml:space="preserve"> </w:t>
            </w:r>
          </w:p>
          <w:p w:rsidR="00657E16" w:rsidRPr="008E52C4" w:rsidRDefault="00657E16" w:rsidP="00F74A80">
            <w:pPr>
              <w:pStyle w:val="ListParagraph"/>
              <w:spacing w:after="200" w:line="360" w:lineRule="auto"/>
              <w:ind w:left="0"/>
              <w:jc w:val="both"/>
              <w:rPr>
                <w:rFonts w:ascii="Arial" w:eastAsia="Cambria" w:hAnsi="Arial" w:cs="Arial"/>
              </w:rPr>
            </w:pPr>
          </w:p>
          <w:p w:rsidR="00F74A80" w:rsidRPr="008E52C4" w:rsidRDefault="00657E16" w:rsidP="00F74A80">
            <w:pPr>
              <w:pStyle w:val="ListParagraph"/>
              <w:spacing w:after="200" w:line="360" w:lineRule="auto"/>
              <w:ind w:left="0"/>
              <w:jc w:val="both"/>
              <w:rPr>
                <w:rFonts w:ascii="Arial" w:eastAsia="Cambria" w:hAnsi="Arial" w:cs="Arial"/>
                <w:i/>
                <w:sz w:val="24"/>
                <w:szCs w:val="24"/>
              </w:rPr>
            </w:pPr>
            <w:r>
              <w:rPr>
                <w:rFonts w:ascii="Arial" w:eastAsia="Cambria" w:hAnsi="Arial" w:cs="Arial"/>
              </w:rPr>
              <w:tab/>
              <w:t xml:space="preserve">‘[15] . . . </w:t>
            </w:r>
            <w:r w:rsidR="00F74A80" w:rsidRPr="008E52C4">
              <w:rPr>
                <w:rFonts w:ascii="Arial" w:eastAsia="Cambria" w:hAnsi="Arial" w:cs="Arial"/>
              </w:rPr>
              <w:t>[M]</w:t>
            </w:r>
            <w:proofErr w:type="spellStart"/>
            <w:r w:rsidR="00F74A80" w:rsidRPr="008E52C4">
              <w:rPr>
                <w:rFonts w:ascii="Arial" w:eastAsia="Cambria" w:hAnsi="Arial" w:cs="Arial"/>
              </w:rPr>
              <w:t>ortgage</w:t>
            </w:r>
            <w:proofErr w:type="spellEnd"/>
            <w:r w:rsidR="00F74A80" w:rsidRPr="008E52C4">
              <w:rPr>
                <w:rFonts w:ascii="Arial" w:eastAsia="Cambria" w:hAnsi="Arial" w:cs="Arial"/>
              </w:rPr>
              <w:t xml:space="preserve"> creditors can rely on a limited real right and can insist, absent abuse of process or </w:t>
            </w:r>
            <w:r w:rsidR="00F74A80" w:rsidRPr="00657E16">
              <w:rPr>
                <w:rFonts w:ascii="Arial" w:eastAsia="Cambria" w:hAnsi="Arial" w:cs="Arial"/>
                <w:i/>
              </w:rPr>
              <w:t>mala fides</w:t>
            </w:r>
            <w:r w:rsidR="00F74A80" w:rsidRPr="008E52C4">
              <w:rPr>
                <w:rFonts w:ascii="Arial" w:eastAsia="Cambria" w:hAnsi="Arial" w:cs="Arial"/>
              </w:rPr>
              <w:t>, on directly executing their claims against specially hypothecated immovable property of the debtor in order to satisfy a claim, but where the immovable property is ‘the home of a person’ judicial oversight is required in order to ascertain whether foreclosure can be avoided, having regard to viable alternatives.’</w:t>
            </w:r>
          </w:p>
          <w:p w:rsidR="00FC09B3" w:rsidRPr="008E52C4" w:rsidRDefault="00FC09B3" w:rsidP="00F74A80">
            <w:pPr>
              <w:pStyle w:val="ListParagraph"/>
              <w:spacing w:after="200" w:line="360" w:lineRule="auto"/>
              <w:ind w:left="0"/>
              <w:jc w:val="both"/>
              <w:rPr>
                <w:rFonts w:ascii="Arial" w:eastAsia="Cambria" w:hAnsi="Arial" w:cs="Arial"/>
                <w:sz w:val="24"/>
                <w:szCs w:val="24"/>
              </w:rPr>
            </w:pPr>
          </w:p>
          <w:p w:rsidR="00875FE1" w:rsidRDefault="00B53133" w:rsidP="00106A83">
            <w:pPr>
              <w:pStyle w:val="ListParagraph"/>
              <w:spacing w:after="200" w:line="360" w:lineRule="auto"/>
              <w:ind w:left="0"/>
              <w:jc w:val="both"/>
              <w:rPr>
                <w:rFonts w:ascii="Arial" w:eastAsia="Times New Roman" w:hAnsi="Arial" w:cs="Arial"/>
                <w:sz w:val="24"/>
                <w:szCs w:val="24"/>
              </w:rPr>
            </w:pPr>
            <w:r w:rsidRPr="008E52C4">
              <w:rPr>
                <w:rFonts w:ascii="Arial" w:eastAsia="Times New Roman" w:hAnsi="Arial" w:cs="Arial"/>
                <w:sz w:val="24"/>
                <w:szCs w:val="24"/>
              </w:rPr>
              <w:t>[12]</w:t>
            </w:r>
            <w:r w:rsidRPr="008E52C4">
              <w:rPr>
                <w:rFonts w:ascii="Arial" w:eastAsia="Times New Roman" w:hAnsi="Arial" w:cs="Arial"/>
                <w:sz w:val="24"/>
                <w:szCs w:val="24"/>
              </w:rPr>
              <w:tab/>
            </w:r>
            <w:r w:rsidR="001950BB" w:rsidRPr="008E52C4">
              <w:rPr>
                <w:rFonts w:ascii="Arial" w:eastAsia="Times New Roman" w:hAnsi="Arial" w:cs="Arial"/>
                <w:sz w:val="24"/>
                <w:szCs w:val="24"/>
              </w:rPr>
              <w:t>I briefly pause at the contention</w:t>
            </w:r>
            <w:r w:rsidR="00657E16">
              <w:rPr>
                <w:rFonts w:ascii="Arial" w:eastAsia="Times New Roman" w:hAnsi="Arial" w:cs="Arial"/>
                <w:sz w:val="24"/>
                <w:szCs w:val="24"/>
              </w:rPr>
              <w:t xml:space="preserve"> by the applicant</w:t>
            </w:r>
            <w:r w:rsidR="001950BB" w:rsidRPr="008E52C4">
              <w:rPr>
                <w:rFonts w:ascii="Arial" w:eastAsia="Times New Roman" w:hAnsi="Arial" w:cs="Arial"/>
                <w:sz w:val="24"/>
                <w:szCs w:val="24"/>
              </w:rPr>
              <w:t xml:space="preserve"> that certain paragraphs </w:t>
            </w:r>
            <w:r w:rsidR="00106A83" w:rsidRPr="008E52C4">
              <w:rPr>
                <w:rFonts w:ascii="Arial" w:eastAsia="Times New Roman" w:hAnsi="Arial" w:cs="Arial"/>
                <w:sz w:val="24"/>
                <w:szCs w:val="24"/>
              </w:rPr>
              <w:t xml:space="preserve">in the respondent’s answering affidavit </w:t>
            </w:r>
            <w:r w:rsidR="001950BB" w:rsidRPr="008E52C4">
              <w:rPr>
                <w:rFonts w:ascii="Arial" w:eastAsia="Times New Roman" w:hAnsi="Arial" w:cs="Arial"/>
                <w:sz w:val="24"/>
                <w:szCs w:val="24"/>
              </w:rPr>
              <w:t xml:space="preserve">should be struck out. It appears to </w:t>
            </w:r>
            <w:r w:rsidR="00106A83" w:rsidRPr="008E52C4">
              <w:rPr>
                <w:rFonts w:ascii="Arial" w:eastAsia="Times New Roman" w:hAnsi="Arial" w:cs="Arial"/>
                <w:sz w:val="24"/>
                <w:szCs w:val="24"/>
              </w:rPr>
              <w:t xml:space="preserve">be an afterthought as </w:t>
            </w:r>
            <w:r w:rsidR="00753DAC" w:rsidRPr="008E52C4">
              <w:rPr>
                <w:rFonts w:ascii="Arial" w:eastAsia="Times New Roman" w:hAnsi="Arial" w:cs="Arial"/>
                <w:sz w:val="24"/>
                <w:szCs w:val="24"/>
              </w:rPr>
              <w:t>no averments pertaining to that relief ha</w:t>
            </w:r>
            <w:r w:rsidR="002056CD" w:rsidRPr="008E52C4">
              <w:rPr>
                <w:rFonts w:ascii="Arial" w:eastAsia="Times New Roman" w:hAnsi="Arial" w:cs="Arial"/>
                <w:sz w:val="24"/>
                <w:szCs w:val="24"/>
              </w:rPr>
              <w:t xml:space="preserve">ve </w:t>
            </w:r>
            <w:r w:rsidR="00753DAC" w:rsidRPr="008E52C4">
              <w:rPr>
                <w:rFonts w:ascii="Arial" w:eastAsia="Times New Roman" w:hAnsi="Arial" w:cs="Arial"/>
                <w:sz w:val="24"/>
                <w:szCs w:val="24"/>
              </w:rPr>
              <w:t xml:space="preserve">been made in the founding </w:t>
            </w:r>
            <w:r w:rsidR="001950BB" w:rsidRPr="008E52C4">
              <w:rPr>
                <w:rFonts w:ascii="Arial" w:eastAsia="Times New Roman" w:hAnsi="Arial" w:cs="Arial"/>
                <w:sz w:val="24"/>
                <w:szCs w:val="24"/>
              </w:rPr>
              <w:t>affidavit, nor was any specific application filed for that.</w:t>
            </w:r>
            <w:r w:rsidR="00657E16">
              <w:rPr>
                <w:rFonts w:ascii="Arial" w:eastAsia="Times New Roman" w:hAnsi="Arial" w:cs="Arial"/>
                <w:sz w:val="24"/>
                <w:szCs w:val="24"/>
              </w:rPr>
              <w:t xml:space="preserve"> I thus agree</w:t>
            </w:r>
            <w:r w:rsidR="00106A83" w:rsidRPr="008E52C4">
              <w:rPr>
                <w:rFonts w:ascii="Arial" w:eastAsia="Times New Roman" w:hAnsi="Arial" w:cs="Arial"/>
                <w:sz w:val="24"/>
                <w:szCs w:val="24"/>
              </w:rPr>
              <w:t xml:space="preserve"> with the stance of the counsel for the respondent that it is not just for the mere asking in heads of argument. </w:t>
            </w:r>
            <w:r w:rsidR="00995BD8">
              <w:rPr>
                <w:rFonts w:ascii="Arial" w:eastAsia="Times New Roman" w:hAnsi="Arial" w:cs="Arial"/>
                <w:sz w:val="24"/>
                <w:szCs w:val="24"/>
              </w:rPr>
              <w:t xml:space="preserve">Furthermore, the applicant in </w:t>
            </w:r>
            <w:proofErr w:type="spellStart"/>
            <w:proofErr w:type="gramStart"/>
            <w:r w:rsidR="00995BD8">
              <w:rPr>
                <w:rFonts w:ascii="Arial" w:eastAsia="Times New Roman" w:hAnsi="Arial" w:cs="Arial"/>
                <w:sz w:val="24"/>
                <w:szCs w:val="24"/>
              </w:rPr>
              <w:t>it’s</w:t>
            </w:r>
            <w:proofErr w:type="spellEnd"/>
            <w:proofErr w:type="gramEnd"/>
            <w:r w:rsidR="00995BD8">
              <w:rPr>
                <w:rFonts w:ascii="Arial" w:eastAsia="Times New Roman" w:hAnsi="Arial" w:cs="Arial"/>
                <w:sz w:val="24"/>
                <w:szCs w:val="24"/>
              </w:rPr>
              <w:t xml:space="preserve"> heads of argument submits that the respondent has filed its answering affidavit late and thus there is no opposition</w:t>
            </w:r>
            <w:r w:rsidR="005C1B97">
              <w:rPr>
                <w:rFonts w:ascii="Arial" w:eastAsia="Times New Roman" w:hAnsi="Arial" w:cs="Arial"/>
                <w:sz w:val="24"/>
                <w:szCs w:val="24"/>
              </w:rPr>
              <w:t xml:space="preserve"> against the summary judgment application</w:t>
            </w:r>
            <w:r w:rsidR="00995BD8">
              <w:rPr>
                <w:rFonts w:ascii="Arial" w:eastAsia="Times New Roman" w:hAnsi="Arial" w:cs="Arial"/>
                <w:sz w:val="24"/>
                <w:szCs w:val="24"/>
              </w:rPr>
              <w:t xml:space="preserve"> before court. It is evident on the </w:t>
            </w:r>
            <w:proofErr w:type="spellStart"/>
            <w:r w:rsidR="00995BD8">
              <w:rPr>
                <w:rFonts w:ascii="Arial" w:eastAsia="Times New Roman" w:hAnsi="Arial" w:cs="Arial"/>
                <w:sz w:val="24"/>
                <w:szCs w:val="24"/>
              </w:rPr>
              <w:t>ejustice</w:t>
            </w:r>
            <w:proofErr w:type="spellEnd"/>
            <w:r w:rsidR="00995BD8">
              <w:rPr>
                <w:rFonts w:ascii="Arial" w:eastAsia="Times New Roman" w:hAnsi="Arial" w:cs="Arial"/>
                <w:sz w:val="24"/>
                <w:szCs w:val="24"/>
              </w:rPr>
              <w:t xml:space="preserve"> </w:t>
            </w:r>
            <w:r w:rsidR="005C1B97">
              <w:rPr>
                <w:rFonts w:ascii="Arial" w:eastAsia="Times New Roman" w:hAnsi="Arial" w:cs="Arial"/>
                <w:sz w:val="24"/>
                <w:szCs w:val="24"/>
              </w:rPr>
              <w:t>file that</w:t>
            </w:r>
            <w:r w:rsidR="00995BD8">
              <w:rPr>
                <w:rFonts w:ascii="Arial" w:eastAsia="Times New Roman" w:hAnsi="Arial" w:cs="Arial"/>
                <w:sz w:val="24"/>
                <w:szCs w:val="24"/>
              </w:rPr>
              <w:t xml:space="preserve"> the parties engaged in settlement negotiations after the applicant indicated its intention to bring a summary judgm</w:t>
            </w:r>
            <w:r w:rsidR="005C1B97">
              <w:rPr>
                <w:rFonts w:ascii="Arial" w:eastAsia="Times New Roman" w:hAnsi="Arial" w:cs="Arial"/>
                <w:sz w:val="24"/>
                <w:szCs w:val="24"/>
              </w:rPr>
              <w:t xml:space="preserve">ent application. Thereafter, the parties agreed, by virtue of a joint status report which was filed on 19 June 2023 that the respondents was to file its ‘answering papers to the summary </w:t>
            </w:r>
            <w:r w:rsidR="005C1B97">
              <w:rPr>
                <w:rFonts w:ascii="Arial" w:eastAsia="Times New Roman" w:hAnsi="Arial" w:cs="Arial"/>
                <w:sz w:val="24"/>
                <w:szCs w:val="24"/>
              </w:rPr>
              <w:lastRenderedPageBreak/>
              <w:t>judgment application on 30 June 2023’, which it did. Thus, the latter submission by the applicant bears no merit.</w:t>
            </w:r>
          </w:p>
          <w:p w:rsidR="00875FE1" w:rsidRDefault="00875FE1" w:rsidP="00106A83">
            <w:pPr>
              <w:pStyle w:val="ListParagraph"/>
              <w:spacing w:after="200" w:line="360" w:lineRule="auto"/>
              <w:ind w:left="0"/>
              <w:jc w:val="both"/>
              <w:rPr>
                <w:rFonts w:ascii="Arial" w:eastAsia="Times New Roman" w:hAnsi="Arial" w:cs="Arial"/>
                <w:sz w:val="24"/>
                <w:szCs w:val="24"/>
              </w:rPr>
            </w:pPr>
          </w:p>
          <w:p w:rsidR="00875FE1" w:rsidRDefault="001950BB" w:rsidP="00BE7662">
            <w:pPr>
              <w:pStyle w:val="ListParagraph"/>
              <w:numPr>
                <w:ilvl w:val="0"/>
                <w:numId w:val="27"/>
              </w:numPr>
              <w:spacing w:after="200" w:line="360" w:lineRule="auto"/>
              <w:ind w:left="0" w:firstLine="18"/>
              <w:jc w:val="both"/>
              <w:rPr>
                <w:rFonts w:ascii="Arial" w:eastAsia="Times New Roman" w:hAnsi="Arial" w:cs="Arial"/>
                <w:sz w:val="24"/>
                <w:szCs w:val="24"/>
              </w:rPr>
            </w:pPr>
            <w:r w:rsidRPr="008E52C4">
              <w:rPr>
                <w:rFonts w:ascii="Arial" w:eastAsia="Times New Roman" w:hAnsi="Arial" w:cs="Arial"/>
                <w:sz w:val="24"/>
                <w:szCs w:val="24"/>
              </w:rPr>
              <w:t>In considering the requirements that the execution creditor had to meet, there is no doubt that it omitted to have served the le</w:t>
            </w:r>
            <w:r w:rsidR="00106A83" w:rsidRPr="008E52C4">
              <w:rPr>
                <w:rFonts w:ascii="Arial" w:eastAsia="Times New Roman" w:hAnsi="Arial" w:cs="Arial"/>
                <w:sz w:val="24"/>
                <w:szCs w:val="24"/>
              </w:rPr>
              <w:t xml:space="preserve">ssee that occupies the property. Had that happened, this court could attach </w:t>
            </w:r>
            <w:r w:rsidRPr="008E52C4">
              <w:rPr>
                <w:rFonts w:ascii="Arial" w:eastAsia="Times New Roman" w:hAnsi="Arial" w:cs="Arial"/>
                <w:sz w:val="24"/>
                <w:szCs w:val="24"/>
              </w:rPr>
              <w:t xml:space="preserve">weight to the contention that there was no explanation as to why the lessee could not seek </w:t>
            </w:r>
            <w:r w:rsidR="00106A83" w:rsidRPr="008E52C4">
              <w:rPr>
                <w:rFonts w:ascii="Arial" w:eastAsia="Times New Roman" w:hAnsi="Arial" w:cs="Arial"/>
                <w:sz w:val="24"/>
                <w:szCs w:val="24"/>
              </w:rPr>
              <w:t>alternative accommodation.</w:t>
            </w:r>
            <w:r w:rsidR="00D176F8" w:rsidRPr="008E52C4">
              <w:rPr>
                <w:rFonts w:ascii="Arial" w:eastAsia="Times New Roman" w:hAnsi="Arial" w:cs="Arial"/>
                <w:sz w:val="24"/>
                <w:szCs w:val="24"/>
              </w:rPr>
              <w:t xml:space="preserve"> However no formal notice was given to the lessee, thus it is not clear how such person can be expected to furnish an explanation. Be that as it may, as things stand now, the execution creditor has failed to comply with r 108(2</w:t>
            </w:r>
            <w:proofErr w:type="gramStart"/>
            <w:r w:rsidR="00D176F8" w:rsidRPr="008E52C4">
              <w:rPr>
                <w:rFonts w:ascii="Arial" w:eastAsia="Times New Roman" w:hAnsi="Arial" w:cs="Arial"/>
                <w:sz w:val="24"/>
                <w:szCs w:val="24"/>
              </w:rPr>
              <w:t>)(</w:t>
            </w:r>
            <w:proofErr w:type="gramEnd"/>
            <w:r w:rsidR="00D176F8" w:rsidRPr="00657E16">
              <w:rPr>
                <w:rFonts w:ascii="Arial" w:eastAsia="Times New Roman" w:hAnsi="Arial" w:cs="Arial"/>
                <w:i/>
                <w:sz w:val="24"/>
                <w:szCs w:val="24"/>
              </w:rPr>
              <w:t>b</w:t>
            </w:r>
            <w:r w:rsidR="00D176F8" w:rsidRPr="008E52C4">
              <w:rPr>
                <w:rFonts w:ascii="Arial" w:eastAsia="Times New Roman" w:hAnsi="Arial" w:cs="Arial"/>
                <w:sz w:val="24"/>
                <w:szCs w:val="24"/>
              </w:rPr>
              <w:t>) of the rules of this court.</w:t>
            </w:r>
          </w:p>
          <w:p w:rsidR="00875FE1" w:rsidRDefault="00875FE1" w:rsidP="00875FE1">
            <w:pPr>
              <w:pStyle w:val="ListParagraph"/>
              <w:spacing w:after="200" w:line="360" w:lineRule="auto"/>
              <w:ind w:left="18"/>
              <w:jc w:val="both"/>
              <w:rPr>
                <w:rFonts w:ascii="Arial" w:eastAsia="Times New Roman" w:hAnsi="Arial" w:cs="Arial"/>
                <w:sz w:val="24"/>
                <w:szCs w:val="24"/>
              </w:rPr>
            </w:pPr>
          </w:p>
          <w:p w:rsidR="00875FE1" w:rsidRDefault="00D176F8" w:rsidP="00BE7662">
            <w:pPr>
              <w:pStyle w:val="ListParagraph"/>
              <w:numPr>
                <w:ilvl w:val="0"/>
                <w:numId w:val="27"/>
              </w:numPr>
              <w:spacing w:after="200" w:line="360" w:lineRule="auto"/>
              <w:ind w:left="0" w:firstLine="18"/>
              <w:jc w:val="both"/>
              <w:rPr>
                <w:rFonts w:ascii="Arial" w:eastAsia="Times New Roman" w:hAnsi="Arial" w:cs="Arial"/>
                <w:sz w:val="24"/>
                <w:szCs w:val="24"/>
              </w:rPr>
            </w:pPr>
            <w:r w:rsidRPr="00875FE1">
              <w:rPr>
                <w:rFonts w:ascii="Arial" w:eastAsia="Times New Roman" w:hAnsi="Arial" w:cs="Arial"/>
                <w:sz w:val="24"/>
                <w:szCs w:val="24"/>
              </w:rPr>
              <w:t>Finally, even if the court would have entertained the argument by counsel for the execution debtor to assume that the lessee somehow learn</w:t>
            </w:r>
            <w:r w:rsidR="00875FE1">
              <w:rPr>
                <w:rFonts w:ascii="Arial" w:eastAsia="Times New Roman" w:hAnsi="Arial" w:cs="Arial"/>
                <w:sz w:val="24"/>
                <w:szCs w:val="24"/>
              </w:rPr>
              <w:t>ed</w:t>
            </w:r>
            <w:r w:rsidRPr="00875FE1">
              <w:rPr>
                <w:rFonts w:ascii="Arial" w:eastAsia="Times New Roman" w:hAnsi="Arial" w:cs="Arial"/>
                <w:sz w:val="24"/>
                <w:szCs w:val="24"/>
              </w:rPr>
              <w:t xml:space="preserve"> about the execution, this court is not convinced that there are no viable alternatives presented by the execution debtor. It is not enti</w:t>
            </w:r>
            <w:r w:rsidR="00FC4F11" w:rsidRPr="00875FE1">
              <w:rPr>
                <w:rFonts w:ascii="Arial" w:eastAsia="Times New Roman" w:hAnsi="Arial" w:cs="Arial"/>
                <w:sz w:val="24"/>
                <w:szCs w:val="24"/>
              </w:rPr>
              <w:t xml:space="preserve">rely true that the debtor has placed nothing before this court from which it can be </w:t>
            </w:r>
            <w:r w:rsidR="00BE7662" w:rsidRPr="00875FE1">
              <w:rPr>
                <w:rFonts w:ascii="Arial" w:eastAsia="Times New Roman" w:hAnsi="Arial" w:cs="Arial"/>
                <w:sz w:val="24"/>
                <w:szCs w:val="24"/>
              </w:rPr>
              <w:t xml:space="preserve">gauged that the debtor cannot pay off the outstanding amounts. Apart from the lease contract which </w:t>
            </w:r>
            <w:r w:rsidR="00875FE1">
              <w:rPr>
                <w:rFonts w:ascii="Arial" w:eastAsia="Times New Roman" w:hAnsi="Arial" w:cs="Arial"/>
                <w:sz w:val="24"/>
                <w:szCs w:val="24"/>
              </w:rPr>
              <w:t>was signed</w:t>
            </w:r>
            <w:r w:rsidR="006B6011" w:rsidRPr="00875FE1">
              <w:rPr>
                <w:rFonts w:ascii="Arial" w:eastAsia="Times New Roman" w:hAnsi="Arial" w:cs="Arial"/>
                <w:sz w:val="24"/>
                <w:szCs w:val="24"/>
              </w:rPr>
              <w:t xml:space="preserve"> until 2026 and </w:t>
            </w:r>
            <w:r w:rsidR="00875FE1">
              <w:rPr>
                <w:rFonts w:ascii="Arial" w:eastAsia="Times New Roman" w:hAnsi="Arial" w:cs="Arial"/>
                <w:sz w:val="24"/>
                <w:szCs w:val="24"/>
              </w:rPr>
              <w:t xml:space="preserve">that </w:t>
            </w:r>
            <w:r w:rsidR="006B6011" w:rsidRPr="00875FE1">
              <w:rPr>
                <w:rFonts w:ascii="Arial" w:eastAsia="Times New Roman" w:hAnsi="Arial" w:cs="Arial"/>
                <w:sz w:val="24"/>
                <w:szCs w:val="24"/>
              </w:rPr>
              <w:t xml:space="preserve">will bring in </w:t>
            </w:r>
            <w:r w:rsidR="00657E16" w:rsidRPr="00875FE1">
              <w:rPr>
                <w:rFonts w:ascii="Arial" w:eastAsia="Times New Roman" w:hAnsi="Arial" w:cs="Arial"/>
                <w:sz w:val="24"/>
                <w:szCs w:val="24"/>
              </w:rPr>
              <w:t>N$</w:t>
            </w:r>
            <w:r w:rsidR="00BE7662" w:rsidRPr="00875FE1">
              <w:rPr>
                <w:rFonts w:ascii="Arial" w:eastAsia="Times New Roman" w:hAnsi="Arial" w:cs="Arial"/>
                <w:sz w:val="24"/>
                <w:szCs w:val="24"/>
              </w:rPr>
              <w:t xml:space="preserve">25 000 each month, </w:t>
            </w:r>
            <w:r w:rsidR="00A0130C" w:rsidRPr="00875FE1">
              <w:rPr>
                <w:rFonts w:ascii="Arial" w:eastAsia="Times New Roman" w:hAnsi="Arial" w:cs="Arial"/>
                <w:sz w:val="24"/>
                <w:szCs w:val="24"/>
              </w:rPr>
              <w:t xml:space="preserve">it also transpires that </w:t>
            </w:r>
            <w:r w:rsidR="00BE7662" w:rsidRPr="00875FE1">
              <w:rPr>
                <w:rFonts w:ascii="Arial" w:eastAsia="Times New Roman" w:hAnsi="Arial" w:cs="Arial"/>
                <w:sz w:val="24"/>
                <w:szCs w:val="24"/>
              </w:rPr>
              <w:t>the delivery of salt is not a once off delivery as contended by counsel for the execution creditor. The signed contract shows it to be for the delivery of 300 tonnes of s</w:t>
            </w:r>
            <w:r w:rsidR="002056CD" w:rsidRPr="00875FE1">
              <w:rPr>
                <w:rFonts w:ascii="Arial" w:eastAsia="Times New Roman" w:hAnsi="Arial" w:cs="Arial"/>
                <w:sz w:val="24"/>
                <w:szCs w:val="24"/>
              </w:rPr>
              <w:t xml:space="preserve">alt every week for a minimum of </w:t>
            </w:r>
            <w:r w:rsidR="00875FE1">
              <w:rPr>
                <w:rFonts w:ascii="Arial" w:eastAsia="Times New Roman" w:hAnsi="Arial" w:cs="Arial"/>
                <w:sz w:val="24"/>
                <w:szCs w:val="24"/>
              </w:rPr>
              <w:t>three</w:t>
            </w:r>
            <w:r w:rsidR="00BE7662" w:rsidRPr="00875FE1">
              <w:rPr>
                <w:rFonts w:ascii="Arial" w:eastAsia="Times New Roman" w:hAnsi="Arial" w:cs="Arial"/>
                <w:sz w:val="24"/>
                <w:szCs w:val="24"/>
              </w:rPr>
              <w:t xml:space="preserve"> year</w:t>
            </w:r>
            <w:r w:rsidR="002056CD" w:rsidRPr="00875FE1">
              <w:rPr>
                <w:rFonts w:ascii="Arial" w:eastAsia="Times New Roman" w:hAnsi="Arial" w:cs="Arial"/>
                <w:sz w:val="24"/>
                <w:szCs w:val="24"/>
              </w:rPr>
              <w:t>s</w:t>
            </w:r>
            <w:r w:rsidR="006B6011" w:rsidRPr="00875FE1">
              <w:rPr>
                <w:rFonts w:ascii="Arial" w:eastAsia="Times New Roman" w:hAnsi="Arial" w:cs="Arial"/>
                <w:sz w:val="24"/>
                <w:szCs w:val="24"/>
              </w:rPr>
              <w:t xml:space="preserve">, which carries the expectation of substantial income for the said period. </w:t>
            </w:r>
            <w:r w:rsidR="00A0130C" w:rsidRPr="00875FE1">
              <w:rPr>
                <w:rFonts w:ascii="Arial" w:eastAsia="Times New Roman" w:hAnsi="Arial" w:cs="Arial"/>
                <w:sz w:val="24"/>
                <w:szCs w:val="24"/>
              </w:rPr>
              <w:t>For these reasons the court is satisfied that the debtor will have means to pay the outstanding debt and the application stand to fail.</w:t>
            </w:r>
          </w:p>
          <w:p w:rsidR="00875FE1" w:rsidRDefault="00875FE1" w:rsidP="00875FE1">
            <w:pPr>
              <w:pStyle w:val="ListParagraph"/>
              <w:spacing w:after="200" w:line="360" w:lineRule="auto"/>
              <w:ind w:left="18"/>
              <w:jc w:val="both"/>
              <w:rPr>
                <w:rFonts w:ascii="Arial" w:eastAsia="Times New Roman" w:hAnsi="Arial" w:cs="Arial"/>
                <w:sz w:val="24"/>
                <w:szCs w:val="24"/>
              </w:rPr>
            </w:pPr>
          </w:p>
          <w:p w:rsidR="00BE14C8" w:rsidRDefault="00A0130C" w:rsidP="00BE14C8">
            <w:pPr>
              <w:pStyle w:val="ListParagraph"/>
              <w:numPr>
                <w:ilvl w:val="0"/>
                <w:numId w:val="27"/>
              </w:numPr>
              <w:spacing w:after="200" w:line="360" w:lineRule="auto"/>
              <w:ind w:left="0" w:firstLine="18"/>
              <w:jc w:val="both"/>
              <w:rPr>
                <w:rFonts w:ascii="Arial" w:eastAsia="Times New Roman" w:hAnsi="Arial" w:cs="Arial"/>
                <w:sz w:val="24"/>
                <w:szCs w:val="24"/>
              </w:rPr>
            </w:pPr>
            <w:r w:rsidRPr="00875FE1">
              <w:rPr>
                <w:rFonts w:ascii="Arial" w:eastAsia="Times New Roman" w:hAnsi="Arial" w:cs="Arial"/>
                <w:sz w:val="24"/>
                <w:szCs w:val="24"/>
              </w:rPr>
              <w:t xml:space="preserve">In the result the following order is made. </w:t>
            </w:r>
          </w:p>
          <w:p w:rsidR="00BE14C8" w:rsidRPr="00BE14C8" w:rsidRDefault="00BE14C8" w:rsidP="00BE14C8">
            <w:pPr>
              <w:pStyle w:val="ListParagraph"/>
              <w:rPr>
                <w:rFonts w:ascii="Arial" w:eastAsia="Calibri" w:hAnsi="Arial" w:cs="Arial"/>
                <w:sz w:val="24"/>
                <w:szCs w:val="24"/>
              </w:rPr>
            </w:pPr>
          </w:p>
          <w:p w:rsidR="00BE14C8" w:rsidRPr="00BE14C8" w:rsidRDefault="00BE14C8" w:rsidP="00BE14C8">
            <w:pPr>
              <w:pStyle w:val="ListParagraph"/>
              <w:numPr>
                <w:ilvl w:val="0"/>
                <w:numId w:val="33"/>
              </w:numPr>
              <w:spacing w:after="200" w:line="360" w:lineRule="auto"/>
              <w:jc w:val="both"/>
              <w:rPr>
                <w:rFonts w:ascii="Arial" w:eastAsia="Times New Roman" w:hAnsi="Arial" w:cs="Arial"/>
                <w:sz w:val="24"/>
                <w:szCs w:val="24"/>
              </w:rPr>
            </w:pPr>
            <w:r w:rsidRPr="00BE14C8">
              <w:rPr>
                <w:rFonts w:ascii="Arial" w:eastAsia="Calibri" w:hAnsi="Arial" w:cs="Arial"/>
                <w:sz w:val="24"/>
                <w:szCs w:val="24"/>
              </w:rPr>
              <w:t>The application for summary judgment is granted in the following terms:</w:t>
            </w:r>
          </w:p>
          <w:p w:rsidR="00BE14C8" w:rsidRPr="00BE14C8" w:rsidRDefault="00BE14C8" w:rsidP="00BE14C8">
            <w:pPr>
              <w:pStyle w:val="ListParagraph"/>
              <w:spacing w:before="240" w:line="360" w:lineRule="auto"/>
              <w:jc w:val="both"/>
              <w:rPr>
                <w:rFonts w:ascii="Arial" w:eastAsia="Calibri" w:hAnsi="Arial" w:cs="Arial"/>
                <w:b/>
                <w:sz w:val="24"/>
                <w:szCs w:val="24"/>
              </w:rPr>
            </w:pPr>
          </w:p>
          <w:p w:rsidR="00BE14C8" w:rsidRPr="008E52C4" w:rsidRDefault="00BE14C8" w:rsidP="00BE14C8">
            <w:pPr>
              <w:pStyle w:val="ListParagraph"/>
              <w:spacing w:line="360" w:lineRule="auto"/>
              <w:ind w:left="1080" w:hanging="378"/>
              <w:jc w:val="both"/>
              <w:rPr>
                <w:rFonts w:ascii="Arial" w:eastAsia="Calibri" w:hAnsi="Arial" w:cs="Arial"/>
                <w:sz w:val="24"/>
                <w:szCs w:val="24"/>
              </w:rPr>
            </w:pPr>
            <w:r w:rsidRPr="008E52C4">
              <w:rPr>
                <w:rFonts w:ascii="Arial" w:eastAsia="Calibri" w:hAnsi="Arial" w:cs="Arial"/>
                <w:sz w:val="24"/>
                <w:szCs w:val="24"/>
              </w:rPr>
              <w:t>Claim 1:</w:t>
            </w:r>
          </w:p>
          <w:p w:rsidR="00BE14C8" w:rsidRPr="00BE14C8" w:rsidRDefault="00BE14C8" w:rsidP="00BE14C8">
            <w:pPr>
              <w:pStyle w:val="ListParagraph"/>
              <w:numPr>
                <w:ilvl w:val="1"/>
                <w:numId w:val="33"/>
              </w:numPr>
              <w:spacing w:line="360" w:lineRule="auto"/>
              <w:jc w:val="both"/>
              <w:rPr>
                <w:rFonts w:ascii="Arial" w:eastAsia="Calibri" w:hAnsi="Arial" w:cs="Arial"/>
                <w:sz w:val="24"/>
                <w:szCs w:val="24"/>
              </w:rPr>
            </w:pPr>
            <w:r w:rsidRPr="00BE14C8">
              <w:rPr>
                <w:rFonts w:ascii="Arial" w:eastAsia="Calibri" w:hAnsi="Arial" w:cs="Arial"/>
                <w:sz w:val="24"/>
                <w:szCs w:val="24"/>
              </w:rPr>
              <w:t>Payment in the amount of N$2 775 646.82;</w:t>
            </w:r>
          </w:p>
          <w:p w:rsidR="00BE14C8" w:rsidRPr="00BE14C8" w:rsidRDefault="00BE14C8" w:rsidP="00BE14C8">
            <w:pPr>
              <w:pStyle w:val="ListParagraph"/>
              <w:numPr>
                <w:ilvl w:val="1"/>
                <w:numId w:val="33"/>
              </w:numPr>
              <w:spacing w:line="360" w:lineRule="auto"/>
              <w:jc w:val="both"/>
              <w:rPr>
                <w:rFonts w:ascii="Arial" w:eastAsia="Calibri" w:hAnsi="Arial" w:cs="Arial"/>
                <w:sz w:val="24"/>
                <w:szCs w:val="24"/>
              </w:rPr>
            </w:pPr>
            <w:r w:rsidRPr="00BE14C8">
              <w:rPr>
                <w:rFonts w:ascii="Arial" w:eastAsia="Calibri" w:hAnsi="Arial" w:cs="Arial"/>
                <w:sz w:val="24"/>
                <w:szCs w:val="24"/>
              </w:rPr>
              <w:lastRenderedPageBreak/>
              <w:t xml:space="preserve">Compound interest calculated daily and capitalised monthly at plaintiff’s prime lending rate of interest from time to time, currently 10.5% plus 1.5% per year calculated from 8 February 2023 to date of final payment; </w:t>
            </w:r>
          </w:p>
          <w:p w:rsidR="00BE14C8" w:rsidRPr="00236628" w:rsidRDefault="00BE14C8" w:rsidP="00BE14C8">
            <w:pPr>
              <w:pStyle w:val="ListParagraph"/>
              <w:numPr>
                <w:ilvl w:val="1"/>
                <w:numId w:val="33"/>
              </w:numPr>
              <w:spacing w:after="160" w:line="360" w:lineRule="auto"/>
              <w:jc w:val="both"/>
              <w:rPr>
                <w:rFonts w:ascii="Arial" w:eastAsia="Calibri" w:hAnsi="Arial" w:cs="Arial"/>
                <w:sz w:val="24"/>
                <w:szCs w:val="24"/>
              </w:rPr>
            </w:pPr>
            <w:r w:rsidRPr="00236628">
              <w:rPr>
                <w:rFonts w:ascii="Arial" w:eastAsia="Calibri" w:hAnsi="Arial" w:cs="Arial"/>
                <w:sz w:val="24"/>
                <w:szCs w:val="24"/>
              </w:rPr>
              <w:t>Cost of suit on scale as between attorney and own client as agreed.</w:t>
            </w:r>
          </w:p>
          <w:p w:rsidR="00BE14C8" w:rsidRPr="00C43A9E" w:rsidRDefault="00BE14C8" w:rsidP="00BE14C8">
            <w:pPr>
              <w:spacing w:line="360" w:lineRule="auto"/>
              <w:ind w:left="1080"/>
              <w:contextualSpacing/>
              <w:jc w:val="both"/>
              <w:rPr>
                <w:rFonts w:ascii="Arial" w:eastAsia="Calibri" w:hAnsi="Arial" w:cs="Arial"/>
                <w:sz w:val="24"/>
                <w:szCs w:val="24"/>
              </w:rPr>
            </w:pPr>
          </w:p>
          <w:p w:rsidR="00BE14C8" w:rsidRPr="008E52C4" w:rsidRDefault="00BE14C8" w:rsidP="00BE14C8">
            <w:pPr>
              <w:pStyle w:val="ListParagraph"/>
              <w:spacing w:line="360" w:lineRule="auto"/>
              <w:ind w:left="18"/>
              <w:jc w:val="both"/>
              <w:rPr>
                <w:rFonts w:ascii="Arial" w:eastAsia="Calibri" w:hAnsi="Arial" w:cs="Arial"/>
                <w:sz w:val="24"/>
                <w:szCs w:val="24"/>
              </w:rPr>
            </w:pPr>
            <w:r>
              <w:rPr>
                <w:rFonts w:ascii="Arial" w:eastAsia="Calibri" w:hAnsi="Arial" w:cs="Arial"/>
                <w:sz w:val="24"/>
                <w:szCs w:val="24"/>
              </w:rPr>
              <w:tab/>
            </w:r>
            <w:r w:rsidRPr="008E52C4">
              <w:rPr>
                <w:rFonts w:ascii="Arial" w:eastAsia="Calibri" w:hAnsi="Arial" w:cs="Arial"/>
                <w:sz w:val="24"/>
                <w:szCs w:val="24"/>
              </w:rPr>
              <w:t>Claim 2:</w:t>
            </w:r>
          </w:p>
          <w:p w:rsidR="00BE14C8" w:rsidRDefault="00BE14C8" w:rsidP="00BE14C8">
            <w:pPr>
              <w:pStyle w:val="ListParagraph"/>
              <w:numPr>
                <w:ilvl w:val="1"/>
                <w:numId w:val="33"/>
              </w:numPr>
              <w:spacing w:after="160" w:line="360" w:lineRule="auto"/>
              <w:jc w:val="both"/>
              <w:rPr>
                <w:rFonts w:ascii="Arial" w:eastAsia="Calibri" w:hAnsi="Arial" w:cs="Arial"/>
                <w:sz w:val="24"/>
                <w:szCs w:val="24"/>
              </w:rPr>
            </w:pPr>
            <w:r w:rsidRPr="00236628">
              <w:rPr>
                <w:rFonts w:ascii="Arial" w:eastAsia="Calibri" w:hAnsi="Arial" w:cs="Arial"/>
                <w:sz w:val="24"/>
                <w:szCs w:val="24"/>
              </w:rPr>
              <w:t>Payment in the amount of N$1 889 629.31;</w:t>
            </w:r>
          </w:p>
          <w:p w:rsidR="00BE14C8" w:rsidRDefault="00BE14C8" w:rsidP="00BE14C8">
            <w:pPr>
              <w:pStyle w:val="ListParagraph"/>
              <w:numPr>
                <w:ilvl w:val="1"/>
                <w:numId w:val="33"/>
              </w:numPr>
              <w:spacing w:after="160" w:line="360" w:lineRule="auto"/>
              <w:jc w:val="both"/>
              <w:rPr>
                <w:rFonts w:ascii="Arial" w:eastAsia="Calibri" w:hAnsi="Arial" w:cs="Arial"/>
                <w:sz w:val="24"/>
                <w:szCs w:val="24"/>
              </w:rPr>
            </w:pPr>
            <w:r w:rsidRPr="00236628">
              <w:rPr>
                <w:rFonts w:ascii="Arial" w:eastAsia="Calibri" w:hAnsi="Arial" w:cs="Arial"/>
                <w:sz w:val="24"/>
                <w:szCs w:val="24"/>
              </w:rPr>
              <w:t>Compound interest calculated daily and capitalised monthly at plaintiff’s prime lending rate of interest from time to time, currently 10.5% plus 1.5% per year calculated from 8 February 2023 to date of final payment;</w:t>
            </w:r>
          </w:p>
          <w:p w:rsidR="00BE14C8" w:rsidRDefault="00BE14C8" w:rsidP="00BE14C8">
            <w:pPr>
              <w:pStyle w:val="ListParagraph"/>
              <w:numPr>
                <w:ilvl w:val="1"/>
                <w:numId w:val="33"/>
              </w:numPr>
              <w:spacing w:after="160" w:line="360" w:lineRule="auto"/>
              <w:jc w:val="both"/>
              <w:rPr>
                <w:rFonts w:ascii="Arial" w:eastAsia="Calibri" w:hAnsi="Arial" w:cs="Arial"/>
                <w:sz w:val="24"/>
                <w:szCs w:val="24"/>
              </w:rPr>
            </w:pPr>
            <w:r w:rsidRPr="00236628">
              <w:rPr>
                <w:rFonts w:ascii="Arial" w:eastAsia="Calibri" w:hAnsi="Arial" w:cs="Arial"/>
                <w:sz w:val="24"/>
                <w:szCs w:val="24"/>
              </w:rPr>
              <w:t>Cost of suit on scale as between attorney and own client as agreed.</w:t>
            </w:r>
          </w:p>
          <w:p w:rsidR="00BE14C8" w:rsidRDefault="00BE14C8" w:rsidP="00BE14C8">
            <w:pPr>
              <w:spacing w:line="360" w:lineRule="auto"/>
              <w:jc w:val="both"/>
              <w:rPr>
                <w:rFonts w:ascii="Arial" w:eastAsia="Calibri" w:hAnsi="Arial" w:cs="Arial"/>
                <w:sz w:val="24"/>
                <w:szCs w:val="24"/>
              </w:rPr>
            </w:pPr>
          </w:p>
          <w:p w:rsidR="00BE14C8" w:rsidRDefault="00BE14C8" w:rsidP="00BE14C8">
            <w:pPr>
              <w:pStyle w:val="ListParagraph"/>
              <w:numPr>
                <w:ilvl w:val="0"/>
                <w:numId w:val="33"/>
              </w:numPr>
              <w:spacing w:after="160" w:line="360" w:lineRule="auto"/>
              <w:ind w:left="588" w:hanging="284"/>
              <w:jc w:val="both"/>
              <w:rPr>
                <w:rFonts w:ascii="Arial" w:eastAsia="Calibri" w:hAnsi="Arial" w:cs="Arial"/>
                <w:sz w:val="24"/>
                <w:szCs w:val="24"/>
              </w:rPr>
            </w:pPr>
            <w:r w:rsidRPr="00BE14C8">
              <w:rPr>
                <w:rFonts w:ascii="Arial" w:eastAsia="Calibri" w:hAnsi="Arial" w:cs="Arial"/>
                <w:sz w:val="24"/>
                <w:szCs w:val="24"/>
              </w:rPr>
              <w:t>The application to declare the property as per the notice of motion executable is refused with costs.</w:t>
            </w:r>
          </w:p>
          <w:p w:rsidR="00B53133" w:rsidRPr="00F526C6" w:rsidRDefault="00BE14C8" w:rsidP="00F526C6">
            <w:pPr>
              <w:pStyle w:val="ListParagraph"/>
              <w:numPr>
                <w:ilvl w:val="0"/>
                <w:numId w:val="33"/>
              </w:numPr>
              <w:spacing w:line="360" w:lineRule="auto"/>
              <w:ind w:left="588" w:hanging="284"/>
              <w:jc w:val="both"/>
              <w:rPr>
                <w:rFonts w:ascii="Arial" w:eastAsia="Calibri" w:hAnsi="Arial" w:cs="Arial"/>
                <w:sz w:val="24"/>
                <w:szCs w:val="24"/>
              </w:rPr>
            </w:pPr>
            <w:r>
              <w:rPr>
                <w:rFonts w:ascii="Arial" w:eastAsia="Calibri" w:hAnsi="Arial" w:cs="Arial"/>
                <w:sz w:val="24"/>
                <w:szCs w:val="24"/>
              </w:rPr>
              <w:t>The matter is removed from the roll and regarded as finalised.</w:t>
            </w:r>
          </w:p>
          <w:p w:rsidR="00B53133" w:rsidRPr="008E52C4" w:rsidRDefault="00B53133" w:rsidP="00F74A80">
            <w:pPr>
              <w:pStyle w:val="ListParagraph"/>
              <w:spacing w:after="200" w:line="360" w:lineRule="auto"/>
              <w:ind w:left="0"/>
              <w:jc w:val="both"/>
              <w:rPr>
                <w:rFonts w:ascii="Arial" w:eastAsia="Times New Roman" w:hAnsi="Arial" w:cs="Arial"/>
                <w:sz w:val="24"/>
                <w:szCs w:val="24"/>
              </w:rPr>
            </w:pPr>
          </w:p>
        </w:tc>
      </w:tr>
      <w:tr w:rsidR="008E52C4" w:rsidRPr="008E52C4" w:rsidTr="00B1387A">
        <w:tc>
          <w:tcPr>
            <w:tcW w:w="4770" w:type="dxa"/>
          </w:tcPr>
          <w:p w:rsidR="00FF6DBC" w:rsidRDefault="00A65FEA" w:rsidP="00FF6DBC">
            <w:pPr>
              <w:spacing w:line="360" w:lineRule="auto"/>
              <w:jc w:val="center"/>
              <w:rPr>
                <w:rFonts w:ascii="Arial" w:eastAsia="Calibri" w:hAnsi="Arial" w:cs="Arial"/>
                <w:b/>
                <w:sz w:val="24"/>
                <w:szCs w:val="24"/>
              </w:rPr>
            </w:pPr>
            <w:r>
              <w:rPr>
                <w:rFonts w:ascii="Arial" w:eastAsia="Calibri" w:hAnsi="Arial" w:cs="Arial"/>
                <w:b/>
                <w:sz w:val="24"/>
                <w:szCs w:val="24"/>
              </w:rPr>
              <w:lastRenderedPageBreak/>
              <w:t>Judge’s signature</w:t>
            </w:r>
          </w:p>
          <w:p w:rsidR="00A65FEA" w:rsidRDefault="00A65FEA" w:rsidP="00FF6DBC">
            <w:pPr>
              <w:spacing w:line="360" w:lineRule="auto"/>
              <w:jc w:val="center"/>
              <w:rPr>
                <w:rFonts w:ascii="Arial" w:eastAsia="Calibri" w:hAnsi="Arial" w:cs="Arial"/>
                <w:b/>
                <w:sz w:val="24"/>
                <w:szCs w:val="24"/>
              </w:rPr>
            </w:pPr>
          </w:p>
          <w:p w:rsidR="00A65FEA" w:rsidRDefault="00A65FEA" w:rsidP="00F526C6">
            <w:pPr>
              <w:spacing w:line="360" w:lineRule="auto"/>
              <w:rPr>
                <w:rFonts w:ascii="Arial" w:eastAsia="Calibri" w:hAnsi="Arial" w:cs="Arial"/>
                <w:b/>
                <w:sz w:val="24"/>
                <w:szCs w:val="24"/>
              </w:rPr>
            </w:pPr>
          </w:p>
          <w:p w:rsidR="00A65FEA" w:rsidRPr="008E52C4" w:rsidRDefault="00A65FEA" w:rsidP="00FF6DBC">
            <w:pPr>
              <w:spacing w:line="360" w:lineRule="auto"/>
              <w:jc w:val="center"/>
              <w:rPr>
                <w:rFonts w:ascii="Arial" w:eastAsia="Calibri" w:hAnsi="Arial" w:cs="Arial"/>
                <w:b/>
                <w:sz w:val="24"/>
                <w:szCs w:val="24"/>
              </w:rPr>
            </w:pPr>
          </w:p>
        </w:tc>
        <w:tc>
          <w:tcPr>
            <w:tcW w:w="4950" w:type="dxa"/>
            <w:gridSpan w:val="2"/>
          </w:tcPr>
          <w:p w:rsidR="00FF6DBC" w:rsidRPr="008E52C4" w:rsidRDefault="00FF6DBC" w:rsidP="00FF6DBC">
            <w:pPr>
              <w:spacing w:line="360" w:lineRule="auto"/>
              <w:jc w:val="center"/>
              <w:rPr>
                <w:rFonts w:ascii="Arial" w:eastAsia="Calibri" w:hAnsi="Arial" w:cs="Arial"/>
                <w:b/>
                <w:sz w:val="24"/>
                <w:szCs w:val="24"/>
              </w:rPr>
            </w:pPr>
            <w:r w:rsidRPr="008E52C4">
              <w:rPr>
                <w:rFonts w:ascii="Arial" w:eastAsia="Calibri" w:hAnsi="Arial" w:cs="Arial"/>
                <w:b/>
                <w:sz w:val="24"/>
                <w:szCs w:val="24"/>
              </w:rPr>
              <w:t>Note to the parties:</w:t>
            </w:r>
          </w:p>
        </w:tc>
      </w:tr>
      <w:tr w:rsidR="008E52C4" w:rsidRPr="008E52C4" w:rsidTr="00B1387A">
        <w:trPr>
          <w:trHeight w:val="1114"/>
        </w:trPr>
        <w:tc>
          <w:tcPr>
            <w:tcW w:w="4770" w:type="dxa"/>
          </w:tcPr>
          <w:p w:rsidR="00FF6DBC" w:rsidRPr="008E52C4" w:rsidRDefault="00A65FEA" w:rsidP="00A65FEA">
            <w:pPr>
              <w:spacing w:line="360" w:lineRule="auto"/>
              <w:jc w:val="center"/>
              <w:rPr>
                <w:rFonts w:ascii="Arial" w:eastAsia="Calibri" w:hAnsi="Arial" w:cs="Arial"/>
                <w:sz w:val="24"/>
                <w:szCs w:val="24"/>
              </w:rPr>
            </w:pPr>
            <w:proofErr w:type="spellStart"/>
            <w:r>
              <w:rPr>
                <w:rFonts w:ascii="Arial" w:eastAsia="Calibri" w:hAnsi="Arial" w:cs="Arial"/>
                <w:sz w:val="24"/>
                <w:szCs w:val="24"/>
              </w:rPr>
              <w:t>Claasen</w:t>
            </w:r>
            <w:proofErr w:type="spellEnd"/>
            <w:r>
              <w:rPr>
                <w:rFonts w:ascii="Arial" w:eastAsia="Calibri" w:hAnsi="Arial" w:cs="Arial"/>
                <w:sz w:val="24"/>
                <w:szCs w:val="24"/>
              </w:rPr>
              <w:t xml:space="preserve"> J</w:t>
            </w:r>
          </w:p>
          <w:p w:rsidR="00FF6DBC" w:rsidRPr="008E52C4" w:rsidRDefault="00FF6DBC" w:rsidP="00FF6DBC">
            <w:pPr>
              <w:spacing w:line="360" w:lineRule="auto"/>
              <w:jc w:val="both"/>
              <w:rPr>
                <w:rFonts w:ascii="Arial" w:eastAsia="Calibri" w:hAnsi="Arial" w:cs="Arial"/>
                <w:sz w:val="24"/>
                <w:szCs w:val="24"/>
              </w:rPr>
            </w:pPr>
          </w:p>
        </w:tc>
        <w:tc>
          <w:tcPr>
            <w:tcW w:w="4950" w:type="dxa"/>
            <w:gridSpan w:val="2"/>
          </w:tcPr>
          <w:p w:rsidR="00FF6DBC" w:rsidRPr="008E52C4" w:rsidRDefault="00FF6DBC" w:rsidP="00FF6DBC">
            <w:pPr>
              <w:spacing w:line="360" w:lineRule="auto"/>
              <w:jc w:val="both"/>
              <w:rPr>
                <w:rFonts w:ascii="Arial" w:eastAsia="Calibri" w:hAnsi="Arial" w:cs="Arial"/>
                <w:sz w:val="24"/>
                <w:szCs w:val="24"/>
              </w:rPr>
            </w:pPr>
            <w:r w:rsidRPr="008E52C4">
              <w:rPr>
                <w:rFonts w:ascii="Arial" w:eastAsia="Calibri" w:hAnsi="Arial" w:cs="Arial"/>
                <w:sz w:val="24"/>
                <w:szCs w:val="24"/>
              </w:rPr>
              <w:t>Not applicable.</w:t>
            </w:r>
          </w:p>
        </w:tc>
      </w:tr>
      <w:tr w:rsidR="008E52C4" w:rsidRPr="008E52C4" w:rsidTr="00B1387A">
        <w:tc>
          <w:tcPr>
            <w:tcW w:w="9720" w:type="dxa"/>
            <w:gridSpan w:val="3"/>
          </w:tcPr>
          <w:p w:rsidR="00FF6DBC" w:rsidRPr="008E52C4" w:rsidRDefault="00FF6DBC" w:rsidP="00FF6DBC">
            <w:pPr>
              <w:spacing w:line="360" w:lineRule="auto"/>
              <w:jc w:val="center"/>
              <w:rPr>
                <w:rFonts w:ascii="Arial" w:eastAsia="Calibri" w:hAnsi="Arial" w:cs="Arial"/>
                <w:b/>
                <w:sz w:val="24"/>
                <w:szCs w:val="24"/>
              </w:rPr>
            </w:pPr>
            <w:r w:rsidRPr="008E52C4">
              <w:rPr>
                <w:rFonts w:ascii="Arial" w:eastAsia="Calibri" w:hAnsi="Arial" w:cs="Arial"/>
                <w:b/>
                <w:sz w:val="24"/>
                <w:szCs w:val="24"/>
              </w:rPr>
              <w:t>Counsel:</w:t>
            </w:r>
          </w:p>
        </w:tc>
      </w:tr>
      <w:tr w:rsidR="008E52C4" w:rsidRPr="008E52C4" w:rsidTr="00B1387A">
        <w:tc>
          <w:tcPr>
            <w:tcW w:w="4770" w:type="dxa"/>
          </w:tcPr>
          <w:p w:rsidR="00FF6DBC" w:rsidRPr="008E52C4" w:rsidRDefault="00FF6DBC" w:rsidP="00FF6DBC">
            <w:pPr>
              <w:spacing w:line="360" w:lineRule="auto"/>
              <w:jc w:val="center"/>
              <w:rPr>
                <w:rFonts w:ascii="Arial" w:eastAsia="Calibri" w:hAnsi="Arial" w:cs="Arial"/>
                <w:b/>
                <w:sz w:val="24"/>
                <w:szCs w:val="24"/>
              </w:rPr>
            </w:pPr>
            <w:r w:rsidRPr="008E52C4">
              <w:rPr>
                <w:rFonts w:ascii="Arial" w:eastAsia="Calibri" w:hAnsi="Arial" w:cs="Arial"/>
                <w:b/>
                <w:sz w:val="24"/>
                <w:szCs w:val="24"/>
              </w:rPr>
              <w:t>Applicant</w:t>
            </w:r>
          </w:p>
        </w:tc>
        <w:tc>
          <w:tcPr>
            <w:tcW w:w="4950" w:type="dxa"/>
            <w:gridSpan w:val="2"/>
          </w:tcPr>
          <w:p w:rsidR="00FF6DBC" w:rsidRPr="008E52C4" w:rsidRDefault="00FF6DBC" w:rsidP="00FF6DBC">
            <w:pPr>
              <w:spacing w:line="360" w:lineRule="auto"/>
              <w:jc w:val="center"/>
              <w:rPr>
                <w:rFonts w:ascii="Arial" w:eastAsia="Calibri" w:hAnsi="Arial" w:cs="Arial"/>
                <w:b/>
                <w:sz w:val="24"/>
                <w:szCs w:val="24"/>
              </w:rPr>
            </w:pPr>
            <w:r w:rsidRPr="008E52C4">
              <w:rPr>
                <w:rFonts w:ascii="Arial" w:eastAsia="Calibri" w:hAnsi="Arial" w:cs="Arial"/>
                <w:b/>
                <w:sz w:val="24"/>
                <w:szCs w:val="24"/>
              </w:rPr>
              <w:t xml:space="preserve"> Respondent</w:t>
            </w:r>
            <w:r w:rsidR="00C21F9E" w:rsidRPr="008E52C4">
              <w:rPr>
                <w:rFonts w:ascii="Arial" w:eastAsia="Calibri" w:hAnsi="Arial" w:cs="Arial"/>
                <w:b/>
                <w:sz w:val="24"/>
                <w:szCs w:val="24"/>
              </w:rPr>
              <w:t>s</w:t>
            </w:r>
          </w:p>
        </w:tc>
      </w:tr>
      <w:tr w:rsidR="008E52C4" w:rsidRPr="008E52C4" w:rsidTr="00B1387A">
        <w:tc>
          <w:tcPr>
            <w:tcW w:w="4770" w:type="dxa"/>
          </w:tcPr>
          <w:p w:rsidR="00FF6DBC" w:rsidRPr="008E52C4" w:rsidRDefault="00C21F9E" w:rsidP="00FF6DBC">
            <w:pPr>
              <w:spacing w:line="360" w:lineRule="auto"/>
              <w:jc w:val="center"/>
              <w:rPr>
                <w:rFonts w:ascii="Arial" w:eastAsia="Calibri" w:hAnsi="Arial" w:cs="Arial"/>
                <w:sz w:val="24"/>
                <w:szCs w:val="24"/>
              </w:rPr>
            </w:pPr>
            <w:r w:rsidRPr="008E52C4">
              <w:rPr>
                <w:rFonts w:ascii="Arial" w:eastAsia="Calibri" w:hAnsi="Arial" w:cs="Arial"/>
                <w:sz w:val="24"/>
                <w:szCs w:val="24"/>
              </w:rPr>
              <w:t xml:space="preserve">T </w:t>
            </w:r>
            <w:proofErr w:type="spellStart"/>
            <w:r w:rsidRPr="008E52C4">
              <w:rPr>
                <w:rFonts w:ascii="Arial" w:eastAsia="Calibri" w:hAnsi="Arial" w:cs="Arial"/>
                <w:sz w:val="24"/>
                <w:szCs w:val="24"/>
              </w:rPr>
              <w:t>Luvindao</w:t>
            </w:r>
            <w:proofErr w:type="spellEnd"/>
          </w:p>
          <w:p w:rsidR="00C21F9E" w:rsidRPr="008E52C4" w:rsidRDefault="00C21F9E" w:rsidP="00FF6DBC">
            <w:pPr>
              <w:spacing w:line="360" w:lineRule="auto"/>
              <w:jc w:val="center"/>
              <w:rPr>
                <w:rFonts w:ascii="Arial" w:eastAsia="Calibri" w:hAnsi="Arial" w:cs="Arial"/>
                <w:sz w:val="24"/>
                <w:szCs w:val="24"/>
              </w:rPr>
            </w:pPr>
            <w:r w:rsidRPr="008E52C4">
              <w:rPr>
                <w:rFonts w:ascii="Arial" w:eastAsia="Calibri" w:hAnsi="Arial" w:cs="Arial"/>
                <w:sz w:val="24"/>
                <w:szCs w:val="24"/>
              </w:rPr>
              <w:t xml:space="preserve">Of Dr </w:t>
            </w:r>
            <w:proofErr w:type="spellStart"/>
            <w:r w:rsidRPr="008E52C4">
              <w:rPr>
                <w:rFonts w:ascii="Arial" w:eastAsia="Calibri" w:hAnsi="Arial" w:cs="Arial"/>
                <w:sz w:val="24"/>
                <w:szCs w:val="24"/>
              </w:rPr>
              <w:t>Weder</w:t>
            </w:r>
            <w:proofErr w:type="spellEnd"/>
            <w:r w:rsidRPr="008E52C4">
              <w:rPr>
                <w:rFonts w:ascii="Arial" w:eastAsia="Calibri" w:hAnsi="Arial" w:cs="Arial"/>
                <w:sz w:val="24"/>
                <w:szCs w:val="24"/>
              </w:rPr>
              <w:t xml:space="preserve">, </w:t>
            </w:r>
            <w:proofErr w:type="spellStart"/>
            <w:r w:rsidRPr="008E52C4">
              <w:rPr>
                <w:rFonts w:ascii="Arial" w:eastAsia="Calibri" w:hAnsi="Arial" w:cs="Arial"/>
                <w:sz w:val="24"/>
                <w:szCs w:val="24"/>
              </w:rPr>
              <w:t>Kaut</w:t>
            </w:r>
            <w:proofErr w:type="spellEnd"/>
            <w:r w:rsidRPr="008E52C4">
              <w:rPr>
                <w:rFonts w:ascii="Arial" w:eastAsia="Calibri" w:hAnsi="Arial" w:cs="Arial"/>
                <w:sz w:val="24"/>
                <w:szCs w:val="24"/>
              </w:rPr>
              <w:t xml:space="preserve"> &amp; </w:t>
            </w:r>
            <w:proofErr w:type="spellStart"/>
            <w:r w:rsidRPr="008E52C4">
              <w:rPr>
                <w:rFonts w:ascii="Arial" w:eastAsia="Calibri" w:hAnsi="Arial" w:cs="Arial"/>
                <w:sz w:val="24"/>
                <w:szCs w:val="24"/>
              </w:rPr>
              <w:t>Hoveka</w:t>
            </w:r>
            <w:proofErr w:type="spellEnd"/>
            <w:r w:rsidRPr="008E52C4">
              <w:rPr>
                <w:rFonts w:ascii="Arial" w:eastAsia="Calibri" w:hAnsi="Arial" w:cs="Arial"/>
                <w:sz w:val="24"/>
                <w:szCs w:val="24"/>
              </w:rPr>
              <w:t xml:space="preserve">, </w:t>
            </w:r>
            <w:proofErr w:type="spellStart"/>
            <w:r w:rsidRPr="008E52C4">
              <w:rPr>
                <w:rFonts w:ascii="Arial" w:eastAsia="Calibri" w:hAnsi="Arial" w:cs="Arial"/>
                <w:sz w:val="24"/>
                <w:szCs w:val="24"/>
              </w:rPr>
              <w:t>Inc</w:t>
            </w:r>
            <w:proofErr w:type="spellEnd"/>
          </w:p>
          <w:p w:rsidR="00C21F9E" w:rsidRPr="008E52C4" w:rsidRDefault="00C21F9E" w:rsidP="00FF6DBC">
            <w:pPr>
              <w:spacing w:line="360" w:lineRule="auto"/>
              <w:jc w:val="center"/>
              <w:rPr>
                <w:rFonts w:ascii="Arial" w:eastAsia="Calibri" w:hAnsi="Arial" w:cs="Arial"/>
                <w:sz w:val="24"/>
                <w:szCs w:val="24"/>
              </w:rPr>
            </w:pPr>
            <w:r w:rsidRPr="008E52C4">
              <w:rPr>
                <w:rFonts w:ascii="Arial" w:eastAsia="Calibri" w:hAnsi="Arial" w:cs="Arial"/>
                <w:sz w:val="24"/>
                <w:szCs w:val="24"/>
              </w:rPr>
              <w:t>Windhoek</w:t>
            </w:r>
          </w:p>
        </w:tc>
        <w:tc>
          <w:tcPr>
            <w:tcW w:w="4950" w:type="dxa"/>
            <w:gridSpan w:val="2"/>
          </w:tcPr>
          <w:p w:rsidR="00FF6DBC" w:rsidRPr="008E52C4" w:rsidRDefault="00C21F9E" w:rsidP="00FF6DBC">
            <w:pPr>
              <w:spacing w:line="360" w:lineRule="auto"/>
              <w:jc w:val="center"/>
              <w:rPr>
                <w:rFonts w:ascii="Arial" w:eastAsia="Calibri" w:hAnsi="Arial" w:cs="Arial"/>
                <w:sz w:val="24"/>
                <w:szCs w:val="24"/>
              </w:rPr>
            </w:pPr>
            <w:r w:rsidRPr="008E52C4">
              <w:rPr>
                <w:rFonts w:ascii="Arial" w:eastAsia="Calibri" w:hAnsi="Arial" w:cs="Arial"/>
                <w:sz w:val="24"/>
                <w:szCs w:val="24"/>
              </w:rPr>
              <w:t xml:space="preserve">A </w:t>
            </w:r>
            <w:proofErr w:type="spellStart"/>
            <w:r w:rsidRPr="008E52C4">
              <w:rPr>
                <w:rFonts w:ascii="Arial" w:eastAsia="Calibri" w:hAnsi="Arial" w:cs="Arial"/>
                <w:sz w:val="24"/>
                <w:szCs w:val="24"/>
              </w:rPr>
              <w:t>Ndungula</w:t>
            </w:r>
            <w:proofErr w:type="spellEnd"/>
          </w:p>
          <w:p w:rsidR="00C21F9E" w:rsidRPr="008E52C4" w:rsidRDefault="00C21F9E" w:rsidP="00FF6DBC">
            <w:pPr>
              <w:spacing w:line="360" w:lineRule="auto"/>
              <w:jc w:val="center"/>
              <w:rPr>
                <w:rFonts w:ascii="Arial" w:eastAsia="Calibri" w:hAnsi="Arial" w:cs="Arial"/>
                <w:sz w:val="24"/>
                <w:szCs w:val="24"/>
              </w:rPr>
            </w:pPr>
            <w:r w:rsidRPr="008E52C4">
              <w:rPr>
                <w:rFonts w:ascii="Arial" w:eastAsia="Calibri" w:hAnsi="Arial" w:cs="Arial"/>
                <w:sz w:val="24"/>
                <w:szCs w:val="24"/>
              </w:rPr>
              <w:t xml:space="preserve">Of </w:t>
            </w:r>
            <w:proofErr w:type="spellStart"/>
            <w:r w:rsidRPr="008E52C4">
              <w:rPr>
                <w:rFonts w:ascii="Arial" w:eastAsia="Calibri" w:hAnsi="Arial" w:cs="Arial"/>
                <w:sz w:val="24"/>
                <w:szCs w:val="24"/>
              </w:rPr>
              <w:t>Nakamhela</w:t>
            </w:r>
            <w:proofErr w:type="spellEnd"/>
            <w:r w:rsidRPr="008E52C4">
              <w:rPr>
                <w:rFonts w:ascii="Arial" w:eastAsia="Calibri" w:hAnsi="Arial" w:cs="Arial"/>
                <w:sz w:val="24"/>
                <w:szCs w:val="24"/>
              </w:rPr>
              <w:t xml:space="preserve"> Attorneys </w:t>
            </w:r>
          </w:p>
          <w:p w:rsidR="005221EF" w:rsidRPr="008E52C4" w:rsidRDefault="00C21F9E" w:rsidP="00FF6DBC">
            <w:pPr>
              <w:spacing w:line="360" w:lineRule="auto"/>
              <w:jc w:val="center"/>
              <w:rPr>
                <w:rFonts w:ascii="Arial" w:eastAsia="Calibri" w:hAnsi="Arial" w:cs="Arial"/>
                <w:sz w:val="24"/>
                <w:szCs w:val="24"/>
              </w:rPr>
            </w:pPr>
            <w:r w:rsidRPr="008E52C4">
              <w:rPr>
                <w:rFonts w:ascii="Arial" w:eastAsia="Calibri" w:hAnsi="Arial" w:cs="Arial"/>
                <w:sz w:val="24"/>
                <w:szCs w:val="24"/>
              </w:rPr>
              <w:t>Windhoek</w:t>
            </w:r>
          </w:p>
          <w:p w:rsidR="005221EF" w:rsidRPr="008E52C4" w:rsidRDefault="005221EF" w:rsidP="00FF6DBC">
            <w:pPr>
              <w:spacing w:line="360" w:lineRule="auto"/>
              <w:jc w:val="center"/>
              <w:rPr>
                <w:rFonts w:ascii="Arial" w:eastAsia="Calibri" w:hAnsi="Arial" w:cs="Arial"/>
                <w:sz w:val="24"/>
                <w:szCs w:val="24"/>
              </w:rPr>
            </w:pPr>
          </w:p>
          <w:p w:rsidR="005221EF" w:rsidRPr="008E52C4" w:rsidRDefault="005221EF" w:rsidP="00FF6DBC">
            <w:pPr>
              <w:spacing w:line="360" w:lineRule="auto"/>
              <w:jc w:val="center"/>
              <w:rPr>
                <w:rFonts w:ascii="Arial" w:eastAsia="Calibri" w:hAnsi="Arial" w:cs="Arial"/>
                <w:sz w:val="24"/>
                <w:szCs w:val="24"/>
              </w:rPr>
            </w:pPr>
          </w:p>
        </w:tc>
      </w:tr>
    </w:tbl>
    <w:p w:rsidR="00FF6DBC" w:rsidRPr="008E52C4" w:rsidRDefault="00FF6DBC" w:rsidP="00FF6DBC">
      <w:pPr>
        <w:spacing w:after="0" w:line="360" w:lineRule="auto"/>
        <w:jc w:val="both"/>
        <w:rPr>
          <w:rFonts w:ascii="Arial" w:eastAsia="Calibri" w:hAnsi="Arial" w:cs="Arial"/>
          <w:sz w:val="24"/>
          <w:szCs w:val="24"/>
          <w:lang w:val="en-US"/>
        </w:rPr>
      </w:pPr>
    </w:p>
    <w:p w:rsidR="00FF6DBC" w:rsidRPr="008E52C4" w:rsidRDefault="00FF6DBC" w:rsidP="00FF6DBC">
      <w:pPr>
        <w:rPr>
          <w:rFonts w:ascii="Arial" w:eastAsia="Calibri" w:hAnsi="Arial" w:cs="Arial"/>
          <w:sz w:val="24"/>
          <w:szCs w:val="24"/>
          <w:lang w:val="en-US"/>
        </w:rPr>
      </w:pPr>
    </w:p>
    <w:p w:rsidR="00FF6DBC" w:rsidRPr="008E52C4" w:rsidRDefault="00FF6DBC" w:rsidP="00FF6DBC">
      <w:pPr>
        <w:rPr>
          <w:rFonts w:ascii="Arial" w:eastAsia="Calibri" w:hAnsi="Arial" w:cs="Arial"/>
          <w:sz w:val="24"/>
          <w:szCs w:val="24"/>
          <w:lang w:val="en-US"/>
        </w:rPr>
      </w:pPr>
    </w:p>
    <w:p w:rsidR="00FF6DBC" w:rsidRPr="008E52C4" w:rsidRDefault="00FF6DBC" w:rsidP="00FF6DBC">
      <w:pPr>
        <w:rPr>
          <w:rFonts w:ascii="Arial" w:eastAsia="Calibri" w:hAnsi="Arial" w:cs="Arial"/>
          <w:sz w:val="24"/>
          <w:szCs w:val="24"/>
          <w:lang w:val="en-US"/>
        </w:rPr>
      </w:pPr>
    </w:p>
    <w:p w:rsidR="0094406E" w:rsidRPr="008E52C4" w:rsidRDefault="0094406E">
      <w:pPr>
        <w:rPr>
          <w:rFonts w:ascii="Arial" w:hAnsi="Arial" w:cs="Arial"/>
        </w:rPr>
      </w:pPr>
    </w:p>
    <w:sectPr w:rsidR="0094406E" w:rsidRPr="008E52C4" w:rsidSect="0092145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D4" w:rsidRDefault="00BB7ED4" w:rsidP="00FF6DBC">
      <w:pPr>
        <w:spacing w:after="0" w:line="240" w:lineRule="auto"/>
      </w:pPr>
      <w:r>
        <w:separator/>
      </w:r>
    </w:p>
  </w:endnote>
  <w:endnote w:type="continuationSeparator" w:id="0">
    <w:p w:rsidR="00BB7ED4" w:rsidRDefault="00BB7ED4" w:rsidP="00FF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D4" w:rsidRDefault="00BB7ED4" w:rsidP="00FF6DBC">
      <w:pPr>
        <w:spacing w:after="0" w:line="240" w:lineRule="auto"/>
      </w:pPr>
      <w:r>
        <w:separator/>
      </w:r>
    </w:p>
  </w:footnote>
  <w:footnote w:type="continuationSeparator" w:id="0">
    <w:p w:rsidR="00BB7ED4" w:rsidRDefault="00BB7ED4" w:rsidP="00FF6DBC">
      <w:pPr>
        <w:spacing w:after="0" w:line="240" w:lineRule="auto"/>
      </w:pPr>
      <w:r>
        <w:continuationSeparator/>
      </w:r>
    </w:p>
  </w:footnote>
  <w:footnote w:id="1">
    <w:p w:rsidR="00346400" w:rsidRPr="00346400" w:rsidRDefault="00346400">
      <w:pPr>
        <w:pStyle w:val="FootnoteText"/>
        <w:rPr>
          <w:lang w:val="en-US"/>
        </w:rPr>
      </w:pPr>
      <w:r>
        <w:rPr>
          <w:rStyle w:val="FootnoteReference"/>
        </w:rPr>
        <w:footnoteRef/>
      </w:r>
      <w:r>
        <w:t xml:space="preserve"> </w:t>
      </w:r>
      <w:r w:rsidRPr="00346400">
        <w:rPr>
          <w:rFonts w:ascii="Arial" w:hAnsi="Arial" w:cs="Arial"/>
          <w:i/>
        </w:rPr>
        <w:t>B</w:t>
      </w:r>
      <w:r w:rsidRPr="00346400">
        <w:rPr>
          <w:rFonts w:ascii="Arial" w:eastAsia="Cambria" w:hAnsi="Arial" w:cs="Arial"/>
          <w:i/>
        </w:rPr>
        <w:t xml:space="preserve">ank Windhoek Namibia Ltd v </w:t>
      </w:r>
      <w:proofErr w:type="spellStart"/>
      <w:r w:rsidRPr="00346400">
        <w:rPr>
          <w:rFonts w:ascii="Arial" w:eastAsia="Cambria" w:hAnsi="Arial" w:cs="Arial"/>
          <w:i/>
        </w:rPr>
        <w:t>Mokasa</w:t>
      </w:r>
      <w:proofErr w:type="spellEnd"/>
      <w:r w:rsidRPr="00346400">
        <w:rPr>
          <w:rFonts w:ascii="Arial" w:eastAsia="Cambria" w:hAnsi="Arial" w:cs="Arial"/>
          <w:i/>
        </w:rPr>
        <w:t xml:space="preserve"> Trading Enterprises </w:t>
      </w:r>
      <w:proofErr w:type="gramStart"/>
      <w:r w:rsidRPr="00346400">
        <w:rPr>
          <w:rFonts w:ascii="Arial" w:eastAsia="Cambria" w:hAnsi="Arial" w:cs="Arial"/>
          <w:i/>
        </w:rPr>
        <w:t>CC(</w:t>
      </w:r>
      <w:proofErr w:type="gramEnd"/>
      <w:r w:rsidRPr="00346400">
        <w:rPr>
          <w:rFonts w:ascii="Arial" w:eastAsia="Calibri" w:hAnsi="Arial" w:cs="Arial"/>
          <w:shd w:val="clear" w:color="auto" w:fill="FFFFFF"/>
        </w:rPr>
        <w:t xml:space="preserve"> HC-MD-CIV-ACT-CON- 2022/01614) [2022] NAHCMD 573(20 October 2022).</w:t>
      </w:r>
    </w:p>
  </w:footnote>
  <w:footnote w:id="2">
    <w:p w:rsidR="00F74A80" w:rsidRPr="00BC0B5A" w:rsidRDefault="00F74A80" w:rsidP="00F74A80">
      <w:pPr>
        <w:pStyle w:val="ListParagraph"/>
        <w:spacing w:after="200" w:line="360" w:lineRule="auto"/>
        <w:ind w:left="0"/>
        <w:jc w:val="both"/>
        <w:rPr>
          <w:rFonts w:ascii="Arial" w:eastAsia="Cambria" w:hAnsi="Arial" w:cs="Arial"/>
          <w:sz w:val="24"/>
          <w:szCs w:val="24"/>
        </w:rPr>
      </w:pPr>
      <w:r>
        <w:rPr>
          <w:rStyle w:val="FootnoteReference"/>
        </w:rPr>
        <w:footnoteRef/>
      </w:r>
      <w:r>
        <w:t xml:space="preserve"> </w:t>
      </w:r>
      <w:r w:rsidRPr="00F74A80">
        <w:rPr>
          <w:rFonts w:ascii="Arial" w:eastAsia="Cambria" w:hAnsi="Arial" w:cs="Arial"/>
          <w:i/>
          <w:sz w:val="20"/>
          <w:szCs w:val="20"/>
        </w:rPr>
        <w:t xml:space="preserve">Standard Bank Namibia Ltd v </w:t>
      </w:r>
      <w:proofErr w:type="spellStart"/>
      <w:r w:rsidRPr="00F74A80">
        <w:rPr>
          <w:rFonts w:ascii="Arial" w:eastAsia="Cambria" w:hAnsi="Arial" w:cs="Arial"/>
          <w:i/>
          <w:sz w:val="20"/>
          <w:szCs w:val="20"/>
        </w:rPr>
        <w:t>Shipila</w:t>
      </w:r>
      <w:proofErr w:type="spellEnd"/>
      <w:r w:rsidRPr="00F74A80">
        <w:rPr>
          <w:rFonts w:ascii="Arial" w:eastAsia="Cambria" w:hAnsi="Arial" w:cs="Arial"/>
          <w:i/>
          <w:sz w:val="20"/>
          <w:szCs w:val="20"/>
        </w:rPr>
        <w:t xml:space="preserve"> and Others</w:t>
      </w:r>
      <w:r w:rsidRPr="00F74A80">
        <w:rPr>
          <w:rFonts w:ascii="Arial" w:eastAsia="Cambria" w:hAnsi="Arial" w:cs="Arial"/>
          <w:sz w:val="20"/>
          <w:szCs w:val="20"/>
        </w:rPr>
        <w:t xml:space="preserve"> 2018 (3) NR 849 (SC)</w:t>
      </w:r>
      <w:r>
        <w:rPr>
          <w:rFonts w:ascii="Arial" w:eastAsia="Cambria" w:hAnsi="Arial" w:cs="Arial"/>
          <w:sz w:val="24"/>
          <w:szCs w:val="24"/>
        </w:rPr>
        <w:t>.</w:t>
      </w:r>
    </w:p>
    <w:p w:rsidR="00F74A80" w:rsidRPr="00F74A80" w:rsidRDefault="00F74A8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w:hAnsi="Arial" w:cs="Arial"/>
        <w:noProof/>
        <w:sz w:val="24"/>
        <w:szCs w:val="24"/>
      </w:rPr>
    </w:sdtEndPr>
    <w:sdtContent>
      <w:p w:rsidR="00921456" w:rsidRPr="001B0979" w:rsidRDefault="00EF32BA">
        <w:pPr>
          <w:pStyle w:val="Header"/>
          <w:jc w:val="right"/>
          <w:rPr>
            <w:rFonts w:ascii="Arial" w:hAnsi="Arial" w:cs="Arial"/>
            <w:sz w:val="24"/>
            <w:szCs w:val="24"/>
          </w:rPr>
        </w:pPr>
        <w:r w:rsidRPr="001B0979">
          <w:rPr>
            <w:rFonts w:ascii="Arial" w:hAnsi="Arial" w:cs="Arial"/>
            <w:sz w:val="24"/>
            <w:szCs w:val="24"/>
          </w:rPr>
          <w:fldChar w:fldCharType="begin"/>
        </w:r>
        <w:r w:rsidRPr="001B0979">
          <w:rPr>
            <w:rFonts w:ascii="Arial" w:hAnsi="Arial" w:cs="Arial"/>
            <w:sz w:val="24"/>
            <w:szCs w:val="24"/>
          </w:rPr>
          <w:instrText xml:space="preserve"> PAGE   \* MERGEFORMAT </w:instrText>
        </w:r>
        <w:r w:rsidRPr="001B0979">
          <w:rPr>
            <w:rFonts w:ascii="Arial" w:hAnsi="Arial" w:cs="Arial"/>
            <w:sz w:val="24"/>
            <w:szCs w:val="24"/>
          </w:rPr>
          <w:fldChar w:fldCharType="separate"/>
        </w:r>
        <w:r w:rsidR="00E9702A">
          <w:rPr>
            <w:rFonts w:ascii="Arial" w:hAnsi="Arial" w:cs="Arial"/>
            <w:noProof/>
            <w:sz w:val="24"/>
            <w:szCs w:val="24"/>
          </w:rPr>
          <w:t>8</w:t>
        </w:r>
        <w:r w:rsidRPr="001B0979">
          <w:rPr>
            <w:rFonts w:ascii="Arial" w:hAnsi="Arial" w:cs="Arial"/>
            <w:noProof/>
            <w:sz w:val="24"/>
            <w:szCs w:val="24"/>
          </w:rPr>
          <w:fldChar w:fldCharType="end"/>
        </w:r>
      </w:p>
    </w:sdtContent>
  </w:sdt>
  <w:p w:rsidR="00921456" w:rsidRDefault="00BB7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3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7921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F936E5"/>
    <w:multiLevelType w:val="hybridMultilevel"/>
    <w:tmpl w:val="64A68AF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F2302"/>
    <w:multiLevelType w:val="hybridMultilevel"/>
    <w:tmpl w:val="25EE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46D5D"/>
    <w:multiLevelType w:val="hybridMultilevel"/>
    <w:tmpl w:val="558EA266"/>
    <w:lvl w:ilvl="0" w:tplc="273A547C">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B1D6C"/>
    <w:multiLevelType w:val="hybridMultilevel"/>
    <w:tmpl w:val="66C89306"/>
    <w:lvl w:ilvl="0" w:tplc="A4A0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FB21FF"/>
    <w:multiLevelType w:val="multilevel"/>
    <w:tmpl w:val="2C0083A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B785EC2"/>
    <w:multiLevelType w:val="hybridMultilevel"/>
    <w:tmpl w:val="D85238F4"/>
    <w:lvl w:ilvl="0" w:tplc="F4120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47C8A"/>
    <w:multiLevelType w:val="hybridMultilevel"/>
    <w:tmpl w:val="5C42C8C8"/>
    <w:lvl w:ilvl="0" w:tplc="336E8A40">
      <w:start w:val="1"/>
      <w:numFmt w:val="decimal"/>
      <w:lvlText w:val="%1."/>
      <w:lvlJc w:val="left"/>
      <w:pPr>
        <w:ind w:left="378" w:hanging="360"/>
      </w:pPr>
      <w:rPr>
        <w:rFonts w:eastAsia="Calibri"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9">
    <w:nsid w:val="2DEC73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11CAC"/>
    <w:multiLevelType w:val="hybridMultilevel"/>
    <w:tmpl w:val="73EC8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20B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1B3E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2512AA"/>
    <w:multiLevelType w:val="hybridMultilevel"/>
    <w:tmpl w:val="BCA6D2DA"/>
    <w:lvl w:ilvl="0" w:tplc="9E2EB2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841A0"/>
    <w:multiLevelType w:val="hybridMultilevel"/>
    <w:tmpl w:val="14CAF1B8"/>
    <w:lvl w:ilvl="0" w:tplc="0BE245A4">
      <w:start w:val="4"/>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257E5"/>
    <w:multiLevelType w:val="hybridMultilevel"/>
    <w:tmpl w:val="645CAFDC"/>
    <w:lvl w:ilvl="0" w:tplc="8FC4D74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641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A87D76"/>
    <w:multiLevelType w:val="hybridMultilevel"/>
    <w:tmpl w:val="558EA266"/>
    <w:lvl w:ilvl="0" w:tplc="273A547C">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CC1E1D"/>
    <w:multiLevelType w:val="hybridMultilevel"/>
    <w:tmpl w:val="53A2E118"/>
    <w:lvl w:ilvl="0" w:tplc="C32AA3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35209A"/>
    <w:multiLevelType w:val="hybridMultilevel"/>
    <w:tmpl w:val="6E5C5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A1423"/>
    <w:multiLevelType w:val="hybridMultilevel"/>
    <w:tmpl w:val="2E10964E"/>
    <w:lvl w:ilvl="0" w:tplc="A46078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305F82"/>
    <w:multiLevelType w:val="hybridMultilevel"/>
    <w:tmpl w:val="9EDAA870"/>
    <w:lvl w:ilvl="0" w:tplc="F474941C">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2">
    <w:nsid w:val="5D5E1D5A"/>
    <w:multiLevelType w:val="hybridMultilevel"/>
    <w:tmpl w:val="E5802164"/>
    <w:lvl w:ilvl="0" w:tplc="3F005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265DF6"/>
    <w:multiLevelType w:val="hybridMultilevel"/>
    <w:tmpl w:val="A6F20C62"/>
    <w:lvl w:ilvl="0" w:tplc="A46078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0B13EA"/>
    <w:multiLevelType w:val="hybridMultilevel"/>
    <w:tmpl w:val="6454433E"/>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D57F5"/>
    <w:multiLevelType w:val="hybridMultilevel"/>
    <w:tmpl w:val="F114255A"/>
    <w:lvl w:ilvl="0" w:tplc="5876FEE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EC003FD"/>
    <w:multiLevelType w:val="hybridMultilevel"/>
    <w:tmpl w:val="4A18CFFA"/>
    <w:lvl w:ilvl="0" w:tplc="273A547C">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5E1E9A"/>
    <w:multiLevelType w:val="hybridMultilevel"/>
    <w:tmpl w:val="F43656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8365BC"/>
    <w:multiLevelType w:val="hybridMultilevel"/>
    <w:tmpl w:val="DB862FFC"/>
    <w:lvl w:ilvl="0" w:tplc="84E6FE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310093"/>
    <w:multiLevelType w:val="hybridMultilevel"/>
    <w:tmpl w:val="558EA266"/>
    <w:lvl w:ilvl="0" w:tplc="273A547C">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671E1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3449E"/>
    <w:multiLevelType w:val="hybridMultilevel"/>
    <w:tmpl w:val="09869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A136E"/>
    <w:multiLevelType w:val="hybridMultilevel"/>
    <w:tmpl w:val="8C60C34E"/>
    <w:lvl w:ilvl="0" w:tplc="AB5A2AC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5"/>
  </w:num>
  <w:num w:numId="3">
    <w:abstractNumId w:val="14"/>
  </w:num>
  <w:num w:numId="4">
    <w:abstractNumId w:val="30"/>
  </w:num>
  <w:num w:numId="5">
    <w:abstractNumId w:val="7"/>
  </w:num>
  <w:num w:numId="6">
    <w:abstractNumId w:val="21"/>
  </w:num>
  <w:num w:numId="7">
    <w:abstractNumId w:val="22"/>
  </w:num>
  <w:num w:numId="8">
    <w:abstractNumId w:val="15"/>
  </w:num>
  <w:num w:numId="9">
    <w:abstractNumId w:val="10"/>
  </w:num>
  <w:num w:numId="10">
    <w:abstractNumId w:val="29"/>
  </w:num>
  <w:num w:numId="11">
    <w:abstractNumId w:val="31"/>
  </w:num>
  <w:num w:numId="12">
    <w:abstractNumId w:val="13"/>
  </w:num>
  <w:num w:numId="13">
    <w:abstractNumId w:val="28"/>
  </w:num>
  <w:num w:numId="14">
    <w:abstractNumId w:val="5"/>
  </w:num>
  <w:num w:numId="15">
    <w:abstractNumId w:val="19"/>
  </w:num>
  <w:num w:numId="16">
    <w:abstractNumId w:val="18"/>
  </w:num>
  <w:num w:numId="17">
    <w:abstractNumId w:val="26"/>
  </w:num>
  <w:num w:numId="18">
    <w:abstractNumId w:val="4"/>
  </w:num>
  <w:num w:numId="19">
    <w:abstractNumId w:val="17"/>
  </w:num>
  <w:num w:numId="20">
    <w:abstractNumId w:val="20"/>
  </w:num>
  <w:num w:numId="21">
    <w:abstractNumId w:val="12"/>
  </w:num>
  <w:num w:numId="22">
    <w:abstractNumId w:val="1"/>
  </w:num>
  <w:num w:numId="23">
    <w:abstractNumId w:val="0"/>
  </w:num>
  <w:num w:numId="24">
    <w:abstractNumId w:val="16"/>
  </w:num>
  <w:num w:numId="25">
    <w:abstractNumId w:val="9"/>
  </w:num>
  <w:num w:numId="26">
    <w:abstractNumId w:val="11"/>
  </w:num>
  <w:num w:numId="27">
    <w:abstractNumId w:val="23"/>
  </w:num>
  <w:num w:numId="28">
    <w:abstractNumId w:val="24"/>
  </w:num>
  <w:num w:numId="29">
    <w:abstractNumId w:val="2"/>
  </w:num>
  <w:num w:numId="30">
    <w:abstractNumId w:val="27"/>
  </w:num>
  <w:num w:numId="31">
    <w:abstractNumId w:val="32"/>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BC"/>
    <w:rsid w:val="00013904"/>
    <w:rsid w:val="00023B28"/>
    <w:rsid w:val="00062430"/>
    <w:rsid w:val="00065A94"/>
    <w:rsid w:val="00067B31"/>
    <w:rsid w:val="0007099E"/>
    <w:rsid w:val="00081D5B"/>
    <w:rsid w:val="000B0F72"/>
    <w:rsid w:val="000C7E7A"/>
    <w:rsid w:val="000E275A"/>
    <w:rsid w:val="000F2F0F"/>
    <w:rsid w:val="000F661B"/>
    <w:rsid w:val="00106A83"/>
    <w:rsid w:val="001950BB"/>
    <w:rsid w:val="001A43E5"/>
    <w:rsid w:val="001B0979"/>
    <w:rsid w:val="001C0342"/>
    <w:rsid w:val="0020215F"/>
    <w:rsid w:val="002056CD"/>
    <w:rsid w:val="00212F12"/>
    <w:rsid w:val="00236628"/>
    <w:rsid w:val="00240FCD"/>
    <w:rsid w:val="002545AF"/>
    <w:rsid w:val="00265292"/>
    <w:rsid w:val="002942A1"/>
    <w:rsid w:val="002A77E1"/>
    <w:rsid w:val="002B34F6"/>
    <w:rsid w:val="00314799"/>
    <w:rsid w:val="00314A82"/>
    <w:rsid w:val="0032039A"/>
    <w:rsid w:val="003419C7"/>
    <w:rsid w:val="00346400"/>
    <w:rsid w:val="00362D2B"/>
    <w:rsid w:val="00384E52"/>
    <w:rsid w:val="00394A3A"/>
    <w:rsid w:val="003B74E6"/>
    <w:rsid w:val="003D5CE2"/>
    <w:rsid w:val="003E4B72"/>
    <w:rsid w:val="003F29B4"/>
    <w:rsid w:val="003F6655"/>
    <w:rsid w:val="003F6B59"/>
    <w:rsid w:val="004407F6"/>
    <w:rsid w:val="00456721"/>
    <w:rsid w:val="0048631F"/>
    <w:rsid w:val="004867BC"/>
    <w:rsid w:val="004E5A18"/>
    <w:rsid w:val="004F3B33"/>
    <w:rsid w:val="004F60F0"/>
    <w:rsid w:val="00501176"/>
    <w:rsid w:val="0051490F"/>
    <w:rsid w:val="005221EF"/>
    <w:rsid w:val="00572763"/>
    <w:rsid w:val="005B0AEC"/>
    <w:rsid w:val="005B5A1D"/>
    <w:rsid w:val="005C1B97"/>
    <w:rsid w:val="005C7790"/>
    <w:rsid w:val="005D0D5C"/>
    <w:rsid w:val="005E3499"/>
    <w:rsid w:val="00626164"/>
    <w:rsid w:val="006378E6"/>
    <w:rsid w:val="00637B0F"/>
    <w:rsid w:val="006510C5"/>
    <w:rsid w:val="00657E16"/>
    <w:rsid w:val="00696772"/>
    <w:rsid w:val="006B6011"/>
    <w:rsid w:val="006C1280"/>
    <w:rsid w:val="006D122E"/>
    <w:rsid w:val="006F2B94"/>
    <w:rsid w:val="006F460A"/>
    <w:rsid w:val="007055C1"/>
    <w:rsid w:val="00716576"/>
    <w:rsid w:val="00732BFA"/>
    <w:rsid w:val="00736FDF"/>
    <w:rsid w:val="0073711E"/>
    <w:rsid w:val="00751C4F"/>
    <w:rsid w:val="00752DA8"/>
    <w:rsid w:val="00753DAC"/>
    <w:rsid w:val="00757F1B"/>
    <w:rsid w:val="007601C6"/>
    <w:rsid w:val="00760F6C"/>
    <w:rsid w:val="00786840"/>
    <w:rsid w:val="0079156B"/>
    <w:rsid w:val="007C6F21"/>
    <w:rsid w:val="007D3F53"/>
    <w:rsid w:val="007F3560"/>
    <w:rsid w:val="00811969"/>
    <w:rsid w:val="00837469"/>
    <w:rsid w:val="00837E7B"/>
    <w:rsid w:val="008432D7"/>
    <w:rsid w:val="00851B53"/>
    <w:rsid w:val="00852096"/>
    <w:rsid w:val="00862236"/>
    <w:rsid w:val="008649D7"/>
    <w:rsid w:val="00870166"/>
    <w:rsid w:val="00875FE1"/>
    <w:rsid w:val="008B18BF"/>
    <w:rsid w:val="008D29C5"/>
    <w:rsid w:val="008E52C4"/>
    <w:rsid w:val="00907D3E"/>
    <w:rsid w:val="009144E2"/>
    <w:rsid w:val="009227BF"/>
    <w:rsid w:val="00923DEF"/>
    <w:rsid w:val="0094406E"/>
    <w:rsid w:val="00957A72"/>
    <w:rsid w:val="009671C8"/>
    <w:rsid w:val="00971828"/>
    <w:rsid w:val="00995BD8"/>
    <w:rsid w:val="009C255B"/>
    <w:rsid w:val="009F5F56"/>
    <w:rsid w:val="00A0130C"/>
    <w:rsid w:val="00A0211B"/>
    <w:rsid w:val="00A65FEA"/>
    <w:rsid w:val="00A74945"/>
    <w:rsid w:val="00A943C2"/>
    <w:rsid w:val="00AD681A"/>
    <w:rsid w:val="00AF54CB"/>
    <w:rsid w:val="00B20ACB"/>
    <w:rsid w:val="00B271C2"/>
    <w:rsid w:val="00B34876"/>
    <w:rsid w:val="00B403FA"/>
    <w:rsid w:val="00B442A6"/>
    <w:rsid w:val="00B53133"/>
    <w:rsid w:val="00B634E2"/>
    <w:rsid w:val="00B80CAE"/>
    <w:rsid w:val="00BA5AC5"/>
    <w:rsid w:val="00BB7ED4"/>
    <w:rsid w:val="00BC0B5A"/>
    <w:rsid w:val="00BD61FA"/>
    <w:rsid w:val="00BE14C8"/>
    <w:rsid w:val="00BE283C"/>
    <w:rsid w:val="00BE7662"/>
    <w:rsid w:val="00C06641"/>
    <w:rsid w:val="00C21F9E"/>
    <w:rsid w:val="00C30079"/>
    <w:rsid w:val="00C43A9E"/>
    <w:rsid w:val="00C46C1E"/>
    <w:rsid w:val="00C6012B"/>
    <w:rsid w:val="00C7580E"/>
    <w:rsid w:val="00C9467D"/>
    <w:rsid w:val="00CC7AF5"/>
    <w:rsid w:val="00CF5194"/>
    <w:rsid w:val="00D02C39"/>
    <w:rsid w:val="00D176F8"/>
    <w:rsid w:val="00D4666D"/>
    <w:rsid w:val="00D46EE0"/>
    <w:rsid w:val="00D523EB"/>
    <w:rsid w:val="00D67622"/>
    <w:rsid w:val="00D9270F"/>
    <w:rsid w:val="00DE0993"/>
    <w:rsid w:val="00DE3B89"/>
    <w:rsid w:val="00E06C48"/>
    <w:rsid w:val="00E9702A"/>
    <w:rsid w:val="00EA6236"/>
    <w:rsid w:val="00EA7CF4"/>
    <w:rsid w:val="00ED4515"/>
    <w:rsid w:val="00ED67A8"/>
    <w:rsid w:val="00EF17EC"/>
    <w:rsid w:val="00EF32BA"/>
    <w:rsid w:val="00F02B85"/>
    <w:rsid w:val="00F20678"/>
    <w:rsid w:val="00F31C1C"/>
    <w:rsid w:val="00F42267"/>
    <w:rsid w:val="00F526C6"/>
    <w:rsid w:val="00F74A80"/>
    <w:rsid w:val="00FA1BCE"/>
    <w:rsid w:val="00FB310B"/>
    <w:rsid w:val="00FC09B3"/>
    <w:rsid w:val="00FC4F11"/>
    <w:rsid w:val="00FD7272"/>
    <w:rsid w:val="00FE5EDF"/>
    <w:rsid w:val="00FF2A5D"/>
    <w:rsid w:val="00FF6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4BE9B-994D-456C-9831-4029E29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DBC"/>
  </w:style>
  <w:style w:type="paragraph" w:customStyle="1" w:styleId="FootnoteText1">
    <w:name w:val="Footnote Text1"/>
    <w:basedOn w:val="Normal"/>
    <w:next w:val="FootnoteText"/>
    <w:link w:val="FootnoteTextChar"/>
    <w:uiPriority w:val="99"/>
    <w:unhideWhenUsed/>
    <w:rsid w:val="00FF6DBC"/>
    <w:pPr>
      <w:spacing w:after="0" w:line="240" w:lineRule="auto"/>
    </w:pPr>
    <w:rPr>
      <w:rFonts w:ascii="Calibri" w:hAnsi="Calibri" w:cs="Times New Roman"/>
      <w:sz w:val="20"/>
      <w:szCs w:val="20"/>
      <w:lang w:val="en-GB"/>
    </w:rPr>
  </w:style>
  <w:style w:type="character" w:customStyle="1" w:styleId="FootnoteTextChar">
    <w:name w:val="Footnote Text Char"/>
    <w:basedOn w:val="DefaultParagraphFont"/>
    <w:link w:val="FootnoteText1"/>
    <w:uiPriority w:val="99"/>
    <w:rsid w:val="00FF6DBC"/>
    <w:rPr>
      <w:rFonts w:ascii="Calibri" w:hAnsi="Calibri" w:cs="Times New Roman"/>
      <w:sz w:val="20"/>
      <w:szCs w:val="20"/>
      <w:lang w:val="en-GB"/>
    </w:rPr>
  </w:style>
  <w:style w:type="character" w:styleId="FootnoteReference">
    <w:name w:val="footnote reference"/>
    <w:basedOn w:val="DefaultParagraphFont"/>
    <w:uiPriority w:val="99"/>
    <w:unhideWhenUsed/>
    <w:rsid w:val="00FF6DBC"/>
    <w:rPr>
      <w:vertAlign w:val="superscript"/>
    </w:rPr>
  </w:style>
  <w:style w:type="table" w:customStyle="1" w:styleId="TableGrid1">
    <w:name w:val="Table Grid1"/>
    <w:basedOn w:val="TableNormal"/>
    <w:next w:val="TableGrid"/>
    <w:uiPriority w:val="39"/>
    <w:rsid w:val="00FF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6DBC"/>
    <w:rPr>
      <w:color w:val="0000FF"/>
      <w:u w:val="single"/>
    </w:rPr>
  </w:style>
  <w:style w:type="paragraph" w:styleId="FootnoteText">
    <w:name w:val="footnote text"/>
    <w:basedOn w:val="Normal"/>
    <w:link w:val="FootnoteTextChar1"/>
    <w:uiPriority w:val="99"/>
    <w:unhideWhenUsed/>
    <w:rsid w:val="00FF6DB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F6DBC"/>
    <w:rPr>
      <w:sz w:val="20"/>
      <w:szCs w:val="20"/>
    </w:rPr>
  </w:style>
  <w:style w:type="table" w:styleId="TableGrid">
    <w:name w:val="Table Grid"/>
    <w:basedOn w:val="TableNormal"/>
    <w:uiPriority w:val="39"/>
    <w:rsid w:val="00FF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C39"/>
    <w:pPr>
      <w:ind w:left="720"/>
      <w:contextualSpacing/>
    </w:pPr>
  </w:style>
  <w:style w:type="paragraph" w:styleId="BalloonText">
    <w:name w:val="Balloon Text"/>
    <w:basedOn w:val="Normal"/>
    <w:link w:val="BalloonTextChar"/>
    <w:uiPriority w:val="99"/>
    <w:semiHidden/>
    <w:unhideWhenUsed/>
    <w:rsid w:val="00205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CD"/>
    <w:rPr>
      <w:rFonts w:ascii="Segoe UI" w:hAnsi="Segoe UI" w:cs="Segoe UI"/>
      <w:sz w:val="18"/>
      <w:szCs w:val="18"/>
    </w:rPr>
  </w:style>
  <w:style w:type="paragraph" w:styleId="Footer">
    <w:name w:val="footer"/>
    <w:basedOn w:val="Normal"/>
    <w:link w:val="FooterChar"/>
    <w:uiPriority w:val="99"/>
    <w:unhideWhenUsed/>
    <w:rsid w:val="001B0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2023-07-20T18:30:00+00:00</Judgment_x0020_Date>
    <Year xmlns="c1afb1bd-f2fb-40fd-9abb-aea55b4d7662">2023</Year>
  </documentManagement>
</p:properties>
</file>

<file path=customXml/itemProps1.xml><?xml version="1.0" encoding="utf-8"?>
<ds:datastoreItem xmlns:ds="http://schemas.openxmlformats.org/officeDocument/2006/customXml" ds:itemID="{3007A16F-8D6F-43BC-963D-65791C321125}"/>
</file>

<file path=customXml/itemProps2.xml><?xml version="1.0" encoding="utf-8"?>
<ds:datastoreItem xmlns:ds="http://schemas.openxmlformats.org/officeDocument/2006/customXml" ds:itemID="{D0DA8003-EC07-4AC8-A34B-29D5F9A821F6}"/>
</file>

<file path=customXml/itemProps3.xml><?xml version="1.0" encoding="utf-8"?>
<ds:datastoreItem xmlns:ds="http://schemas.openxmlformats.org/officeDocument/2006/customXml" ds:itemID="{03507534-301C-47AA-9422-42429D7A66EF}"/>
</file>

<file path=customXml/itemProps4.xml><?xml version="1.0" encoding="utf-8"?>
<ds:datastoreItem xmlns:ds="http://schemas.openxmlformats.org/officeDocument/2006/customXml" ds:itemID="{D403178D-8D23-42F0-A477-74EBC764BE71}"/>
</file>

<file path=docProps/app.xml><?xml version="1.0" encoding="utf-8"?>
<Properties xmlns="http://schemas.openxmlformats.org/officeDocument/2006/extended-properties" xmlns:vt="http://schemas.openxmlformats.org/officeDocument/2006/docPropsVTypes">
  <Template>Normal</Template>
  <TotalTime>309</TotalTime>
  <Pages>9</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Windhoek Limited  v Grace City Investments CC (HC-MD-CIV-ACT-CON-2023-00993) [2023] NAHCMD 421 (21 July 2023)</dc:title>
  <dc:subject/>
  <dc:creator>Sti Jan</dc:creator>
  <cp:keywords/>
  <dc:description/>
  <cp:lastModifiedBy>Ernestine N. Jansen</cp:lastModifiedBy>
  <cp:revision>3</cp:revision>
  <cp:lastPrinted>2023-07-21T07:33:00Z</cp:lastPrinted>
  <dcterms:created xsi:type="dcterms:W3CDTF">2023-07-21T07:33:00Z</dcterms:created>
  <dcterms:modified xsi:type="dcterms:W3CDTF">2023-07-21T12:41:00Z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