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69" w:rsidRDefault="00084369" w:rsidP="00D036B5">
      <w:pPr>
        <w:spacing w:after="0" w:line="240" w:lineRule="auto"/>
        <w:jc w:val="center"/>
        <w:rPr>
          <w:rFonts w:ascii="Arial" w:eastAsia="Times New Roman" w:hAnsi="Arial" w:cs="Arial"/>
          <w:b/>
          <w:sz w:val="24"/>
          <w:szCs w:val="24"/>
          <w:lang w:val="en-GB"/>
        </w:rPr>
      </w:pPr>
    </w:p>
    <w:p w:rsidR="00D036B5" w:rsidRPr="00D76605" w:rsidRDefault="00D036B5" w:rsidP="00D036B5">
      <w:pPr>
        <w:spacing w:after="0" w:line="240" w:lineRule="auto"/>
        <w:jc w:val="center"/>
        <w:rPr>
          <w:rFonts w:ascii="Arial" w:eastAsia="Times New Roman" w:hAnsi="Arial" w:cs="Arial"/>
          <w:b/>
          <w:sz w:val="24"/>
          <w:szCs w:val="24"/>
          <w:lang w:val="en-GB"/>
        </w:rPr>
      </w:pPr>
      <w:r w:rsidRPr="00D76605">
        <w:rPr>
          <w:rFonts w:ascii="Arial" w:eastAsia="Times New Roman" w:hAnsi="Arial" w:cs="Arial"/>
          <w:b/>
          <w:sz w:val="24"/>
          <w:szCs w:val="24"/>
          <w:lang w:val="en-GB"/>
        </w:rPr>
        <w:t>REPUBLIC OF NAMIBIA</w:t>
      </w:r>
    </w:p>
    <w:p w:rsidR="00D036B5" w:rsidRPr="00D76605" w:rsidRDefault="00D036B5" w:rsidP="00D036B5">
      <w:pPr>
        <w:spacing w:after="0" w:line="240" w:lineRule="auto"/>
        <w:jc w:val="center"/>
        <w:rPr>
          <w:rFonts w:ascii="Arial" w:eastAsia="Times New Roman" w:hAnsi="Arial" w:cs="Arial"/>
          <w:sz w:val="24"/>
          <w:szCs w:val="24"/>
          <w:lang w:val="en-GB"/>
        </w:rPr>
      </w:pPr>
      <w:r w:rsidRPr="00D76605">
        <w:rPr>
          <w:rFonts w:ascii="Arial" w:eastAsia="Times New Roman" w:hAnsi="Arial" w:cs="Arial"/>
          <w:noProof/>
          <w:sz w:val="24"/>
          <w:szCs w:val="24"/>
        </w:rPr>
        <w:drawing>
          <wp:inline distT="0" distB="0" distL="0" distR="0" wp14:anchorId="5973DE95" wp14:editId="4D2EE9EC">
            <wp:extent cx="809625" cy="8191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rsidR="00D036B5" w:rsidRPr="00D76605" w:rsidRDefault="00D036B5" w:rsidP="00D036B5">
      <w:pPr>
        <w:spacing w:after="0" w:line="240" w:lineRule="auto"/>
        <w:jc w:val="center"/>
        <w:rPr>
          <w:rFonts w:ascii="Arial" w:eastAsia="Times New Roman" w:hAnsi="Arial" w:cs="Arial"/>
          <w:sz w:val="24"/>
          <w:szCs w:val="24"/>
          <w:lang w:val="en-GB"/>
        </w:rPr>
      </w:pPr>
    </w:p>
    <w:p w:rsidR="00D036B5" w:rsidRPr="00D76605" w:rsidRDefault="00D036B5" w:rsidP="00D036B5">
      <w:pPr>
        <w:spacing w:after="0" w:line="360" w:lineRule="auto"/>
        <w:jc w:val="center"/>
        <w:rPr>
          <w:rFonts w:ascii="Arial" w:eastAsia="Times New Roman" w:hAnsi="Arial" w:cs="Arial"/>
          <w:b/>
          <w:sz w:val="24"/>
          <w:szCs w:val="24"/>
          <w:lang w:val="en-GB"/>
        </w:rPr>
      </w:pPr>
      <w:r w:rsidRPr="00D76605">
        <w:rPr>
          <w:rFonts w:ascii="Arial" w:eastAsia="Times New Roman" w:hAnsi="Arial" w:cs="Arial"/>
          <w:b/>
          <w:sz w:val="24"/>
          <w:szCs w:val="24"/>
          <w:lang w:val="en-GB"/>
        </w:rPr>
        <w:t>IN THE HIGH COURT OF NAMIBIA, MAIN DIVISION, WINDHOEK</w:t>
      </w:r>
    </w:p>
    <w:p w:rsidR="00D036B5" w:rsidRDefault="00D036B5" w:rsidP="00D036B5">
      <w:pPr>
        <w:spacing w:after="0" w:line="360" w:lineRule="auto"/>
        <w:jc w:val="center"/>
        <w:rPr>
          <w:rFonts w:ascii="Arial" w:eastAsia="Times New Roman" w:hAnsi="Arial" w:cs="Arial"/>
          <w:b/>
          <w:sz w:val="24"/>
          <w:szCs w:val="24"/>
          <w:lang w:val="en-GB"/>
        </w:rPr>
      </w:pPr>
      <w:r w:rsidRPr="00D76605">
        <w:rPr>
          <w:rFonts w:ascii="Arial" w:eastAsia="Times New Roman" w:hAnsi="Arial" w:cs="Arial"/>
          <w:b/>
          <w:sz w:val="24"/>
          <w:szCs w:val="24"/>
          <w:lang w:val="en-GB"/>
        </w:rPr>
        <w:t>REVIEW JUDGMENT</w:t>
      </w:r>
    </w:p>
    <w:p w:rsidR="00CD1235" w:rsidRPr="00D76605" w:rsidRDefault="00CD1235" w:rsidP="00D036B5">
      <w:pPr>
        <w:spacing w:after="0" w:line="360" w:lineRule="auto"/>
        <w:jc w:val="center"/>
        <w:rPr>
          <w:rFonts w:ascii="Arial" w:eastAsia="Times New Roman" w:hAnsi="Arial" w:cs="Arial"/>
          <w:sz w:val="24"/>
          <w:szCs w:val="24"/>
          <w:lang w:val="en-GB"/>
        </w:rPr>
      </w:pPr>
      <w:r>
        <w:rPr>
          <w:rFonts w:ascii="Arial" w:eastAsia="Times New Roman" w:hAnsi="Arial" w:cs="Arial"/>
          <w:b/>
          <w:sz w:val="24"/>
          <w:szCs w:val="24"/>
          <w:lang w:val="en-GB"/>
        </w:rPr>
        <w:t>PRACTICE DIRECTIVE 61</w:t>
      </w:r>
    </w:p>
    <w:p w:rsidR="00D036B5" w:rsidRPr="00D76605" w:rsidRDefault="00D036B5" w:rsidP="00D036B5">
      <w:pPr>
        <w:spacing w:line="256" w:lineRule="auto"/>
        <w:rPr>
          <w:rFonts w:ascii="Arial" w:hAnsi="Arial" w:cs="Arial"/>
          <w:sz w:val="24"/>
          <w:szCs w:val="24"/>
          <w:lang w:val="en-ZA"/>
        </w:rPr>
      </w:pPr>
    </w:p>
    <w:tbl>
      <w:tblPr>
        <w:tblStyle w:val="TableGrid"/>
        <w:tblW w:w="10103" w:type="dxa"/>
        <w:tblInd w:w="-275" w:type="dxa"/>
        <w:tblLook w:val="04A0" w:firstRow="1" w:lastRow="0" w:firstColumn="1" w:lastColumn="0" w:noHBand="0" w:noVBand="1"/>
      </w:tblPr>
      <w:tblGrid>
        <w:gridCol w:w="4770"/>
        <w:gridCol w:w="627"/>
        <w:gridCol w:w="4706"/>
      </w:tblGrid>
      <w:tr w:rsidR="00D036B5" w:rsidRPr="00FD7904" w:rsidTr="00CD1235">
        <w:trPr>
          <w:trHeight w:val="744"/>
        </w:trPr>
        <w:tc>
          <w:tcPr>
            <w:tcW w:w="5397" w:type="dxa"/>
            <w:gridSpan w:val="2"/>
            <w:tcBorders>
              <w:top w:val="single" w:sz="4" w:space="0" w:color="auto"/>
              <w:left w:val="single" w:sz="4" w:space="0" w:color="auto"/>
              <w:bottom w:val="single" w:sz="4" w:space="0" w:color="auto"/>
              <w:right w:val="single" w:sz="4" w:space="0" w:color="auto"/>
            </w:tcBorders>
            <w:hideMark/>
          </w:tcPr>
          <w:p w:rsidR="00D036B5" w:rsidRPr="00FD7904" w:rsidRDefault="0087702D" w:rsidP="00214E84">
            <w:pPr>
              <w:spacing w:line="360" w:lineRule="auto"/>
              <w:jc w:val="both"/>
              <w:rPr>
                <w:rFonts w:ascii="Arial" w:hAnsi="Arial" w:cs="Arial"/>
                <w:color w:val="171717" w:themeColor="background2" w:themeShade="1A"/>
                <w:sz w:val="24"/>
                <w:szCs w:val="24"/>
              </w:rPr>
            </w:pPr>
            <w:r>
              <w:rPr>
                <w:rFonts w:ascii="Arial" w:hAnsi="Arial" w:cs="Arial"/>
                <w:b/>
                <w:color w:val="171717" w:themeColor="background2" w:themeShade="1A"/>
                <w:sz w:val="24"/>
                <w:szCs w:val="24"/>
              </w:rPr>
              <w:t>C</w:t>
            </w:r>
            <w:r w:rsidR="00D036B5" w:rsidRPr="00FD7904">
              <w:rPr>
                <w:rFonts w:ascii="Arial" w:hAnsi="Arial" w:cs="Arial"/>
                <w:b/>
                <w:color w:val="171717" w:themeColor="background2" w:themeShade="1A"/>
                <w:sz w:val="24"/>
                <w:szCs w:val="24"/>
              </w:rPr>
              <w:t>ase Title:</w:t>
            </w:r>
          </w:p>
          <w:p w:rsidR="00D036B5" w:rsidRPr="00FD7904" w:rsidRDefault="00D036B5" w:rsidP="004B7BE6">
            <w:pPr>
              <w:spacing w:line="360" w:lineRule="auto"/>
              <w:jc w:val="both"/>
              <w:rPr>
                <w:rFonts w:ascii="Arial" w:hAnsi="Arial" w:cs="Arial"/>
                <w:i/>
                <w:color w:val="171717" w:themeColor="background2" w:themeShade="1A"/>
                <w:sz w:val="24"/>
                <w:szCs w:val="24"/>
              </w:rPr>
            </w:pPr>
            <w:r w:rsidRPr="00FD7904">
              <w:rPr>
                <w:rFonts w:ascii="Arial" w:hAnsi="Arial" w:cs="Arial"/>
                <w:i/>
                <w:color w:val="171717" w:themeColor="background2" w:themeShade="1A"/>
                <w:sz w:val="24"/>
                <w:szCs w:val="24"/>
              </w:rPr>
              <w:t xml:space="preserve">The State v </w:t>
            </w:r>
            <w:r w:rsidR="004B7BE6">
              <w:rPr>
                <w:rFonts w:ascii="Arial" w:hAnsi="Arial" w:cs="Arial"/>
                <w:i/>
                <w:color w:val="171717" w:themeColor="background2" w:themeShade="1A"/>
                <w:sz w:val="24"/>
                <w:szCs w:val="24"/>
              </w:rPr>
              <w:t xml:space="preserve">Brandon </w:t>
            </w:r>
            <w:proofErr w:type="spellStart"/>
            <w:r w:rsidR="004B7BE6">
              <w:rPr>
                <w:rFonts w:ascii="Arial" w:hAnsi="Arial" w:cs="Arial"/>
                <w:i/>
                <w:color w:val="171717" w:themeColor="background2" w:themeShade="1A"/>
                <w:sz w:val="24"/>
                <w:szCs w:val="24"/>
              </w:rPr>
              <w:t>Pienaar</w:t>
            </w:r>
            <w:proofErr w:type="spellEnd"/>
          </w:p>
        </w:tc>
        <w:tc>
          <w:tcPr>
            <w:tcW w:w="4706" w:type="dxa"/>
            <w:tcBorders>
              <w:top w:val="single" w:sz="4" w:space="0" w:color="auto"/>
              <w:left w:val="single" w:sz="4" w:space="0" w:color="auto"/>
              <w:bottom w:val="single" w:sz="4" w:space="0" w:color="auto"/>
              <w:right w:val="single" w:sz="4" w:space="0" w:color="auto"/>
            </w:tcBorders>
            <w:hideMark/>
          </w:tcPr>
          <w:p w:rsidR="00D036B5" w:rsidRPr="00FD7904" w:rsidRDefault="00D036B5" w:rsidP="00214E84">
            <w:pPr>
              <w:spacing w:line="360" w:lineRule="auto"/>
              <w:jc w:val="both"/>
              <w:rPr>
                <w:rFonts w:ascii="Arial" w:hAnsi="Arial" w:cs="Arial"/>
                <w:b/>
                <w:color w:val="171717" w:themeColor="background2" w:themeShade="1A"/>
                <w:sz w:val="24"/>
                <w:szCs w:val="24"/>
              </w:rPr>
            </w:pPr>
            <w:r w:rsidRPr="00FD7904">
              <w:rPr>
                <w:rFonts w:ascii="Arial" w:hAnsi="Arial" w:cs="Arial"/>
                <w:b/>
                <w:color w:val="171717" w:themeColor="background2" w:themeShade="1A"/>
                <w:sz w:val="24"/>
                <w:szCs w:val="24"/>
              </w:rPr>
              <w:t>Case No:</w:t>
            </w:r>
          </w:p>
          <w:p w:rsidR="00D036B5" w:rsidRPr="00FD7904" w:rsidRDefault="00760944" w:rsidP="004B7BE6">
            <w:pPr>
              <w:spacing w:line="36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CR 70</w:t>
            </w:r>
            <w:r w:rsidR="004B7BE6">
              <w:rPr>
                <w:rFonts w:ascii="Arial" w:hAnsi="Arial" w:cs="Arial"/>
                <w:color w:val="171717" w:themeColor="background2" w:themeShade="1A"/>
                <w:sz w:val="24"/>
                <w:szCs w:val="24"/>
              </w:rPr>
              <w:t xml:space="preserve"> /</w:t>
            </w:r>
            <w:r w:rsidR="00DC0423">
              <w:rPr>
                <w:rFonts w:ascii="Arial" w:hAnsi="Arial" w:cs="Arial"/>
                <w:color w:val="171717" w:themeColor="background2" w:themeShade="1A"/>
                <w:sz w:val="24"/>
                <w:szCs w:val="24"/>
              </w:rPr>
              <w:t>2023</w:t>
            </w:r>
          </w:p>
        </w:tc>
      </w:tr>
      <w:tr w:rsidR="00D036B5" w:rsidRPr="00FD7904" w:rsidTr="00CD1235">
        <w:trPr>
          <w:trHeight w:val="844"/>
        </w:trPr>
        <w:tc>
          <w:tcPr>
            <w:tcW w:w="5397" w:type="dxa"/>
            <w:gridSpan w:val="2"/>
            <w:tcBorders>
              <w:top w:val="single" w:sz="4" w:space="0" w:color="auto"/>
              <w:left w:val="single" w:sz="4" w:space="0" w:color="auto"/>
              <w:bottom w:val="single" w:sz="4" w:space="0" w:color="auto"/>
              <w:right w:val="single" w:sz="4" w:space="0" w:color="auto"/>
            </w:tcBorders>
          </w:tcPr>
          <w:p w:rsidR="00D036B5" w:rsidRPr="00FD7904" w:rsidRDefault="00D036B5" w:rsidP="00214E84">
            <w:pPr>
              <w:spacing w:line="360" w:lineRule="auto"/>
              <w:jc w:val="both"/>
              <w:rPr>
                <w:rFonts w:ascii="Arial" w:hAnsi="Arial" w:cs="Arial"/>
                <w:b/>
                <w:sz w:val="24"/>
                <w:szCs w:val="24"/>
              </w:rPr>
            </w:pPr>
            <w:r w:rsidRPr="00FD7904">
              <w:rPr>
                <w:rFonts w:ascii="Arial" w:hAnsi="Arial" w:cs="Arial"/>
                <w:b/>
                <w:sz w:val="24"/>
                <w:szCs w:val="24"/>
              </w:rPr>
              <w:t>High Court MD Review No:</w:t>
            </w:r>
          </w:p>
          <w:p w:rsidR="00D036B5" w:rsidRPr="00FD7904" w:rsidRDefault="00864F6E" w:rsidP="00214E84">
            <w:pPr>
              <w:spacing w:line="360" w:lineRule="auto"/>
              <w:jc w:val="both"/>
              <w:rPr>
                <w:rFonts w:ascii="Arial" w:hAnsi="Arial" w:cs="Arial"/>
                <w:sz w:val="24"/>
                <w:szCs w:val="24"/>
              </w:rPr>
            </w:pPr>
            <w:r>
              <w:rPr>
                <w:rFonts w:ascii="Arial" w:hAnsi="Arial" w:cs="Arial"/>
                <w:sz w:val="24"/>
                <w:szCs w:val="24"/>
              </w:rPr>
              <w:t>1565</w:t>
            </w:r>
            <w:r w:rsidR="00D036B5" w:rsidRPr="00FD7904">
              <w:rPr>
                <w:rFonts w:ascii="Arial" w:hAnsi="Arial" w:cs="Arial"/>
                <w:sz w:val="24"/>
                <w:szCs w:val="24"/>
              </w:rPr>
              <w:t>/2022</w:t>
            </w:r>
          </w:p>
        </w:tc>
        <w:tc>
          <w:tcPr>
            <w:tcW w:w="4706" w:type="dxa"/>
            <w:tcBorders>
              <w:top w:val="single" w:sz="4" w:space="0" w:color="auto"/>
              <w:left w:val="single" w:sz="4" w:space="0" w:color="auto"/>
              <w:bottom w:val="single" w:sz="4" w:space="0" w:color="auto"/>
              <w:right w:val="single" w:sz="4" w:space="0" w:color="auto"/>
            </w:tcBorders>
            <w:hideMark/>
          </w:tcPr>
          <w:p w:rsidR="00D036B5" w:rsidRPr="00FD7904" w:rsidRDefault="00D036B5" w:rsidP="00214E84">
            <w:pPr>
              <w:spacing w:line="360" w:lineRule="auto"/>
              <w:jc w:val="both"/>
              <w:rPr>
                <w:rFonts w:ascii="Arial" w:hAnsi="Arial" w:cs="Arial"/>
                <w:sz w:val="24"/>
                <w:szCs w:val="24"/>
              </w:rPr>
            </w:pPr>
            <w:r w:rsidRPr="00FD7904">
              <w:rPr>
                <w:rFonts w:ascii="Arial" w:hAnsi="Arial" w:cs="Arial"/>
                <w:b/>
                <w:sz w:val="24"/>
                <w:szCs w:val="24"/>
              </w:rPr>
              <w:t>Division of Court:</w:t>
            </w:r>
          </w:p>
          <w:p w:rsidR="00D036B5" w:rsidRPr="00FD7904" w:rsidRDefault="00D036B5" w:rsidP="00214E84">
            <w:pPr>
              <w:spacing w:line="360" w:lineRule="auto"/>
              <w:jc w:val="both"/>
              <w:rPr>
                <w:rFonts w:ascii="Arial" w:hAnsi="Arial" w:cs="Arial"/>
                <w:sz w:val="24"/>
                <w:szCs w:val="24"/>
              </w:rPr>
            </w:pPr>
            <w:r w:rsidRPr="00FD7904">
              <w:rPr>
                <w:rFonts w:ascii="Arial" w:hAnsi="Arial" w:cs="Arial"/>
                <w:sz w:val="24"/>
                <w:szCs w:val="24"/>
              </w:rPr>
              <w:t>Main Division</w:t>
            </w:r>
          </w:p>
        </w:tc>
      </w:tr>
      <w:tr w:rsidR="00D036B5" w:rsidRPr="00FD7904" w:rsidTr="00CD1235">
        <w:trPr>
          <w:trHeight w:val="796"/>
        </w:trPr>
        <w:tc>
          <w:tcPr>
            <w:tcW w:w="5397" w:type="dxa"/>
            <w:gridSpan w:val="2"/>
            <w:tcBorders>
              <w:top w:val="single" w:sz="4" w:space="0" w:color="auto"/>
              <w:left w:val="single" w:sz="4" w:space="0" w:color="auto"/>
              <w:bottom w:val="single" w:sz="4" w:space="0" w:color="auto"/>
              <w:right w:val="single" w:sz="4" w:space="0" w:color="auto"/>
            </w:tcBorders>
            <w:hideMark/>
          </w:tcPr>
          <w:p w:rsidR="00D036B5" w:rsidRPr="00FD7904" w:rsidRDefault="00D036B5" w:rsidP="00214E84">
            <w:pPr>
              <w:spacing w:line="276" w:lineRule="auto"/>
              <w:contextualSpacing/>
              <w:jc w:val="both"/>
              <w:rPr>
                <w:rFonts w:ascii="Arial" w:hAnsi="Arial" w:cs="Arial"/>
                <w:b/>
                <w:sz w:val="24"/>
                <w:szCs w:val="24"/>
              </w:rPr>
            </w:pPr>
            <w:r w:rsidRPr="00FD7904">
              <w:rPr>
                <w:rFonts w:ascii="Arial" w:hAnsi="Arial" w:cs="Arial"/>
                <w:b/>
                <w:sz w:val="24"/>
                <w:szCs w:val="24"/>
              </w:rPr>
              <w:t>Heard before:</w:t>
            </w:r>
          </w:p>
          <w:p w:rsidR="00D036B5" w:rsidRPr="00864F6E" w:rsidRDefault="00D1048E" w:rsidP="004B7BE6">
            <w:pPr>
              <w:spacing w:line="276" w:lineRule="auto"/>
              <w:contextualSpacing/>
              <w:jc w:val="both"/>
              <w:rPr>
                <w:rFonts w:ascii="Arial" w:hAnsi="Arial" w:cs="Arial"/>
                <w:sz w:val="24"/>
                <w:szCs w:val="24"/>
              </w:rPr>
            </w:pPr>
            <w:r>
              <w:rPr>
                <w:rFonts w:ascii="Arial" w:hAnsi="Arial" w:cs="Arial"/>
                <w:sz w:val="24"/>
                <w:szCs w:val="24"/>
              </w:rPr>
              <w:t xml:space="preserve">Judge </w:t>
            </w:r>
            <w:r w:rsidR="00D036B5" w:rsidRPr="00FD7904">
              <w:rPr>
                <w:rFonts w:ascii="Arial" w:hAnsi="Arial" w:cs="Arial"/>
                <w:sz w:val="24"/>
                <w:szCs w:val="24"/>
              </w:rPr>
              <w:t xml:space="preserve"> January </w:t>
            </w:r>
            <w:r w:rsidR="00D036B5" w:rsidRPr="00FD7904">
              <w:rPr>
                <w:rFonts w:ascii="Arial" w:hAnsi="Arial" w:cs="Arial"/>
                <w:i/>
                <w:sz w:val="24"/>
                <w:szCs w:val="24"/>
              </w:rPr>
              <w:t xml:space="preserve">et </w:t>
            </w:r>
            <w:proofErr w:type="spellStart"/>
            <w:r w:rsidR="00864F6E">
              <w:rPr>
                <w:rFonts w:ascii="Arial" w:hAnsi="Arial" w:cs="Arial"/>
                <w:sz w:val="24"/>
                <w:szCs w:val="24"/>
              </w:rPr>
              <w:t>Shivute</w:t>
            </w:r>
            <w:proofErr w:type="spellEnd"/>
            <w:r w:rsidR="00864F6E">
              <w:rPr>
                <w:rFonts w:ascii="Arial" w:hAnsi="Arial" w:cs="Arial"/>
                <w:sz w:val="24"/>
                <w:szCs w:val="24"/>
              </w:rPr>
              <w:t xml:space="preserve"> J</w:t>
            </w:r>
          </w:p>
        </w:tc>
        <w:tc>
          <w:tcPr>
            <w:tcW w:w="4706" w:type="dxa"/>
            <w:tcBorders>
              <w:top w:val="single" w:sz="4" w:space="0" w:color="auto"/>
              <w:left w:val="single" w:sz="4" w:space="0" w:color="auto"/>
              <w:bottom w:val="single" w:sz="4" w:space="0" w:color="auto"/>
              <w:right w:val="single" w:sz="4" w:space="0" w:color="auto"/>
            </w:tcBorders>
          </w:tcPr>
          <w:p w:rsidR="00D036B5" w:rsidRPr="00FD7904" w:rsidRDefault="00D036B5" w:rsidP="00214E84">
            <w:pPr>
              <w:spacing w:line="276" w:lineRule="auto"/>
              <w:contextualSpacing/>
              <w:jc w:val="both"/>
              <w:rPr>
                <w:rFonts w:ascii="Arial" w:hAnsi="Arial" w:cs="Arial"/>
                <w:b/>
                <w:sz w:val="24"/>
                <w:szCs w:val="24"/>
              </w:rPr>
            </w:pPr>
            <w:r w:rsidRPr="00FD7904">
              <w:rPr>
                <w:rFonts w:ascii="Arial" w:hAnsi="Arial" w:cs="Arial"/>
                <w:b/>
                <w:sz w:val="24"/>
                <w:szCs w:val="24"/>
              </w:rPr>
              <w:t>Delivered on:</w:t>
            </w:r>
          </w:p>
          <w:p w:rsidR="00D036B5" w:rsidRPr="00FD7904" w:rsidRDefault="00760944" w:rsidP="00214E84">
            <w:pPr>
              <w:spacing w:line="276" w:lineRule="auto"/>
              <w:contextualSpacing/>
              <w:jc w:val="both"/>
              <w:rPr>
                <w:rFonts w:ascii="Arial" w:hAnsi="Arial" w:cs="Arial"/>
                <w:sz w:val="24"/>
                <w:szCs w:val="24"/>
              </w:rPr>
            </w:pPr>
            <w:r>
              <w:rPr>
                <w:rFonts w:ascii="Arial" w:hAnsi="Arial" w:cs="Arial"/>
                <w:sz w:val="24"/>
                <w:szCs w:val="24"/>
              </w:rPr>
              <w:t>21 July</w:t>
            </w:r>
            <w:r w:rsidR="00D036B5" w:rsidRPr="00FD7904">
              <w:rPr>
                <w:rFonts w:ascii="Arial" w:hAnsi="Arial" w:cs="Arial"/>
                <w:sz w:val="24"/>
                <w:szCs w:val="24"/>
              </w:rPr>
              <w:t xml:space="preserve"> 2023</w:t>
            </w:r>
          </w:p>
          <w:p w:rsidR="00D036B5" w:rsidRPr="00FD7904" w:rsidRDefault="00D036B5" w:rsidP="00214E84">
            <w:pPr>
              <w:spacing w:line="276" w:lineRule="auto"/>
              <w:contextualSpacing/>
              <w:jc w:val="both"/>
              <w:rPr>
                <w:rFonts w:ascii="Arial" w:hAnsi="Arial" w:cs="Arial"/>
                <w:sz w:val="24"/>
                <w:szCs w:val="24"/>
              </w:rPr>
            </w:pPr>
          </w:p>
        </w:tc>
      </w:tr>
      <w:tr w:rsidR="00D036B5" w:rsidRPr="00FD7904" w:rsidTr="00CD1235">
        <w:tc>
          <w:tcPr>
            <w:tcW w:w="10103" w:type="dxa"/>
            <w:gridSpan w:val="3"/>
            <w:tcBorders>
              <w:top w:val="single" w:sz="4" w:space="0" w:color="auto"/>
              <w:left w:val="single" w:sz="4" w:space="0" w:color="auto"/>
              <w:bottom w:val="single" w:sz="4" w:space="0" w:color="auto"/>
              <w:right w:val="single" w:sz="4" w:space="0" w:color="auto"/>
            </w:tcBorders>
            <w:hideMark/>
          </w:tcPr>
          <w:p w:rsidR="00D036B5" w:rsidRPr="00FD7904" w:rsidRDefault="00D036B5" w:rsidP="00214E84">
            <w:pPr>
              <w:spacing w:line="360" w:lineRule="auto"/>
              <w:jc w:val="both"/>
              <w:rPr>
                <w:rFonts w:ascii="Arial" w:hAnsi="Arial" w:cs="Arial"/>
                <w:color w:val="0D0D0D" w:themeColor="text1" w:themeTint="F2"/>
                <w:sz w:val="24"/>
                <w:szCs w:val="24"/>
              </w:rPr>
            </w:pPr>
            <w:r w:rsidRPr="00FD7904">
              <w:rPr>
                <w:rFonts w:ascii="Arial" w:hAnsi="Arial" w:cs="Arial"/>
                <w:b/>
                <w:color w:val="0D0D0D" w:themeColor="text1" w:themeTint="F2"/>
                <w:sz w:val="24"/>
                <w:szCs w:val="24"/>
              </w:rPr>
              <w:t xml:space="preserve">Neutral citation: </w:t>
            </w:r>
            <w:bookmarkStart w:id="0" w:name="_GoBack"/>
            <w:r w:rsidRPr="00FD7904">
              <w:rPr>
                <w:rFonts w:ascii="Arial" w:hAnsi="Arial" w:cs="Arial"/>
                <w:i/>
                <w:color w:val="0D0D0D" w:themeColor="text1" w:themeTint="F2"/>
                <w:sz w:val="24"/>
                <w:szCs w:val="24"/>
              </w:rPr>
              <w:t>S v</w:t>
            </w:r>
            <w:r w:rsidRPr="00FD7904">
              <w:rPr>
                <w:rFonts w:ascii="Arial" w:hAnsi="Arial" w:cs="Arial"/>
                <w:b/>
                <w:color w:val="0D0D0D" w:themeColor="text1" w:themeTint="F2"/>
                <w:sz w:val="24"/>
                <w:szCs w:val="24"/>
              </w:rPr>
              <w:t xml:space="preserve"> </w:t>
            </w:r>
            <w:proofErr w:type="spellStart"/>
            <w:r w:rsidR="004B7BE6">
              <w:rPr>
                <w:rFonts w:ascii="Arial" w:hAnsi="Arial" w:cs="Arial"/>
                <w:i/>
                <w:color w:val="0D0D0D" w:themeColor="text1" w:themeTint="F2"/>
                <w:sz w:val="24"/>
                <w:szCs w:val="24"/>
              </w:rPr>
              <w:t>Pienaar</w:t>
            </w:r>
            <w:proofErr w:type="spellEnd"/>
            <w:r w:rsidRPr="00FD7904">
              <w:rPr>
                <w:rFonts w:ascii="Arial" w:hAnsi="Arial" w:cs="Arial"/>
                <w:i/>
                <w:color w:val="0D0D0D" w:themeColor="text1" w:themeTint="F2"/>
                <w:sz w:val="24"/>
                <w:szCs w:val="24"/>
              </w:rPr>
              <w:t xml:space="preserve"> </w:t>
            </w:r>
            <w:r w:rsidR="00760944">
              <w:rPr>
                <w:rFonts w:ascii="Arial" w:hAnsi="Arial" w:cs="Arial"/>
                <w:color w:val="0D0D0D" w:themeColor="text1" w:themeTint="F2"/>
                <w:sz w:val="24"/>
                <w:szCs w:val="24"/>
              </w:rPr>
              <w:t>(CR 70</w:t>
            </w:r>
            <w:r w:rsidR="00DD0C5A">
              <w:rPr>
                <w:rFonts w:ascii="Arial" w:hAnsi="Arial" w:cs="Arial"/>
                <w:color w:val="0D0D0D" w:themeColor="text1" w:themeTint="F2"/>
                <w:sz w:val="24"/>
                <w:szCs w:val="24"/>
              </w:rPr>
              <w:t xml:space="preserve">/2023) [2023] NAHCMD </w:t>
            </w:r>
            <w:r w:rsidR="00760944">
              <w:rPr>
                <w:rFonts w:ascii="Arial" w:hAnsi="Arial" w:cs="Arial"/>
                <w:color w:val="0D0D0D" w:themeColor="text1" w:themeTint="F2"/>
                <w:sz w:val="24"/>
                <w:szCs w:val="24"/>
              </w:rPr>
              <w:t>424</w:t>
            </w:r>
            <w:r w:rsidR="00187DF1">
              <w:rPr>
                <w:rFonts w:ascii="Arial" w:hAnsi="Arial" w:cs="Arial"/>
                <w:color w:val="0D0D0D" w:themeColor="text1" w:themeTint="F2"/>
                <w:sz w:val="24"/>
                <w:szCs w:val="24"/>
              </w:rPr>
              <w:t>(</w:t>
            </w:r>
            <w:r w:rsidR="00760944">
              <w:rPr>
                <w:rFonts w:ascii="Arial" w:hAnsi="Arial" w:cs="Arial"/>
                <w:color w:val="0D0D0D" w:themeColor="text1" w:themeTint="F2"/>
                <w:sz w:val="24"/>
                <w:szCs w:val="24"/>
              </w:rPr>
              <w:t>21 July</w:t>
            </w:r>
            <w:r w:rsidRPr="00FD7904">
              <w:rPr>
                <w:rFonts w:ascii="Arial" w:hAnsi="Arial" w:cs="Arial"/>
                <w:color w:val="0D0D0D" w:themeColor="text1" w:themeTint="F2"/>
                <w:sz w:val="24"/>
                <w:szCs w:val="24"/>
              </w:rPr>
              <w:t xml:space="preserve"> 2023)</w:t>
            </w:r>
          </w:p>
          <w:bookmarkEnd w:id="0"/>
          <w:p w:rsidR="00D036B5" w:rsidRPr="00FD7904" w:rsidRDefault="00D036B5" w:rsidP="00214E84">
            <w:pPr>
              <w:spacing w:line="360" w:lineRule="auto"/>
              <w:jc w:val="both"/>
              <w:rPr>
                <w:rFonts w:ascii="Arial" w:hAnsi="Arial" w:cs="Arial"/>
                <w:color w:val="0D0D0D" w:themeColor="text1" w:themeTint="F2"/>
                <w:sz w:val="24"/>
                <w:szCs w:val="24"/>
              </w:rPr>
            </w:pPr>
          </w:p>
        </w:tc>
      </w:tr>
      <w:tr w:rsidR="00D036B5" w:rsidRPr="00FD7904" w:rsidTr="00CD1235">
        <w:tc>
          <w:tcPr>
            <w:tcW w:w="10103" w:type="dxa"/>
            <w:gridSpan w:val="3"/>
            <w:tcBorders>
              <w:top w:val="single" w:sz="4" w:space="0" w:color="auto"/>
              <w:left w:val="single" w:sz="4" w:space="0" w:color="auto"/>
              <w:bottom w:val="single" w:sz="4" w:space="0" w:color="auto"/>
              <w:right w:val="single" w:sz="4" w:space="0" w:color="auto"/>
            </w:tcBorders>
          </w:tcPr>
          <w:p w:rsidR="00D036B5" w:rsidRPr="00FD7904" w:rsidRDefault="00D036B5" w:rsidP="00214E84">
            <w:pPr>
              <w:spacing w:line="360" w:lineRule="auto"/>
              <w:jc w:val="both"/>
              <w:rPr>
                <w:rFonts w:ascii="Arial" w:hAnsi="Arial" w:cs="Arial"/>
                <w:b/>
                <w:sz w:val="24"/>
                <w:szCs w:val="24"/>
              </w:rPr>
            </w:pPr>
          </w:p>
          <w:p w:rsidR="00F559F2" w:rsidRPr="00D1048E" w:rsidRDefault="00D036B5" w:rsidP="00D1048E">
            <w:pPr>
              <w:spacing w:line="360" w:lineRule="auto"/>
              <w:jc w:val="both"/>
              <w:rPr>
                <w:rFonts w:ascii="Arial" w:hAnsi="Arial" w:cs="Arial"/>
                <w:b/>
                <w:sz w:val="24"/>
                <w:szCs w:val="24"/>
              </w:rPr>
            </w:pPr>
            <w:r w:rsidRPr="00FD7904">
              <w:rPr>
                <w:rFonts w:ascii="Arial" w:hAnsi="Arial" w:cs="Arial"/>
                <w:b/>
                <w:sz w:val="24"/>
                <w:szCs w:val="24"/>
              </w:rPr>
              <w:t>The order:</w:t>
            </w:r>
          </w:p>
          <w:p w:rsidR="00DA14EF" w:rsidRDefault="00CD1235" w:rsidP="00CD1235">
            <w:pPr>
              <w:pStyle w:val="ListParagraph"/>
              <w:numPr>
                <w:ilvl w:val="0"/>
                <w:numId w:val="5"/>
              </w:numPr>
              <w:spacing w:line="360" w:lineRule="auto"/>
              <w:ind w:right="601"/>
              <w:jc w:val="both"/>
              <w:rPr>
                <w:rFonts w:ascii="Arial" w:hAnsi="Arial" w:cs="Arial"/>
                <w:lang w:val="en-ZA"/>
              </w:rPr>
            </w:pPr>
            <w:r w:rsidRPr="00583ADA">
              <w:rPr>
                <w:rFonts w:ascii="Arial" w:hAnsi="Arial" w:cs="Arial"/>
                <w:lang w:val="en-ZA"/>
              </w:rPr>
              <w:t xml:space="preserve">The conviction and sentence </w:t>
            </w:r>
            <w:r w:rsidR="00864F6E">
              <w:rPr>
                <w:rFonts w:ascii="Arial" w:hAnsi="Arial" w:cs="Arial"/>
                <w:lang w:val="en-ZA"/>
              </w:rPr>
              <w:t>are</w:t>
            </w:r>
            <w:r w:rsidRPr="00583ADA">
              <w:rPr>
                <w:rFonts w:ascii="Arial" w:hAnsi="Arial" w:cs="Arial"/>
                <w:lang w:val="en-ZA"/>
              </w:rPr>
              <w:t xml:space="preserve"> set aside.</w:t>
            </w:r>
          </w:p>
          <w:p w:rsidR="00DA14EF" w:rsidRDefault="00DA14EF" w:rsidP="00DA14EF">
            <w:pPr>
              <w:pStyle w:val="ListParagraph"/>
              <w:spacing w:line="360" w:lineRule="auto"/>
              <w:ind w:right="601"/>
              <w:jc w:val="both"/>
              <w:rPr>
                <w:rFonts w:ascii="Arial" w:hAnsi="Arial" w:cs="Arial"/>
                <w:lang w:val="en-ZA"/>
              </w:rPr>
            </w:pPr>
          </w:p>
          <w:p w:rsidR="00DA14EF" w:rsidRPr="00DA14EF" w:rsidRDefault="00CD1235" w:rsidP="00DA14EF">
            <w:pPr>
              <w:pStyle w:val="ListParagraph"/>
              <w:numPr>
                <w:ilvl w:val="0"/>
                <w:numId w:val="5"/>
              </w:numPr>
              <w:spacing w:line="360" w:lineRule="auto"/>
              <w:ind w:right="601"/>
              <w:jc w:val="both"/>
              <w:rPr>
                <w:rFonts w:ascii="Arial" w:hAnsi="Arial" w:cs="Arial"/>
                <w:lang w:val="en-US"/>
              </w:rPr>
            </w:pPr>
            <w:r w:rsidRPr="00583ADA">
              <w:rPr>
                <w:rFonts w:ascii="Arial" w:hAnsi="Arial" w:cs="Arial"/>
                <w:lang w:val="en-ZA"/>
              </w:rPr>
              <w:t xml:space="preserve"> </w:t>
            </w:r>
            <w:r w:rsidR="00DA14EF" w:rsidRPr="00DA14EF">
              <w:rPr>
                <w:rFonts w:ascii="Arial" w:hAnsi="Arial" w:cs="Arial"/>
                <w:lang w:val="en-US"/>
              </w:rPr>
              <w:t>In terms of s 312 of the CPA, the accused should henceforth be brought before the trial court and the magistrate is directed to comply with the provisions of s 112 (1) (b) and bring the matter to it natural conclusion.</w:t>
            </w:r>
            <w:r w:rsidR="00DA14EF" w:rsidRPr="00DA14EF">
              <w:rPr>
                <w:rFonts w:ascii="Arial" w:hAnsi="Arial" w:cs="Arial"/>
                <w:i/>
              </w:rPr>
              <w:t xml:space="preserve"> </w:t>
            </w:r>
          </w:p>
          <w:p w:rsidR="00CD1235" w:rsidRPr="00583ADA" w:rsidRDefault="00CD1235" w:rsidP="00DA14EF">
            <w:pPr>
              <w:pStyle w:val="ListParagraph"/>
              <w:spacing w:line="360" w:lineRule="auto"/>
              <w:ind w:right="601"/>
              <w:jc w:val="both"/>
              <w:rPr>
                <w:rFonts w:ascii="Arial" w:hAnsi="Arial" w:cs="Arial"/>
                <w:lang w:val="en-ZA"/>
              </w:rPr>
            </w:pPr>
          </w:p>
          <w:p w:rsidR="00CD1235" w:rsidRPr="00583ADA" w:rsidRDefault="00CD1235" w:rsidP="00CD1235">
            <w:pPr>
              <w:pStyle w:val="ListParagraph"/>
              <w:numPr>
                <w:ilvl w:val="0"/>
                <w:numId w:val="5"/>
              </w:numPr>
              <w:spacing w:line="360" w:lineRule="auto"/>
              <w:ind w:right="601"/>
              <w:jc w:val="both"/>
              <w:rPr>
                <w:rFonts w:ascii="Arial" w:hAnsi="Arial" w:cs="Arial"/>
                <w:lang w:val="en-ZA"/>
              </w:rPr>
            </w:pPr>
            <w:r w:rsidRPr="00583ADA">
              <w:rPr>
                <w:rFonts w:ascii="Arial" w:hAnsi="Arial" w:cs="Arial"/>
                <w:lang w:val="en-ZA"/>
              </w:rPr>
              <w:t>In the event o</w:t>
            </w:r>
            <w:r>
              <w:rPr>
                <w:rFonts w:ascii="Arial" w:hAnsi="Arial" w:cs="Arial"/>
                <w:lang w:val="en-ZA"/>
              </w:rPr>
              <w:t xml:space="preserve">f a conviction, </w:t>
            </w:r>
            <w:r w:rsidRPr="00583ADA">
              <w:rPr>
                <w:rFonts w:ascii="Arial" w:hAnsi="Arial" w:cs="Arial"/>
                <w:lang w:val="en-ZA"/>
              </w:rPr>
              <w:t>the sentencing court must have regard to the sentence already served.</w:t>
            </w:r>
          </w:p>
          <w:p w:rsidR="00D036B5" w:rsidRPr="00FD7904" w:rsidRDefault="00D036B5" w:rsidP="00214E84">
            <w:pPr>
              <w:widowControl w:val="0"/>
              <w:spacing w:line="360" w:lineRule="auto"/>
              <w:ind w:left="720"/>
              <w:contextualSpacing/>
              <w:jc w:val="both"/>
              <w:rPr>
                <w:rFonts w:ascii="Arial" w:eastAsia="Times New Roman" w:hAnsi="Arial" w:cs="Arial"/>
                <w:spacing w:val="-3"/>
                <w:sz w:val="24"/>
                <w:szCs w:val="24"/>
              </w:rPr>
            </w:pPr>
          </w:p>
        </w:tc>
      </w:tr>
      <w:tr w:rsidR="00D036B5" w:rsidRPr="00FD7904" w:rsidTr="00CD1235">
        <w:tc>
          <w:tcPr>
            <w:tcW w:w="10103" w:type="dxa"/>
            <w:gridSpan w:val="3"/>
            <w:tcBorders>
              <w:top w:val="single" w:sz="4" w:space="0" w:color="auto"/>
              <w:left w:val="single" w:sz="4" w:space="0" w:color="auto"/>
              <w:bottom w:val="single" w:sz="4" w:space="0" w:color="auto"/>
              <w:right w:val="single" w:sz="4" w:space="0" w:color="auto"/>
            </w:tcBorders>
          </w:tcPr>
          <w:p w:rsidR="00D036B5" w:rsidRPr="00FD7904" w:rsidRDefault="00D036B5" w:rsidP="00214E84">
            <w:pPr>
              <w:spacing w:line="360" w:lineRule="auto"/>
              <w:jc w:val="both"/>
              <w:rPr>
                <w:rFonts w:ascii="Arial" w:hAnsi="Arial" w:cs="Arial"/>
                <w:b/>
                <w:sz w:val="24"/>
                <w:szCs w:val="24"/>
              </w:rPr>
            </w:pPr>
          </w:p>
          <w:p w:rsidR="00D036B5" w:rsidRPr="00FD7904" w:rsidRDefault="00D036B5" w:rsidP="00214E84">
            <w:pPr>
              <w:spacing w:line="360" w:lineRule="auto"/>
              <w:jc w:val="both"/>
              <w:rPr>
                <w:rFonts w:ascii="Arial" w:hAnsi="Arial" w:cs="Arial"/>
                <w:b/>
                <w:sz w:val="24"/>
                <w:szCs w:val="24"/>
              </w:rPr>
            </w:pPr>
            <w:r w:rsidRPr="00FD7904">
              <w:rPr>
                <w:rFonts w:ascii="Arial" w:hAnsi="Arial" w:cs="Arial"/>
                <w:b/>
                <w:sz w:val="24"/>
                <w:szCs w:val="24"/>
              </w:rPr>
              <w:t>Reasons for order:</w:t>
            </w:r>
          </w:p>
        </w:tc>
      </w:tr>
      <w:tr w:rsidR="00D036B5" w:rsidRPr="00FD7904" w:rsidTr="00CD1235">
        <w:tc>
          <w:tcPr>
            <w:tcW w:w="10103" w:type="dxa"/>
            <w:gridSpan w:val="3"/>
            <w:tcBorders>
              <w:top w:val="single" w:sz="4" w:space="0" w:color="auto"/>
              <w:left w:val="single" w:sz="4" w:space="0" w:color="auto"/>
              <w:bottom w:val="single" w:sz="4" w:space="0" w:color="auto"/>
              <w:right w:val="single" w:sz="4" w:space="0" w:color="auto"/>
            </w:tcBorders>
          </w:tcPr>
          <w:p w:rsidR="00D036B5" w:rsidRPr="00FD7904" w:rsidRDefault="00D036B5" w:rsidP="00214E84">
            <w:pPr>
              <w:spacing w:line="360" w:lineRule="auto"/>
              <w:jc w:val="both"/>
              <w:rPr>
                <w:rFonts w:ascii="Arial" w:hAnsi="Arial" w:cs="Arial"/>
                <w:sz w:val="24"/>
                <w:szCs w:val="24"/>
              </w:rPr>
            </w:pPr>
          </w:p>
          <w:p w:rsidR="00531AE3" w:rsidRDefault="00531AE3" w:rsidP="00531AE3">
            <w:pPr>
              <w:spacing w:line="360" w:lineRule="auto"/>
              <w:jc w:val="both"/>
              <w:rPr>
                <w:rFonts w:ascii="Arial" w:hAnsi="Arial" w:cs="Arial"/>
                <w:sz w:val="24"/>
                <w:szCs w:val="24"/>
              </w:rPr>
            </w:pPr>
            <w:r w:rsidRPr="00FD7904">
              <w:rPr>
                <w:rFonts w:ascii="Arial" w:hAnsi="Arial" w:cs="Arial"/>
                <w:sz w:val="24"/>
                <w:szCs w:val="24"/>
              </w:rPr>
              <w:t>January J (</w:t>
            </w:r>
            <w:proofErr w:type="spellStart"/>
            <w:r w:rsidR="002A3556">
              <w:rPr>
                <w:rFonts w:ascii="Arial" w:hAnsi="Arial" w:cs="Arial"/>
                <w:sz w:val="24"/>
                <w:szCs w:val="24"/>
              </w:rPr>
              <w:t>Shivute</w:t>
            </w:r>
            <w:proofErr w:type="spellEnd"/>
            <w:r w:rsidR="002A3556">
              <w:rPr>
                <w:rFonts w:ascii="Arial" w:hAnsi="Arial" w:cs="Arial"/>
                <w:sz w:val="24"/>
                <w:szCs w:val="24"/>
              </w:rPr>
              <w:t xml:space="preserve"> J </w:t>
            </w:r>
            <w:r w:rsidRPr="00FD7904">
              <w:rPr>
                <w:rFonts w:ascii="Arial" w:hAnsi="Arial" w:cs="Arial"/>
                <w:sz w:val="24"/>
                <w:szCs w:val="24"/>
              </w:rPr>
              <w:t>concurring)</w:t>
            </w:r>
          </w:p>
          <w:p w:rsidR="00531AE3" w:rsidRPr="00FD7904" w:rsidRDefault="00531AE3" w:rsidP="00531AE3">
            <w:pPr>
              <w:spacing w:line="360" w:lineRule="auto"/>
              <w:jc w:val="both"/>
              <w:rPr>
                <w:rFonts w:ascii="Arial" w:hAnsi="Arial" w:cs="Arial"/>
                <w:sz w:val="24"/>
                <w:szCs w:val="24"/>
              </w:rPr>
            </w:pPr>
          </w:p>
          <w:p w:rsidR="00531AE3" w:rsidRPr="004B7BE6" w:rsidRDefault="003E082A" w:rsidP="00531AE3">
            <w:pPr>
              <w:spacing w:line="360" w:lineRule="auto"/>
              <w:jc w:val="both"/>
              <w:rPr>
                <w:rFonts w:ascii="Arial" w:hAnsi="Arial" w:cs="Arial"/>
                <w:sz w:val="24"/>
                <w:szCs w:val="24"/>
              </w:rPr>
            </w:pPr>
            <w:r>
              <w:rPr>
                <w:rFonts w:ascii="Arial" w:hAnsi="Arial" w:cs="Arial"/>
                <w:sz w:val="24"/>
                <w:szCs w:val="24"/>
              </w:rPr>
              <w:t xml:space="preserve">[1]   </w:t>
            </w:r>
            <w:r w:rsidR="00531AE3" w:rsidRPr="00FD7904">
              <w:rPr>
                <w:rFonts w:ascii="Arial" w:hAnsi="Arial" w:cs="Arial"/>
                <w:sz w:val="24"/>
                <w:szCs w:val="24"/>
              </w:rPr>
              <w:t xml:space="preserve">The case was submitted from the </w:t>
            </w:r>
            <w:proofErr w:type="spellStart"/>
            <w:r w:rsidR="00531AE3">
              <w:rPr>
                <w:rFonts w:ascii="Arial" w:hAnsi="Arial" w:cs="Arial"/>
                <w:sz w:val="24"/>
                <w:szCs w:val="24"/>
              </w:rPr>
              <w:t>K</w:t>
            </w:r>
            <w:r w:rsidR="004B7BE6">
              <w:rPr>
                <w:rFonts w:ascii="Arial" w:hAnsi="Arial" w:cs="Arial"/>
                <w:sz w:val="24"/>
                <w:szCs w:val="24"/>
              </w:rPr>
              <w:t>eetmanshoop</w:t>
            </w:r>
            <w:proofErr w:type="spellEnd"/>
            <w:r w:rsidR="00531AE3" w:rsidRPr="00FD7904">
              <w:rPr>
                <w:rFonts w:ascii="Arial" w:hAnsi="Arial" w:cs="Arial"/>
                <w:sz w:val="24"/>
                <w:szCs w:val="24"/>
              </w:rPr>
              <w:t xml:space="preserve"> Magistrate’s Court for automatic review pursuant to s 302(1) of the Criminal Procedure Act </w:t>
            </w:r>
            <w:r w:rsidR="00531AE3">
              <w:rPr>
                <w:rFonts w:ascii="Arial" w:hAnsi="Arial" w:cs="Arial"/>
                <w:sz w:val="24"/>
                <w:szCs w:val="24"/>
              </w:rPr>
              <w:t xml:space="preserve">No. </w:t>
            </w:r>
            <w:r w:rsidR="00531AE3" w:rsidRPr="00FD7904">
              <w:rPr>
                <w:rFonts w:ascii="Arial" w:hAnsi="Arial" w:cs="Arial"/>
                <w:sz w:val="24"/>
                <w:szCs w:val="24"/>
              </w:rPr>
              <w:t xml:space="preserve">51 of 1977 (the CPA). </w:t>
            </w:r>
          </w:p>
          <w:p w:rsidR="00531AE3" w:rsidRDefault="00531AE3" w:rsidP="00531AE3">
            <w:pPr>
              <w:tabs>
                <w:tab w:val="left" w:pos="851"/>
              </w:tabs>
              <w:spacing w:before="240" w:line="360" w:lineRule="auto"/>
              <w:jc w:val="both"/>
              <w:rPr>
                <w:rFonts w:ascii="Arial" w:hAnsi="Arial" w:cs="Arial"/>
                <w:sz w:val="24"/>
                <w:szCs w:val="24"/>
              </w:rPr>
            </w:pPr>
            <w:r w:rsidRPr="00FD7904">
              <w:rPr>
                <w:rFonts w:ascii="Arial" w:hAnsi="Arial" w:cs="Arial"/>
                <w:sz w:val="24"/>
                <w:szCs w:val="24"/>
              </w:rPr>
              <w:t xml:space="preserve">[2]    </w:t>
            </w:r>
            <w:r>
              <w:rPr>
                <w:rFonts w:ascii="Arial" w:hAnsi="Arial" w:cs="Arial"/>
                <w:sz w:val="24"/>
                <w:szCs w:val="24"/>
              </w:rPr>
              <w:t>The accused was charged with possession of a dependence producing substance in contravention of s 2(</w:t>
            </w:r>
            <w:r w:rsidRPr="00D1048E">
              <w:rPr>
                <w:rFonts w:ascii="Arial" w:hAnsi="Arial" w:cs="Arial"/>
                <w:i/>
                <w:sz w:val="24"/>
                <w:szCs w:val="24"/>
              </w:rPr>
              <w:t>b</w:t>
            </w:r>
            <w:r>
              <w:rPr>
                <w:rFonts w:ascii="Arial" w:hAnsi="Arial" w:cs="Arial"/>
                <w:sz w:val="24"/>
                <w:szCs w:val="24"/>
              </w:rPr>
              <w:t xml:space="preserve">) read with </w:t>
            </w:r>
            <w:proofErr w:type="spellStart"/>
            <w:r>
              <w:rPr>
                <w:rFonts w:ascii="Arial" w:hAnsi="Arial" w:cs="Arial"/>
                <w:sz w:val="24"/>
                <w:szCs w:val="24"/>
              </w:rPr>
              <w:t>ss</w:t>
            </w:r>
            <w:proofErr w:type="spellEnd"/>
            <w:r>
              <w:rPr>
                <w:rFonts w:ascii="Arial" w:hAnsi="Arial" w:cs="Arial"/>
                <w:sz w:val="24"/>
                <w:szCs w:val="24"/>
              </w:rPr>
              <w:t xml:space="preserve"> 1, 2(</w:t>
            </w:r>
            <w:proofErr w:type="spellStart"/>
            <w:r w:rsidRPr="003E082A">
              <w:rPr>
                <w:rFonts w:ascii="Arial" w:hAnsi="Arial" w:cs="Arial"/>
                <w:i/>
                <w:sz w:val="24"/>
                <w:szCs w:val="24"/>
              </w:rPr>
              <w:t>i</w:t>
            </w:r>
            <w:proofErr w:type="spellEnd"/>
            <w:r>
              <w:rPr>
                <w:rFonts w:ascii="Arial" w:hAnsi="Arial" w:cs="Arial"/>
                <w:sz w:val="24"/>
                <w:szCs w:val="24"/>
              </w:rPr>
              <w:t>) and 2(</w:t>
            </w:r>
            <w:r w:rsidRPr="00D1048E">
              <w:rPr>
                <w:rFonts w:ascii="Arial" w:hAnsi="Arial" w:cs="Arial"/>
                <w:i/>
                <w:sz w:val="24"/>
                <w:szCs w:val="24"/>
              </w:rPr>
              <w:t>iv</w:t>
            </w:r>
            <w:r>
              <w:rPr>
                <w:rFonts w:ascii="Arial" w:hAnsi="Arial" w:cs="Arial"/>
                <w:sz w:val="24"/>
                <w:szCs w:val="24"/>
              </w:rPr>
              <w:t xml:space="preserve">), 7, 8, 10, 14 and Part I of the schedule of the </w:t>
            </w:r>
            <w:r w:rsidRPr="00D036B5">
              <w:rPr>
                <w:rFonts w:ascii="Arial" w:hAnsi="Arial" w:cs="Arial"/>
                <w:sz w:val="24"/>
                <w:szCs w:val="24"/>
              </w:rPr>
              <w:t xml:space="preserve">Abuse </w:t>
            </w:r>
            <w:r>
              <w:rPr>
                <w:rFonts w:ascii="Arial" w:hAnsi="Arial" w:cs="Arial"/>
                <w:sz w:val="24"/>
                <w:szCs w:val="24"/>
              </w:rPr>
              <w:t>of Dependence-producing Substances and Rehabilitation C</w:t>
            </w:r>
            <w:r w:rsidRPr="00D036B5">
              <w:rPr>
                <w:rFonts w:ascii="Arial" w:hAnsi="Arial" w:cs="Arial"/>
                <w:sz w:val="24"/>
                <w:szCs w:val="24"/>
              </w:rPr>
              <w:t>entres Act</w:t>
            </w:r>
            <w:r>
              <w:rPr>
                <w:rFonts w:ascii="Arial" w:hAnsi="Arial" w:cs="Arial"/>
                <w:sz w:val="24"/>
                <w:szCs w:val="24"/>
              </w:rPr>
              <w:t xml:space="preserve"> No. </w:t>
            </w:r>
            <w:r w:rsidRPr="00D036B5">
              <w:rPr>
                <w:rFonts w:ascii="Arial" w:hAnsi="Arial" w:cs="Arial"/>
                <w:sz w:val="24"/>
                <w:szCs w:val="24"/>
              </w:rPr>
              <w:t xml:space="preserve"> </w:t>
            </w:r>
            <w:r>
              <w:rPr>
                <w:rFonts w:ascii="Arial" w:hAnsi="Arial" w:cs="Arial"/>
                <w:sz w:val="24"/>
                <w:szCs w:val="24"/>
              </w:rPr>
              <w:t>41 of</w:t>
            </w:r>
            <w:r w:rsidRPr="00D036B5">
              <w:rPr>
                <w:rFonts w:ascii="Arial" w:hAnsi="Arial" w:cs="Arial"/>
                <w:sz w:val="24"/>
                <w:szCs w:val="24"/>
              </w:rPr>
              <w:t xml:space="preserve"> 1971</w:t>
            </w:r>
            <w:r>
              <w:rPr>
                <w:rFonts w:ascii="Arial" w:hAnsi="Arial" w:cs="Arial"/>
                <w:sz w:val="24"/>
                <w:szCs w:val="24"/>
              </w:rPr>
              <w:t xml:space="preserve"> (the Act) to wit: 1</w:t>
            </w:r>
            <w:r w:rsidR="004B7BE6">
              <w:rPr>
                <w:rFonts w:ascii="Arial" w:hAnsi="Arial" w:cs="Arial"/>
                <w:sz w:val="24"/>
                <w:szCs w:val="24"/>
              </w:rPr>
              <w:t xml:space="preserve"> gram</w:t>
            </w:r>
            <w:r>
              <w:rPr>
                <w:rFonts w:ascii="Arial" w:hAnsi="Arial" w:cs="Arial"/>
                <w:sz w:val="24"/>
                <w:szCs w:val="24"/>
              </w:rPr>
              <w:t xml:space="preserve"> of cannabis </w:t>
            </w:r>
            <w:r w:rsidR="004B7BE6">
              <w:rPr>
                <w:rFonts w:ascii="Arial" w:hAnsi="Arial" w:cs="Arial"/>
                <w:sz w:val="24"/>
                <w:szCs w:val="24"/>
              </w:rPr>
              <w:t>valued at</w:t>
            </w:r>
            <w:r>
              <w:rPr>
                <w:rFonts w:ascii="Arial" w:hAnsi="Arial" w:cs="Arial"/>
                <w:sz w:val="24"/>
                <w:szCs w:val="24"/>
              </w:rPr>
              <w:t xml:space="preserve"> N$</w:t>
            </w:r>
            <w:r w:rsidR="004B7BE6">
              <w:rPr>
                <w:rFonts w:ascii="Arial" w:hAnsi="Arial" w:cs="Arial"/>
                <w:sz w:val="24"/>
                <w:szCs w:val="24"/>
              </w:rPr>
              <w:t>10</w:t>
            </w:r>
            <w:r>
              <w:rPr>
                <w:rFonts w:ascii="Arial" w:hAnsi="Arial" w:cs="Arial"/>
                <w:sz w:val="24"/>
                <w:szCs w:val="24"/>
              </w:rPr>
              <w:t>.</w:t>
            </w:r>
          </w:p>
          <w:p w:rsidR="00531AE3" w:rsidRDefault="003E082A" w:rsidP="00531AE3">
            <w:pPr>
              <w:tabs>
                <w:tab w:val="left" w:pos="851"/>
              </w:tabs>
              <w:spacing w:before="240" w:line="360" w:lineRule="auto"/>
              <w:jc w:val="both"/>
              <w:rPr>
                <w:rFonts w:ascii="Arial" w:hAnsi="Arial" w:cs="Arial"/>
                <w:sz w:val="24"/>
                <w:szCs w:val="24"/>
              </w:rPr>
            </w:pPr>
            <w:r>
              <w:rPr>
                <w:rFonts w:ascii="Arial" w:hAnsi="Arial" w:cs="Arial"/>
                <w:sz w:val="24"/>
                <w:szCs w:val="24"/>
              </w:rPr>
              <w:t xml:space="preserve">[3]    </w:t>
            </w:r>
            <w:r w:rsidR="00531AE3">
              <w:rPr>
                <w:rFonts w:ascii="Arial" w:hAnsi="Arial" w:cs="Arial"/>
                <w:sz w:val="24"/>
                <w:szCs w:val="24"/>
              </w:rPr>
              <w:t>The accused pleaded guilty</w:t>
            </w:r>
            <w:r w:rsidR="003F6C87">
              <w:rPr>
                <w:rFonts w:ascii="Arial" w:hAnsi="Arial" w:cs="Arial"/>
                <w:sz w:val="24"/>
                <w:szCs w:val="24"/>
              </w:rPr>
              <w:t xml:space="preserve"> on his first appearance. The prosecutor requested the magistrate</w:t>
            </w:r>
            <w:r w:rsidR="002A3556">
              <w:rPr>
                <w:rFonts w:ascii="Arial" w:hAnsi="Arial" w:cs="Arial"/>
                <w:sz w:val="24"/>
                <w:szCs w:val="24"/>
              </w:rPr>
              <w:t xml:space="preserve"> to</w:t>
            </w:r>
            <w:r w:rsidR="003F6C87">
              <w:rPr>
                <w:rFonts w:ascii="Arial" w:hAnsi="Arial" w:cs="Arial"/>
                <w:sz w:val="24"/>
                <w:szCs w:val="24"/>
              </w:rPr>
              <w:t xml:space="preserve"> apply s 112(1</w:t>
            </w:r>
            <w:proofErr w:type="gramStart"/>
            <w:r w:rsidR="003F6C87">
              <w:rPr>
                <w:rFonts w:ascii="Arial" w:hAnsi="Arial" w:cs="Arial"/>
                <w:sz w:val="24"/>
                <w:szCs w:val="24"/>
              </w:rPr>
              <w:t>)</w:t>
            </w:r>
            <w:r w:rsidR="003F6C87" w:rsidRPr="002A3556">
              <w:rPr>
                <w:rFonts w:ascii="Arial" w:hAnsi="Arial" w:cs="Arial"/>
                <w:i/>
                <w:sz w:val="24"/>
                <w:szCs w:val="24"/>
              </w:rPr>
              <w:t>(</w:t>
            </w:r>
            <w:proofErr w:type="gramEnd"/>
            <w:r w:rsidR="003F6C87" w:rsidRPr="002A3556">
              <w:rPr>
                <w:rFonts w:ascii="Arial" w:hAnsi="Arial" w:cs="Arial"/>
                <w:i/>
                <w:sz w:val="24"/>
                <w:szCs w:val="24"/>
              </w:rPr>
              <w:t>a)</w:t>
            </w:r>
            <w:r>
              <w:rPr>
                <w:rFonts w:ascii="Arial" w:hAnsi="Arial" w:cs="Arial"/>
                <w:sz w:val="24"/>
                <w:szCs w:val="24"/>
              </w:rPr>
              <w:t xml:space="preserve"> of the CPA</w:t>
            </w:r>
            <w:r w:rsidR="00531AE3">
              <w:rPr>
                <w:rFonts w:ascii="Arial" w:hAnsi="Arial" w:cs="Arial"/>
                <w:sz w:val="24"/>
                <w:szCs w:val="24"/>
              </w:rPr>
              <w:t xml:space="preserve">, </w:t>
            </w:r>
            <w:r w:rsidR="003F6C87">
              <w:rPr>
                <w:rFonts w:ascii="Arial" w:hAnsi="Arial" w:cs="Arial"/>
                <w:sz w:val="24"/>
                <w:szCs w:val="24"/>
              </w:rPr>
              <w:t xml:space="preserve">to which request the magistrate </w:t>
            </w:r>
            <w:r>
              <w:rPr>
                <w:rFonts w:ascii="Arial" w:hAnsi="Arial" w:cs="Arial"/>
                <w:sz w:val="24"/>
                <w:szCs w:val="24"/>
              </w:rPr>
              <w:t>adhered</w:t>
            </w:r>
            <w:r w:rsidR="003F6C87">
              <w:rPr>
                <w:rFonts w:ascii="Arial" w:hAnsi="Arial" w:cs="Arial"/>
                <w:sz w:val="24"/>
                <w:szCs w:val="24"/>
              </w:rPr>
              <w:t xml:space="preserve">. </w:t>
            </w:r>
            <w:r w:rsidR="002A3556">
              <w:rPr>
                <w:rFonts w:ascii="Arial" w:hAnsi="Arial" w:cs="Arial"/>
                <w:sz w:val="24"/>
                <w:szCs w:val="24"/>
              </w:rPr>
              <w:t xml:space="preserve">The accused was convicted. The public prosecutor proved three </w:t>
            </w:r>
            <w:r w:rsidR="003F6C87">
              <w:rPr>
                <w:rFonts w:ascii="Arial" w:hAnsi="Arial" w:cs="Arial"/>
                <w:sz w:val="24"/>
                <w:szCs w:val="24"/>
              </w:rPr>
              <w:t>previous convictions</w:t>
            </w:r>
            <w:r w:rsidR="002A3556">
              <w:rPr>
                <w:rFonts w:ascii="Arial" w:hAnsi="Arial" w:cs="Arial"/>
                <w:sz w:val="24"/>
                <w:szCs w:val="24"/>
              </w:rPr>
              <w:t xml:space="preserve"> in relation to the possession of dependence producing substances against the accused</w:t>
            </w:r>
            <w:r w:rsidR="003F6C87">
              <w:rPr>
                <w:rFonts w:ascii="Arial" w:hAnsi="Arial" w:cs="Arial"/>
                <w:sz w:val="24"/>
                <w:szCs w:val="24"/>
              </w:rPr>
              <w:t xml:space="preserve">. The accused was thereafter </w:t>
            </w:r>
            <w:r w:rsidR="00531AE3">
              <w:rPr>
                <w:rFonts w:ascii="Arial" w:hAnsi="Arial" w:cs="Arial"/>
                <w:sz w:val="24"/>
                <w:szCs w:val="24"/>
              </w:rPr>
              <w:t xml:space="preserve">sentenced to </w:t>
            </w:r>
            <w:r w:rsidR="003F6C87">
              <w:rPr>
                <w:rFonts w:ascii="Arial" w:hAnsi="Arial" w:cs="Arial"/>
                <w:sz w:val="24"/>
                <w:szCs w:val="24"/>
              </w:rPr>
              <w:t xml:space="preserve">a fine of N$1000 or in default of payment 3 </w:t>
            </w:r>
            <w:r w:rsidR="00531AE3">
              <w:rPr>
                <w:rFonts w:ascii="Arial" w:hAnsi="Arial" w:cs="Arial"/>
                <w:sz w:val="24"/>
                <w:szCs w:val="24"/>
              </w:rPr>
              <w:t>m</w:t>
            </w:r>
            <w:r w:rsidR="003F6C87">
              <w:rPr>
                <w:rFonts w:ascii="Arial" w:hAnsi="Arial" w:cs="Arial"/>
                <w:sz w:val="24"/>
                <w:szCs w:val="24"/>
              </w:rPr>
              <w:t>onths’ imprisonment of which N$500</w:t>
            </w:r>
            <w:r w:rsidR="00531AE3">
              <w:rPr>
                <w:rFonts w:ascii="Arial" w:hAnsi="Arial" w:cs="Arial"/>
                <w:sz w:val="24"/>
                <w:szCs w:val="24"/>
              </w:rPr>
              <w:t xml:space="preserve"> or </w:t>
            </w:r>
            <w:r w:rsidR="003F6C87">
              <w:rPr>
                <w:rFonts w:ascii="Arial" w:hAnsi="Arial" w:cs="Arial"/>
                <w:sz w:val="24"/>
                <w:szCs w:val="24"/>
              </w:rPr>
              <w:t>46 days</w:t>
            </w:r>
            <w:r w:rsidR="00531AE3">
              <w:rPr>
                <w:rFonts w:ascii="Arial" w:hAnsi="Arial" w:cs="Arial"/>
                <w:sz w:val="24"/>
                <w:szCs w:val="24"/>
              </w:rPr>
              <w:t xml:space="preserve"> are suspended for </w:t>
            </w:r>
            <w:r w:rsidR="0078661A">
              <w:rPr>
                <w:rFonts w:ascii="Arial" w:hAnsi="Arial" w:cs="Arial"/>
                <w:sz w:val="24"/>
                <w:szCs w:val="24"/>
              </w:rPr>
              <w:t>4</w:t>
            </w:r>
            <w:r w:rsidR="00531AE3">
              <w:rPr>
                <w:rFonts w:ascii="Arial" w:hAnsi="Arial" w:cs="Arial"/>
                <w:sz w:val="24"/>
                <w:szCs w:val="24"/>
              </w:rPr>
              <w:t xml:space="preserve"> years on condition that the accused is not convicted of possession of dependence-producing substances committed during the period of suspension.</w:t>
            </w:r>
            <w:r w:rsidR="00531AE3" w:rsidRPr="007A0001">
              <w:rPr>
                <w:rFonts w:ascii="Arial" w:hAnsi="Arial" w:cs="Arial"/>
                <w:sz w:val="24"/>
                <w:szCs w:val="24"/>
              </w:rPr>
              <w:t xml:space="preserve"> </w:t>
            </w:r>
          </w:p>
          <w:p w:rsidR="00531AE3" w:rsidRDefault="00531AE3" w:rsidP="00531AE3">
            <w:pPr>
              <w:tabs>
                <w:tab w:val="left" w:pos="851"/>
              </w:tabs>
              <w:spacing w:before="240" w:line="360" w:lineRule="auto"/>
              <w:jc w:val="both"/>
              <w:rPr>
                <w:rFonts w:ascii="Arial" w:hAnsi="Arial" w:cs="Arial"/>
                <w:sz w:val="24"/>
                <w:szCs w:val="24"/>
              </w:rPr>
            </w:pPr>
            <w:r>
              <w:rPr>
                <w:rFonts w:ascii="Arial" w:hAnsi="Arial" w:cs="Arial"/>
                <w:sz w:val="24"/>
                <w:szCs w:val="24"/>
              </w:rPr>
              <w:t xml:space="preserve">[4]     </w:t>
            </w:r>
            <w:r w:rsidR="0078661A">
              <w:rPr>
                <w:rFonts w:ascii="Arial" w:hAnsi="Arial" w:cs="Arial"/>
                <w:sz w:val="24"/>
                <w:szCs w:val="24"/>
              </w:rPr>
              <w:t>I directed a query to the magistrate in the following terms;</w:t>
            </w:r>
          </w:p>
          <w:p w:rsidR="002A3556" w:rsidRDefault="0078661A" w:rsidP="00B91731">
            <w:pPr>
              <w:tabs>
                <w:tab w:val="left" w:pos="851"/>
              </w:tabs>
              <w:spacing w:before="240" w:line="360" w:lineRule="auto"/>
              <w:ind w:left="851" w:hanging="851"/>
              <w:jc w:val="both"/>
              <w:rPr>
                <w:rFonts w:ascii="Arial" w:hAnsi="Arial" w:cs="Arial"/>
              </w:rPr>
            </w:pPr>
            <w:r>
              <w:rPr>
                <w:rFonts w:ascii="Arial" w:hAnsi="Arial" w:cs="Arial"/>
                <w:sz w:val="24"/>
                <w:szCs w:val="24"/>
              </w:rPr>
              <w:t xml:space="preserve">        </w:t>
            </w:r>
            <w:r w:rsidRPr="00F83B80">
              <w:rPr>
                <w:rFonts w:ascii="Arial" w:hAnsi="Arial" w:cs="Arial"/>
              </w:rPr>
              <w:t xml:space="preserve"> ‘</w:t>
            </w:r>
            <w:r w:rsidR="00B91731" w:rsidRPr="00F83B80">
              <w:rPr>
                <w:rFonts w:ascii="Arial" w:hAnsi="Arial" w:cs="Arial"/>
              </w:rPr>
              <w:t>1. The magistrate must explain how the disposal of the case in terms of section 112 (1</w:t>
            </w:r>
            <w:proofErr w:type="gramStart"/>
            <w:r w:rsidR="00B91731" w:rsidRPr="00F83B80">
              <w:rPr>
                <w:rFonts w:ascii="Arial" w:hAnsi="Arial" w:cs="Arial"/>
              </w:rPr>
              <w:t>)(</w:t>
            </w:r>
            <w:proofErr w:type="gramEnd"/>
            <w:r w:rsidR="00B91731" w:rsidRPr="00F83B80">
              <w:rPr>
                <w:rFonts w:ascii="Arial" w:hAnsi="Arial" w:cs="Arial"/>
              </w:rPr>
              <w:t>a) of the Criminal Procedure Act 51 of 1977 is justified?</w:t>
            </w:r>
          </w:p>
          <w:p w:rsidR="00B91731" w:rsidRDefault="002A3556" w:rsidP="002A3556">
            <w:pPr>
              <w:tabs>
                <w:tab w:val="left" w:pos="851"/>
              </w:tabs>
              <w:spacing w:before="240" w:line="360" w:lineRule="auto"/>
              <w:ind w:left="851" w:hanging="851"/>
              <w:jc w:val="both"/>
              <w:rPr>
                <w:rFonts w:ascii="Arial" w:hAnsi="Arial" w:cs="Arial"/>
              </w:rPr>
            </w:pPr>
            <w:r>
              <w:rPr>
                <w:rFonts w:ascii="Arial" w:hAnsi="Arial" w:cs="Arial"/>
              </w:rPr>
              <w:t xml:space="preserve">           2.</w:t>
            </w:r>
            <w:r w:rsidR="00B91731" w:rsidRPr="00F83B80">
              <w:rPr>
                <w:rFonts w:ascii="Arial" w:hAnsi="Arial" w:cs="Arial"/>
              </w:rPr>
              <w:t xml:space="preserve"> Does the magistrate consider the possession of a dependence producing substance as a minor offence, irrespective of the quantity and value thereof?’</w:t>
            </w:r>
          </w:p>
          <w:p w:rsidR="003E082A" w:rsidRPr="003E082A" w:rsidRDefault="003E082A" w:rsidP="003E082A">
            <w:pPr>
              <w:tabs>
                <w:tab w:val="left" w:pos="5"/>
              </w:tabs>
              <w:spacing w:before="240" w:line="360" w:lineRule="auto"/>
              <w:ind w:left="5" w:hanging="5"/>
              <w:jc w:val="both"/>
              <w:rPr>
                <w:rFonts w:ascii="Arial" w:hAnsi="Arial" w:cs="Arial"/>
              </w:rPr>
            </w:pPr>
          </w:p>
          <w:p w:rsidR="00B91731" w:rsidRDefault="00531AE3" w:rsidP="0078661A">
            <w:pPr>
              <w:spacing w:line="360" w:lineRule="auto"/>
              <w:jc w:val="both"/>
              <w:rPr>
                <w:rFonts w:ascii="Arial" w:hAnsi="Arial" w:cs="Arial"/>
                <w:sz w:val="24"/>
                <w:szCs w:val="24"/>
              </w:rPr>
            </w:pPr>
            <w:r>
              <w:rPr>
                <w:rFonts w:ascii="Arial" w:hAnsi="Arial" w:cs="Arial"/>
                <w:sz w:val="24"/>
                <w:szCs w:val="24"/>
              </w:rPr>
              <w:t xml:space="preserve">[5]     </w:t>
            </w:r>
            <w:r w:rsidR="00B91731">
              <w:rPr>
                <w:rFonts w:ascii="Arial" w:hAnsi="Arial" w:cs="Arial"/>
                <w:sz w:val="24"/>
                <w:szCs w:val="24"/>
              </w:rPr>
              <w:t>The magistrate responded as follows;</w:t>
            </w:r>
          </w:p>
          <w:p w:rsidR="00B91731" w:rsidRPr="00F83B80" w:rsidRDefault="00B91731" w:rsidP="0078661A">
            <w:pPr>
              <w:spacing w:line="360" w:lineRule="auto"/>
              <w:jc w:val="both"/>
              <w:rPr>
                <w:rFonts w:ascii="Arial" w:hAnsi="Arial" w:cs="Arial"/>
              </w:rPr>
            </w:pPr>
            <w:r>
              <w:rPr>
                <w:rFonts w:ascii="Arial" w:hAnsi="Arial" w:cs="Arial"/>
                <w:sz w:val="24"/>
                <w:szCs w:val="24"/>
              </w:rPr>
              <w:t xml:space="preserve">          </w:t>
            </w:r>
            <w:r w:rsidRPr="00F83B80">
              <w:rPr>
                <w:rFonts w:ascii="Arial" w:hAnsi="Arial" w:cs="Arial"/>
              </w:rPr>
              <w:t xml:space="preserve">‘ … Having read the query from the Honourable Reviewing Justice </w:t>
            </w:r>
            <w:r w:rsidR="00F83B80" w:rsidRPr="00F83B80">
              <w:rPr>
                <w:rFonts w:ascii="Arial" w:hAnsi="Arial" w:cs="Arial"/>
              </w:rPr>
              <w:t xml:space="preserve">and having re-read the record thereafter, I do concede that finalizing the matter under the auspices of s 112 (1) (a) of Act 51 of 1977 was perhaps not the correct procedure to be adopted. When the magistrate was considering the value and the limit of the fine that can be imposed under the auspices of s 112 (1) (a), the </w:t>
            </w:r>
            <w:r w:rsidR="00F83B80" w:rsidRPr="00F83B80">
              <w:rPr>
                <w:rFonts w:ascii="Arial" w:hAnsi="Arial" w:cs="Arial"/>
              </w:rPr>
              <w:lastRenderedPageBreak/>
              <w:t>magistrate deemed it appropriate at the time, for a fine exceeding N$6000 would not have been envisaged but with the more experience obtained by the magistrate during his young tenure as magistrate, the magistrate has now come to understand that the practice is not as it ought to be but what it is, in the sense that s 112 (1) (a) is only utilized for trivial offences such as theft but offences relating to dependence producing substances is not considered to be a trivial offence as the case law would dictate, one such case being S v Swartz 2019 (1) NR 197 (HC)…’</w:t>
            </w:r>
          </w:p>
          <w:p w:rsidR="00B91731" w:rsidRDefault="00B91731" w:rsidP="0078661A">
            <w:pPr>
              <w:spacing w:line="360" w:lineRule="auto"/>
              <w:jc w:val="both"/>
              <w:rPr>
                <w:rFonts w:ascii="Arial" w:hAnsi="Arial" w:cs="Arial"/>
                <w:sz w:val="24"/>
                <w:szCs w:val="24"/>
              </w:rPr>
            </w:pPr>
          </w:p>
          <w:p w:rsidR="0078661A" w:rsidRDefault="00F83B80" w:rsidP="0078661A">
            <w:pPr>
              <w:spacing w:line="360" w:lineRule="auto"/>
              <w:jc w:val="both"/>
              <w:rPr>
                <w:rFonts w:ascii="Arial" w:hAnsi="Arial" w:cs="Arial"/>
                <w:sz w:val="24"/>
                <w:szCs w:val="24"/>
              </w:rPr>
            </w:pPr>
            <w:r>
              <w:rPr>
                <w:rFonts w:ascii="Arial" w:hAnsi="Arial" w:cs="Arial"/>
                <w:sz w:val="24"/>
                <w:szCs w:val="24"/>
              </w:rPr>
              <w:t xml:space="preserve">[6] The magistrate </w:t>
            </w:r>
            <w:r w:rsidR="002A3556">
              <w:rPr>
                <w:rFonts w:ascii="Arial" w:hAnsi="Arial" w:cs="Arial"/>
                <w:sz w:val="24"/>
                <w:szCs w:val="24"/>
              </w:rPr>
              <w:t>is</w:t>
            </w:r>
            <w:r>
              <w:rPr>
                <w:rFonts w:ascii="Arial" w:hAnsi="Arial" w:cs="Arial"/>
                <w:sz w:val="24"/>
                <w:szCs w:val="24"/>
              </w:rPr>
              <w:t xml:space="preserve"> correct in his concession. </w:t>
            </w:r>
            <w:r w:rsidR="0078661A">
              <w:rPr>
                <w:rFonts w:ascii="Arial" w:hAnsi="Arial" w:cs="Arial"/>
                <w:sz w:val="24"/>
                <w:szCs w:val="24"/>
              </w:rPr>
              <w:t>The wording of s 112(1</w:t>
            </w:r>
            <w:proofErr w:type="gramStart"/>
            <w:r w:rsidR="0078661A">
              <w:rPr>
                <w:rFonts w:ascii="Arial" w:hAnsi="Arial" w:cs="Arial"/>
                <w:sz w:val="24"/>
                <w:szCs w:val="24"/>
              </w:rPr>
              <w:t>)</w:t>
            </w:r>
            <w:r w:rsidR="0078661A" w:rsidRPr="002A3556">
              <w:rPr>
                <w:rFonts w:ascii="Arial" w:hAnsi="Arial" w:cs="Arial"/>
                <w:i/>
                <w:sz w:val="24"/>
                <w:szCs w:val="24"/>
              </w:rPr>
              <w:t>(</w:t>
            </w:r>
            <w:proofErr w:type="gramEnd"/>
            <w:r w:rsidR="0078661A" w:rsidRPr="002A3556">
              <w:rPr>
                <w:rFonts w:ascii="Arial" w:hAnsi="Arial" w:cs="Arial"/>
                <w:i/>
                <w:sz w:val="24"/>
                <w:szCs w:val="24"/>
              </w:rPr>
              <w:t>a)</w:t>
            </w:r>
            <w:r w:rsidR="003E082A">
              <w:rPr>
                <w:rFonts w:ascii="Arial" w:hAnsi="Arial" w:cs="Arial"/>
                <w:sz w:val="24"/>
                <w:szCs w:val="24"/>
              </w:rPr>
              <w:t xml:space="preserve"> of the CPA</w:t>
            </w:r>
            <w:r w:rsidR="0078661A">
              <w:rPr>
                <w:rFonts w:ascii="Arial" w:hAnsi="Arial" w:cs="Arial"/>
                <w:sz w:val="24"/>
                <w:szCs w:val="24"/>
              </w:rPr>
              <w:t xml:space="preserve"> makes it clear that this provision should only be applied </w:t>
            </w:r>
            <w:r w:rsidR="003E082A">
              <w:rPr>
                <w:rFonts w:ascii="Arial" w:hAnsi="Arial" w:cs="Arial"/>
                <w:sz w:val="24"/>
                <w:szCs w:val="24"/>
              </w:rPr>
              <w:t xml:space="preserve">in respect of </w:t>
            </w:r>
            <w:r w:rsidR="0078661A">
              <w:rPr>
                <w:rFonts w:ascii="Arial" w:hAnsi="Arial" w:cs="Arial"/>
                <w:sz w:val="24"/>
                <w:szCs w:val="24"/>
              </w:rPr>
              <w:t>minor offences.</w:t>
            </w:r>
            <w:r w:rsidR="0078661A">
              <w:rPr>
                <w:rStyle w:val="FootnoteReference"/>
                <w:rFonts w:ascii="Arial" w:hAnsi="Arial" w:cs="Arial"/>
                <w:sz w:val="24"/>
                <w:szCs w:val="24"/>
              </w:rPr>
              <w:footnoteReference w:id="1"/>
            </w:r>
          </w:p>
          <w:p w:rsidR="00583ADA" w:rsidRDefault="00583ADA" w:rsidP="0078661A">
            <w:pPr>
              <w:spacing w:line="360" w:lineRule="auto"/>
              <w:jc w:val="both"/>
              <w:rPr>
                <w:rFonts w:ascii="Arial" w:hAnsi="Arial" w:cs="Arial"/>
                <w:sz w:val="24"/>
                <w:szCs w:val="24"/>
              </w:rPr>
            </w:pPr>
          </w:p>
          <w:p w:rsidR="0078661A" w:rsidRDefault="00583ADA" w:rsidP="0078661A">
            <w:pPr>
              <w:spacing w:line="360" w:lineRule="auto"/>
              <w:jc w:val="both"/>
              <w:rPr>
                <w:rFonts w:ascii="Arial" w:hAnsi="Arial" w:cs="Arial"/>
                <w:sz w:val="24"/>
                <w:szCs w:val="24"/>
              </w:rPr>
            </w:pPr>
            <w:r>
              <w:rPr>
                <w:rFonts w:ascii="Arial" w:hAnsi="Arial" w:cs="Arial"/>
                <w:sz w:val="24"/>
                <w:szCs w:val="24"/>
              </w:rPr>
              <w:t xml:space="preserve">[7] </w:t>
            </w:r>
            <w:r w:rsidR="003E096C">
              <w:rPr>
                <w:rFonts w:ascii="Arial" w:hAnsi="Arial" w:cs="Arial"/>
                <w:sz w:val="24"/>
                <w:szCs w:val="24"/>
              </w:rPr>
              <w:t xml:space="preserve">     It is reiterated that, c</w:t>
            </w:r>
            <w:r w:rsidR="0078661A">
              <w:rPr>
                <w:rFonts w:ascii="Arial" w:hAnsi="Arial" w:cs="Arial"/>
                <w:sz w:val="24"/>
                <w:szCs w:val="24"/>
              </w:rPr>
              <w:t>on</w:t>
            </w:r>
            <w:r w:rsidR="003E082A">
              <w:rPr>
                <w:rFonts w:ascii="Arial" w:hAnsi="Arial" w:cs="Arial"/>
                <w:sz w:val="24"/>
                <w:szCs w:val="24"/>
              </w:rPr>
              <w:t xml:space="preserve">sidering the prescribed fine </w:t>
            </w:r>
            <w:r w:rsidR="0078661A" w:rsidRPr="002A3556">
              <w:rPr>
                <w:rFonts w:ascii="Arial" w:hAnsi="Arial" w:cs="Arial"/>
                <w:sz w:val="24"/>
                <w:szCs w:val="24"/>
              </w:rPr>
              <w:t>‘in the case of a first conviction for a contravention of any provision referred to in section 2(b) or (d) of Act 41 of 1971, to a fine not exceeding R20 000 or to imprisonment for a period not exceeding 10 years or to both such fine and such imprisonment’;</w:t>
            </w:r>
            <w:r w:rsidR="0078661A">
              <w:rPr>
                <w:rFonts w:ascii="Arial" w:hAnsi="Arial" w:cs="Arial"/>
                <w:sz w:val="24"/>
                <w:szCs w:val="24"/>
              </w:rPr>
              <w:t xml:space="preserve"> and the purpose of section 112(1) (a) to dispose of </w:t>
            </w:r>
            <w:r w:rsidR="0078661A">
              <w:rPr>
                <w:rFonts w:ascii="Arial" w:hAnsi="Arial" w:cs="Arial"/>
                <w:b/>
                <w:sz w:val="24"/>
                <w:szCs w:val="24"/>
              </w:rPr>
              <w:t xml:space="preserve">minor offenses </w:t>
            </w:r>
            <w:r w:rsidR="0078661A">
              <w:rPr>
                <w:rFonts w:ascii="Arial" w:hAnsi="Arial" w:cs="Arial"/>
                <w:sz w:val="24"/>
                <w:szCs w:val="24"/>
              </w:rPr>
              <w:t xml:space="preserve">expeditiously, the offence cannot be regarded as a minor offence. </w:t>
            </w:r>
            <w:r w:rsidR="003E096C">
              <w:rPr>
                <w:rFonts w:ascii="Arial" w:hAnsi="Arial" w:cs="Arial"/>
                <w:sz w:val="24"/>
                <w:szCs w:val="24"/>
              </w:rPr>
              <w:t>In addition:</w:t>
            </w:r>
          </w:p>
          <w:p w:rsidR="00583ADA" w:rsidRDefault="00583ADA" w:rsidP="0078661A">
            <w:pPr>
              <w:spacing w:line="360" w:lineRule="auto"/>
              <w:jc w:val="both"/>
              <w:rPr>
                <w:rFonts w:ascii="Arial" w:hAnsi="Arial" w:cs="Arial"/>
                <w:sz w:val="24"/>
                <w:szCs w:val="24"/>
              </w:rPr>
            </w:pPr>
          </w:p>
          <w:p w:rsidR="0078661A" w:rsidRDefault="0078661A" w:rsidP="0078661A">
            <w:pPr>
              <w:spacing w:line="360" w:lineRule="auto"/>
              <w:ind w:right="720" w:firstLine="720"/>
              <w:jc w:val="both"/>
              <w:rPr>
                <w:rFonts w:ascii="Arial" w:hAnsi="Arial" w:cs="Arial"/>
              </w:rPr>
            </w:pPr>
            <w:r>
              <w:rPr>
                <w:rFonts w:ascii="Arial" w:hAnsi="Arial" w:cs="Arial"/>
              </w:rPr>
              <w:t xml:space="preserve">'Where the statutory provision contravened permits a sentence exceeding the limits provided for in s 112(1) </w:t>
            </w:r>
            <w:r w:rsidRPr="003E096C">
              <w:rPr>
                <w:rFonts w:ascii="Arial" w:hAnsi="Arial" w:cs="Arial"/>
                <w:i/>
              </w:rPr>
              <w:t>(a)</w:t>
            </w:r>
            <w:r>
              <w:rPr>
                <w:rFonts w:ascii="Arial" w:hAnsi="Arial" w:cs="Arial"/>
              </w:rPr>
              <w:t xml:space="preserve"> the accused cannot be convicted in the absence of questioning or the proof of guilt by evidence.'</w:t>
            </w:r>
            <w:r>
              <w:rPr>
                <w:rStyle w:val="FootnoteReference"/>
                <w:rFonts w:ascii="Arial" w:hAnsi="Arial" w:cs="Arial"/>
              </w:rPr>
              <w:footnoteReference w:id="2"/>
            </w:r>
            <w:r>
              <w:rPr>
                <w:rFonts w:ascii="Arial" w:hAnsi="Arial" w:cs="Arial"/>
              </w:rPr>
              <w:t xml:space="preserve"> </w:t>
            </w:r>
          </w:p>
          <w:p w:rsidR="00583ADA" w:rsidRDefault="00583ADA" w:rsidP="00583ADA">
            <w:pPr>
              <w:spacing w:line="360" w:lineRule="auto"/>
              <w:ind w:right="720"/>
              <w:jc w:val="both"/>
              <w:rPr>
                <w:rFonts w:ascii="Arial" w:hAnsi="Arial" w:cs="Arial"/>
              </w:rPr>
            </w:pPr>
          </w:p>
          <w:p w:rsidR="00583ADA" w:rsidRDefault="00583ADA" w:rsidP="003E096C">
            <w:pPr>
              <w:spacing w:line="360" w:lineRule="auto"/>
              <w:jc w:val="both"/>
              <w:rPr>
                <w:rFonts w:ascii="Arial" w:hAnsi="Arial" w:cs="Arial"/>
              </w:rPr>
            </w:pPr>
            <w:r>
              <w:rPr>
                <w:rFonts w:ascii="Arial" w:hAnsi="Arial" w:cs="Arial"/>
              </w:rPr>
              <w:t xml:space="preserve">[8] </w:t>
            </w:r>
            <w:r w:rsidR="003E096C">
              <w:rPr>
                <w:rFonts w:ascii="Arial" w:hAnsi="Arial" w:cs="Arial"/>
              </w:rPr>
              <w:t xml:space="preserve">      </w:t>
            </w:r>
            <w:r>
              <w:rPr>
                <w:rFonts w:ascii="Arial" w:hAnsi="Arial" w:cs="Arial"/>
                <w:sz w:val="24"/>
                <w:szCs w:val="24"/>
              </w:rPr>
              <w:t>The offence is a serious offence and the sentence</w:t>
            </w:r>
            <w:r w:rsidR="00CD1235">
              <w:rPr>
                <w:rFonts w:ascii="Arial" w:hAnsi="Arial" w:cs="Arial"/>
                <w:sz w:val="24"/>
                <w:szCs w:val="24"/>
              </w:rPr>
              <w:t xml:space="preserve"> provided for in the Act exceeds </w:t>
            </w:r>
            <w:r>
              <w:rPr>
                <w:rFonts w:ascii="Arial" w:hAnsi="Arial" w:cs="Arial"/>
                <w:sz w:val="24"/>
                <w:szCs w:val="24"/>
              </w:rPr>
              <w:t>the limit of s 112(1</w:t>
            </w:r>
            <w:proofErr w:type="gramStart"/>
            <w:r>
              <w:rPr>
                <w:rFonts w:ascii="Arial" w:hAnsi="Arial" w:cs="Arial"/>
                <w:sz w:val="24"/>
                <w:szCs w:val="24"/>
              </w:rPr>
              <w:t>)</w:t>
            </w:r>
            <w:r w:rsidRPr="003E096C">
              <w:rPr>
                <w:rFonts w:ascii="Arial" w:hAnsi="Arial" w:cs="Arial"/>
                <w:i/>
                <w:sz w:val="24"/>
                <w:szCs w:val="24"/>
              </w:rPr>
              <w:t>(</w:t>
            </w:r>
            <w:proofErr w:type="gramEnd"/>
            <w:r w:rsidRPr="003E096C">
              <w:rPr>
                <w:rFonts w:ascii="Arial" w:hAnsi="Arial" w:cs="Arial"/>
                <w:i/>
                <w:sz w:val="24"/>
                <w:szCs w:val="24"/>
              </w:rPr>
              <w:t>a)</w:t>
            </w:r>
            <w:r>
              <w:rPr>
                <w:rFonts w:ascii="Arial" w:hAnsi="Arial" w:cs="Arial"/>
                <w:sz w:val="24"/>
                <w:szCs w:val="24"/>
              </w:rPr>
              <w:t xml:space="preserve"> </w:t>
            </w:r>
            <w:r w:rsidR="003E096C">
              <w:rPr>
                <w:rFonts w:ascii="Arial" w:hAnsi="Arial" w:cs="Arial"/>
                <w:sz w:val="24"/>
                <w:szCs w:val="24"/>
              </w:rPr>
              <w:t>CPA</w:t>
            </w:r>
            <w:r>
              <w:rPr>
                <w:rFonts w:ascii="Arial" w:hAnsi="Arial" w:cs="Arial"/>
                <w:sz w:val="24"/>
                <w:szCs w:val="24"/>
              </w:rPr>
              <w:t xml:space="preserve">. It can </w:t>
            </w:r>
            <w:r w:rsidR="00CD1235">
              <w:rPr>
                <w:rFonts w:ascii="Arial" w:hAnsi="Arial" w:cs="Arial"/>
                <w:sz w:val="24"/>
                <w:szCs w:val="24"/>
              </w:rPr>
              <w:t xml:space="preserve">consequently </w:t>
            </w:r>
            <w:r>
              <w:rPr>
                <w:rFonts w:ascii="Arial" w:hAnsi="Arial" w:cs="Arial"/>
                <w:sz w:val="24"/>
                <w:szCs w:val="24"/>
              </w:rPr>
              <w:t>never be dealt with under the provisions of section 112(1</w:t>
            </w:r>
            <w:proofErr w:type="gramStart"/>
            <w:r>
              <w:rPr>
                <w:rFonts w:ascii="Arial" w:hAnsi="Arial" w:cs="Arial"/>
                <w:sz w:val="24"/>
                <w:szCs w:val="24"/>
              </w:rPr>
              <w:t>)</w:t>
            </w:r>
            <w:r w:rsidRPr="003E096C">
              <w:rPr>
                <w:rFonts w:ascii="Arial" w:hAnsi="Arial" w:cs="Arial"/>
                <w:i/>
                <w:sz w:val="24"/>
                <w:szCs w:val="24"/>
              </w:rPr>
              <w:t>(</w:t>
            </w:r>
            <w:proofErr w:type="gramEnd"/>
            <w:r w:rsidRPr="003E096C">
              <w:rPr>
                <w:rFonts w:ascii="Arial" w:hAnsi="Arial" w:cs="Arial"/>
                <w:i/>
                <w:sz w:val="24"/>
                <w:szCs w:val="24"/>
              </w:rPr>
              <w:t>a)</w:t>
            </w:r>
            <w:r>
              <w:rPr>
                <w:rFonts w:ascii="Arial" w:hAnsi="Arial" w:cs="Arial"/>
                <w:sz w:val="24"/>
                <w:szCs w:val="24"/>
              </w:rPr>
              <w:t xml:space="preserve"> of the </w:t>
            </w:r>
            <w:r w:rsidR="00CD1235">
              <w:rPr>
                <w:rFonts w:ascii="Arial" w:hAnsi="Arial" w:cs="Arial"/>
                <w:sz w:val="24"/>
                <w:szCs w:val="24"/>
              </w:rPr>
              <w:t>CPA</w:t>
            </w:r>
            <w:r>
              <w:rPr>
                <w:rFonts w:ascii="Arial" w:hAnsi="Arial" w:cs="Arial"/>
                <w:sz w:val="24"/>
                <w:szCs w:val="24"/>
              </w:rPr>
              <w:t xml:space="preserve">. What the magistrate did </w:t>
            </w:r>
            <w:r w:rsidR="00CD1235">
              <w:rPr>
                <w:rFonts w:ascii="Arial" w:hAnsi="Arial" w:cs="Arial"/>
                <w:sz w:val="24"/>
                <w:szCs w:val="24"/>
              </w:rPr>
              <w:t xml:space="preserve">thus </w:t>
            </w:r>
            <w:r>
              <w:rPr>
                <w:rFonts w:ascii="Arial" w:hAnsi="Arial" w:cs="Arial"/>
                <w:sz w:val="24"/>
                <w:szCs w:val="24"/>
              </w:rPr>
              <w:t>amounts to a misdirection.</w:t>
            </w:r>
          </w:p>
          <w:p w:rsidR="00531AE3" w:rsidRDefault="00531AE3" w:rsidP="00531AE3">
            <w:pPr>
              <w:spacing w:line="360" w:lineRule="auto"/>
              <w:jc w:val="both"/>
              <w:rPr>
                <w:rFonts w:ascii="Arial" w:hAnsi="Arial" w:cs="Arial"/>
              </w:rPr>
            </w:pPr>
          </w:p>
          <w:p w:rsidR="00583ADA" w:rsidRDefault="00583ADA" w:rsidP="00531AE3">
            <w:pPr>
              <w:spacing w:line="360" w:lineRule="auto"/>
              <w:ind w:right="601"/>
              <w:jc w:val="both"/>
              <w:rPr>
                <w:rFonts w:ascii="Arial" w:hAnsi="Arial" w:cs="Arial"/>
                <w:sz w:val="24"/>
                <w:szCs w:val="24"/>
              </w:rPr>
            </w:pPr>
            <w:r>
              <w:rPr>
                <w:rFonts w:ascii="Arial" w:hAnsi="Arial" w:cs="Arial"/>
                <w:sz w:val="24"/>
                <w:szCs w:val="24"/>
                <w:lang w:val="en-GB"/>
              </w:rPr>
              <w:t>[9</w:t>
            </w:r>
            <w:r w:rsidR="00531AE3">
              <w:rPr>
                <w:rFonts w:ascii="Arial" w:hAnsi="Arial" w:cs="Arial"/>
                <w:sz w:val="24"/>
                <w:szCs w:val="24"/>
                <w:lang w:val="en-GB"/>
              </w:rPr>
              <w:t xml:space="preserve">]      </w:t>
            </w:r>
            <w:r w:rsidR="00531AE3">
              <w:rPr>
                <w:rFonts w:ascii="Arial" w:hAnsi="Arial" w:cs="Arial"/>
                <w:sz w:val="24"/>
                <w:szCs w:val="24"/>
              </w:rPr>
              <w:t>In the result, the following order is made:</w:t>
            </w:r>
          </w:p>
          <w:p w:rsidR="00583ADA" w:rsidRDefault="00583ADA" w:rsidP="003E096C">
            <w:pPr>
              <w:pStyle w:val="ListParagraph"/>
              <w:numPr>
                <w:ilvl w:val="0"/>
                <w:numId w:val="7"/>
              </w:numPr>
              <w:spacing w:line="360" w:lineRule="auto"/>
              <w:ind w:right="601"/>
              <w:jc w:val="both"/>
              <w:rPr>
                <w:rFonts w:ascii="Arial" w:hAnsi="Arial" w:cs="Arial"/>
                <w:lang w:val="en-ZA"/>
              </w:rPr>
            </w:pPr>
            <w:r w:rsidRPr="003E096C">
              <w:rPr>
                <w:rFonts w:ascii="Arial" w:hAnsi="Arial" w:cs="Arial"/>
                <w:lang w:val="en-ZA"/>
              </w:rPr>
              <w:lastRenderedPageBreak/>
              <w:t xml:space="preserve">The conviction and sentence </w:t>
            </w:r>
            <w:r w:rsidR="00CD1235" w:rsidRPr="003E096C">
              <w:rPr>
                <w:rFonts w:ascii="Arial" w:hAnsi="Arial" w:cs="Arial"/>
                <w:lang w:val="en-ZA"/>
              </w:rPr>
              <w:t>is</w:t>
            </w:r>
            <w:r w:rsidR="003E096C">
              <w:rPr>
                <w:rFonts w:ascii="Arial" w:hAnsi="Arial" w:cs="Arial"/>
                <w:lang w:val="en-ZA"/>
              </w:rPr>
              <w:t xml:space="preserve"> set aside;</w:t>
            </w:r>
          </w:p>
          <w:p w:rsidR="003E096C" w:rsidRDefault="003E096C" w:rsidP="003E096C">
            <w:pPr>
              <w:pStyle w:val="ListParagraph"/>
              <w:spacing w:line="360" w:lineRule="auto"/>
              <w:ind w:right="601"/>
              <w:jc w:val="both"/>
              <w:rPr>
                <w:rFonts w:ascii="Arial" w:hAnsi="Arial" w:cs="Arial"/>
                <w:lang w:val="en-ZA"/>
              </w:rPr>
            </w:pPr>
          </w:p>
          <w:p w:rsidR="003E096C" w:rsidRPr="003E096C" w:rsidRDefault="003E096C" w:rsidP="003E096C">
            <w:pPr>
              <w:pStyle w:val="ListParagraph"/>
              <w:numPr>
                <w:ilvl w:val="0"/>
                <w:numId w:val="7"/>
              </w:numPr>
              <w:spacing w:line="360" w:lineRule="auto"/>
              <w:ind w:right="601"/>
              <w:jc w:val="both"/>
              <w:rPr>
                <w:rFonts w:ascii="Arial" w:hAnsi="Arial" w:cs="Arial"/>
                <w:lang w:val="en-ZA"/>
              </w:rPr>
            </w:pPr>
            <w:r w:rsidRPr="003E096C">
              <w:rPr>
                <w:rFonts w:ascii="Arial" w:hAnsi="Arial" w:cs="Arial"/>
              </w:rPr>
              <w:t>In terms of s 312 of the CPA, the accused should henceforth be brought before the trial court and the magistrate is directed to comply with the provisions of s 112(1</w:t>
            </w:r>
            <w:proofErr w:type="gramStart"/>
            <w:r w:rsidRPr="003E096C">
              <w:rPr>
                <w:rFonts w:ascii="Arial" w:hAnsi="Arial" w:cs="Arial"/>
              </w:rPr>
              <w:t>)</w:t>
            </w:r>
            <w:r w:rsidRPr="003E096C">
              <w:rPr>
                <w:rFonts w:ascii="Arial" w:hAnsi="Arial" w:cs="Arial"/>
                <w:i/>
              </w:rPr>
              <w:t>(</w:t>
            </w:r>
            <w:proofErr w:type="gramEnd"/>
            <w:r w:rsidRPr="003E096C">
              <w:rPr>
                <w:rFonts w:ascii="Arial" w:hAnsi="Arial" w:cs="Arial"/>
                <w:i/>
              </w:rPr>
              <w:t>b)</w:t>
            </w:r>
            <w:r w:rsidRPr="003E096C">
              <w:rPr>
                <w:rFonts w:ascii="Arial" w:hAnsi="Arial" w:cs="Arial"/>
              </w:rPr>
              <w:t xml:space="preserve"> and bring the matter to it natural conclusion.</w:t>
            </w:r>
            <w:r w:rsidRPr="003E096C">
              <w:rPr>
                <w:rFonts w:ascii="Arial" w:hAnsi="Arial" w:cs="Arial"/>
                <w:i/>
              </w:rPr>
              <w:t xml:space="preserve"> </w:t>
            </w:r>
          </w:p>
          <w:p w:rsidR="003E096C" w:rsidRPr="003E096C" w:rsidRDefault="003E096C" w:rsidP="003E096C">
            <w:pPr>
              <w:pStyle w:val="ListParagraph"/>
              <w:spacing w:line="360" w:lineRule="auto"/>
              <w:ind w:right="601"/>
              <w:jc w:val="both"/>
              <w:rPr>
                <w:rFonts w:ascii="Arial" w:hAnsi="Arial" w:cs="Arial"/>
                <w:lang w:val="en-ZA"/>
              </w:rPr>
            </w:pPr>
          </w:p>
          <w:p w:rsidR="00583ADA" w:rsidRPr="00583ADA" w:rsidRDefault="00583ADA" w:rsidP="003E096C">
            <w:pPr>
              <w:pStyle w:val="ListParagraph"/>
              <w:numPr>
                <w:ilvl w:val="0"/>
                <w:numId w:val="7"/>
              </w:numPr>
              <w:spacing w:line="360" w:lineRule="auto"/>
              <w:ind w:right="601"/>
              <w:jc w:val="both"/>
              <w:rPr>
                <w:rFonts w:ascii="Arial" w:hAnsi="Arial" w:cs="Arial"/>
                <w:lang w:val="en-ZA"/>
              </w:rPr>
            </w:pPr>
            <w:r w:rsidRPr="00583ADA">
              <w:rPr>
                <w:rFonts w:ascii="Arial" w:hAnsi="Arial" w:cs="Arial"/>
                <w:lang w:val="en-ZA"/>
              </w:rPr>
              <w:t>In the event o</w:t>
            </w:r>
            <w:r w:rsidR="003E082A">
              <w:rPr>
                <w:rFonts w:ascii="Arial" w:hAnsi="Arial" w:cs="Arial"/>
                <w:lang w:val="en-ZA"/>
              </w:rPr>
              <w:t xml:space="preserve">f a conviction, </w:t>
            </w:r>
            <w:r w:rsidRPr="00583ADA">
              <w:rPr>
                <w:rFonts w:ascii="Arial" w:hAnsi="Arial" w:cs="Arial"/>
                <w:lang w:val="en-ZA"/>
              </w:rPr>
              <w:t>the sentencing court must have regard to the sentence already served.</w:t>
            </w:r>
          </w:p>
          <w:p w:rsidR="00D036B5" w:rsidRPr="00FD7904" w:rsidRDefault="00D036B5" w:rsidP="00531AE3">
            <w:pPr>
              <w:pStyle w:val="ListParagraph"/>
              <w:tabs>
                <w:tab w:val="left" w:pos="851"/>
              </w:tabs>
              <w:spacing w:before="240" w:line="360" w:lineRule="auto"/>
              <w:ind w:left="1080" w:right="601"/>
              <w:jc w:val="both"/>
              <w:rPr>
                <w:rFonts w:ascii="Arial" w:hAnsi="Arial" w:cs="Arial"/>
                <w:spacing w:val="-3"/>
              </w:rPr>
            </w:pPr>
          </w:p>
        </w:tc>
      </w:tr>
      <w:tr w:rsidR="00D036B5" w:rsidRPr="00FD7904" w:rsidTr="00CD1235">
        <w:tc>
          <w:tcPr>
            <w:tcW w:w="4770" w:type="dxa"/>
            <w:tcBorders>
              <w:top w:val="single" w:sz="4" w:space="0" w:color="auto"/>
              <w:left w:val="single" w:sz="4" w:space="0" w:color="auto"/>
              <w:bottom w:val="single" w:sz="4" w:space="0" w:color="auto"/>
              <w:right w:val="single" w:sz="4" w:space="0" w:color="auto"/>
            </w:tcBorders>
          </w:tcPr>
          <w:p w:rsidR="00D036B5" w:rsidRPr="00FD7904" w:rsidRDefault="00D036B5" w:rsidP="00B91731">
            <w:pPr>
              <w:spacing w:line="360" w:lineRule="auto"/>
              <w:ind w:left="-18" w:firstLine="18"/>
              <w:rPr>
                <w:rFonts w:ascii="Arial Narrow" w:hAnsi="Arial Narrow" w:cs="Arial"/>
                <w:b/>
                <w:sz w:val="24"/>
                <w:szCs w:val="24"/>
              </w:rPr>
            </w:pPr>
          </w:p>
        </w:tc>
        <w:tc>
          <w:tcPr>
            <w:tcW w:w="5333" w:type="dxa"/>
            <w:gridSpan w:val="2"/>
            <w:tcBorders>
              <w:top w:val="single" w:sz="4" w:space="0" w:color="auto"/>
              <w:left w:val="single" w:sz="4" w:space="0" w:color="auto"/>
              <w:bottom w:val="single" w:sz="4" w:space="0" w:color="auto"/>
              <w:right w:val="single" w:sz="4" w:space="0" w:color="auto"/>
            </w:tcBorders>
          </w:tcPr>
          <w:p w:rsidR="00D036B5" w:rsidRPr="00FD7904" w:rsidRDefault="00D036B5" w:rsidP="00214E84">
            <w:pPr>
              <w:spacing w:line="360" w:lineRule="auto"/>
              <w:rPr>
                <w:rFonts w:ascii="Arial Narrow" w:hAnsi="Arial Narrow" w:cs="Arial"/>
                <w:b/>
                <w:sz w:val="24"/>
                <w:szCs w:val="24"/>
              </w:rPr>
            </w:pPr>
          </w:p>
          <w:p w:rsidR="00D036B5" w:rsidRPr="00FD7904" w:rsidRDefault="00D036B5" w:rsidP="00214E84">
            <w:pPr>
              <w:spacing w:line="360" w:lineRule="auto"/>
              <w:rPr>
                <w:rFonts w:ascii="Arial Narrow" w:hAnsi="Arial Narrow" w:cs="Arial"/>
                <w:b/>
                <w:sz w:val="24"/>
                <w:szCs w:val="24"/>
              </w:rPr>
            </w:pPr>
          </w:p>
        </w:tc>
      </w:tr>
      <w:tr w:rsidR="00D036B5" w:rsidRPr="00FD7904" w:rsidTr="00CD1235">
        <w:trPr>
          <w:trHeight w:val="827"/>
        </w:trPr>
        <w:tc>
          <w:tcPr>
            <w:tcW w:w="4770" w:type="dxa"/>
            <w:tcBorders>
              <w:top w:val="single" w:sz="4" w:space="0" w:color="auto"/>
              <w:left w:val="single" w:sz="4" w:space="0" w:color="auto"/>
              <w:bottom w:val="single" w:sz="4" w:space="0" w:color="auto"/>
              <w:right w:val="single" w:sz="4" w:space="0" w:color="auto"/>
            </w:tcBorders>
            <w:hideMark/>
          </w:tcPr>
          <w:p w:rsidR="00D036B5" w:rsidRPr="00FD7904" w:rsidRDefault="00D036B5" w:rsidP="00214E84">
            <w:pPr>
              <w:spacing w:line="360" w:lineRule="auto"/>
              <w:jc w:val="center"/>
              <w:rPr>
                <w:rFonts w:ascii="Arial Narrow" w:hAnsi="Arial Narrow" w:cs="Arial"/>
                <w:b/>
                <w:sz w:val="24"/>
                <w:szCs w:val="24"/>
              </w:rPr>
            </w:pPr>
            <w:r w:rsidRPr="00FD7904">
              <w:rPr>
                <w:rFonts w:ascii="Arial Narrow" w:hAnsi="Arial Narrow" w:cs="Arial"/>
                <w:b/>
                <w:sz w:val="24"/>
                <w:szCs w:val="24"/>
              </w:rPr>
              <w:t>H C JANUARY</w:t>
            </w:r>
          </w:p>
          <w:p w:rsidR="00D036B5" w:rsidRPr="00FD7904" w:rsidRDefault="00D036B5" w:rsidP="00214E84">
            <w:pPr>
              <w:spacing w:line="360" w:lineRule="auto"/>
              <w:jc w:val="center"/>
              <w:rPr>
                <w:rFonts w:ascii="Arial Narrow" w:hAnsi="Arial Narrow" w:cs="Arial"/>
                <w:b/>
                <w:sz w:val="24"/>
                <w:szCs w:val="24"/>
              </w:rPr>
            </w:pPr>
            <w:r w:rsidRPr="00FD7904">
              <w:rPr>
                <w:rFonts w:ascii="Arial Narrow" w:hAnsi="Arial Narrow" w:cs="Arial"/>
                <w:b/>
                <w:sz w:val="24"/>
                <w:szCs w:val="24"/>
              </w:rPr>
              <w:t>JUDGE</w:t>
            </w:r>
          </w:p>
        </w:tc>
        <w:tc>
          <w:tcPr>
            <w:tcW w:w="5333" w:type="dxa"/>
            <w:gridSpan w:val="2"/>
            <w:tcBorders>
              <w:top w:val="single" w:sz="4" w:space="0" w:color="auto"/>
              <w:left w:val="single" w:sz="4" w:space="0" w:color="auto"/>
              <w:bottom w:val="single" w:sz="4" w:space="0" w:color="auto"/>
              <w:right w:val="single" w:sz="4" w:space="0" w:color="auto"/>
            </w:tcBorders>
            <w:hideMark/>
          </w:tcPr>
          <w:p w:rsidR="00583ADA" w:rsidRDefault="003E096C" w:rsidP="00214E84">
            <w:pPr>
              <w:spacing w:line="360" w:lineRule="auto"/>
              <w:jc w:val="center"/>
              <w:rPr>
                <w:rFonts w:ascii="Arial Narrow" w:hAnsi="Arial Narrow" w:cs="Arial"/>
                <w:b/>
                <w:sz w:val="24"/>
                <w:szCs w:val="24"/>
              </w:rPr>
            </w:pPr>
            <w:r>
              <w:rPr>
                <w:rFonts w:ascii="Arial Narrow" w:hAnsi="Arial Narrow" w:cs="Arial"/>
                <w:b/>
                <w:sz w:val="24"/>
                <w:szCs w:val="24"/>
              </w:rPr>
              <w:t>SHIVUTE J</w:t>
            </w:r>
          </w:p>
          <w:p w:rsidR="00D036B5" w:rsidRPr="00FD7904" w:rsidRDefault="00D036B5" w:rsidP="00214E84">
            <w:pPr>
              <w:spacing w:line="360" w:lineRule="auto"/>
              <w:jc w:val="center"/>
              <w:rPr>
                <w:rFonts w:ascii="Arial Narrow" w:hAnsi="Arial Narrow" w:cs="Arial"/>
                <w:sz w:val="24"/>
                <w:szCs w:val="24"/>
              </w:rPr>
            </w:pPr>
            <w:r w:rsidRPr="00FD7904">
              <w:rPr>
                <w:rFonts w:ascii="Arial Narrow" w:hAnsi="Arial Narrow" w:cs="Arial"/>
                <w:b/>
                <w:sz w:val="24"/>
                <w:szCs w:val="24"/>
              </w:rPr>
              <w:t>JUDGE</w:t>
            </w:r>
          </w:p>
        </w:tc>
      </w:tr>
    </w:tbl>
    <w:p w:rsidR="00CF2A2A" w:rsidRDefault="00CF2A2A"/>
    <w:p w:rsidR="00D1048E" w:rsidRDefault="00D1048E"/>
    <w:p w:rsidR="00D1048E" w:rsidRDefault="00D1048E"/>
    <w:sectPr w:rsidR="00D1048E" w:rsidSect="0062022D">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B1" w:rsidRDefault="00EF4CB1" w:rsidP="007E578E">
      <w:pPr>
        <w:spacing w:after="0" w:line="240" w:lineRule="auto"/>
      </w:pPr>
      <w:r>
        <w:separator/>
      </w:r>
    </w:p>
  </w:endnote>
  <w:endnote w:type="continuationSeparator" w:id="0">
    <w:p w:rsidR="00EF4CB1" w:rsidRDefault="00EF4CB1" w:rsidP="007E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B1" w:rsidRDefault="00EF4CB1" w:rsidP="007E578E">
      <w:pPr>
        <w:spacing w:after="0" w:line="240" w:lineRule="auto"/>
      </w:pPr>
      <w:r>
        <w:separator/>
      </w:r>
    </w:p>
  </w:footnote>
  <w:footnote w:type="continuationSeparator" w:id="0">
    <w:p w:rsidR="00EF4CB1" w:rsidRDefault="00EF4CB1" w:rsidP="007E578E">
      <w:pPr>
        <w:spacing w:after="0" w:line="240" w:lineRule="auto"/>
      </w:pPr>
      <w:r>
        <w:continuationSeparator/>
      </w:r>
    </w:p>
  </w:footnote>
  <w:footnote w:id="1">
    <w:p w:rsidR="0078661A" w:rsidRPr="00705D30" w:rsidRDefault="0078661A" w:rsidP="0078661A">
      <w:pPr>
        <w:pStyle w:val="FootnoteText"/>
        <w:rPr>
          <w:rFonts w:ascii="Arial" w:hAnsi="Arial" w:cs="Arial"/>
          <w:lang w:val="en-US"/>
        </w:rPr>
      </w:pPr>
      <w:r w:rsidRPr="00705D30">
        <w:rPr>
          <w:rStyle w:val="FootnoteReference"/>
          <w:rFonts w:ascii="Arial" w:hAnsi="Arial" w:cs="Arial"/>
        </w:rPr>
        <w:footnoteRef/>
      </w:r>
      <w:r w:rsidRPr="00705D30">
        <w:rPr>
          <w:rFonts w:ascii="Arial" w:hAnsi="Arial" w:cs="Arial"/>
        </w:rPr>
        <w:t xml:space="preserve"> </w:t>
      </w:r>
      <w:r w:rsidRPr="00705D30">
        <w:rPr>
          <w:rFonts w:ascii="Arial" w:hAnsi="Arial" w:cs="Arial"/>
          <w:lang w:val="en-US"/>
        </w:rPr>
        <w:t xml:space="preserve">See: </w:t>
      </w:r>
      <w:proofErr w:type="spellStart"/>
      <w:r w:rsidRPr="00705D30">
        <w:rPr>
          <w:rFonts w:ascii="Arial" w:hAnsi="Arial" w:cs="Arial"/>
          <w:i/>
          <w:lang w:val="en-US"/>
        </w:rPr>
        <w:t>Hiemstra’s</w:t>
      </w:r>
      <w:proofErr w:type="spellEnd"/>
      <w:r w:rsidRPr="00705D30">
        <w:rPr>
          <w:rFonts w:ascii="Arial" w:hAnsi="Arial" w:cs="Arial"/>
          <w:i/>
          <w:lang w:val="en-US"/>
        </w:rPr>
        <w:t xml:space="preserve"> Criminal Procedure,</w:t>
      </w:r>
      <w:r w:rsidRPr="00705D30">
        <w:rPr>
          <w:rFonts w:ascii="Arial" w:hAnsi="Arial" w:cs="Arial"/>
          <w:lang w:val="en-US"/>
        </w:rPr>
        <w:t xml:space="preserve"> Service issue 2, April 2009 by A Kruger, Lexus Nexus at p17-2 to p17-4 and; </w:t>
      </w:r>
      <w:r w:rsidRPr="00705D30">
        <w:rPr>
          <w:rFonts w:ascii="Arial" w:hAnsi="Arial" w:cs="Arial"/>
          <w:i/>
          <w:lang w:val="en-US"/>
        </w:rPr>
        <w:t>Commentary on the Criminal Procedure Act</w:t>
      </w:r>
      <w:r w:rsidRPr="00705D30">
        <w:rPr>
          <w:rFonts w:ascii="Arial" w:hAnsi="Arial" w:cs="Arial"/>
          <w:lang w:val="en-US"/>
        </w:rPr>
        <w:t>.</w:t>
      </w:r>
    </w:p>
  </w:footnote>
  <w:footnote w:id="2">
    <w:p w:rsidR="0078661A" w:rsidRPr="00705D30" w:rsidRDefault="0078661A" w:rsidP="0078661A">
      <w:pPr>
        <w:jc w:val="both"/>
        <w:rPr>
          <w:rFonts w:ascii="Arial" w:hAnsi="Arial" w:cs="Arial"/>
          <w:sz w:val="20"/>
          <w:szCs w:val="20"/>
        </w:rPr>
      </w:pPr>
      <w:r w:rsidRPr="00705D30">
        <w:rPr>
          <w:rStyle w:val="FootnoteReference"/>
          <w:rFonts w:ascii="Arial" w:hAnsi="Arial" w:cs="Arial"/>
        </w:rPr>
        <w:footnoteRef/>
      </w:r>
      <w:r w:rsidRPr="00705D30">
        <w:rPr>
          <w:rFonts w:ascii="Arial" w:hAnsi="Arial" w:cs="Arial"/>
        </w:rPr>
        <w:t xml:space="preserve"> </w:t>
      </w:r>
      <w:r w:rsidRPr="00705D30">
        <w:rPr>
          <w:rFonts w:ascii="Arial" w:hAnsi="Arial" w:cs="Arial"/>
          <w:sz w:val="20"/>
          <w:szCs w:val="20"/>
        </w:rPr>
        <w:t xml:space="preserve">See Lansdown and Campbell </w:t>
      </w:r>
      <w:r w:rsidRPr="00705D30">
        <w:rPr>
          <w:rFonts w:ascii="Arial" w:hAnsi="Arial" w:cs="Arial"/>
          <w:i/>
          <w:sz w:val="20"/>
          <w:szCs w:val="20"/>
        </w:rPr>
        <w:t>South African Criminal Law and Procedure</w:t>
      </w:r>
      <w:r w:rsidRPr="00705D30">
        <w:rPr>
          <w:rFonts w:ascii="Arial" w:hAnsi="Arial" w:cs="Arial"/>
          <w:sz w:val="20"/>
          <w:szCs w:val="20"/>
        </w:rPr>
        <w:t xml:space="preserve"> </w:t>
      </w:r>
      <w:proofErr w:type="spellStart"/>
      <w:r w:rsidRPr="00705D30">
        <w:rPr>
          <w:rFonts w:ascii="Arial" w:hAnsi="Arial" w:cs="Arial"/>
          <w:sz w:val="20"/>
          <w:szCs w:val="20"/>
        </w:rPr>
        <w:t>vol</w:t>
      </w:r>
      <w:proofErr w:type="spellEnd"/>
      <w:r w:rsidRPr="00705D30">
        <w:rPr>
          <w:rFonts w:ascii="Arial" w:hAnsi="Arial" w:cs="Arial"/>
          <w:sz w:val="20"/>
          <w:szCs w:val="20"/>
        </w:rPr>
        <w:t xml:space="preserve"> V at 412; </w:t>
      </w:r>
      <w:r w:rsidRPr="00705D30">
        <w:rPr>
          <w:rFonts w:ascii="Arial" w:hAnsi="Arial" w:cs="Arial"/>
          <w:i/>
          <w:sz w:val="20"/>
          <w:szCs w:val="20"/>
        </w:rPr>
        <w:t xml:space="preserve">S v </w:t>
      </w:r>
      <w:proofErr w:type="spellStart"/>
      <w:r w:rsidRPr="00705D30">
        <w:rPr>
          <w:rFonts w:ascii="Arial" w:hAnsi="Arial" w:cs="Arial"/>
          <w:i/>
          <w:sz w:val="20"/>
          <w:szCs w:val="20"/>
        </w:rPr>
        <w:t>Mkhafu</w:t>
      </w:r>
      <w:proofErr w:type="spellEnd"/>
      <w:r w:rsidRPr="00705D30">
        <w:rPr>
          <w:rFonts w:ascii="Arial" w:hAnsi="Arial" w:cs="Arial"/>
          <w:sz w:val="20"/>
          <w:szCs w:val="20"/>
        </w:rPr>
        <w:t xml:space="preserve"> 1978 (1) SA 665 (O) with approval referred to in </w:t>
      </w:r>
      <w:r w:rsidRPr="00705D30">
        <w:rPr>
          <w:rFonts w:ascii="Arial" w:hAnsi="Arial" w:cs="Arial"/>
          <w:i/>
          <w:sz w:val="20"/>
          <w:szCs w:val="20"/>
        </w:rPr>
        <w:t xml:space="preserve">S v </w:t>
      </w:r>
      <w:proofErr w:type="spellStart"/>
      <w:r w:rsidRPr="00705D30">
        <w:rPr>
          <w:rFonts w:ascii="Arial" w:hAnsi="Arial" w:cs="Arial"/>
          <w:i/>
          <w:sz w:val="20"/>
          <w:szCs w:val="20"/>
        </w:rPr>
        <w:t>Mostert</w:t>
      </w:r>
      <w:proofErr w:type="spellEnd"/>
      <w:r w:rsidRPr="00705D30">
        <w:rPr>
          <w:rFonts w:ascii="Arial" w:hAnsi="Arial" w:cs="Arial"/>
          <w:sz w:val="20"/>
          <w:szCs w:val="20"/>
        </w:rPr>
        <w:t xml:space="preserve"> 1994 NR 83 (HC) and </w:t>
      </w:r>
      <w:r w:rsidRPr="00877D2F">
        <w:rPr>
          <w:rFonts w:ascii="Arial" w:hAnsi="Arial" w:cs="Arial"/>
          <w:sz w:val="20"/>
          <w:szCs w:val="20"/>
        </w:rPr>
        <w:t>IMPORTANT</w:t>
      </w:r>
      <w:r w:rsidRPr="00705D30">
        <w:rPr>
          <w:rFonts w:ascii="Arial" w:hAnsi="Arial" w:cs="Arial"/>
          <w:sz w:val="20"/>
          <w:szCs w:val="20"/>
        </w:rPr>
        <w:t xml:space="preserve">; </w:t>
      </w:r>
      <w:r w:rsidRPr="00705D30">
        <w:rPr>
          <w:rFonts w:ascii="Arial" w:hAnsi="Arial" w:cs="Arial"/>
          <w:i/>
          <w:sz w:val="20"/>
          <w:szCs w:val="20"/>
        </w:rPr>
        <w:t xml:space="preserve">S v </w:t>
      </w:r>
      <w:proofErr w:type="spellStart"/>
      <w:r w:rsidRPr="00705D30">
        <w:rPr>
          <w:rFonts w:ascii="Arial" w:hAnsi="Arial" w:cs="Arial"/>
          <w:i/>
          <w:sz w:val="20"/>
          <w:szCs w:val="20"/>
        </w:rPr>
        <w:t>Onesmus</w:t>
      </w:r>
      <w:proofErr w:type="spellEnd"/>
      <w:r w:rsidRPr="00705D30">
        <w:rPr>
          <w:rFonts w:ascii="Arial" w:hAnsi="Arial" w:cs="Arial"/>
          <w:i/>
          <w:sz w:val="20"/>
          <w:szCs w:val="20"/>
        </w:rPr>
        <w:t xml:space="preserve">; S v </w:t>
      </w:r>
      <w:proofErr w:type="spellStart"/>
      <w:r w:rsidRPr="00705D30">
        <w:rPr>
          <w:rFonts w:ascii="Arial" w:hAnsi="Arial" w:cs="Arial"/>
          <w:i/>
          <w:sz w:val="20"/>
          <w:szCs w:val="20"/>
        </w:rPr>
        <w:t>Amukoto;S</w:t>
      </w:r>
      <w:proofErr w:type="spellEnd"/>
      <w:r w:rsidRPr="00705D30">
        <w:rPr>
          <w:rFonts w:ascii="Arial" w:hAnsi="Arial" w:cs="Arial"/>
          <w:i/>
          <w:sz w:val="20"/>
          <w:szCs w:val="20"/>
        </w:rPr>
        <w:t xml:space="preserve"> v </w:t>
      </w:r>
      <w:proofErr w:type="spellStart"/>
      <w:r w:rsidRPr="00705D30">
        <w:rPr>
          <w:rFonts w:ascii="Arial" w:hAnsi="Arial" w:cs="Arial"/>
          <w:i/>
          <w:sz w:val="20"/>
          <w:szCs w:val="20"/>
        </w:rPr>
        <w:t>Mweshipange</w:t>
      </w:r>
      <w:proofErr w:type="spellEnd"/>
      <w:r w:rsidRPr="00705D30">
        <w:rPr>
          <w:rFonts w:ascii="Arial" w:hAnsi="Arial" w:cs="Arial"/>
          <w:i/>
          <w:sz w:val="20"/>
          <w:szCs w:val="20"/>
        </w:rPr>
        <w:t xml:space="preserve"> </w:t>
      </w:r>
      <w:r w:rsidRPr="00705D30">
        <w:rPr>
          <w:rFonts w:ascii="Arial" w:hAnsi="Arial" w:cs="Arial"/>
          <w:sz w:val="20"/>
          <w:szCs w:val="20"/>
        </w:rPr>
        <w:t>2011 (2) NR 461 (HC)</w:t>
      </w:r>
      <w:r>
        <w:rPr>
          <w:rFonts w:ascii="Arial" w:hAnsi="Arial" w:cs="Arial"/>
          <w:sz w:val="20"/>
          <w:szCs w:val="20"/>
        </w:rPr>
        <w:t>.</w:t>
      </w:r>
    </w:p>
    <w:p w:rsidR="0078661A" w:rsidRDefault="0078661A" w:rsidP="0078661A">
      <w:pPr>
        <w:pStyle w:val="FootnoteText"/>
        <w:rPr>
          <w:lang w:val="en-US"/>
        </w:rPr>
      </w:pPr>
    </w:p>
    <w:p w:rsidR="0078661A" w:rsidRDefault="0078661A" w:rsidP="0078661A">
      <w:pPr>
        <w:pStyle w:val="FootnoteText"/>
        <w:rPr>
          <w:lang w:val="en-US"/>
        </w:rPr>
      </w:pPr>
    </w:p>
    <w:p w:rsidR="0078661A" w:rsidRDefault="0078661A" w:rsidP="0078661A">
      <w:pPr>
        <w:pStyle w:val="FootnoteText"/>
        <w:rPr>
          <w:lang w:val="en-US"/>
        </w:rPr>
      </w:pPr>
    </w:p>
    <w:p w:rsidR="0078661A" w:rsidRDefault="0078661A" w:rsidP="0078661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331068"/>
      <w:docPartObj>
        <w:docPartGallery w:val="Page Numbers (Top of Page)"/>
        <w:docPartUnique/>
      </w:docPartObj>
    </w:sdtPr>
    <w:sdtEndPr>
      <w:rPr>
        <w:noProof/>
      </w:rPr>
    </w:sdtEndPr>
    <w:sdtContent>
      <w:p w:rsidR="0062022D" w:rsidRDefault="0062022D">
        <w:pPr>
          <w:pStyle w:val="Header"/>
          <w:jc w:val="right"/>
        </w:pPr>
        <w:r>
          <w:fldChar w:fldCharType="begin"/>
        </w:r>
        <w:r>
          <w:instrText xml:space="preserve"> PAGE   \* MERGEFORMAT </w:instrText>
        </w:r>
        <w:r>
          <w:fldChar w:fldCharType="separate"/>
        </w:r>
        <w:r w:rsidR="00760944">
          <w:rPr>
            <w:noProof/>
          </w:rPr>
          <w:t>2</w:t>
        </w:r>
        <w:r>
          <w:rPr>
            <w:noProof/>
          </w:rPr>
          <w:fldChar w:fldCharType="end"/>
        </w:r>
      </w:p>
    </w:sdtContent>
  </w:sdt>
  <w:p w:rsidR="0062022D" w:rsidRDefault="00620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57E"/>
    <w:multiLevelType w:val="hybridMultilevel"/>
    <w:tmpl w:val="15386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73619"/>
    <w:multiLevelType w:val="hybridMultilevel"/>
    <w:tmpl w:val="F93C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300B8"/>
    <w:multiLevelType w:val="hybridMultilevel"/>
    <w:tmpl w:val="8F14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628EE"/>
    <w:multiLevelType w:val="hybridMultilevel"/>
    <w:tmpl w:val="87B0F6A6"/>
    <w:lvl w:ilvl="0" w:tplc="0E06793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40EF5600"/>
    <w:multiLevelType w:val="hybridMultilevel"/>
    <w:tmpl w:val="76EC9B76"/>
    <w:lvl w:ilvl="0" w:tplc="C512E130">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5">
    <w:nsid w:val="4DA73401"/>
    <w:multiLevelType w:val="hybridMultilevel"/>
    <w:tmpl w:val="71F4294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B5"/>
    <w:rsid w:val="00084369"/>
    <w:rsid w:val="00187DF1"/>
    <w:rsid w:val="002A3556"/>
    <w:rsid w:val="002A3F42"/>
    <w:rsid w:val="002B271F"/>
    <w:rsid w:val="00361C32"/>
    <w:rsid w:val="0036779E"/>
    <w:rsid w:val="00394535"/>
    <w:rsid w:val="003A123B"/>
    <w:rsid w:val="003E082A"/>
    <w:rsid w:val="003E096C"/>
    <w:rsid w:val="003F6C87"/>
    <w:rsid w:val="004B7BE6"/>
    <w:rsid w:val="004D6CD7"/>
    <w:rsid w:val="00531AE3"/>
    <w:rsid w:val="00583ADA"/>
    <w:rsid w:val="005C72B9"/>
    <w:rsid w:val="006044BC"/>
    <w:rsid w:val="0062022D"/>
    <w:rsid w:val="00663656"/>
    <w:rsid w:val="00760944"/>
    <w:rsid w:val="0078661A"/>
    <w:rsid w:val="007A0001"/>
    <w:rsid w:val="007E578E"/>
    <w:rsid w:val="00864F6E"/>
    <w:rsid w:val="008653AA"/>
    <w:rsid w:val="0087702D"/>
    <w:rsid w:val="008D75CE"/>
    <w:rsid w:val="008E3908"/>
    <w:rsid w:val="0092088B"/>
    <w:rsid w:val="009A2BEF"/>
    <w:rsid w:val="00B577B5"/>
    <w:rsid w:val="00B71F2A"/>
    <w:rsid w:val="00B91731"/>
    <w:rsid w:val="00BD4FA8"/>
    <w:rsid w:val="00BD6513"/>
    <w:rsid w:val="00BF294F"/>
    <w:rsid w:val="00C1367D"/>
    <w:rsid w:val="00CA4D35"/>
    <w:rsid w:val="00CD1235"/>
    <w:rsid w:val="00CF2A2A"/>
    <w:rsid w:val="00D036B5"/>
    <w:rsid w:val="00D1048E"/>
    <w:rsid w:val="00D82072"/>
    <w:rsid w:val="00D85290"/>
    <w:rsid w:val="00DA14EF"/>
    <w:rsid w:val="00DC0423"/>
    <w:rsid w:val="00DD0C5A"/>
    <w:rsid w:val="00DD65C6"/>
    <w:rsid w:val="00E02F45"/>
    <w:rsid w:val="00E45F17"/>
    <w:rsid w:val="00EF4CB1"/>
    <w:rsid w:val="00F559F2"/>
    <w:rsid w:val="00F83B80"/>
    <w:rsid w:val="00FD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6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578E"/>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7E578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E578E"/>
    <w:rPr>
      <w:vertAlign w:val="superscript"/>
    </w:rPr>
  </w:style>
  <w:style w:type="paragraph" w:styleId="ListParagraph">
    <w:name w:val="List Paragraph"/>
    <w:basedOn w:val="Normal"/>
    <w:uiPriority w:val="34"/>
    <w:qFormat/>
    <w:rsid w:val="00F559F2"/>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63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656"/>
    <w:rPr>
      <w:rFonts w:ascii="Segoe UI" w:hAnsi="Segoe UI" w:cs="Segoe UI"/>
      <w:sz w:val="18"/>
      <w:szCs w:val="18"/>
    </w:rPr>
  </w:style>
  <w:style w:type="paragraph" w:styleId="Header">
    <w:name w:val="header"/>
    <w:basedOn w:val="Normal"/>
    <w:link w:val="HeaderChar"/>
    <w:uiPriority w:val="99"/>
    <w:unhideWhenUsed/>
    <w:rsid w:val="00620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22D"/>
  </w:style>
  <w:style w:type="paragraph" w:styleId="Footer">
    <w:name w:val="footer"/>
    <w:basedOn w:val="Normal"/>
    <w:link w:val="FooterChar"/>
    <w:uiPriority w:val="99"/>
    <w:unhideWhenUsed/>
    <w:rsid w:val="00620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6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578E"/>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7E578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E578E"/>
    <w:rPr>
      <w:vertAlign w:val="superscript"/>
    </w:rPr>
  </w:style>
  <w:style w:type="paragraph" w:styleId="ListParagraph">
    <w:name w:val="List Paragraph"/>
    <w:basedOn w:val="Normal"/>
    <w:uiPriority w:val="34"/>
    <w:qFormat/>
    <w:rsid w:val="00F559F2"/>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63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656"/>
    <w:rPr>
      <w:rFonts w:ascii="Segoe UI" w:hAnsi="Segoe UI" w:cs="Segoe UI"/>
      <w:sz w:val="18"/>
      <w:szCs w:val="18"/>
    </w:rPr>
  </w:style>
  <w:style w:type="paragraph" w:styleId="Header">
    <w:name w:val="header"/>
    <w:basedOn w:val="Normal"/>
    <w:link w:val="HeaderChar"/>
    <w:uiPriority w:val="99"/>
    <w:unhideWhenUsed/>
    <w:rsid w:val="00620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22D"/>
  </w:style>
  <w:style w:type="paragraph" w:styleId="Footer">
    <w:name w:val="footer"/>
    <w:basedOn w:val="Normal"/>
    <w:link w:val="FooterChar"/>
    <w:uiPriority w:val="99"/>
    <w:unhideWhenUsed/>
    <w:rsid w:val="00620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039">
      <w:bodyDiv w:val="1"/>
      <w:marLeft w:val="0"/>
      <w:marRight w:val="0"/>
      <w:marTop w:val="0"/>
      <w:marBottom w:val="0"/>
      <w:divBdr>
        <w:top w:val="none" w:sz="0" w:space="0" w:color="auto"/>
        <w:left w:val="none" w:sz="0" w:space="0" w:color="auto"/>
        <w:bottom w:val="none" w:sz="0" w:space="0" w:color="auto"/>
        <w:right w:val="none" w:sz="0" w:space="0" w:color="auto"/>
      </w:divBdr>
    </w:div>
    <w:div w:id="1102527652">
      <w:bodyDiv w:val="1"/>
      <w:marLeft w:val="0"/>
      <w:marRight w:val="0"/>
      <w:marTop w:val="0"/>
      <w:marBottom w:val="0"/>
      <w:divBdr>
        <w:top w:val="none" w:sz="0" w:space="0" w:color="auto"/>
        <w:left w:val="none" w:sz="0" w:space="0" w:color="auto"/>
        <w:bottom w:val="none" w:sz="0" w:space="0" w:color="auto"/>
        <w:right w:val="none" w:sz="0" w:space="0" w:color="auto"/>
      </w:divBdr>
    </w:div>
    <w:div w:id="1555628480">
      <w:bodyDiv w:val="1"/>
      <w:marLeft w:val="0"/>
      <w:marRight w:val="0"/>
      <w:marTop w:val="0"/>
      <w:marBottom w:val="0"/>
      <w:divBdr>
        <w:top w:val="none" w:sz="0" w:space="0" w:color="auto"/>
        <w:left w:val="none" w:sz="0" w:space="0" w:color="auto"/>
        <w:bottom w:val="none" w:sz="0" w:space="0" w:color="auto"/>
        <w:right w:val="none" w:sz="0" w:space="0" w:color="auto"/>
      </w:divBdr>
    </w:div>
    <w:div w:id="20905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2023-07-20T18:30:00+00:00</Judgment_x0020_Date>
  </documentManagement>
</p:properties>
</file>

<file path=customXml/itemProps1.xml><?xml version="1.0" encoding="utf-8"?>
<ds:datastoreItem xmlns:ds="http://schemas.openxmlformats.org/officeDocument/2006/customXml" ds:itemID="{FD57245C-AEBB-4AAF-8C28-3DF8AEAC9E76}"/>
</file>

<file path=customXml/itemProps2.xml><?xml version="1.0" encoding="utf-8"?>
<ds:datastoreItem xmlns:ds="http://schemas.openxmlformats.org/officeDocument/2006/customXml" ds:itemID="{16E9E461-E7AE-4D24-8FFB-2E06BDA5659C}"/>
</file>

<file path=customXml/itemProps3.xml><?xml version="1.0" encoding="utf-8"?>
<ds:datastoreItem xmlns:ds="http://schemas.openxmlformats.org/officeDocument/2006/customXml" ds:itemID="{573CABED-9BC8-47B4-BB27-F6E099B6A7EB}"/>
</file>

<file path=customXml/itemProps4.xml><?xml version="1.0" encoding="utf-8"?>
<ds:datastoreItem xmlns:ds="http://schemas.openxmlformats.org/officeDocument/2006/customXml" ds:itemID="{6F0782D2-75B9-4DD3-8825-1EB9863C7F55}"/>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Pienaar (CR 70-2023) [2023] NAHCMD 424(21 July 2023)</dc:title>
  <dc:creator>Herman C. January</dc:creator>
  <cp:lastModifiedBy>Michelle N. Ullrich</cp:lastModifiedBy>
  <cp:revision>2</cp:revision>
  <cp:lastPrinted>2023-07-24T12:32:00Z</cp:lastPrinted>
  <dcterms:created xsi:type="dcterms:W3CDTF">2023-07-24T12:36:00Z</dcterms:created>
  <dcterms:modified xsi:type="dcterms:W3CDTF">2023-07-24T12:36:00Z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