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CC" w:rsidRPr="002C3E72" w:rsidRDefault="00EC6FCC" w:rsidP="00EC6FCC">
      <w:pPr>
        <w:spacing w:after="200" w:line="360" w:lineRule="auto"/>
        <w:jc w:val="center"/>
        <w:rPr>
          <w:rFonts w:ascii="Arial" w:eastAsia="Calibri" w:hAnsi="Arial" w:cs="Arial"/>
          <w:b/>
          <w:sz w:val="24"/>
          <w:szCs w:val="24"/>
        </w:rPr>
      </w:pPr>
      <w:r w:rsidRPr="002C3E72">
        <w:rPr>
          <w:rFonts w:ascii="Arial" w:eastAsia="Calibri" w:hAnsi="Arial" w:cs="Arial"/>
          <w:b/>
          <w:sz w:val="24"/>
          <w:szCs w:val="24"/>
        </w:rPr>
        <w:t>REPUBLIC OF NAMIBIA</w:t>
      </w:r>
    </w:p>
    <w:p w:rsidR="00EC6FCC" w:rsidRPr="002C3E72" w:rsidRDefault="00EC6FCC" w:rsidP="00EC6FCC">
      <w:pPr>
        <w:spacing w:after="200" w:line="360" w:lineRule="auto"/>
        <w:jc w:val="center"/>
        <w:rPr>
          <w:rFonts w:ascii="Arial" w:eastAsia="Calibri" w:hAnsi="Arial" w:cs="Arial"/>
          <w:b/>
          <w:sz w:val="24"/>
          <w:szCs w:val="24"/>
        </w:rPr>
      </w:pPr>
      <w:r w:rsidRPr="002C3E72">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65515292" wp14:editId="7BD98E77">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EC6FCC" w:rsidRPr="00BB5FC3" w:rsidRDefault="00EC6FCC" w:rsidP="00EC6FC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515292"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EC6FCC" w:rsidRPr="00BB5FC3" w:rsidRDefault="00EC6FCC" w:rsidP="00EC6FCC">
                      <w:pPr>
                        <w:rPr>
                          <w:rFonts w:cs="Arial"/>
                        </w:rPr>
                      </w:pPr>
                    </w:p>
                  </w:txbxContent>
                </v:textbox>
              </v:shape>
            </w:pict>
          </mc:Fallback>
        </mc:AlternateContent>
      </w:r>
      <w:r w:rsidRPr="002C3E72">
        <w:rPr>
          <w:rFonts w:ascii="Arial" w:eastAsia="Calibri" w:hAnsi="Arial" w:cs="Arial"/>
          <w:b/>
          <w:noProof/>
          <w:sz w:val="24"/>
          <w:szCs w:val="24"/>
        </w:rPr>
        <w:drawing>
          <wp:inline distT="0" distB="0" distL="0" distR="0" wp14:anchorId="643B6CDB" wp14:editId="56CBF0B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bookmarkStart w:id="0" w:name="_GoBack"/>
      <w:bookmarkEnd w:id="0"/>
    </w:p>
    <w:p w:rsidR="00EC6FCC" w:rsidRPr="002C3E72" w:rsidRDefault="00EC6FCC" w:rsidP="00EC6FCC">
      <w:pPr>
        <w:tabs>
          <w:tab w:val="center" w:pos="4153"/>
          <w:tab w:val="right" w:pos="8306"/>
        </w:tabs>
        <w:spacing w:after="200" w:line="360" w:lineRule="auto"/>
        <w:jc w:val="center"/>
        <w:rPr>
          <w:rFonts w:ascii="Arial" w:eastAsia="Calibri" w:hAnsi="Arial" w:cs="Arial"/>
          <w:bCs/>
          <w:sz w:val="24"/>
          <w:szCs w:val="24"/>
        </w:rPr>
      </w:pPr>
      <w:r w:rsidRPr="002C3E72">
        <w:rPr>
          <w:rFonts w:ascii="Arial" w:eastAsia="Calibri" w:hAnsi="Arial" w:cs="Arial"/>
          <w:b/>
          <w:sz w:val="24"/>
          <w:szCs w:val="24"/>
        </w:rPr>
        <w:t>HIGH COURT OF NAMIBIA MAIN DIVISION, WINDHOEK</w:t>
      </w:r>
    </w:p>
    <w:p w:rsidR="00EC6FCC" w:rsidRDefault="00EC6FCC" w:rsidP="00EC6FCC">
      <w:pPr>
        <w:jc w:val="center"/>
        <w:rPr>
          <w:rFonts w:ascii="Arial" w:eastAsia="Calibri" w:hAnsi="Arial" w:cs="Arial"/>
          <w:b/>
          <w:sz w:val="24"/>
          <w:szCs w:val="24"/>
        </w:rPr>
      </w:pPr>
      <w:r>
        <w:rPr>
          <w:rFonts w:ascii="Arial" w:eastAsia="Calibri" w:hAnsi="Arial" w:cs="Arial"/>
          <w:b/>
          <w:sz w:val="24"/>
          <w:szCs w:val="24"/>
        </w:rPr>
        <w:t>SPECIAL REVIEW JUDGMENT</w:t>
      </w:r>
    </w:p>
    <w:p w:rsidR="00EC6FCC" w:rsidRPr="00B13EE6" w:rsidRDefault="00EC6FCC" w:rsidP="00EC6FCC">
      <w:pPr>
        <w:jc w:val="center"/>
        <w:rPr>
          <w:rFonts w:ascii="Arial" w:hAnsi="Arial" w:cs="Arial"/>
          <w:b/>
        </w:rPr>
      </w:pPr>
      <w:r>
        <w:rPr>
          <w:rFonts w:ascii="Arial" w:eastAsia="Calibri" w:hAnsi="Arial" w:cs="Arial"/>
          <w:b/>
          <w:sz w:val="24"/>
          <w:szCs w:val="24"/>
        </w:rPr>
        <w:t>PRACTICE DIRECTIVE 61</w:t>
      </w:r>
    </w:p>
    <w:tbl>
      <w:tblPr>
        <w:tblStyle w:val="TableGrid"/>
        <w:tblW w:w="9923" w:type="dxa"/>
        <w:tblInd w:w="-275" w:type="dxa"/>
        <w:tblLook w:val="04A0" w:firstRow="1" w:lastRow="0" w:firstColumn="1" w:lastColumn="0" w:noHBand="0" w:noVBand="1"/>
      </w:tblPr>
      <w:tblGrid>
        <w:gridCol w:w="4770"/>
        <w:gridCol w:w="627"/>
        <w:gridCol w:w="4526"/>
      </w:tblGrid>
      <w:tr w:rsidR="00EC6FCC" w:rsidRPr="001B0FDD" w:rsidTr="003F5F80">
        <w:trPr>
          <w:trHeight w:val="1088"/>
        </w:trPr>
        <w:tc>
          <w:tcPr>
            <w:tcW w:w="5397" w:type="dxa"/>
            <w:gridSpan w:val="2"/>
          </w:tcPr>
          <w:p w:rsidR="00EC6FCC" w:rsidRPr="00044E4F" w:rsidRDefault="00EC6FCC" w:rsidP="003F5F80">
            <w:pPr>
              <w:spacing w:line="360" w:lineRule="auto"/>
              <w:jc w:val="both"/>
              <w:rPr>
                <w:rFonts w:ascii="Arial" w:hAnsi="Arial" w:cs="Arial"/>
                <w:sz w:val="24"/>
                <w:szCs w:val="24"/>
              </w:rPr>
            </w:pPr>
            <w:r w:rsidRPr="00044E4F">
              <w:rPr>
                <w:rFonts w:ascii="Arial" w:hAnsi="Arial" w:cs="Arial"/>
                <w:b/>
                <w:sz w:val="24"/>
                <w:szCs w:val="24"/>
              </w:rPr>
              <w:t>Case Title:</w:t>
            </w:r>
          </w:p>
          <w:p w:rsidR="00EC6FCC" w:rsidRPr="00044E4F" w:rsidRDefault="00EC6FCC" w:rsidP="00EC6FCC">
            <w:pPr>
              <w:spacing w:line="360" w:lineRule="auto"/>
              <w:jc w:val="both"/>
              <w:rPr>
                <w:rFonts w:ascii="Arial" w:hAnsi="Arial" w:cs="Arial"/>
                <w:i/>
                <w:sz w:val="24"/>
                <w:szCs w:val="24"/>
              </w:rPr>
            </w:pPr>
            <w:r w:rsidRPr="00044E4F">
              <w:rPr>
                <w:rFonts w:ascii="Arial" w:hAnsi="Arial" w:cs="Arial"/>
                <w:i/>
                <w:sz w:val="24"/>
                <w:szCs w:val="24"/>
              </w:rPr>
              <w:t xml:space="preserve">The State v </w:t>
            </w:r>
            <w:proofErr w:type="spellStart"/>
            <w:r>
              <w:rPr>
                <w:rFonts w:ascii="Arial" w:hAnsi="Arial" w:cs="Arial"/>
                <w:i/>
                <w:sz w:val="24"/>
                <w:szCs w:val="24"/>
              </w:rPr>
              <w:t>Pakina</w:t>
            </w:r>
            <w:proofErr w:type="spellEnd"/>
            <w:r>
              <w:rPr>
                <w:rFonts w:ascii="Arial" w:hAnsi="Arial" w:cs="Arial"/>
                <w:i/>
                <w:sz w:val="24"/>
                <w:szCs w:val="24"/>
              </w:rPr>
              <w:t xml:space="preserve"> </w:t>
            </w:r>
            <w:proofErr w:type="spellStart"/>
            <w:r>
              <w:rPr>
                <w:rFonts w:ascii="Arial" w:hAnsi="Arial" w:cs="Arial"/>
                <w:i/>
                <w:sz w:val="24"/>
                <w:szCs w:val="24"/>
              </w:rPr>
              <w:t>Hameva</w:t>
            </w:r>
            <w:proofErr w:type="spellEnd"/>
          </w:p>
        </w:tc>
        <w:tc>
          <w:tcPr>
            <w:tcW w:w="4526" w:type="dxa"/>
          </w:tcPr>
          <w:p w:rsidR="00EC6FCC" w:rsidRPr="00044E4F" w:rsidRDefault="00EC6FCC" w:rsidP="003F5F80">
            <w:pPr>
              <w:spacing w:line="360" w:lineRule="auto"/>
              <w:jc w:val="both"/>
              <w:rPr>
                <w:rFonts w:ascii="Arial" w:hAnsi="Arial" w:cs="Arial"/>
                <w:b/>
                <w:sz w:val="24"/>
                <w:szCs w:val="24"/>
              </w:rPr>
            </w:pPr>
            <w:r w:rsidRPr="00044E4F">
              <w:rPr>
                <w:rFonts w:ascii="Arial" w:hAnsi="Arial" w:cs="Arial"/>
                <w:b/>
                <w:sz w:val="24"/>
                <w:szCs w:val="24"/>
              </w:rPr>
              <w:t>Case No:</w:t>
            </w:r>
          </w:p>
          <w:p w:rsidR="00EC6FCC" w:rsidRPr="00044E4F" w:rsidRDefault="00EC6FCC" w:rsidP="00A8247C">
            <w:pPr>
              <w:spacing w:line="360" w:lineRule="auto"/>
              <w:jc w:val="both"/>
              <w:rPr>
                <w:rFonts w:ascii="Arial" w:hAnsi="Arial" w:cs="Arial"/>
                <w:sz w:val="24"/>
                <w:szCs w:val="24"/>
              </w:rPr>
            </w:pPr>
            <w:r w:rsidRPr="00044E4F">
              <w:rPr>
                <w:rFonts w:ascii="Arial" w:hAnsi="Arial" w:cs="Arial"/>
                <w:sz w:val="24"/>
                <w:szCs w:val="24"/>
              </w:rPr>
              <w:t>CR</w:t>
            </w:r>
            <w:r w:rsidR="002C53BF">
              <w:rPr>
                <w:rFonts w:ascii="Arial" w:hAnsi="Arial" w:cs="Arial"/>
                <w:sz w:val="24"/>
                <w:szCs w:val="24"/>
              </w:rPr>
              <w:t xml:space="preserve"> </w:t>
            </w:r>
            <w:r w:rsidR="00A8247C">
              <w:rPr>
                <w:rFonts w:ascii="Arial" w:hAnsi="Arial" w:cs="Arial"/>
                <w:sz w:val="24"/>
                <w:szCs w:val="24"/>
              </w:rPr>
              <w:t>76</w:t>
            </w:r>
            <w:r w:rsidRPr="00044E4F">
              <w:rPr>
                <w:rFonts w:ascii="Arial" w:hAnsi="Arial" w:cs="Arial"/>
                <w:sz w:val="24"/>
                <w:szCs w:val="24"/>
              </w:rPr>
              <w:t>/2023</w:t>
            </w:r>
          </w:p>
        </w:tc>
      </w:tr>
      <w:tr w:rsidR="00EC6FCC" w:rsidRPr="001B0FDD" w:rsidTr="003F5F80">
        <w:trPr>
          <w:trHeight w:val="872"/>
        </w:trPr>
        <w:tc>
          <w:tcPr>
            <w:tcW w:w="5397" w:type="dxa"/>
            <w:gridSpan w:val="2"/>
          </w:tcPr>
          <w:p w:rsidR="00EC6FCC" w:rsidRPr="00044E4F" w:rsidRDefault="00EC6FCC" w:rsidP="003F5F80">
            <w:pPr>
              <w:spacing w:line="360" w:lineRule="auto"/>
              <w:jc w:val="both"/>
              <w:rPr>
                <w:rFonts w:ascii="Arial" w:hAnsi="Arial" w:cs="Arial"/>
                <w:b/>
              </w:rPr>
            </w:pPr>
            <w:r w:rsidRPr="00044E4F">
              <w:rPr>
                <w:rFonts w:ascii="Arial" w:hAnsi="Arial" w:cs="Arial"/>
                <w:b/>
              </w:rPr>
              <w:t>High Court Review No:</w:t>
            </w:r>
          </w:p>
          <w:p w:rsidR="00EC6FCC" w:rsidRPr="00044E4F" w:rsidRDefault="00EC6FCC" w:rsidP="00EC6FCC">
            <w:pPr>
              <w:spacing w:line="360" w:lineRule="auto"/>
              <w:jc w:val="both"/>
              <w:rPr>
                <w:rFonts w:ascii="Arial" w:hAnsi="Arial" w:cs="Arial"/>
                <w:sz w:val="24"/>
                <w:szCs w:val="24"/>
                <w:lang w:val="en-US"/>
              </w:rPr>
            </w:pPr>
            <w:r>
              <w:rPr>
                <w:rFonts w:ascii="Arial" w:hAnsi="Arial" w:cs="Arial"/>
              </w:rPr>
              <w:t>1270</w:t>
            </w:r>
            <w:r w:rsidRPr="00044E4F">
              <w:rPr>
                <w:rFonts w:ascii="Arial" w:hAnsi="Arial" w:cs="Arial"/>
              </w:rPr>
              <w:t>/202</w:t>
            </w:r>
            <w:r>
              <w:rPr>
                <w:rFonts w:ascii="Arial" w:hAnsi="Arial" w:cs="Arial"/>
              </w:rPr>
              <w:t>2</w:t>
            </w:r>
          </w:p>
        </w:tc>
        <w:tc>
          <w:tcPr>
            <w:tcW w:w="4526" w:type="dxa"/>
          </w:tcPr>
          <w:p w:rsidR="00EC6FCC" w:rsidRPr="00044E4F" w:rsidRDefault="00EC6FCC" w:rsidP="003F5F80">
            <w:pPr>
              <w:spacing w:line="360" w:lineRule="auto"/>
              <w:jc w:val="both"/>
              <w:rPr>
                <w:rFonts w:ascii="Arial" w:hAnsi="Arial" w:cs="Arial"/>
                <w:sz w:val="24"/>
                <w:szCs w:val="24"/>
              </w:rPr>
            </w:pPr>
            <w:r w:rsidRPr="00044E4F">
              <w:rPr>
                <w:rFonts w:ascii="Arial" w:hAnsi="Arial" w:cs="Arial"/>
                <w:b/>
                <w:sz w:val="24"/>
                <w:szCs w:val="24"/>
              </w:rPr>
              <w:t>Division of Court:</w:t>
            </w:r>
          </w:p>
          <w:p w:rsidR="00EC6FCC" w:rsidRPr="00044E4F" w:rsidRDefault="00EC6FCC" w:rsidP="003F5F80">
            <w:pPr>
              <w:spacing w:line="360" w:lineRule="auto"/>
              <w:jc w:val="both"/>
              <w:rPr>
                <w:rFonts w:ascii="Arial" w:hAnsi="Arial" w:cs="Arial"/>
                <w:sz w:val="24"/>
                <w:szCs w:val="24"/>
              </w:rPr>
            </w:pPr>
            <w:r w:rsidRPr="00044E4F">
              <w:rPr>
                <w:rFonts w:ascii="Arial" w:hAnsi="Arial" w:cs="Arial"/>
                <w:sz w:val="24"/>
                <w:szCs w:val="24"/>
              </w:rPr>
              <w:t>Main Division</w:t>
            </w:r>
          </w:p>
        </w:tc>
      </w:tr>
      <w:tr w:rsidR="00EC6FCC" w:rsidRPr="001B0FDD" w:rsidTr="003F5F80">
        <w:trPr>
          <w:trHeight w:val="881"/>
        </w:trPr>
        <w:tc>
          <w:tcPr>
            <w:tcW w:w="5397" w:type="dxa"/>
            <w:gridSpan w:val="2"/>
          </w:tcPr>
          <w:p w:rsidR="00EC6FCC" w:rsidRPr="00044E4F" w:rsidRDefault="00EC6FCC" w:rsidP="003F5F80">
            <w:pPr>
              <w:spacing w:line="360" w:lineRule="auto"/>
              <w:jc w:val="both"/>
              <w:rPr>
                <w:rFonts w:ascii="Arial" w:hAnsi="Arial" w:cs="Arial"/>
                <w:b/>
                <w:sz w:val="24"/>
                <w:szCs w:val="24"/>
              </w:rPr>
            </w:pPr>
            <w:r w:rsidRPr="00044E4F">
              <w:rPr>
                <w:rFonts w:ascii="Arial" w:hAnsi="Arial" w:cs="Arial"/>
                <w:b/>
                <w:sz w:val="24"/>
                <w:szCs w:val="24"/>
              </w:rPr>
              <w:t>Heard before:</w:t>
            </w:r>
          </w:p>
          <w:p w:rsidR="00EC6FCC" w:rsidRPr="0078025B" w:rsidRDefault="00EC6FCC" w:rsidP="00EC6FCC">
            <w:pPr>
              <w:spacing w:line="360" w:lineRule="auto"/>
              <w:jc w:val="both"/>
              <w:rPr>
                <w:rFonts w:ascii="Arial" w:hAnsi="Arial" w:cs="Arial"/>
                <w:sz w:val="24"/>
                <w:szCs w:val="24"/>
              </w:rPr>
            </w:pPr>
            <w:r>
              <w:rPr>
                <w:rFonts w:ascii="Arial" w:hAnsi="Arial" w:cs="Arial"/>
                <w:sz w:val="24"/>
                <w:szCs w:val="24"/>
              </w:rPr>
              <w:t>January</w:t>
            </w:r>
            <w:r w:rsidRPr="00044E4F">
              <w:rPr>
                <w:rFonts w:ascii="Arial" w:hAnsi="Arial" w:cs="Arial"/>
                <w:sz w:val="24"/>
                <w:szCs w:val="24"/>
              </w:rPr>
              <w:t xml:space="preserve"> </w:t>
            </w:r>
            <w:r>
              <w:rPr>
                <w:rFonts w:ascii="Arial" w:hAnsi="Arial" w:cs="Arial"/>
                <w:sz w:val="24"/>
                <w:szCs w:val="24"/>
              </w:rPr>
              <w:t xml:space="preserve">J et </w:t>
            </w:r>
            <w:proofErr w:type="spellStart"/>
            <w:r>
              <w:rPr>
                <w:rFonts w:ascii="Arial" w:hAnsi="Arial" w:cs="Arial"/>
                <w:sz w:val="24"/>
                <w:szCs w:val="24"/>
              </w:rPr>
              <w:t>Shivute</w:t>
            </w:r>
            <w:proofErr w:type="spellEnd"/>
            <w:r>
              <w:rPr>
                <w:rFonts w:ascii="Arial" w:hAnsi="Arial" w:cs="Arial"/>
                <w:sz w:val="24"/>
                <w:szCs w:val="24"/>
              </w:rPr>
              <w:t xml:space="preserve"> J</w:t>
            </w:r>
          </w:p>
        </w:tc>
        <w:tc>
          <w:tcPr>
            <w:tcW w:w="4526" w:type="dxa"/>
          </w:tcPr>
          <w:p w:rsidR="00EC6FCC" w:rsidRPr="00044E4F" w:rsidRDefault="00EC6FCC" w:rsidP="003F5F80">
            <w:pPr>
              <w:spacing w:line="360" w:lineRule="auto"/>
              <w:jc w:val="both"/>
              <w:rPr>
                <w:rFonts w:ascii="Arial" w:hAnsi="Arial" w:cs="Arial"/>
                <w:b/>
                <w:sz w:val="24"/>
                <w:szCs w:val="24"/>
              </w:rPr>
            </w:pPr>
            <w:r w:rsidRPr="00044E4F">
              <w:rPr>
                <w:rFonts w:ascii="Arial" w:hAnsi="Arial" w:cs="Arial"/>
                <w:b/>
                <w:sz w:val="24"/>
                <w:szCs w:val="24"/>
              </w:rPr>
              <w:t>Delivered on:</w:t>
            </w:r>
          </w:p>
          <w:p w:rsidR="00EC6FCC" w:rsidRPr="00044E4F" w:rsidRDefault="00A8247C" w:rsidP="005815D7">
            <w:pPr>
              <w:spacing w:line="360" w:lineRule="auto"/>
              <w:jc w:val="both"/>
              <w:rPr>
                <w:rFonts w:ascii="Arial" w:hAnsi="Arial" w:cs="Arial"/>
                <w:sz w:val="24"/>
                <w:szCs w:val="24"/>
              </w:rPr>
            </w:pPr>
            <w:r>
              <w:rPr>
                <w:rFonts w:ascii="Arial" w:hAnsi="Arial" w:cs="Arial"/>
                <w:sz w:val="24"/>
                <w:szCs w:val="24"/>
              </w:rPr>
              <w:t>21</w:t>
            </w:r>
            <w:r w:rsidR="00EC6FCC">
              <w:rPr>
                <w:rFonts w:ascii="Arial" w:hAnsi="Arial" w:cs="Arial"/>
                <w:sz w:val="24"/>
                <w:szCs w:val="24"/>
              </w:rPr>
              <w:t xml:space="preserve"> </w:t>
            </w:r>
            <w:r w:rsidR="005815D7">
              <w:rPr>
                <w:rFonts w:ascii="Arial" w:hAnsi="Arial" w:cs="Arial"/>
                <w:sz w:val="24"/>
                <w:szCs w:val="24"/>
              </w:rPr>
              <w:t>July</w:t>
            </w:r>
            <w:r w:rsidR="00EC6FCC" w:rsidRPr="00044E4F">
              <w:rPr>
                <w:rFonts w:ascii="Arial" w:hAnsi="Arial" w:cs="Arial"/>
                <w:sz w:val="24"/>
                <w:szCs w:val="24"/>
              </w:rPr>
              <w:t xml:space="preserve"> 2023</w:t>
            </w:r>
          </w:p>
        </w:tc>
      </w:tr>
      <w:tr w:rsidR="00EC6FCC" w:rsidRPr="001B0FDD" w:rsidTr="003F5F80">
        <w:tc>
          <w:tcPr>
            <w:tcW w:w="9923" w:type="dxa"/>
            <w:gridSpan w:val="3"/>
          </w:tcPr>
          <w:p w:rsidR="00EC6FCC" w:rsidRPr="00044E4F" w:rsidRDefault="00EC6FCC" w:rsidP="003F5F80">
            <w:pPr>
              <w:spacing w:line="360" w:lineRule="auto"/>
              <w:jc w:val="both"/>
              <w:rPr>
                <w:rFonts w:ascii="Arial" w:hAnsi="Arial" w:cs="Arial"/>
                <w:sz w:val="24"/>
                <w:szCs w:val="24"/>
              </w:rPr>
            </w:pPr>
            <w:r w:rsidRPr="00044E4F">
              <w:rPr>
                <w:rFonts w:ascii="Arial" w:hAnsi="Arial" w:cs="Arial"/>
                <w:b/>
                <w:sz w:val="24"/>
                <w:szCs w:val="24"/>
              </w:rPr>
              <w:t xml:space="preserve">Neutral citation: </w:t>
            </w:r>
            <w:r w:rsidRPr="00044E4F">
              <w:rPr>
                <w:rFonts w:ascii="Arial" w:hAnsi="Arial" w:cs="Arial"/>
                <w:i/>
                <w:sz w:val="24"/>
                <w:szCs w:val="24"/>
              </w:rPr>
              <w:t xml:space="preserve">S v </w:t>
            </w:r>
            <w:proofErr w:type="spellStart"/>
            <w:r w:rsidR="005815D7">
              <w:rPr>
                <w:rFonts w:ascii="Arial" w:hAnsi="Arial" w:cs="Arial"/>
                <w:i/>
                <w:sz w:val="24"/>
                <w:szCs w:val="24"/>
              </w:rPr>
              <w:t>Hameva</w:t>
            </w:r>
            <w:proofErr w:type="spellEnd"/>
            <w:r w:rsidR="005815D7">
              <w:rPr>
                <w:rFonts w:ascii="Arial" w:hAnsi="Arial" w:cs="Arial"/>
                <w:i/>
                <w:sz w:val="24"/>
                <w:szCs w:val="24"/>
              </w:rPr>
              <w:t xml:space="preserve"> </w:t>
            </w:r>
            <w:r w:rsidR="00A8247C">
              <w:rPr>
                <w:rFonts w:ascii="Arial" w:hAnsi="Arial" w:cs="Arial"/>
                <w:sz w:val="24"/>
                <w:szCs w:val="24"/>
              </w:rPr>
              <w:t>(CR 76</w:t>
            </w:r>
            <w:r>
              <w:rPr>
                <w:rFonts w:ascii="Arial" w:hAnsi="Arial" w:cs="Arial"/>
                <w:sz w:val="24"/>
                <w:szCs w:val="24"/>
              </w:rPr>
              <w:t>/2023</w:t>
            </w:r>
            <w:r w:rsidRPr="00044E4F">
              <w:rPr>
                <w:rFonts w:ascii="Arial" w:hAnsi="Arial" w:cs="Arial"/>
                <w:sz w:val="24"/>
                <w:szCs w:val="24"/>
              </w:rPr>
              <w:t xml:space="preserve">) </w:t>
            </w:r>
            <w:r>
              <w:rPr>
                <w:rFonts w:ascii="Arial" w:hAnsi="Arial" w:cs="Arial"/>
                <w:sz w:val="24"/>
                <w:szCs w:val="24"/>
              </w:rPr>
              <w:t xml:space="preserve">[2023] NAHCMD </w:t>
            </w:r>
            <w:r w:rsidR="00A8247C">
              <w:rPr>
                <w:rFonts w:ascii="Arial" w:hAnsi="Arial" w:cs="Arial"/>
                <w:sz w:val="24"/>
                <w:szCs w:val="24"/>
              </w:rPr>
              <w:t>425</w:t>
            </w:r>
            <w:r>
              <w:rPr>
                <w:rFonts w:ascii="Arial" w:hAnsi="Arial" w:cs="Arial"/>
                <w:sz w:val="24"/>
                <w:szCs w:val="24"/>
              </w:rPr>
              <w:t xml:space="preserve"> </w:t>
            </w:r>
            <w:r w:rsidRPr="00044E4F">
              <w:rPr>
                <w:rFonts w:ascii="Arial" w:hAnsi="Arial" w:cs="Arial"/>
                <w:sz w:val="24"/>
                <w:szCs w:val="24"/>
              </w:rPr>
              <w:t xml:space="preserve"> (</w:t>
            </w:r>
            <w:r w:rsidR="00A8247C">
              <w:rPr>
                <w:rFonts w:ascii="Arial" w:hAnsi="Arial" w:cs="Arial"/>
                <w:sz w:val="24"/>
                <w:szCs w:val="24"/>
              </w:rPr>
              <w:t>21</w:t>
            </w:r>
            <w:r>
              <w:rPr>
                <w:rFonts w:ascii="Arial" w:hAnsi="Arial" w:cs="Arial"/>
                <w:sz w:val="24"/>
                <w:szCs w:val="24"/>
              </w:rPr>
              <w:t xml:space="preserve"> </w:t>
            </w:r>
            <w:r w:rsidR="005815D7">
              <w:rPr>
                <w:rFonts w:ascii="Arial" w:hAnsi="Arial" w:cs="Arial"/>
                <w:sz w:val="24"/>
                <w:szCs w:val="24"/>
              </w:rPr>
              <w:t>July</w:t>
            </w:r>
            <w:r w:rsidRPr="00044E4F">
              <w:rPr>
                <w:rFonts w:ascii="Arial" w:hAnsi="Arial" w:cs="Arial"/>
                <w:sz w:val="24"/>
                <w:szCs w:val="24"/>
              </w:rPr>
              <w:t xml:space="preserve"> 2023)</w:t>
            </w:r>
          </w:p>
          <w:p w:rsidR="00EC6FCC" w:rsidRPr="00044E4F" w:rsidRDefault="00EC6FCC" w:rsidP="003F5F80">
            <w:pPr>
              <w:spacing w:line="360" w:lineRule="auto"/>
              <w:jc w:val="both"/>
              <w:rPr>
                <w:rFonts w:ascii="Arial" w:hAnsi="Arial" w:cs="Arial"/>
                <w:b/>
                <w:sz w:val="24"/>
                <w:szCs w:val="24"/>
              </w:rPr>
            </w:pPr>
          </w:p>
        </w:tc>
      </w:tr>
      <w:tr w:rsidR="00E41721" w:rsidRPr="00E41721" w:rsidTr="003F5F80">
        <w:tc>
          <w:tcPr>
            <w:tcW w:w="9923" w:type="dxa"/>
            <w:gridSpan w:val="3"/>
          </w:tcPr>
          <w:p w:rsidR="00EC6FCC" w:rsidRPr="00E41721" w:rsidRDefault="00EC6FCC" w:rsidP="003F5F80">
            <w:pPr>
              <w:spacing w:line="360" w:lineRule="auto"/>
              <w:jc w:val="both"/>
              <w:rPr>
                <w:rFonts w:ascii="Arial" w:hAnsi="Arial" w:cs="Arial"/>
                <w:b/>
                <w:sz w:val="24"/>
                <w:szCs w:val="24"/>
              </w:rPr>
            </w:pPr>
          </w:p>
          <w:p w:rsidR="00EC6FCC" w:rsidRPr="00E41721" w:rsidRDefault="00EC6FCC" w:rsidP="003F5F80">
            <w:pPr>
              <w:spacing w:line="360" w:lineRule="auto"/>
              <w:jc w:val="both"/>
              <w:rPr>
                <w:rFonts w:ascii="Arial" w:hAnsi="Arial" w:cs="Arial"/>
                <w:sz w:val="24"/>
                <w:szCs w:val="24"/>
              </w:rPr>
            </w:pPr>
            <w:r w:rsidRPr="00E41721">
              <w:rPr>
                <w:rFonts w:ascii="Arial" w:hAnsi="Arial" w:cs="Arial"/>
                <w:b/>
                <w:sz w:val="24"/>
                <w:szCs w:val="24"/>
              </w:rPr>
              <w:t>The order:</w:t>
            </w:r>
          </w:p>
          <w:p w:rsidR="00EC6FCC" w:rsidRPr="00E41721" w:rsidRDefault="00EC6FCC" w:rsidP="003F5F80">
            <w:pPr>
              <w:tabs>
                <w:tab w:val="left" w:pos="851"/>
              </w:tabs>
              <w:spacing w:before="240" w:after="200" w:line="360" w:lineRule="auto"/>
              <w:ind w:firstLine="815"/>
              <w:jc w:val="both"/>
              <w:rPr>
                <w:rFonts w:ascii="Arial" w:eastAsia="Calibri" w:hAnsi="Arial" w:cs="Arial"/>
                <w:sz w:val="24"/>
                <w:szCs w:val="24"/>
                <w:lang w:val="en-US"/>
              </w:rPr>
            </w:pPr>
            <w:r w:rsidRPr="00E41721">
              <w:rPr>
                <w:rFonts w:ascii="Arial" w:eastAsia="Calibri" w:hAnsi="Arial" w:cs="Arial"/>
                <w:sz w:val="24"/>
                <w:szCs w:val="24"/>
                <w:lang w:val="en-US"/>
              </w:rPr>
              <w:t xml:space="preserve">1. The conviction and sentence are confirmed. </w:t>
            </w:r>
          </w:p>
          <w:p w:rsidR="00E41721" w:rsidRPr="00E41721" w:rsidRDefault="00E41721" w:rsidP="002C53BF">
            <w:pPr>
              <w:widowControl w:val="0"/>
              <w:spacing w:before="240" w:line="360" w:lineRule="auto"/>
              <w:ind w:left="1062" w:hanging="247"/>
              <w:jc w:val="both"/>
              <w:rPr>
                <w:rFonts w:ascii="Arial" w:eastAsia="Calibri" w:hAnsi="Arial" w:cs="Arial"/>
                <w:sz w:val="24"/>
                <w:szCs w:val="24"/>
              </w:rPr>
            </w:pPr>
            <w:r w:rsidRPr="00E41721">
              <w:rPr>
                <w:rFonts w:ascii="Arial" w:eastAsia="Calibri" w:hAnsi="Arial" w:cs="Arial"/>
                <w:sz w:val="24"/>
                <w:szCs w:val="24"/>
                <w:lang w:val="en-US"/>
              </w:rPr>
              <w:t xml:space="preserve">2. In accordance with s 91(2) of the Act, the sentence of imprisonment imposed under </w:t>
            </w:r>
            <w:proofErr w:type="spellStart"/>
            <w:r w:rsidRPr="00E41721">
              <w:rPr>
                <w:rFonts w:ascii="Arial" w:eastAsia="Calibri" w:hAnsi="Arial" w:cs="Arial"/>
                <w:sz w:val="24"/>
                <w:szCs w:val="24"/>
                <w:lang w:val="en-US"/>
              </w:rPr>
              <w:t>s</w:t>
            </w:r>
            <w:r w:rsidR="002C53BF">
              <w:rPr>
                <w:rFonts w:ascii="Arial" w:eastAsia="Calibri" w:hAnsi="Arial" w:cs="Arial"/>
                <w:sz w:val="24"/>
                <w:szCs w:val="24"/>
                <w:lang w:val="en-US"/>
              </w:rPr>
              <w:t>s</w:t>
            </w:r>
            <w:proofErr w:type="spellEnd"/>
            <w:r w:rsidRPr="00E41721">
              <w:rPr>
                <w:rFonts w:ascii="Arial" w:eastAsia="Calibri" w:hAnsi="Arial" w:cs="Arial"/>
                <w:sz w:val="24"/>
                <w:szCs w:val="24"/>
                <w:lang w:val="en-US"/>
              </w:rPr>
              <w:t xml:space="preserve"> (1) commences on the date of expiry of any other sentence of imprisonment which the offender concerned is liable to serve on the date of commission of the disciplinary offence in question.</w:t>
            </w:r>
          </w:p>
        </w:tc>
      </w:tr>
      <w:tr w:rsidR="00EC6FCC" w:rsidRPr="001B0FDD" w:rsidTr="003F5F80">
        <w:tc>
          <w:tcPr>
            <w:tcW w:w="9923" w:type="dxa"/>
            <w:gridSpan w:val="3"/>
          </w:tcPr>
          <w:p w:rsidR="00EC6FCC" w:rsidRPr="00EF3FFF" w:rsidRDefault="00EC6FCC" w:rsidP="003F5F80">
            <w:pPr>
              <w:spacing w:line="360" w:lineRule="auto"/>
              <w:jc w:val="both"/>
              <w:rPr>
                <w:rFonts w:ascii="Arial" w:hAnsi="Arial" w:cs="Arial"/>
                <w:b/>
                <w:sz w:val="24"/>
                <w:szCs w:val="24"/>
              </w:rPr>
            </w:pPr>
            <w:r w:rsidRPr="00EF3FFF">
              <w:rPr>
                <w:rFonts w:ascii="Arial" w:hAnsi="Arial" w:cs="Arial"/>
                <w:b/>
                <w:sz w:val="24"/>
                <w:szCs w:val="24"/>
              </w:rPr>
              <w:t>Reasons for order:</w:t>
            </w:r>
          </w:p>
        </w:tc>
      </w:tr>
      <w:tr w:rsidR="00EC6FCC" w:rsidRPr="00FE65E1" w:rsidTr="003F5F80">
        <w:tc>
          <w:tcPr>
            <w:tcW w:w="9923" w:type="dxa"/>
            <w:gridSpan w:val="3"/>
          </w:tcPr>
          <w:p w:rsidR="00EC6FCC" w:rsidRPr="0089156F" w:rsidRDefault="00EC6FCC" w:rsidP="003F5F80">
            <w:pPr>
              <w:spacing w:line="360" w:lineRule="auto"/>
              <w:jc w:val="both"/>
              <w:rPr>
                <w:rFonts w:ascii="Arial" w:hAnsi="Arial" w:cs="Arial"/>
                <w:sz w:val="24"/>
                <w:szCs w:val="24"/>
              </w:rPr>
            </w:pPr>
          </w:p>
          <w:p w:rsidR="00EC6FCC" w:rsidRDefault="00EC6FCC" w:rsidP="003F5F80">
            <w:pPr>
              <w:spacing w:line="360" w:lineRule="auto"/>
              <w:jc w:val="both"/>
              <w:rPr>
                <w:rFonts w:ascii="Arial" w:hAnsi="Arial" w:cs="Arial"/>
                <w:sz w:val="24"/>
                <w:szCs w:val="24"/>
              </w:rPr>
            </w:pPr>
            <w:r>
              <w:rPr>
                <w:rFonts w:ascii="Arial" w:hAnsi="Arial" w:cs="Arial"/>
                <w:sz w:val="24"/>
                <w:szCs w:val="24"/>
              </w:rPr>
              <w:t xml:space="preserve">JANUARY </w:t>
            </w:r>
            <w:r w:rsidRPr="0089156F">
              <w:rPr>
                <w:rFonts w:ascii="Arial" w:hAnsi="Arial" w:cs="Arial"/>
                <w:sz w:val="24"/>
                <w:szCs w:val="24"/>
              </w:rPr>
              <w:t>J</w:t>
            </w:r>
            <w:r>
              <w:rPr>
                <w:rFonts w:ascii="Arial" w:hAnsi="Arial" w:cs="Arial"/>
                <w:sz w:val="24"/>
                <w:szCs w:val="24"/>
              </w:rPr>
              <w:t xml:space="preserve"> (</w:t>
            </w:r>
            <w:proofErr w:type="spellStart"/>
            <w:r>
              <w:rPr>
                <w:rFonts w:ascii="Arial" w:hAnsi="Arial" w:cs="Arial"/>
                <w:sz w:val="24"/>
                <w:szCs w:val="24"/>
              </w:rPr>
              <w:t>Shivute</w:t>
            </w:r>
            <w:proofErr w:type="spellEnd"/>
            <w:r>
              <w:rPr>
                <w:rFonts w:ascii="Arial" w:hAnsi="Arial" w:cs="Arial"/>
                <w:sz w:val="24"/>
                <w:szCs w:val="24"/>
              </w:rPr>
              <w:t xml:space="preserve"> J concurring </w:t>
            </w:r>
            <w:r w:rsidRPr="0089156F">
              <w:rPr>
                <w:rFonts w:ascii="Arial" w:hAnsi="Arial" w:cs="Arial"/>
                <w:sz w:val="24"/>
                <w:szCs w:val="24"/>
              </w:rPr>
              <w:t>)</w:t>
            </w:r>
          </w:p>
          <w:p w:rsidR="00EC6FCC" w:rsidRPr="00950FC2" w:rsidRDefault="00EC6FCC" w:rsidP="003F5F80">
            <w:pPr>
              <w:spacing w:line="360" w:lineRule="auto"/>
              <w:jc w:val="both"/>
              <w:rPr>
                <w:rFonts w:ascii="Arial" w:hAnsi="Arial" w:cs="Arial"/>
                <w:sz w:val="24"/>
                <w:szCs w:val="24"/>
              </w:rPr>
            </w:pPr>
            <w:r w:rsidRPr="0089156F">
              <w:rPr>
                <w:rFonts w:ascii="Arial" w:hAnsi="Arial" w:cs="Arial"/>
                <w:sz w:val="24"/>
                <w:szCs w:val="24"/>
              </w:rPr>
              <w:lastRenderedPageBreak/>
              <w:t xml:space="preserve">  </w:t>
            </w:r>
          </w:p>
          <w:p w:rsidR="004F36B8" w:rsidRPr="004F36B8" w:rsidRDefault="00EC6FCC" w:rsidP="003F5F80">
            <w:pPr>
              <w:numPr>
                <w:ilvl w:val="0"/>
                <w:numId w:val="1"/>
              </w:numPr>
              <w:tabs>
                <w:tab w:val="left" w:pos="851"/>
              </w:tabs>
              <w:spacing w:after="200" w:line="360" w:lineRule="auto"/>
              <w:ind w:left="0" w:hanging="14"/>
              <w:jc w:val="both"/>
              <w:rPr>
                <w:rFonts w:ascii="Arial" w:eastAsia="Calibri" w:hAnsi="Arial" w:cs="Arial"/>
                <w:sz w:val="24"/>
                <w:szCs w:val="24"/>
                <w:lang w:val="en-US"/>
              </w:rPr>
            </w:pPr>
            <w:r w:rsidRPr="00760317">
              <w:rPr>
                <w:rFonts w:ascii="Arial" w:hAnsi="Arial" w:cs="Arial"/>
                <w:sz w:val="24"/>
                <w:szCs w:val="24"/>
              </w:rPr>
              <w:t>This matter came on</w:t>
            </w:r>
            <w:r w:rsidR="00D21A3C" w:rsidRPr="00760317">
              <w:rPr>
                <w:rFonts w:ascii="Arial" w:hAnsi="Arial" w:cs="Arial"/>
                <w:sz w:val="24"/>
                <w:szCs w:val="24"/>
              </w:rPr>
              <w:t xml:space="preserve"> special</w:t>
            </w:r>
            <w:r w:rsidRPr="00760317">
              <w:rPr>
                <w:rFonts w:ascii="Arial" w:hAnsi="Arial" w:cs="Arial"/>
                <w:sz w:val="24"/>
                <w:szCs w:val="24"/>
              </w:rPr>
              <w:t xml:space="preserve"> review</w:t>
            </w:r>
            <w:r w:rsidR="00D21A3C" w:rsidRPr="00760317">
              <w:rPr>
                <w:rFonts w:ascii="Arial" w:hAnsi="Arial" w:cs="Arial"/>
                <w:sz w:val="24"/>
                <w:szCs w:val="24"/>
              </w:rPr>
              <w:t xml:space="preserve"> from the Magistrate, </w:t>
            </w:r>
            <w:proofErr w:type="spellStart"/>
            <w:r w:rsidR="00D21A3C" w:rsidRPr="00760317">
              <w:rPr>
                <w:rFonts w:ascii="Arial" w:hAnsi="Arial" w:cs="Arial"/>
                <w:sz w:val="24"/>
                <w:szCs w:val="24"/>
              </w:rPr>
              <w:t>Omaruru</w:t>
            </w:r>
            <w:proofErr w:type="spellEnd"/>
            <w:r w:rsidR="00760317" w:rsidRPr="00760317">
              <w:rPr>
                <w:rFonts w:ascii="Arial" w:hAnsi="Arial" w:cs="Arial"/>
                <w:sz w:val="24"/>
                <w:szCs w:val="24"/>
              </w:rPr>
              <w:t>, under a covering letter. The accused was charged of contravening s 86(1</w:t>
            </w:r>
            <w:proofErr w:type="gramStart"/>
            <w:r w:rsidR="00760317" w:rsidRPr="00760317">
              <w:rPr>
                <w:rFonts w:ascii="Arial" w:hAnsi="Arial" w:cs="Arial"/>
                <w:sz w:val="24"/>
                <w:szCs w:val="24"/>
              </w:rPr>
              <w:t>)</w:t>
            </w:r>
            <w:r w:rsidR="00760317" w:rsidRPr="00760317">
              <w:rPr>
                <w:rFonts w:ascii="Arial" w:hAnsi="Arial" w:cs="Arial"/>
                <w:i/>
                <w:sz w:val="24"/>
                <w:szCs w:val="24"/>
              </w:rPr>
              <w:t>(</w:t>
            </w:r>
            <w:proofErr w:type="gramEnd"/>
            <w:r w:rsidR="00760317" w:rsidRPr="00760317">
              <w:rPr>
                <w:rFonts w:ascii="Arial" w:hAnsi="Arial" w:cs="Arial"/>
                <w:i/>
                <w:sz w:val="24"/>
                <w:szCs w:val="24"/>
              </w:rPr>
              <w:t>b)</w:t>
            </w:r>
            <w:r w:rsidR="00760317" w:rsidRPr="00760317">
              <w:rPr>
                <w:rFonts w:ascii="Arial" w:hAnsi="Arial" w:cs="Arial"/>
                <w:sz w:val="24"/>
                <w:szCs w:val="24"/>
              </w:rPr>
              <w:t xml:space="preserve"> of the Correctional Services Act 9 of 2012 </w:t>
            </w:r>
            <w:r w:rsidR="00123E65">
              <w:rPr>
                <w:rFonts w:ascii="Arial" w:hAnsi="Arial" w:cs="Arial"/>
                <w:sz w:val="24"/>
                <w:szCs w:val="24"/>
              </w:rPr>
              <w:t>(the Act)</w:t>
            </w:r>
            <w:r w:rsidR="005815D7">
              <w:rPr>
                <w:rFonts w:ascii="Arial" w:hAnsi="Arial" w:cs="Arial"/>
                <w:sz w:val="24"/>
                <w:szCs w:val="24"/>
              </w:rPr>
              <w:t xml:space="preserve"> </w:t>
            </w:r>
            <w:r w:rsidR="00760317" w:rsidRPr="00760317">
              <w:rPr>
                <w:rFonts w:ascii="Arial" w:hAnsi="Arial" w:cs="Arial"/>
                <w:sz w:val="24"/>
                <w:szCs w:val="24"/>
              </w:rPr>
              <w:t>– Receives or has possession of a prohibited article, to wit: a communication device or component thereof namely, a Nokia cell phone.</w:t>
            </w:r>
            <w:r w:rsidRPr="00760317">
              <w:rPr>
                <w:rFonts w:ascii="Arial" w:hAnsi="Arial" w:cs="Arial"/>
                <w:sz w:val="24"/>
                <w:szCs w:val="24"/>
              </w:rPr>
              <w:t xml:space="preserve"> </w:t>
            </w:r>
          </w:p>
          <w:p w:rsidR="00EC6FCC" w:rsidRPr="004F36B8" w:rsidRDefault="00EC6FCC" w:rsidP="004F36B8">
            <w:pPr>
              <w:numPr>
                <w:ilvl w:val="0"/>
                <w:numId w:val="1"/>
              </w:numPr>
              <w:tabs>
                <w:tab w:val="left" w:pos="851"/>
              </w:tabs>
              <w:spacing w:after="200" w:line="360" w:lineRule="auto"/>
              <w:ind w:left="0" w:hanging="14"/>
              <w:jc w:val="both"/>
              <w:rPr>
                <w:rFonts w:ascii="Arial" w:eastAsia="Calibri" w:hAnsi="Arial" w:cs="Arial"/>
                <w:lang w:val="en-US"/>
              </w:rPr>
            </w:pPr>
            <w:r w:rsidRPr="004F36B8">
              <w:rPr>
                <w:rFonts w:ascii="Arial" w:eastAsia="Calibri" w:hAnsi="Arial" w:cs="Arial"/>
                <w:sz w:val="24"/>
                <w:szCs w:val="24"/>
                <w:lang w:val="en-US"/>
              </w:rPr>
              <w:t xml:space="preserve">The magistrate </w:t>
            </w:r>
            <w:r w:rsidR="004F36B8" w:rsidRPr="004F36B8">
              <w:rPr>
                <w:rFonts w:ascii="Arial" w:eastAsia="Calibri" w:hAnsi="Arial" w:cs="Arial"/>
                <w:sz w:val="24"/>
                <w:szCs w:val="24"/>
                <w:lang w:val="en-US"/>
              </w:rPr>
              <w:t xml:space="preserve">raised concerns in the covering letter because, according to her, the </w:t>
            </w:r>
            <w:proofErr w:type="gramStart"/>
            <w:r w:rsidR="004F36B8" w:rsidRPr="004F36B8">
              <w:rPr>
                <w:rFonts w:ascii="Arial" w:eastAsia="Calibri" w:hAnsi="Arial" w:cs="Arial"/>
                <w:sz w:val="24"/>
                <w:szCs w:val="24"/>
                <w:lang w:val="en-US"/>
              </w:rPr>
              <w:t>accused,</w:t>
            </w:r>
            <w:proofErr w:type="gramEnd"/>
            <w:r w:rsidR="004F36B8" w:rsidRPr="004F36B8">
              <w:rPr>
                <w:rFonts w:ascii="Arial" w:eastAsia="Calibri" w:hAnsi="Arial" w:cs="Arial"/>
                <w:sz w:val="24"/>
                <w:szCs w:val="24"/>
                <w:lang w:val="en-US"/>
              </w:rPr>
              <w:t xml:space="preserve"> raised the possibility of a special plea before he pleaded. The Magistrate stated that he is uncertain if the proceedings are in accordance with justice as he has not dealt with such matters previously. </w:t>
            </w:r>
          </w:p>
          <w:p w:rsidR="004F36B8" w:rsidRPr="004F36B8" w:rsidRDefault="004F36B8" w:rsidP="004F36B8">
            <w:pPr>
              <w:numPr>
                <w:ilvl w:val="0"/>
                <w:numId w:val="1"/>
              </w:numPr>
              <w:tabs>
                <w:tab w:val="left" w:pos="851"/>
              </w:tabs>
              <w:spacing w:after="200" w:line="360" w:lineRule="auto"/>
              <w:ind w:left="0" w:hanging="14"/>
              <w:jc w:val="both"/>
              <w:rPr>
                <w:rFonts w:ascii="Arial" w:eastAsia="Calibri" w:hAnsi="Arial" w:cs="Arial"/>
                <w:lang w:val="en-US"/>
              </w:rPr>
            </w:pPr>
            <w:r>
              <w:rPr>
                <w:rFonts w:ascii="Arial" w:eastAsia="Calibri" w:hAnsi="Arial" w:cs="Arial"/>
                <w:sz w:val="24"/>
                <w:szCs w:val="24"/>
                <w:lang w:val="en-US"/>
              </w:rPr>
              <w:t>The rec</w:t>
            </w:r>
            <w:r w:rsidR="001C5A38">
              <w:rPr>
                <w:rFonts w:ascii="Arial" w:eastAsia="Calibri" w:hAnsi="Arial" w:cs="Arial"/>
                <w:sz w:val="24"/>
                <w:szCs w:val="24"/>
                <w:lang w:val="en-US"/>
              </w:rPr>
              <w:t>ord of proceedings, before the charge was put to the accused, reflects</w:t>
            </w:r>
            <w:r>
              <w:rPr>
                <w:rFonts w:ascii="Arial" w:eastAsia="Calibri" w:hAnsi="Arial" w:cs="Arial"/>
                <w:sz w:val="24"/>
                <w:szCs w:val="24"/>
                <w:lang w:val="en-US"/>
              </w:rPr>
              <w:t xml:space="preserve"> as follows: </w:t>
            </w:r>
          </w:p>
          <w:p w:rsidR="004F36B8" w:rsidRDefault="004F36B8" w:rsidP="001C5A38">
            <w:pPr>
              <w:tabs>
                <w:tab w:val="left" w:pos="851"/>
              </w:tabs>
              <w:spacing w:after="200" w:line="360" w:lineRule="auto"/>
              <w:ind w:left="-18"/>
              <w:jc w:val="both"/>
              <w:rPr>
                <w:rFonts w:ascii="Arial" w:eastAsia="Calibri" w:hAnsi="Arial" w:cs="Arial"/>
                <w:lang w:val="en-US"/>
              </w:rPr>
            </w:pPr>
            <w:r w:rsidRPr="001C5A38">
              <w:rPr>
                <w:rFonts w:ascii="Arial" w:eastAsia="Calibri" w:hAnsi="Arial" w:cs="Arial"/>
                <w:lang w:val="en-US"/>
              </w:rPr>
              <w:t xml:space="preserve">          ‘</w:t>
            </w:r>
            <w:proofErr w:type="spellStart"/>
            <w:r w:rsidRPr="001C5A38">
              <w:rPr>
                <w:rFonts w:ascii="Arial" w:eastAsia="Calibri" w:hAnsi="Arial" w:cs="Arial"/>
                <w:lang w:val="en-US"/>
              </w:rPr>
              <w:t>Acc</w:t>
            </w:r>
            <w:proofErr w:type="spellEnd"/>
            <w:r w:rsidR="001C5A38" w:rsidRPr="001C5A38">
              <w:rPr>
                <w:rFonts w:ascii="Arial" w:eastAsia="Calibri" w:hAnsi="Arial" w:cs="Arial"/>
                <w:lang w:val="en-US"/>
              </w:rPr>
              <w:t>: I was wondering whether one can be tried twice, since I was already tried on this matter.</w:t>
            </w:r>
          </w:p>
          <w:p w:rsidR="001C5A38" w:rsidRDefault="001C5A38" w:rsidP="001C5A38">
            <w:pPr>
              <w:tabs>
                <w:tab w:val="left" w:pos="851"/>
              </w:tabs>
              <w:spacing w:after="200" w:line="360" w:lineRule="auto"/>
              <w:ind w:left="-18"/>
              <w:jc w:val="both"/>
              <w:rPr>
                <w:rFonts w:ascii="Arial" w:eastAsia="Calibri" w:hAnsi="Arial" w:cs="Arial"/>
                <w:lang w:val="en-US"/>
              </w:rPr>
            </w:pPr>
            <w:proofErr w:type="spellStart"/>
            <w:r>
              <w:rPr>
                <w:rFonts w:ascii="Arial" w:eastAsia="Calibri" w:hAnsi="Arial" w:cs="Arial"/>
                <w:lang w:val="en-US"/>
              </w:rPr>
              <w:t>Crt</w:t>
            </w:r>
            <w:proofErr w:type="spellEnd"/>
            <w:r>
              <w:rPr>
                <w:rFonts w:ascii="Arial" w:eastAsia="Calibri" w:hAnsi="Arial" w:cs="Arial"/>
                <w:lang w:val="en-US"/>
              </w:rPr>
              <w:t>:   When, where and by who?</w:t>
            </w:r>
          </w:p>
          <w:p w:rsidR="001C5A38" w:rsidRDefault="001C5A38" w:rsidP="002C53BF">
            <w:pPr>
              <w:tabs>
                <w:tab w:val="left" w:pos="851"/>
              </w:tabs>
              <w:spacing w:after="200" w:line="360" w:lineRule="auto"/>
              <w:ind w:left="5" w:hanging="23"/>
              <w:jc w:val="both"/>
              <w:rPr>
                <w:rFonts w:ascii="Arial" w:eastAsia="Calibri" w:hAnsi="Arial" w:cs="Arial"/>
                <w:lang w:val="en-US"/>
              </w:rPr>
            </w:pPr>
            <w:proofErr w:type="spellStart"/>
            <w:r>
              <w:rPr>
                <w:rFonts w:ascii="Arial" w:eastAsia="Calibri" w:hAnsi="Arial" w:cs="Arial"/>
                <w:lang w:val="en-US"/>
              </w:rPr>
              <w:t>Acc</w:t>
            </w:r>
            <w:proofErr w:type="spellEnd"/>
            <w:r>
              <w:rPr>
                <w:rFonts w:ascii="Arial" w:eastAsia="Calibri" w:hAnsi="Arial" w:cs="Arial"/>
                <w:lang w:val="en-US"/>
              </w:rPr>
              <w:t>:  In 2020 the 6</w:t>
            </w:r>
            <w:r w:rsidRPr="001C5A38">
              <w:rPr>
                <w:rFonts w:ascii="Arial" w:eastAsia="Calibri" w:hAnsi="Arial" w:cs="Arial"/>
                <w:vertAlign w:val="superscript"/>
                <w:lang w:val="en-US"/>
              </w:rPr>
              <w:t>th</w:t>
            </w:r>
            <w:r>
              <w:rPr>
                <w:rFonts w:ascii="Arial" w:eastAsia="Calibri" w:hAnsi="Arial" w:cs="Arial"/>
                <w:lang w:val="en-US"/>
              </w:rPr>
              <w:t xml:space="preserve"> month by prison authorities. I had a copy of the conviction however I lost it when    I ask about it, I was informed to tender a written request for such copy.</w:t>
            </w:r>
          </w:p>
          <w:p w:rsidR="001C5A38" w:rsidRDefault="001C5A38" w:rsidP="002C53BF">
            <w:pPr>
              <w:tabs>
                <w:tab w:val="left" w:pos="851"/>
              </w:tabs>
              <w:spacing w:after="200" w:line="360" w:lineRule="auto"/>
              <w:ind w:left="5" w:hanging="23"/>
              <w:jc w:val="both"/>
              <w:rPr>
                <w:rFonts w:ascii="Arial" w:eastAsia="Calibri" w:hAnsi="Arial" w:cs="Arial"/>
                <w:lang w:val="en-US"/>
              </w:rPr>
            </w:pPr>
            <w:proofErr w:type="spellStart"/>
            <w:r>
              <w:rPr>
                <w:rFonts w:ascii="Arial" w:eastAsia="Calibri" w:hAnsi="Arial" w:cs="Arial"/>
                <w:lang w:val="en-US"/>
              </w:rPr>
              <w:t>Crt</w:t>
            </w:r>
            <w:proofErr w:type="spellEnd"/>
            <w:r>
              <w:rPr>
                <w:rFonts w:ascii="Arial" w:eastAsia="Calibri" w:hAnsi="Arial" w:cs="Arial"/>
                <w:lang w:val="en-US"/>
              </w:rPr>
              <w:t>:   Two or more pleas may be pleaded together except that a plea of guilty may not be pleaded with an</w:t>
            </w:r>
            <w:r w:rsidR="00B715BA">
              <w:rPr>
                <w:rFonts w:ascii="Arial" w:eastAsia="Calibri" w:hAnsi="Arial" w:cs="Arial"/>
                <w:lang w:val="en-US"/>
              </w:rPr>
              <w:t>y other plea to the same charge</w:t>
            </w:r>
            <w:r>
              <w:rPr>
                <w:rFonts w:ascii="Arial" w:eastAsia="Calibri" w:hAnsi="Arial" w:cs="Arial"/>
                <w:lang w:val="en-US"/>
              </w:rPr>
              <w:t xml:space="preserve"> that is in terms of section 106(2) of the Criminal Procedure Act 51 of 1977. That means that accused can tender a plea of guilty or not guilty, however </w:t>
            </w:r>
            <w:r w:rsidR="00B715BA">
              <w:rPr>
                <w:rFonts w:ascii="Arial" w:eastAsia="Calibri" w:hAnsi="Arial" w:cs="Arial"/>
                <w:lang w:val="en-US"/>
              </w:rPr>
              <w:t>that should the accused plea (sic) guilty he cannot use a “special plea” however should the accused plead not guilty he may proceed and use a specia</w:t>
            </w:r>
            <w:r w:rsidR="00B245CD">
              <w:rPr>
                <w:rFonts w:ascii="Arial" w:eastAsia="Calibri" w:hAnsi="Arial" w:cs="Arial"/>
                <w:lang w:val="en-US"/>
              </w:rPr>
              <w:t>l</w:t>
            </w:r>
            <w:r w:rsidR="00B715BA">
              <w:rPr>
                <w:rFonts w:ascii="Arial" w:eastAsia="Calibri" w:hAnsi="Arial" w:cs="Arial"/>
                <w:lang w:val="en-US"/>
              </w:rPr>
              <w:t xml:space="preserve"> plea as well. Do you understand that?</w:t>
            </w:r>
          </w:p>
          <w:p w:rsidR="00B715BA" w:rsidRDefault="00B715BA" w:rsidP="001C5A38">
            <w:pPr>
              <w:tabs>
                <w:tab w:val="left" w:pos="851"/>
              </w:tabs>
              <w:spacing w:after="200" w:line="360" w:lineRule="auto"/>
              <w:ind w:left="522" w:hanging="540"/>
              <w:jc w:val="both"/>
              <w:rPr>
                <w:rFonts w:ascii="Arial" w:eastAsia="Calibri" w:hAnsi="Arial" w:cs="Arial"/>
                <w:lang w:val="en-US"/>
              </w:rPr>
            </w:pPr>
            <w:proofErr w:type="spellStart"/>
            <w:r>
              <w:rPr>
                <w:rFonts w:ascii="Arial" w:eastAsia="Calibri" w:hAnsi="Arial" w:cs="Arial"/>
                <w:lang w:val="en-US"/>
              </w:rPr>
              <w:t>Acc</w:t>
            </w:r>
            <w:proofErr w:type="spellEnd"/>
            <w:r>
              <w:rPr>
                <w:rFonts w:ascii="Arial" w:eastAsia="Calibri" w:hAnsi="Arial" w:cs="Arial"/>
                <w:lang w:val="en-US"/>
              </w:rPr>
              <w:t>:   Yes.</w:t>
            </w:r>
          </w:p>
          <w:p w:rsidR="00B715BA" w:rsidRDefault="00B715BA" w:rsidP="002C53BF">
            <w:pPr>
              <w:tabs>
                <w:tab w:val="left" w:pos="851"/>
              </w:tabs>
              <w:spacing w:after="200" w:line="360" w:lineRule="auto"/>
              <w:ind w:left="5" w:hanging="23"/>
              <w:jc w:val="both"/>
              <w:rPr>
                <w:rFonts w:ascii="Arial" w:eastAsia="Calibri" w:hAnsi="Arial" w:cs="Arial"/>
                <w:lang w:val="en-US"/>
              </w:rPr>
            </w:pPr>
            <w:proofErr w:type="spellStart"/>
            <w:r>
              <w:rPr>
                <w:rFonts w:ascii="Arial" w:eastAsia="Calibri" w:hAnsi="Arial" w:cs="Arial"/>
                <w:lang w:val="en-US"/>
              </w:rPr>
              <w:t>Crt</w:t>
            </w:r>
            <w:proofErr w:type="spellEnd"/>
            <w:r>
              <w:rPr>
                <w:rFonts w:ascii="Arial" w:eastAsia="Calibri" w:hAnsi="Arial" w:cs="Arial"/>
                <w:lang w:val="en-US"/>
              </w:rPr>
              <w:t xml:space="preserve">:  </w:t>
            </w:r>
            <w:r w:rsidR="002C53BF">
              <w:rPr>
                <w:rFonts w:ascii="Arial" w:eastAsia="Calibri" w:hAnsi="Arial" w:cs="Arial"/>
                <w:lang w:val="en-US"/>
              </w:rPr>
              <w:t xml:space="preserve"> In terms of sub 3 of the same A</w:t>
            </w:r>
            <w:r>
              <w:rPr>
                <w:rFonts w:ascii="Arial" w:eastAsia="Calibri" w:hAnsi="Arial" w:cs="Arial"/>
                <w:lang w:val="en-US"/>
              </w:rPr>
              <w:t>ct</w:t>
            </w:r>
            <w:r w:rsidR="002C53BF">
              <w:rPr>
                <w:rFonts w:ascii="Arial" w:eastAsia="Calibri" w:hAnsi="Arial" w:cs="Arial"/>
                <w:lang w:val="en-US"/>
              </w:rPr>
              <w:t>,</w:t>
            </w:r>
            <w:r>
              <w:rPr>
                <w:rFonts w:ascii="Arial" w:eastAsia="Calibri" w:hAnsi="Arial" w:cs="Arial"/>
                <w:lang w:val="en-US"/>
              </w:rPr>
              <w:t xml:space="preserve"> an accused shall give reasonable notice to the prosecution of his intention  to plead a plea other than the plea of guilty or not guilty, and shall in such notice state the ground on which he bases his plea: provided that the requirement of such notice may be waived by the Prosecutor-General or the prosecutor, as the case may be, and the court may, on good cause shown, dispense with such notice or adjourn the trial to enable such notice to be given. Do you understand</w:t>
            </w:r>
            <w:r w:rsidR="00151DE0">
              <w:rPr>
                <w:rFonts w:ascii="Arial" w:eastAsia="Calibri" w:hAnsi="Arial" w:cs="Arial"/>
                <w:lang w:val="en-US"/>
              </w:rPr>
              <w:t xml:space="preserve"> that</w:t>
            </w:r>
            <w:r>
              <w:rPr>
                <w:rFonts w:ascii="Arial" w:eastAsia="Calibri" w:hAnsi="Arial" w:cs="Arial"/>
                <w:lang w:val="en-US"/>
              </w:rPr>
              <w:t>?</w:t>
            </w:r>
          </w:p>
          <w:p w:rsidR="00D850E0" w:rsidRDefault="00D850E0" w:rsidP="001C5A38">
            <w:pPr>
              <w:tabs>
                <w:tab w:val="left" w:pos="851"/>
              </w:tabs>
              <w:spacing w:after="200" w:line="360" w:lineRule="auto"/>
              <w:ind w:left="522" w:hanging="540"/>
              <w:jc w:val="both"/>
              <w:rPr>
                <w:rFonts w:ascii="Arial" w:eastAsia="Calibri" w:hAnsi="Arial" w:cs="Arial"/>
                <w:lang w:val="en-US"/>
              </w:rPr>
            </w:pPr>
            <w:proofErr w:type="spellStart"/>
            <w:r>
              <w:rPr>
                <w:rFonts w:ascii="Arial" w:eastAsia="Calibri" w:hAnsi="Arial" w:cs="Arial"/>
                <w:lang w:val="en-US"/>
              </w:rPr>
              <w:lastRenderedPageBreak/>
              <w:t>Acc</w:t>
            </w:r>
            <w:proofErr w:type="spellEnd"/>
            <w:r>
              <w:rPr>
                <w:rFonts w:ascii="Arial" w:eastAsia="Calibri" w:hAnsi="Arial" w:cs="Arial"/>
                <w:lang w:val="en-US"/>
              </w:rPr>
              <w:t>:   Yes.</w:t>
            </w:r>
          </w:p>
          <w:p w:rsidR="00D850E0" w:rsidRDefault="00D850E0" w:rsidP="001C5A38">
            <w:pPr>
              <w:tabs>
                <w:tab w:val="left" w:pos="851"/>
              </w:tabs>
              <w:spacing w:after="200" w:line="360" w:lineRule="auto"/>
              <w:ind w:left="522" w:hanging="540"/>
              <w:jc w:val="both"/>
              <w:rPr>
                <w:rFonts w:ascii="Arial" w:eastAsia="Calibri" w:hAnsi="Arial" w:cs="Arial"/>
                <w:lang w:val="en-US"/>
              </w:rPr>
            </w:pPr>
            <w:proofErr w:type="spellStart"/>
            <w:r>
              <w:rPr>
                <w:rFonts w:ascii="Arial" w:eastAsia="Calibri" w:hAnsi="Arial" w:cs="Arial"/>
                <w:lang w:val="en-US"/>
              </w:rPr>
              <w:t>Crt</w:t>
            </w:r>
            <w:proofErr w:type="spellEnd"/>
            <w:r>
              <w:rPr>
                <w:rFonts w:ascii="Arial" w:eastAsia="Calibri" w:hAnsi="Arial" w:cs="Arial"/>
                <w:lang w:val="en-US"/>
              </w:rPr>
              <w:t xml:space="preserve">:   Do you wish to </w:t>
            </w:r>
            <w:proofErr w:type="gramStart"/>
            <w:r>
              <w:rPr>
                <w:rFonts w:ascii="Arial" w:eastAsia="Calibri" w:hAnsi="Arial" w:cs="Arial"/>
                <w:lang w:val="en-US"/>
              </w:rPr>
              <w:t>proceed</w:t>
            </w:r>
            <w:proofErr w:type="gramEnd"/>
            <w:r>
              <w:rPr>
                <w:rFonts w:ascii="Arial" w:eastAsia="Calibri" w:hAnsi="Arial" w:cs="Arial"/>
                <w:lang w:val="en-US"/>
              </w:rPr>
              <w:t xml:space="preserve"> with the plea proceedings or be given time to consider whether you will use a special plea as w</w:t>
            </w:r>
            <w:r w:rsidR="00B245CD">
              <w:rPr>
                <w:rFonts w:ascii="Arial" w:eastAsia="Calibri" w:hAnsi="Arial" w:cs="Arial"/>
                <w:lang w:val="en-US"/>
              </w:rPr>
              <w:t>ell and if so to give notice as</w:t>
            </w:r>
            <w:r>
              <w:rPr>
                <w:rFonts w:ascii="Arial" w:eastAsia="Calibri" w:hAnsi="Arial" w:cs="Arial"/>
                <w:lang w:val="en-US"/>
              </w:rPr>
              <w:t xml:space="preserve"> required?</w:t>
            </w:r>
          </w:p>
          <w:p w:rsidR="00D850E0" w:rsidRDefault="00D850E0" w:rsidP="001C5A38">
            <w:pPr>
              <w:tabs>
                <w:tab w:val="left" w:pos="851"/>
              </w:tabs>
              <w:spacing w:after="200" w:line="360" w:lineRule="auto"/>
              <w:ind w:left="522" w:hanging="540"/>
              <w:jc w:val="both"/>
              <w:rPr>
                <w:rFonts w:ascii="Arial" w:eastAsia="Calibri" w:hAnsi="Arial" w:cs="Arial"/>
                <w:lang w:val="en-US"/>
              </w:rPr>
            </w:pPr>
            <w:proofErr w:type="spellStart"/>
            <w:r>
              <w:rPr>
                <w:rFonts w:ascii="Arial" w:eastAsia="Calibri" w:hAnsi="Arial" w:cs="Arial"/>
                <w:lang w:val="en-US"/>
              </w:rPr>
              <w:t>Acc</w:t>
            </w:r>
            <w:proofErr w:type="spellEnd"/>
            <w:r>
              <w:rPr>
                <w:rFonts w:ascii="Arial" w:eastAsia="Calibri" w:hAnsi="Arial" w:cs="Arial"/>
                <w:lang w:val="en-US"/>
              </w:rPr>
              <w:t xml:space="preserve">:  I can </w:t>
            </w:r>
            <w:proofErr w:type="gramStart"/>
            <w:r>
              <w:rPr>
                <w:rFonts w:ascii="Arial" w:eastAsia="Calibri" w:hAnsi="Arial" w:cs="Arial"/>
                <w:lang w:val="en-US"/>
              </w:rPr>
              <w:t>proceed</w:t>
            </w:r>
            <w:proofErr w:type="gramEnd"/>
            <w:r>
              <w:rPr>
                <w:rFonts w:ascii="Arial" w:eastAsia="Calibri" w:hAnsi="Arial" w:cs="Arial"/>
                <w:lang w:val="en-US"/>
              </w:rPr>
              <w:t xml:space="preserve"> with the plea proceedings.</w:t>
            </w:r>
          </w:p>
          <w:p w:rsidR="00D850E0" w:rsidRPr="001C5A38" w:rsidRDefault="00D850E0" w:rsidP="001C5A38">
            <w:pPr>
              <w:tabs>
                <w:tab w:val="left" w:pos="851"/>
              </w:tabs>
              <w:spacing w:after="200" w:line="360" w:lineRule="auto"/>
              <w:ind w:left="522" w:hanging="540"/>
              <w:jc w:val="both"/>
              <w:rPr>
                <w:rFonts w:ascii="Arial" w:eastAsia="Calibri" w:hAnsi="Arial" w:cs="Arial"/>
                <w:lang w:val="en-US"/>
              </w:rPr>
            </w:pPr>
            <w:r>
              <w:rPr>
                <w:rFonts w:ascii="Arial" w:eastAsia="Calibri" w:hAnsi="Arial" w:cs="Arial"/>
                <w:lang w:val="en-US"/>
              </w:rPr>
              <w:t>……’</w:t>
            </w:r>
          </w:p>
          <w:p w:rsidR="00EC6FCC" w:rsidRDefault="00EC6FCC" w:rsidP="003F5F80">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 xml:space="preserve">The </w:t>
            </w:r>
            <w:r w:rsidR="00D850E0">
              <w:rPr>
                <w:rFonts w:ascii="Arial" w:eastAsia="Calibri" w:hAnsi="Arial" w:cs="Arial"/>
                <w:sz w:val="24"/>
                <w:szCs w:val="24"/>
                <w:lang w:val="en-US"/>
              </w:rPr>
              <w:t>charge was then put to the accused whereupon he pleaded g</w:t>
            </w:r>
            <w:r w:rsidR="002C53BF">
              <w:rPr>
                <w:rFonts w:ascii="Arial" w:eastAsia="Calibri" w:hAnsi="Arial" w:cs="Arial"/>
                <w:sz w:val="24"/>
                <w:szCs w:val="24"/>
                <w:lang w:val="en-US"/>
              </w:rPr>
              <w:t xml:space="preserve">uilty. The Magistrate applied s </w:t>
            </w:r>
            <w:r w:rsidR="00D850E0">
              <w:rPr>
                <w:rFonts w:ascii="Arial" w:eastAsia="Calibri" w:hAnsi="Arial" w:cs="Arial"/>
                <w:sz w:val="24"/>
                <w:szCs w:val="24"/>
                <w:lang w:val="en-US"/>
              </w:rPr>
              <w:t>112(1</w:t>
            </w:r>
            <w:proofErr w:type="gramStart"/>
            <w:r w:rsidR="00D850E0">
              <w:rPr>
                <w:rFonts w:ascii="Arial" w:eastAsia="Calibri" w:hAnsi="Arial" w:cs="Arial"/>
                <w:sz w:val="24"/>
                <w:szCs w:val="24"/>
                <w:lang w:val="en-US"/>
              </w:rPr>
              <w:t>)</w:t>
            </w:r>
            <w:r w:rsidR="00D850E0" w:rsidRPr="001B1909">
              <w:rPr>
                <w:rFonts w:ascii="Arial" w:eastAsia="Calibri" w:hAnsi="Arial" w:cs="Arial"/>
                <w:i/>
                <w:sz w:val="24"/>
                <w:szCs w:val="24"/>
                <w:lang w:val="en-US"/>
              </w:rPr>
              <w:t>(</w:t>
            </w:r>
            <w:proofErr w:type="gramEnd"/>
            <w:r w:rsidR="00D850E0" w:rsidRPr="001B1909">
              <w:rPr>
                <w:rFonts w:ascii="Arial" w:eastAsia="Calibri" w:hAnsi="Arial" w:cs="Arial"/>
                <w:i/>
                <w:sz w:val="24"/>
                <w:szCs w:val="24"/>
                <w:lang w:val="en-US"/>
              </w:rPr>
              <w:t xml:space="preserve">b) </w:t>
            </w:r>
            <w:r w:rsidR="00D850E0">
              <w:rPr>
                <w:rFonts w:ascii="Arial" w:eastAsia="Calibri" w:hAnsi="Arial" w:cs="Arial"/>
                <w:sz w:val="24"/>
                <w:szCs w:val="24"/>
                <w:lang w:val="en-US"/>
              </w:rPr>
              <w:t>of the Criminal Procedure Act 51 of 1977</w:t>
            </w:r>
            <w:r w:rsidR="00123E65">
              <w:rPr>
                <w:rFonts w:ascii="Arial" w:eastAsia="Calibri" w:hAnsi="Arial" w:cs="Arial"/>
                <w:sz w:val="24"/>
                <w:szCs w:val="24"/>
                <w:lang w:val="en-US"/>
              </w:rPr>
              <w:t xml:space="preserve"> (the CPA)</w:t>
            </w:r>
            <w:r w:rsidR="00D850E0">
              <w:rPr>
                <w:rFonts w:ascii="Arial" w:eastAsia="Calibri" w:hAnsi="Arial" w:cs="Arial"/>
                <w:sz w:val="24"/>
                <w:szCs w:val="24"/>
                <w:lang w:val="en-US"/>
              </w:rPr>
              <w:t xml:space="preserve"> and convicted the accused.</w:t>
            </w:r>
            <w:r w:rsidR="001B1909">
              <w:rPr>
                <w:rFonts w:ascii="Arial" w:eastAsia="Calibri" w:hAnsi="Arial" w:cs="Arial"/>
                <w:sz w:val="24"/>
                <w:szCs w:val="24"/>
                <w:lang w:val="en-US"/>
              </w:rPr>
              <w:t xml:space="preserve"> The prosecution proved a previous conviction of the accused</w:t>
            </w:r>
            <w:r w:rsidR="005815D7">
              <w:rPr>
                <w:rFonts w:ascii="Arial" w:eastAsia="Calibri" w:hAnsi="Arial" w:cs="Arial"/>
                <w:sz w:val="24"/>
                <w:szCs w:val="24"/>
                <w:lang w:val="en-US"/>
              </w:rPr>
              <w:t xml:space="preserve"> where</w:t>
            </w:r>
            <w:r w:rsidR="001B1909">
              <w:rPr>
                <w:rFonts w:ascii="Arial" w:eastAsia="Calibri" w:hAnsi="Arial" w:cs="Arial"/>
                <w:sz w:val="24"/>
                <w:szCs w:val="24"/>
                <w:lang w:val="en-US"/>
              </w:rPr>
              <w:t xml:space="preserve"> </w:t>
            </w:r>
            <w:r w:rsidR="005815D7">
              <w:rPr>
                <w:rFonts w:ascii="Arial" w:eastAsia="Calibri" w:hAnsi="Arial" w:cs="Arial"/>
                <w:sz w:val="24"/>
                <w:szCs w:val="24"/>
                <w:lang w:val="en-US"/>
              </w:rPr>
              <w:t xml:space="preserve">he </w:t>
            </w:r>
            <w:r w:rsidR="001B1909">
              <w:rPr>
                <w:rFonts w:ascii="Arial" w:eastAsia="Calibri" w:hAnsi="Arial" w:cs="Arial"/>
                <w:sz w:val="24"/>
                <w:szCs w:val="24"/>
                <w:lang w:val="en-US"/>
              </w:rPr>
              <w:t>was sentenced to 18 years’ imprisonment</w:t>
            </w:r>
            <w:r w:rsidR="00B245CD">
              <w:rPr>
                <w:rFonts w:ascii="Arial" w:eastAsia="Calibri" w:hAnsi="Arial" w:cs="Arial"/>
                <w:sz w:val="24"/>
                <w:szCs w:val="24"/>
                <w:lang w:val="en-US"/>
              </w:rPr>
              <w:t xml:space="preserve"> for murder</w:t>
            </w:r>
            <w:r w:rsidR="001B1909">
              <w:rPr>
                <w:rFonts w:ascii="Arial" w:eastAsia="Calibri" w:hAnsi="Arial" w:cs="Arial"/>
                <w:sz w:val="24"/>
                <w:szCs w:val="24"/>
                <w:lang w:val="en-US"/>
              </w:rPr>
              <w:t>. He was serv</w:t>
            </w:r>
            <w:r w:rsidR="00B245CD">
              <w:rPr>
                <w:rFonts w:ascii="Arial" w:eastAsia="Calibri" w:hAnsi="Arial" w:cs="Arial"/>
                <w:sz w:val="24"/>
                <w:szCs w:val="24"/>
                <w:lang w:val="en-US"/>
              </w:rPr>
              <w:t>ing that sentence at the time when</w:t>
            </w:r>
            <w:r w:rsidR="001B1909">
              <w:rPr>
                <w:rFonts w:ascii="Arial" w:eastAsia="Calibri" w:hAnsi="Arial" w:cs="Arial"/>
                <w:sz w:val="24"/>
                <w:szCs w:val="24"/>
                <w:lang w:val="en-US"/>
              </w:rPr>
              <w:t xml:space="preserve"> this case</w:t>
            </w:r>
            <w:r w:rsidR="00B245CD">
              <w:rPr>
                <w:rFonts w:ascii="Arial" w:eastAsia="Calibri" w:hAnsi="Arial" w:cs="Arial"/>
                <w:sz w:val="24"/>
                <w:szCs w:val="24"/>
                <w:lang w:val="en-US"/>
              </w:rPr>
              <w:t xml:space="preserve"> was adjudicated</w:t>
            </w:r>
            <w:r w:rsidR="001B1909">
              <w:rPr>
                <w:rFonts w:ascii="Arial" w:eastAsia="Calibri" w:hAnsi="Arial" w:cs="Arial"/>
                <w:sz w:val="24"/>
                <w:szCs w:val="24"/>
                <w:lang w:val="en-US"/>
              </w:rPr>
              <w:t>. He was sentenced to 45 days imprisonment.</w:t>
            </w:r>
          </w:p>
          <w:p w:rsidR="001B1909" w:rsidRDefault="00454DF8" w:rsidP="003F5F80">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The CPA provides in section 106 amongst others as follows:</w:t>
            </w:r>
          </w:p>
          <w:p w:rsidR="00454DF8" w:rsidRPr="006217AA" w:rsidRDefault="00454DF8" w:rsidP="00454DF8">
            <w:pPr>
              <w:tabs>
                <w:tab w:val="left" w:pos="851"/>
              </w:tabs>
              <w:spacing w:after="200" w:line="360" w:lineRule="auto"/>
              <w:jc w:val="both"/>
              <w:rPr>
                <w:rFonts w:ascii="Arial" w:eastAsia="Calibri" w:hAnsi="Arial" w:cs="Arial"/>
                <w:lang w:val="en-US"/>
              </w:rPr>
            </w:pPr>
            <w:r w:rsidRPr="006217AA">
              <w:rPr>
                <w:rFonts w:ascii="Arial" w:eastAsia="Calibri" w:hAnsi="Arial" w:cs="Arial"/>
                <w:lang w:val="en-US"/>
              </w:rPr>
              <w:t xml:space="preserve">             </w:t>
            </w:r>
            <w:r w:rsidR="006217AA" w:rsidRPr="006217AA">
              <w:rPr>
                <w:rFonts w:ascii="Arial" w:eastAsia="Calibri" w:hAnsi="Arial" w:cs="Arial"/>
                <w:lang w:val="en-US"/>
              </w:rPr>
              <w:t>‘</w:t>
            </w:r>
            <w:r w:rsidRPr="006217AA">
              <w:rPr>
                <w:rFonts w:ascii="Arial" w:eastAsia="Calibri" w:hAnsi="Arial" w:cs="Arial"/>
                <w:lang w:val="en-US"/>
              </w:rPr>
              <w:t>106</w:t>
            </w:r>
            <w:r w:rsidRPr="006217AA">
              <w:rPr>
                <w:rFonts w:ascii="Arial" w:eastAsia="Calibri" w:hAnsi="Arial" w:cs="Arial"/>
                <w:lang w:val="en-US"/>
              </w:rPr>
              <w:tab/>
              <w:t>Pleas</w:t>
            </w:r>
          </w:p>
          <w:p w:rsidR="00454DF8" w:rsidRPr="006217AA" w:rsidRDefault="00454DF8" w:rsidP="002C53BF">
            <w:pPr>
              <w:tabs>
                <w:tab w:val="left" w:pos="851"/>
              </w:tabs>
              <w:spacing w:after="200" w:line="360" w:lineRule="auto"/>
              <w:ind w:hanging="85"/>
              <w:jc w:val="both"/>
              <w:rPr>
                <w:rFonts w:ascii="Arial" w:eastAsia="Calibri" w:hAnsi="Arial" w:cs="Arial"/>
                <w:lang w:val="en-US"/>
              </w:rPr>
            </w:pPr>
            <w:r w:rsidRPr="006217AA">
              <w:rPr>
                <w:rFonts w:ascii="Arial" w:eastAsia="Calibri" w:hAnsi="Arial" w:cs="Arial"/>
                <w:lang w:val="en-US"/>
              </w:rPr>
              <w:tab/>
              <w:t>(1) When an accused pleads to a charge he may plead-</w:t>
            </w:r>
          </w:p>
          <w:p w:rsidR="00454DF8" w:rsidRPr="006217AA" w:rsidRDefault="002C53BF" w:rsidP="002C53BF">
            <w:pPr>
              <w:tabs>
                <w:tab w:val="left" w:pos="5"/>
              </w:tabs>
              <w:spacing w:after="200" w:line="360" w:lineRule="auto"/>
              <w:ind w:left="5" w:hanging="5"/>
              <w:jc w:val="both"/>
              <w:rPr>
                <w:rFonts w:ascii="Arial" w:eastAsia="Calibri" w:hAnsi="Arial" w:cs="Arial"/>
                <w:lang w:val="en-US"/>
              </w:rPr>
            </w:pPr>
            <w:r>
              <w:rPr>
                <w:rFonts w:ascii="Arial" w:eastAsia="Calibri" w:hAnsi="Arial" w:cs="Arial"/>
                <w:lang w:val="en-US"/>
              </w:rPr>
              <w:tab/>
              <w:t xml:space="preserve">(a) </w:t>
            </w:r>
            <w:r w:rsidR="00454DF8" w:rsidRPr="006217AA">
              <w:rPr>
                <w:rFonts w:ascii="Arial" w:eastAsia="Calibri" w:hAnsi="Arial" w:cs="Arial"/>
                <w:lang w:val="en-US"/>
              </w:rPr>
              <w:t xml:space="preserve">that he is guilty of the offence charged or of any offence of which he may be </w:t>
            </w:r>
            <w:r w:rsidR="006217AA" w:rsidRPr="006217AA">
              <w:rPr>
                <w:rFonts w:ascii="Arial" w:eastAsia="Calibri" w:hAnsi="Arial" w:cs="Arial"/>
                <w:lang w:val="en-US"/>
              </w:rPr>
              <w:t xml:space="preserve">    </w:t>
            </w:r>
            <w:r w:rsidR="00454DF8" w:rsidRPr="006217AA">
              <w:rPr>
                <w:rFonts w:ascii="Arial" w:eastAsia="Calibri" w:hAnsi="Arial" w:cs="Arial"/>
                <w:lang w:val="en-US"/>
              </w:rPr>
              <w:t>convicted on the charge; or</w:t>
            </w:r>
          </w:p>
          <w:p w:rsidR="00454DF8" w:rsidRPr="006217AA" w:rsidRDefault="002C53BF" w:rsidP="002C53BF">
            <w:pPr>
              <w:tabs>
                <w:tab w:val="left" w:pos="851"/>
              </w:tabs>
              <w:spacing w:after="200" w:line="360" w:lineRule="auto"/>
              <w:ind w:hanging="85"/>
              <w:jc w:val="both"/>
              <w:rPr>
                <w:rFonts w:ascii="Arial" w:eastAsia="Calibri" w:hAnsi="Arial" w:cs="Arial"/>
                <w:lang w:val="en-US"/>
              </w:rPr>
            </w:pPr>
            <w:r>
              <w:rPr>
                <w:rFonts w:ascii="Arial" w:eastAsia="Calibri" w:hAnsi="Arial" w:cs="Arial"/>
                <w:lang w:val="en-US"/>
              </w:rPr>
              <w:tab/>
              <w:t xml:space="preserve">(b) </w:t>
            </w:r>
            <w:r w:rsidR="00454DF8" w:rsidRPr="006217AA">
              <w:rPr>
                <w:rFonts w:ascii="Arial" w:eastAsia="Calibri" w:hAnsi="Arial" w:cs="Arial"/>
                <w:lang w:val="en-US"/>
              </w:rPr>
              <w:t>that he is not guilty; or</w:t>
            </w:r>
          </w:p>
          <w:p w:rsidR="00454DF8" w:rsidRDefault="002C53BF" w:rsidP="006217AA">
            <w:pPr>
              <w:tabs>
                <w:tab w:val="left" w:pos="851"/>
              </w:tabs>
              <w:spacing w:after="200" w:line="360" w:lineRule="auto"/>
              <w:ind w:left="882" w:hanging="882"/>
              <w:jc w:val="both"/>
              <w:rPr>
                <w:rFonts w:ascii="Arial" w:eastAsia="Calibri" w:hAnsi="Arial" w:cs="Arial"/>
                <w:lang w:val="en-US"/>
              </w:rPr>
            </w:pPr>
            <w:r>
              <w:rPr>
                <w:rFonts w:ascii="Arial" w:eastAsia="Calibri" w:hAnsi="Arial" w:cs="Arial"/>
                <w:lang w:val="en-US"/>
              </w:rPr>
              <w:t xml:space="preserve">(c) </w:t>
            </w:r>
            <w:r w:rsidR="00454DF8" w:rsidRPr="006217AA">
              <w:rPr>
                <w:rFonts w:ascii="Arial" w:eastAsia="Calibri" w:hAnsi="Arial" w:cs="Arial"/>
                <w:lang w:val="en-US"/>
              </w:rPr>
              <w:t xml:space="preserve">that he has already been convicted of the offence with which he is charged; or </w:t>
            </w:r>
          </w:p>
          <w:p w:rsidR="006217AA" w:rsidRDefault="002C53BF" w:rsidP="006217AA">
            <w:pPr>
              <w:tabs>
                <w:tab w:val="left" w:pos="851"/>
              </w:tabs>
              <w:spacing w:after="200" w:line="360" w:lineRule="auto"/>
              <w:ind w:left="882" w:hanging="882"/>
              <w:jc w:val="both"/>
              <w:rPr>
                <w:rFonts w:ascii="Arial" w:eastAsia="Calibri" w:hAnsi="Arial" w:cs="Arial"/>
                <w:lang w:val="en-US"/>
              </w:rPr>
            </w:pPr>
            <w:r>
              <w:rPr>
                <w:rFonts w:ascii="Arial" w:eastAsia="Calibri" w:hAnsi="Arial" w:cs="Arial"/>
                <w:lang w:val="en-US"/>
              </w:rPr>
              <w:t>(</w:t>
            </w:r>
            <w:proofErr w:type="gramStart"/>
            <w:r>
              <w:rPr>
                <w:rFonts w:ascii="Arial" w:eastAsia="Calibri" w:hAnsi="Arial" w:cs="Arial"/>
                <w:lang w:val="en-US"/>
              </w:rPr>
              <w:t>d</w:t>
            </w:r>
            <w:proofErr w:type="gramEnd"/>
            <w:r>
              <w:rPr>
                <w:rFonts w:ascii="Arial" w:eastAsia="Calibri" w:hAnsi="Arial" w:cs="Arial"/>
                <w:lang w:val="en-US"/>
              </w:rPr>
              <w:t>)     …….</w:t>
            </w:r>
          </w:p>
          <w:p w:rsidR="00F64A10" w:rsidRPr="00F64A10" w:rsidRDefault="00F64A10" w:rsidP="002C53BF">
            <w:pPr>
              <w:tabs>
                <w:tab w:val="left" w:pos="5"/>
              </w:tabs>
              <w:spacing w:after="200" w:line="360" w:lineRule="auto"/>
              <w:ind w:left="5" w:hanging="5"/>
              <w:jc w:val="both"/>
              <w:rPr>
                <w:rFonts w:ascii="Arial" w:eastAsia="Calibri" w:hAnsi="Arial" w:cs="Arial"/>
                <w:lang w:val="en-US"/>
              </w:rPr>
            </w:pPr>
            <w:r w:rsidRPr="00F64A10">
              <w:rPr>
                <w:rFonts w:ascii="Arial" w:eastAsia="Calibri" w:hAnsi="Arial" w:cs="Arial"/>
                <w:lang w:val="en-US"/>
              </w:rPr>
              <w:t>(2) Two or more pleas may be pleaded together except that a plea of guilty may not be pleaded with any other plea to the same charge.</w:t>
            </w:r>
          </w:p>
          <w:p w:rsidR="00F64A10" w:rsidRDefault="00F64A10" w:rsidP="002C53BF">
            <w:pPr>
              <w:tabs>
                <w:tab w:val="left" w:pos="5"/>
              </w:tabs>
              <w:spacing w:after="200" w:line="360" w:lineRule="auto"/>
              <w:jc w:val="both"/>
              <w:rPr>
                <w:rFonts w:ascii="Arial" w:eastAsia="Calibri" w:hAnsi="Arial" w:cs="Arial"/>
                <w:lang w:val="en-US"/>
              </w:rPr>
            </w:pPr>
            <w:r w:rsidRPr="00F64A10">
              <w:rPr>
                <w:rFonts w:ascii="Arial" w:eastAsia="Calibri" w:hAnsi="Arial" w:cs="Arial"/>
                <w:lang w:val="en-US"/>
              </w:rPr>
              <w:t>(3) An accused shall give reasonable notice to the prosecution of his intention to plead a plea other than the plea of guilty or not guilty, and shall in such notice state the ground on which he bases his plea: Provided that the requirement of such notice may be waived by the attorney-general or the prosecutor, as the case may be, and the court may, on good cause shown, dispense with such notice or adjourn the trial to enable such notice to be given.</w:t>
            </w:r>
            <w:r w:rsidR="002C53BF">
              <w:rPr>
                <w:rFonts w:ascii="Arial" w:eastAsia="Calibri" w:hAnsi="Arial" w:cs="Arial"/>
                <w:lang w:val="en-US"/>
              </w:rPr>
              <w:t>’</w:t>
            </w:r>
          </w:p>
          <w:p w:rsidR="00F64A10" w:rsidRDefault="00F64A10" w:rsidP="001F56CE">
            <w:pPr>
              <w:tabs>
                <w:tab w:val="left" w:pos="0"/>
              </w:tabs>
              <w:spacing w:after="200" w:line="360" w:lineRule="auto"/>
              <w:jc w:val="both"/>
              <w:rPr>
                <w:rFonts w:ascii="Arial" w:eastAsia="Calibri" w:hAnsi="Arial" w:cs="Arial"/>
                <w:sz w:val="24"/>
                <w:szCs w:val="24"/>
                <w:lang w:val="en-US"/>
              </w:rPr>
            </w:pPr>
            <w:r w:rsidRPr="00F64A10">
              <w:rPr>
                <w:rFonts w:ascii="Arial" w:eastAsia="Calibri" w:hAnsi="Arial" w:cs="Arial"/>
                <w:sz w:val="24"/>
                <w:szCs w:val="24"/>
                <w:lang w:val="en-US"/>
              </w:rPr>
              <w:t>[6]</w:t>
            </w:r>
            <w:r>
              <w:rPr>
                <w:rFonts w:ascii="Arial" w:eastAsia="Calibri" w:hAnsi="Arial" w:cs="Arial"/>
                <w:sz w:val="24"/>
                <w:szCs w:val="24"/>
                <w:lang w:val="en-US"/>
              </w:rPr>
              <w:t xml:space="preserve">       It is clear that the magistrate explained the provisions of subsections 2 and 3</w:t>
            </w:r>
            <w:r w:rsidR="00123E65">
              <w:rPr>
                <w:rFonts w:ascii="Arial" w:eastAsia="Calibri" w:hAnsi="Arial" w:cs="Arial"/>
                <w:sz w:val="24"/>
                <w:szCs w:val="24"/>
                <w:lang w:val="en-US"/>
              </w:rPr>
              <w:t xml:space="preserve"> of the </w:t>
            </w:r>
            <w:r w:rsidR="00123E65">
              <w:rPr>
                <w:rFonts w:ascii="Arial" w:eastAsia="Calibri" w:hAnsi="Arial" w:cs="Arial"/>
                <w:sz w:val="24"/>
                <w:szCs w:val="24"/>
                <w:lang w:val="en-US"/>
              </w:rPr>
              <w:lastRenderedPageBreak/>
              <w:t>CPA</w:t>
            </w:r>
            <w:r>
              <w:rPr>
                <w:rFonts w:ascii="Arial" w:eastAsia="Calibri" w:hAnsi="Arial" w:cs="Arial"/>
                <w:sz w:val="24"/>
                <w:szCs w:val="24"/>
                <w:lang w:val="en-US"/>
              </w:rPr>
              <w:t xml:space="preserve"> to the accused</w:t>
            </w:r>
            <w:r w:rsidR="002C53BF">
              <w:rPr>
                <w:rFonts w:ascii="Arial" w:eastAsia="Calibri" w:hAnsi="Arial" w:cs="Arial"/>
                <w:sz w:val="24"/>
                <w:szCs w:val="24"/>
                <w:lang w:val="en-US"/>
              </w:rPr>
              <w:t xml:space="preserve"> </w:t>
            </w:r>
            <w:proofErr w:type="spellStart"/>
            <w:r w:rsidR="002C53BF">
              <w:rPr>
                <w:rFonts w:ascii="Arial" w:eastAsia="Calibri" w:hAnsi="Arial" w:cs="Arial"/>
                <w:sz w:val="24"/>
                <w:szCs w:val="24"/>
                <w:lang w:val="en-US"/>
              </w:rPr>
              <w:t>i</w:t>
            </w:r>
            <w:proofErr w:type="spellEnd"/>
            <w:r w:rsidR="002C53BF">
              <w:rPr>
                <w:rFonts w:ascii="Arial" w:eastAsia="Calibri" w:hAnsi="Arial" w:cs="Arial"/>
                <w:sz w:val="24"/>
                <w:szCs w:val="24"/>
                <w:lang w:val="en-US"/>
              </w:rPr>
              <w:t xml:space="preserve"> e</w:t>
            </w:r>
            <w:r w:rsidR="001C41E0">
              <w:rPr>
                <w:rFonts w:ascii="Arial" w:eastAsia="Calibri" w:hAnsi="Arial" w:cs="Arial"/>
                <w:sz w:val="24"/>
                <w:szCs w:val="24"/>
                <w:lang w:val="en-US"/>
              </w:rPr>
              <w:t>,</w:t>
            </w:r>
            <w:r w:rsidR="002C53BF">
              <w:rPr>
                <w:rFonts w:ascii="Arial" w:eastAsia="Calibri" w:hAnsi="Arial" w:cs="Arial"/>
                <w:sz w:val="24"/>
                <w:szCs w:val="24"/>
                <w:lang w:val="en-US"/>
              </w:rPr>
              <w:t xml:space="preserve"> </w:t>
            </w:r>
            <w:r w:rsidR="00357E7D">
              <w:rPr>
                <w:rFonts w:ascii="Arial" w:eastAsia="Calibri" w:hAnsi="Arial" w:cs="Arial"/>
                <w:sz w:val="24"/>
                <w:szCs w:val="24"/>
                <w:lang w:val="en-US"/>
              </w:rPr>
              <w:t>a plea of guilty may not be pleaded with any other plea</w:t>
            </w:r>
            <w:r w:rsidR="00FD59F6">
              <w:rPr>
                <w:rFonts w:ascii="Arial" w:eastAsia="Calibri" w:hAnsi="Arial" w:cs="Arial"/>
                <w:sz w:val="24"/>
                <w:szCs w:val="24"/>
                <w:lang w:val="en-US"/>
              </w:rPr>
              <w:t>,</w:t>
            </w:r>
            <w:r>
              <w:rPr>
                <w:rFonts w:ascii="Arial" w:eastAsia="Calibri" w:hAnsi="Arial" w:cs="Arial"/>
                <w:sz w:val="24"/>
                <w:szCs w:val="24"/>
                <w:lang w:val="en-US"/>
              </w:rPr>
              <w:t xml:space="preserve"> that he</w:t>
            </w:r>
            <w:r w:rsidR="00357E7D">
              <w:rPr>
                <w:rFonts w:ascii="Arial" w:eastAsia="Calibri" w:hAnsi="Arial" w:cs="Arial"/>
                <w:sz w:val="24"/>
                <w:szCs w:val="24"/>
                <w:lang w:val="en-US"/>
              </w:rPr>
              <w:t xml:space="preserve"> must give reasonable notice</w:t>
            </w:r>
            <w:r w:rsidR="00FD59F6">
              <w:rPr>
                <w:rFonts w:ascii="Arial" w:eastAsia="Calibri" w:hAnsi="Arial" w:cs="Arial"/>
                <w:sz w:val="24"/>
                <w:szCs w:val="24"/>
                <w:lang w:val="en-US"/>
              </w:rPr>
              <w:t xml:space="preserve"> and state the ground(s) on which his plea is based. The accused</w:t>
            </w:r>
            <w:r w:rsidR="005815D7">
              <w:rPr>
                <w:rFonts w:ascii="Arial" w:eastAsia="Calibri" w:hAnsi="Arial" w:cs="Arial"/>
                <w:sz w:val="24"/>
                <w:szCs w:val="24"/>
                <w:lang w:val="en-US"/>
              </w:rPr>
              <w:t xml:space="preserve"> understood and</w:t>
            </w:r>
            <w:r>
              <w:rPr>
                <w:rFonts w:ascii="Arial" w:eastAsia="Calibri" w:hAnsi="Arial" w:cs="Arial"/>
                <w:sz w:val="24"/>
                <w:szCs w:val="24"/>
                <w:lang w:val="en-US"/>
              </w:rPr>
              <w:t xml:space="preserve"> made an informed decision not to raise a special plea. In addition, there are requirement</w:t>
            </w:r>
            <w:r w:rsidR="002C53BF">
              <w:rPr>
                <w:rFonts w:ascii="Arial" w:eastAsia="Calibri" w:hAnsi="Arial" w:cs="Arial"/>
                <w:sz w:val="24"/>
                <w:szCs w:val="24"/>
                <w:lang w:val="en-US"/>
              </w:rPr>
              <w:t>s</w:t>
            </w:r>
            <w:r>
              <w:rPr>
                <w:rFonts w:ascii="Arial" w:eastAsia="Calibri" w:hAnsi="Arial" w:cs="Arial"/>
                <w:sz w:val="24"/>
                <w:szCs w:val="24"/>
                <w:lang w:val="en-US"/>
              </w:rPr>
              <w:t xml:space="preserve"> to be met by an accused who wants to raise a plea of </w:t>
            </w:r>
            <w:proofErr w:type="spellStart"/>
            <w:r w:rsidRPr="00FD59F6">
              <w:rPr>
                <w:rFonts w:ascii="Arial" w:eastAsia="Calibri" w:hAnsi="Arial" w:cs="Arial"/>
                <w:i/>
                <w:sz w:val="24"/>
                <w:szCs w:val="24"/>
                <w:lang w:val="en-US"/>
              </w:rPr>
              <w:t>atrefois</w:t>
            </w:r>
            <w:proofErr w:type="spellEnd"/>
            <w:r w:rsidRPr="00FD59F6">
              <w:rPr>
                <w:rFonts w:ascii="Arial" w:eastAsia="Calibri" w:hAnsi="Arial" w:cs="Arial"/>
                <w:i/>
                <w:sz w:val="24"/>
                <w:szCs w:val="24"/>
                <w:lang w:val="en-US"/>
              </w:rPr>
              <w:t xml:space="preserve"> convict</w:t>
            </w:r>
            <w:r>
              <w:rPr>
                <w:rFonts w:ascii="Arial" w:eastAsia="Calibri" w:hAnsi="Arial" w:cs="Arial"/>
                <w:sz w:val="24"/>
                <w:szCs w:val="24"/>
                <w:lang w:val="en-US"/>
              </w:rPr>
              <w:t xml:space="preserve"> in terms of section 106(1</w:t>
            </w:r>
            <w:proofErr w:type="gramStart"/>
            <w:r>
              <w:rPr>
                <w:rFonts w:ascii="Arial" w:eastAsia="Calibri" w:hAnsi="Arial" w:cs="Arial"/>
                <w:sz w:val="24"/>
                <w:szCs w:val="24"/>
                <w:lang w:val="en-US"/>
              </w:rPr>
              <w:t>)</w:t>
            </w:r>
            <w:r w:rsidRPr="00996C84">
              <w:rPr>
                <w:rFonts w:ascii="Arial" w:eastAsia="Calibri" w:hAnsi="Arial" w:cs="Arial"/>
                <w:i/>
                <w:sz w:val="24"/>
                <w:szCs w:val="24"/>
                <w:lang w:val="en-US"/>
              </w:rPr>
              <w:t>(</w:t>
            </w:r>
            <w:proofErr w:type="gramEnd"/>
            <w:r w:rsidRPr="00996C84">
              <w:rPr>
                <w:rFonts w:ascii="Arial" w:eastAsia="Calibri" w:hAnsi="Arial" w:cs="Arial"/>
                <w:i/>
                <w:sz w:val="24"/>
                <w:szCs w:val="24"/>
                <w:lang w:val="en-US"/>
              </w:rPr>
              <w:t>c)</w:t>
            </w:r>
            <w:r w:rsidR="00996C84">
              <w:rPr>
                <w:rFonts w:ascii="Arial" w:eastAsia="Calibri" w:hAnsi="Arial" w:cs="Arial"/>
                <w:sz w:val="24"/>
                <w:szCs w:val="24"/>
                <w:lang w:val="en-US"/>
              </w:rPr>
              <w:t xml:space="preserve">. </w:t>
            </w:r>
            <w:r w:rsidR="002C53BF">
              <w:rPr>
                <w:rFonts w:ascii="Arial" w:eastAsia="Calibri" w:hAnsi="Arial" w:cs="Arial"/>
                <w:sz w:val="24"/>
                <w:szCs w:val="24"/>
                <w:lang w:val="en-US"/>
              </w:rPr>
              <w:t xml:space="preserve">These are </w:t>
            </w:r>
            <w:r w:rsidR="001F56CE">
              <w:rPr>
                <w:rFonts w:ascii="Arial" w:eastAsia="Calibri" w:hAnsi="Arial" w:cs="Arial"/>
                <w:sz w:val="24"/>
                <w:szCs w:val="24"/>
                <w:lang w:val="en-US"/>
              </w:rPr>
              <w:t xml:space="preserve">that the accused was already convicted for the same offence </w:t>
            </w:r>
            <w:r w:rsidR="00FD59F6">
              <w:rPr>
                <w:rFonts w:ascii="Arial" w:eastAsia="Calibri" w:hAnsi="Arial" w:cs="Arial"/>
                <w:sz w:val="24"/>
                <w:szCs w:val="24"/>
                <w:lang w:val="en-US"/>
              </w:rPr>
              <w:t>or a substantially same offence and</w:t>
            </w:r>
            <w:r w:rsidR="001F56CE">
              <w:rPr>
                <w:rFonts w:ascii="Arial" w:eastAsia="Calibri" w:hAnsi="Arial" w:cs="Arial"/>
                <w:sz w:val="24"/>
                <w:szCs w:val="24"/>
                <w:lang w:val="en-US"/>
              </w:rPr>
              <w:t xml:space="preserve"> by a court of competent jurisdiction.</w:t>
            </w:r>
          </w:p>
          <w:p w:rsidR="00FD59F6" w:rsidRDefault="00FD59F6" w:rsidP="001F56CE">
            <w:pPr>
              <w:tabs>
                <w:tab w:val="left" w:pos="0"/>
              </w:tabs>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 xml:space="preserve">[7]     The </w:t>
            </w:r>
            <w:r w:rsidR="00123E65">
              <w:rPr>
                <w:rFonts w:ascii="Arial" w:eastAsia="Calibri" w:hAnsi="Arial" w:cs="Arial"/>
                <w:sz w:val="24"/>
                <w:szCs w:val="24"/>
                <w:lang w:val="en-US"/>
              </w:rPr>
              <w:t>Act</w:t>
            </w:r>
            <w:r>
              <w:rPr>
                <w:rFonts w:ascii="Arial" w:eastAsia="Calibri" w:hAnsi="Arial" w:cs="Arial"/>
                <w:sz w:val="24"/>
                <w:szCs w:val="24"/>
                <w:lang w:val="en-US"/>
              </w:rPr>
              <w:t xml:space="preserve"> provides for disciplinary proceedings in s 85, minor offences and s 86, major offences. The offence that the accused was charged with falls within a major offence, to wit contravening s 86</w:t>
            </w:r>
            <w:r w:rsidRPr="00FD59F6">
              <w:rPr>
                <w:rFonts w:ascii="Arial" w:eastAsia="Calibri" w:hAnsi="Arial" w:cs="Arial"/>
                <w:i/>
                <w:sz w:val="24"/>
                <w:szCs w:val="24"/>
                <w:lang w:val="en-US"/>
              </w:rPr>
              <w:t>(b)</w:t>
            </w:r>
            <w:r>
              <w:rPr>
                <w:rFonts w:ascii="Arial" w:eastAsia="Calibri" w:hAnsi="Arial" w:cs="Arial"/>
                <w:i/>
                <w:sz w:val="24"/>
                <w:szCs w:val="24"/>
                <w:lang w:val="en-US"/>
              </w:rPr>
              <w:t xml:space="preserve">, </w:t>
            </w:r>
            <w:r w:rsidRPr="00FD59F6">
              <w:rPr>
                <w:rFonts w:ascii="Arial" w:eastAsia="Calibri" w:hAnsi="Arial" w:cs="Arial"/>
                <w:sz w:val="24"/>
                <w:szCs w:val="24"/>
                <w:lang w:val="en-US"/>
              </w:rPr>
              <w:t>receives or has in his or her possession a prohibited article</w:t>
            </w:r>
            <w:r>
              <w:rPr>
                <w:rFonts w:ascii="Arial" w:eastAsia="Calibri" w:hAnsi="Arial" w:cs="Arial"/>
                <w:sz w:val="24"/>
                <w:szCs w:val="24"/>
                <w:lang w:val="en-US"/>
              </w:rPr>
              <w:t>.</w:t>
            </w:r>
          </w:p>
          <w:p w:rsidR="00123E65" w:rsidRDefault="00123E65" w:rsidP="001F56CE">
            <w:pPr>
              <w:tabs>
                <w:tab w:val="left" w:pos="0"/>
              </w:tabs>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 xml:space="preserve">[8]     Section 88 of the Act, amongst others, provides that: </w:t>
            </w:r>
          </w:p>
          <w:p w:rsidR="00123E65" w:rsidRPr="00123E65" w:rsidRDefault="00123E65" w:rsidP="00123E65">
            <w:pPr>
              <w:tabs>
                <w:tab w:val="left" w:pos="0"/>
              </w:tabs>
              <w:spacing w:after="200" w:line="360" w:lineRule="auto"/>
              <w:jc w:val="both"/>
              <w:rPr>
                <w:rFonts w:ascii="Arial" w:eastAsia="Calibri" w:hAnsi="Arial" w:cs="Arial"/>
                <w:b/>
                <w:lang w:val="en-US"/>
              </w:rPr>
            </w:pPr>
            <w:r w:rsidRPr="00123E65">
              <w:rPr>
                <w:rFonts w:ascii="Arial" w:eastAsia="Calibri" w:hAnsi="Arial" w:cs="Arial"/>
                <w:lang w:val="en-US"/>
              </w:rPr>
              <w:t xml:space="preserve">         ‘</w:t>
            </w:r>
            <w:r w:rsidRPr="00123E65">
              <w:rPr>
                <w:rFonts w:ascii="Arial" w:eastAsia="Calibri" w:hAnsi="Arial" w:cs="Arial"/>
                <w:b/>
                <w:lang w:val="en-US"/>
              </w:rPr>
              <w:t>88</w:t>
            </w:r>
            <w:r w:rsidRPr="00123E65">
              <w:rPr>
                <w:rFonts w:ascii="Arial" w:eastAsia="Calibri" w:hAnsi="Arial" w:cs="Arial"/>
                <w:b/>
                <w:lang w:val="en-US"/>
              </w:rPr>
              <w:tab/>
              <w:t>Disciplinary inquiry for, or trial of, offenders</w:t>
            </w:r>
          </w:p>
          <w:p w:rsidR="00123E65" w:rsidRPr="00123E65" w:rsidRDefault="00123E65" w:rsidP="002C53BF">
            <w:pPr>
              <w:spacing w:after="200" w:line="360" w:lineRule="auto"/>
              <w:ind w:left="5" w:hanging="5"/>
              <w:jc w:val="both"/>
              <w:rPr>
                <w:rFonts w:ascii="Arial" w:eastAsia="Calibri" w:hAnsi="Arial" w:cs="Arial"/>
                <w:lang w:val="en-US"/>
              </w:rPr>
            </w:pPr>
            <w:r w:rsidRPr="00123E65">
              <w:rPr>
                <w:rFonts w:ascii="Arial" w:eastAsia="Calibri" w:hAnsi="Arial" w:cs="Arial"/>
                <w:lang w:val="en-US"/>
              </w:rPr>
              <w:tab/>
              <w:t>(1) A charge against an offender for a major disciplinary offence may be heard and determined by-</w:t>
            </w:r>
          </w:p>
          <w:p w:rsidR="00123E65" w:rsidRPr="00123E65" w:rsidRDefault="002C53BF" w:rsidP="002C53BF">
            <w:pPr>
              <w:tabs>
                <w:tab w:val="left" w:pos="5"/>
              </w:tabs>
              <w:spacing w:after="200" w:line="360" w:lineRule="auto"/>
              <w:ind w:firstLine="5"/>
              <w:jc w:val="both"/>
              <w:rPr>
                <w:rFonts w:ascii="Arial" w:eastAsia="Calibri" w:hAnsi="Arial" w:cs="Arial"/>
                <w:lang w:val="en-US"/>
              </w:rPr>
            </w:pPr>
            <w:r>
              <w:rPr>
                <w:rFonts w:ascii="Arial" w:eastAsia="Calibri" w:hAnsi="Arial" w:cs="Arial"/>
                <w:lang w:val="en-US"/>
              </w:rPr>
              <w:t xml:space="preserve">(a) </w:t>
            </w:r>
            <w:r w:rsidR="00123E65" w:rsidRPr="00123E65">
              <w:rPr>
                <w:rFonts w:ascii="Arial" w:eastAsia="Calibri" w:hAnsi="Arial" w:cs="Arial"/>
                <w:lang w:val="en-US"/>
              </w:rPr>
              <w:t>a presiding officer at a disciplinary inquiry within a correctional facility; or</w:t>
            </w:r>
          </w:p>
          <w:p w:rsidR="00123E65" w:rsidRDefault="002C53BF" w:rsidP="002C53BF">
            <w:pPr>
              <w:tabs>
                <w:tab w:val="left" w:pos="5"/>
              </w:tabs>
              <w:spacing w:after="200" w:line="360" w:lineRule="auto"/>
              <w:ind w:left="5" w:hanging="5"/>
              <w:jc w:val="both"/>
              <w:rPr>
                <w:rFonts w:ascii="Arial" w:eastAsia="Calibri" w:hAnsi="Arial" w:cs="Arial"/>
                <w:lang w:val="en-US"/>
              </w:rPr>
            </w:pPr>
            <w:r>
              <w:rPr>
                <w:rFonts w:ascii="Arial" w:eastAsia="Calibri" w:hAnsi="Arial" w:cs="Arial"/>
                <w:lang w:val="en-US"/>
              </w:rPr>
              <w:t xml:space="preserve">(b) </w:t>
            </w:r>
            <w:proofErr w:type="gramStart"/>
            <w:r w:rsidR="00123E65" w:rsidRPr="00123E65">
              <w:rPr>
                <w:rFonts w:ascii="Arial" w:eastAsia="Calibri" w:hAnsi="Arial" w:cs="Arial"/>
                <w:lang w:val="en-US"/>
              </w:rPr>
              <w:t>a</w:t>
            </w:r>
            <w:proofErr w:type="gramEnd"/>
            <w:r w:rsidR="00123E65" w:rsidRPr="00123E65">
              <w:rPr>
                <w:rFonts w:ascii="Arial" w:eastAsia="Calibri" w:hAnsi="Arial" w:cs="Arial"/>
                <w:lang w:val="en-US"/>
              </w:rPr>
              <w:t xml:space="preserve"> magistrates court where, owing to the gravity of the offence or for other sufficient cause, the officer in charge decides to transfer the matter for trial to such court.</w:t>
            </w:r>
            <w:r w:rsidR="005815D7">
              <w:rPr>
                <w:rFonts w:ascii="Arial" w:eastAsia="Calibri" w:hAnsi="Arial" w:cs="Arial"/>
                <w:lang w:val="en-US"/>
              </w:rPr>
              <w:t>’</w:t>
            </w:r>
          </w:p>
          <w:p w:rsidR="00900603" w:rsidRDefault="00900603" w:rsidP="00900603">
            <w:pPr>
              <w:tabs>
                <w:tab w:val="left" w:pos="702"/>
              </w:tabs>
              <w:spacing w:after="200" w:line="360" w:lineRule="auto"/>
              <w:jc w:val="both"/>
              <w:rPr>
                <w:rFonts w:ascii="Arial" w:eastAsia="Calibri" w:hAnsi="Arial" w:cs="Arial"/>
                <w:sz w:val="24"/>
                <w:szCs w:val="24"/>
                <w:lang w:val="en-US"/>
              </w:rPr>
            </w:pPr>
            <w:r w:rsidRPr="00900603">
              <w:rPr>
                <w:rFonts w:ascii="Arial" w:eastAsia="Calibri" w:hAnsi="Arial" w:cs="Arial"/>
                <w:sz w:val="24"/>
                <w:szCs w:val="24"/>
                <w:lang w:val="en-US"/>
              </w:rPr>
              <w:t>[9]</w:t>
            </w:r>
            <w:r>
              <w:rPr>
                <w:rFonts w:ascii="Arial" w:eastAsia="Calibri" w:hAnsi="Arial" w:cs="Arial"/>
                <w:sz w:val="24"/>
                <w:szCs w:val="24"/>
                <w:lang w:val="en-US"/>
              </w:rPr>
              <w:t xml:space="preserve">     Section 89 provides for sanctions to be imposed at a disciplinary hearing. It is clear from the wording that the Act</w:t>
            </w:r>
            <w:r w:rsidR="001C2935">
              <w:rPr>
                <w:rFonts w:ascii="Arial" w:eastAsia="Calibri" w:hAnsi="Arial" w:cs="Arial"/>
                <w:sz w:val="24"/>
                <w:szCs w:val="24"/>
                <w:lang w:val="en-US"/>
              </w:rPr>
              <w:t>, in no uncertain terms, distinguishes a</w:t>
            </w:r>
            <w:r w:rsidR="005815D7">
              <w:rPr>
                <w:rFonts w:ascii="Arial" w:eastAsia="Calibri" w:hAnsi="Arial" w:cs="Arial"/>
                <w:sz w:val="24"/>
                <w:szCs w:val="24"/>
                <w:lang w:val="en-US"/>
              </w:rPr>
              <w:t xml:space="preserve"> presiding officer at a</w:t>
            </w:r>
            <w:r w:rsidR="001C2935">
              <w:rPr>
                <w:rFonts w:ascii="Arial" w:eastAsia="Calibri" w:hAnsi="Arial" w:cs="Arial"/>
                <w:sz w:val="24"/>
                <w:szCs w:val="24"/>
                <w:lang w:val="en-US"/>
              </w:rPr>
              <w:t xml:space="preserve"> disciplinary inquiry and a magistrate court. Furthermore</w:t>
            </w:r>
            <w:r w:rsidR="005815D7">
              <w:rPr>
                <w:rFonts w:ascii="Arial" w:eastAsia="Calibri" w:hAnsi="Arial" w:cs="Arial"/>
                <w:sz w:val="24"/>
                <w:szCs w:val="24"/>
                <w:lang w:val="en-US"/>
              </w:rPr>
              <w:t xml:space="preserve">, it </w:t>
            </w:r>
            <w:r>
              <w:rPr>
                <w:rFonts w:ascii="Arial" w:eastAsia="Calibri" w:hAnsi="Arial" w:cs="Arial"/>
                <w:sz w:val="24"/>
                <w:szCs w:val="24"/>
                <w:lang w:val="en-US"/>
              </w:rPr>
              <w:t>does not provide for sentences</w:t>
            </w:r>
            <w:r w:rsidR="00624472">
              <w:rPr>
                <w:rFonts w:ascii="Arial" w:eastAsia="Calibri" w:hAnsi="Arial" w:cs="Arial"/>
                <w:sz w:val="24"/>
                <w:szCs w:val="24"/>
                <w:lang w:val="en-US"/>
              </w:rPr>
              <w:t>, but sanctions,</w:t>
            </w:r>
            <w:r>
              <w:rPr>
                <w:rFonts w:ascii="Arial" w:eastAsia="Calibri" w:hAnsi="Arial" w:cs="Arial"/>
                <w:sz w:val="24"/>
                <w:szCs w:val="24"/>
                <w:lang w:val="en-US"/>
              </w:rPr>
              <w:t xml:space="preserve"> at a disciplinary hearing and that a disciplinary board</w:t>
            </w:r>
            <w:r w:rsidRPr="00900603">
              <w:rPr>
                <w:rFonts w:ascii="Arial" w:eastAsia="Calibri" w:hAnsi="Arial" w:cs="Arial"/>
                <w:sz w:val="24"/>
                <w:szCs w:val="24"/>
                <w:lang w:val="en-US"/>
              </w:rPr>
              <w:t xml:space="preserve"> means a disciplinary board appointed under s 51(1)</w:t>
            </w:r>
            <w:r>
              <w:rPr>
                <w:rFonts w:ascii="Arial" w:eastAsia="Calibri" w:hAnsi="Arial" w:cs="Arial"/>
                <w:sz w:val="24"/>
                <w:szCs w:val="24"/>
                <w:lang w:val="en-US"/>
              </w:rPr>
              <w:t xml:space="preserve"> of the Act.</w:t>
            </w:r>
            <w:r w:rsidR="00624472">
              <w:rPr>
                <w:rFonts w:ascii="Arial" w:eastAsia="Calibri" w:hAnsi="Arial" w:cs="Arial"/>
                <w:sz w:val="24"/>
                <w:szCs w:val="24"/>
                <w:lang w:val="en-US"/>
              </w:rPr>
              <w:t xml:space="preserve"> The </w:t>
            </w:r>
            <w:r>
              <w:rPr>
                <w:rFonts w:ascii="Arial" w:eastAsia="Calibri" w:hAnsi="Arial" w:cs="Arial"/>
                <w:sz w:val="24"/>
                <w:szCs w:val="24"/>
                <w:lang w:val="en-US"/>
              </w:rPr>
              <w:t>A</w:t>
            </w:r>
            <w:r w:rsidR="00624472">
              <w:rPr>
                <w:rFonts w:ascii="Arial" w:eastAsia="Calibri" w:hAnsi="Arial" w:cs="Arial"/>
                <w:sz w:val="24"/>
                <w:szCs w:val="24"/>
                <w:lang w:val="en-US"/>
              </w:rPr>
              <w:t>ct also does not grant criminal jurisdiction to the</w:t>
            </w:r>
            <w:r>
              <w:rPr>
                <w:rFonts w:ascii="Arial" w:eastAsia="Calibri" w:hAnsi="Arial" w:cs="Arial"/>
                <w:sz w:val="24"/>
                <w:szCs w:val="24"/>
                <w:lang w:val="en-US"/>
              </w:rPr>
              <w:t xml:space="preserve"> disciplinary </w:t>
            </w:r>
            <w:r w:rsidR="005815D7">
              <w:rPr>
                <w:rFonts w:ascii="Arial" w:eastAsia="Calibri" w:hAnsi="Arial" w:cs="Arial"/>
                <w:sz w:val="24"/>
                <w:szCs w:val="24"/>
                <w:lang w:val="en-US"/>
              </w:rPr>
              <w:t>panel</w:t>
            </w:r>
            <w:r>
              <w:rPr>
                <w:rFonts w:ascii="Arial" w:eastAsia="Calibri" w:hAnsi="Arial" w:cs="Arial"/>
                <w:sz w:val="24"/>
                <w:szCs w:val="24"/>
                <w:lang w:val="en-US"/>
              </w:rPr>
              <w:t xml:space="preserve"> </w:t>
            </w:r>
            <w:r w:rsidR="00624472">
              <w:rPr>
                <w:rFonts w:ascii="Arial" w:eastAsia="Calibri" w:hAnsi="Arial" w:cs="Arial"/>
                <w:sz w:val="24"/>
                <w:szCs w:val="24"/>
                <w:lang w:val="en-US"/>
              </w:rPr>
              <w:t xml:space="preserve">and </w:t>
            </w:r>
            <w:r>
              <w:rPr>
                <w:rFonts w:ascii="Arial" w:eastAsia="Calibri" w:hAnsi="Arial" w:cs="Arial"/>
                <w:sz w:val="24"/>
                <w:szCs w:val="24"/>
                <w:lang w:val="en-US"/>
              </w:rPr>
              <w:t>is therefore not a court of competent jurisdiction. An accused who is sanctioned at such disciplinary hearing can thus not plead that he was previously convicted for the same offence</w:t>
            </w:r>
            <w:r w:rsidR="001C2935">
              <w:rPr>
                <w:rFonts w:ascii="Arial" w:eastAsia="Calibri" w:hAnsi="Arial" w:cs="Arial"/>
                <w:sz w:val="24"/>
                <w:szCs w:val="24"/>
                <w:lang w:val="en-US"/>
              </w:rPr>
              <w:t xml:space="preserve"> by a competent court.</w:t>
            </w:r>
          </w:p>
          <w:p w:rsidR="001C2935" w:rsidRDefault="001C2935" w:rsidP="00900603">
            <w:pPr>
              <w:tabs>
                <w:tab w:val="left" w:pos="702"/>
              </w:tabs>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 xml:space="preserve">[10]      </w:t>
            </w:r>
            <w:r w:rsidR="00E41721">
              <w:rPr>
                <w:rFonts w:ascii="Arial" w:eastAsia="Calibri" w:hAnsi="Arial" w:cs="Arial"/>
                <w:sz w:val="24"/>
                <w:szCs w:val="24"/>
                <w:lang w:val="en-US"/>
              </w:rPr>
              <w:t>Accordingly, we find the conviction and sentence to be in accordance with justice.</w:t>
            </w:r>
          </w:p>
          <w:p w:rsidR="00EC6FCC" w:rsidRDefault="003E0436" w:rsidP="003E0436">
            <w:pPr>
              <w:tabs>
                <w:tab w:val="left" w:pos="702"/>
              </w:tabs>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 xml:space="preserve">[11]      </w:t>
            </w:r>
            <w:r w:rsidR="00EC6FCC">
              <w:rPr>
                <w:rFonts w:ascii="Arial" w:eastAsia="Calibri" w:hAnsi="Arial" w:cs="Arial"/>
                <w:sz w:val="24"/>
                <w:szCs w:val="24"/>
                <w:lang w:val="en-US"/>
              </w:rPr>
              <w:t>In the result, the following orders are made;</w:t>
            </w:r>
          </w:p>
          <w:p w:rsidR="00EC6FCC" w:rsidRDefault="00EC6FCC" w:rsidP="003F5F80">
            <w:pPr>
              <w:tabs>
                <w:tab w:val="left" w:pos="851"/>
              </w:tabs>
              <w:spacing w:before="240" w:after="200" w:line="360" w:lineRule="auto"/>
              <w:ind w:firstLine="815"/>
              <w:jc w:val="both"/>
              <w:rPr>
                <w:rFonts w:ascii="Arial" w:eastAsia="Calibri" w:hAnsi="Arial" w:cs="Arial"/>
                <w:sz w:val="24"/>
                <w:szCs w:val="24"/>
                <w:lang w:val="en-US"/>
              </w:rPr>
            </w:pPr>
            <w:r>
              <w:rPr>
                <w:rFonts w:ascii="Arial" w:eastAsia="Calibri" w:hAnsi="Arial" w:cs="Arial"/>
                <w:sz w:val="24"/>
                <w:szCs w:val="24"/>
                <w:lang w:val="en-US"/>
              </w:rPr>
              <w:t xml:space="preserve">1. The conviction and sentence </w:t>
            </w:r>
            <w:r w:rsidR="00E41721">
              <w:rPr>
                <w:rFonts w:ascii="Arial" w:eastAsia="Calibri" w:hAnsi="Arial" w:cs="Arial"/>
                <w:sz w:val="24"/>
                <w:szCs w:val="24"/>
                <w:lang w:val="en-US"/>
              </w:rPr>
              <w:t>are</w:t>
            </w:r>
            <w:r>
              <w:rPr>
                <w:rFonts w:ascii="Arial" w:eastAsia="Calibri" w:hAnsi="Arial" w:cs="Arial"/>
                <w:sz w:val="24"/>
                <w:szCs w:val="24"/>
                <w:lang w:val="en-US"/>
              </w:rPr>
              <w:t xml:space="preserve"> confirmed. </w:t>
            </w:r>
          </w:p>
          <w:p w:rsidR="00EC6FCC" w:rsidRDefault="00EC6FCC" w:rsidP="003E0436">
            <w:pPr>
              <w:widowControl w:val="0"/>
              <w:spacing w:before="240" w:line="360" w:lineRule="auto"/>
              <w:ind w:left="1062" w:hanging="247"/>
              <w:jc w:val="both"/>
              <w:rPr>
                <w:rFonts w:ascii="Arial" w:eastAsia="Calibri" w:hAnsi="Arial" w:cs="Arial"/>
                <w:sz w:val="24"/>
                <w:szCs w:val="24"/>
                <w:lang w:val="en-US"/>
              </w:rPr>
            </w:pPr>
            <w:r w:rsidRPr="00B9439E">
              <w:rPr>
                <w:rFonts w:ascii="Arial" w:eastAsia="Calibri" w:hAnsi="Arial" w:cs="Arial"/>
                <w:sz w:val="24"/>
                <w:szCs w:val="24"/>
                <w:lang w:val="en-US"/>
              </w:rPr>
              <w:lastRenderedPageBreak/>
              <w:t xml:space="preserve">2. </w:t>
            </w:r>
            <w:r w:rsidR="00E41721">
              <w:rPr>
                <w:rFonts w:ascii="Arial" w:eastAsia="Calibri" w:hAnsi="Arial" w:cs="Arial"/>
                <w:sz w:val="24"/>
                <w:szCs w:val="24"/>
                <w:lang w:val="en-US"/>
              </w:rPr>
              <w:t>In accordance with s 91(2) of the Act, the</w:t>
            </w:r>
            <w:r w:rsidR="00E41721" w:rsidRPr="00E41721">
              <w:rPr>
                <w:rFonts w:ascii="Arial" w:eastAsia="Calibri" w:hAnsi="Arial" w:cs="Arial"/>
                <w:sz w:val="24"/>
                <w:szCs w:val="24"/>
                <w:lang w:val="en-US"/>
              </w:rPr>
              <w:t xml:space="preserve"> sentence of imprisonment imposed under </w:t>
            </w:r>
            <w:proofErr w:type="spellStart"/>
            <w:r w:rsidR="00E41721" w:rsidRPr="00E41721">
              <w:rPr>
                <w:rFonts w:ascii="Arial" w:eastAsia="Calibri" w:hAnsi="Arial" w:cs="Arial"/>
                <w:sz w:val="24"/>
                <w:szCs w:val="24"/>
                <w:lang w:val="en-US"/>
              </w:rPr>
              <w:t>s</w:t>
            </w:r>
            <w:r w:rsidR="002C53BF">
              <w:rPr>
                <w:rFonts w:ascii="Arial" w:eastAsia="Calibri" w:hAnsi="Arial" w:cs="Arial"/>
                <w:sz w:val="24"/>
                <w:szCs w:val="24"/>
                <w:lang w:val="en-US"/>
              </w:rPr>
              <w:t>s</w:t>
            </w:r>
            <w:proofErr w:type="spellEnd"/>
            <w:r w:rsidR="00E41721" w:rsidRPr="00E41721">
              <w:rPr>
                <w:rFonts w:ascii="Arial" w:eastAsia="Calibri" w:hAnsi="Arial" w:cs="Arial"/>
                <w:sz w:val="24"/>
                <w:szCs w:val="24"/>
                <w:lang w:val="en-US"/>
              </w:rPr>
              <w:t xml:space="preserve"> (1) commences on the date of expiry of any other sentence of imprisonment which the offender concerned is liable to serve on the date of commission of the disciplinary offence in question.</w:t>
            </w:r>
          </w:p>
          <w:p w:rsidR="00E41721" w:rsidRPr="009163B2" w:rsidRDefault="00E41721" w:rsidP="00E41721">
            <w:pPr>
              <w:widowControl w:val="0"/>
              <w:spacing w:before="240" w:line="360" w:lineRule="auto"/>
              <w:ind w:left="815"/>
              <w:jc w:val="both"/>
              <w:rPr>
                <w:rFonts w:ascii="Arial" w:eastAsia="Calibri" w:hAnsi="Arial" w:cs="Arial"/>
                <w:sz w:val="24"/>
                <w:szCs w:val="24"/>
                <w:lang w:val="en-US"/>
              </w:rPr>
            </w:pPr>
          </w:p>
        </w:tc>
      </w:tr>
      <w:tr w:rsidR="00EC6FCC" w:rsidRPr="001B0FDD" w:rsidTr="003F5F80">
        <w:tc>
          <w:tcPr>
            <w:tcW w:w="4770" w:type="dxa"/>
          </w:tcPr>
          <w:p w:rsidR="00EC6FCC" w:rsidRPr="0089156F" w:rsidRDefault="00EC6FCC" w:rsidP="003F5F80">
            <w:pPr>
              <w:spacing w:line="360" w:lineRule="auto"/>
              <w:jc w:val="center"/>
              <w:rPr>
                <w:rFonts w:ascii="Arial" w:hAnsi="Arial" w:cs="Arial"/>
                <w:b/>
                <w:sz w:val="24"/>
                <w:szCs w:val="24"/>
              </w:rPr>
            </w:pPr>
          </w:p>
        </w:tc>
        <w:tc>
          <w:tcPr>
            <w:tcW w:w="5153" w:type="dxa"/>
            <w:gridSpan w:val="2"/>
          </w:tcPr>
          <w:p w:rsidR="00EC6FCC" w:rsidRPr="0089156F" w:rsidRDefault="00EC6FCC" w:rsidP="003F5F80">
            <w:pPr>
              <w:spacing w:line="360" w:lineRule="auto"/>
              <w:jc w:val="center"/>
              <w:rPr>
                <w:rFonts w:ascii="Arial" w:hAnsi="Arial" w:cs="Arial"/>
                <w:b/>
                <w:sz w:val="24"/>
                <w:szCs w:val="24"/>
              </w:rPr>
            </w:pPr>
          </w:p>
          <w:p w:rsidR="00EC6FCC" w:rsidRPr="0089156F" w:rsidRDefault="00EC6FCC" w:rsidP="003F5F80">
            <w:pPr>
              <w:spacing w:line="360" w:lineRule="auto"/>
              <w:jc w:val="center"/>
              <w:rPr>
                <w:rFonts w:ascii="Arial" w:hAnsi="Arial" w:cs="Arial"/>
                <w:b/>
                <w:sz w:val="24"/>
                <w:szCs w:val="24"/>
              </w:rPr>
            </w:pPr>
          </w:p>
        </w:tc>
      </w:tr>
      <w:tr w:rsidR="00EC6FCC" w:rsidRPr="001B0FDD" w:rsidTr="003F5F80">
        <w:trPr>
          <w:trHeight w:val="827"/>
        </w:trPr>
        <w:tc>
          <w:tcPr>
            <w:tcW w:w="4770" w:type="dxa"/>
          </w:tcPr>
          <w:p w:rsidR="00EC6FCC" w:rsidRDefault="00EC6FCC" w:rsidP="003F5F80">
            <w:pPr>
              <w:spacing w:line="360" w:lineRule="auto"/>
              <w:jc w:val="center"/>
              <w:rPr>
                <w:rFonts w:ascii="Arial" w:hAnsi="Arial" w:cs="Arial"/>
                <w:b/>
                <w:sz w:val="24"/>
                <w:szCs w:val="24"/>
              </w:rPr>
            </w:pPr>
            <w:r>
              <w:rPr>
                <w:rFonts w:ascii="Arial" w:hAnsi="Arial" w:cs="Arial"/>
                <w:b/>
                <w:sz w:val="24"/>
                <w:szCs w:val="24"/>
              </w:rPr>
              <w:t>H C JANUARY</w:t>
            </w:r>
          </w:p>
          <w:p w:rsidR="00EC6FCC" w:rsidRPr="0089156F" w:rsidRDefault="00EC6FCC" w:rsidP="003F5F80">
            <w:pPr>
              <w:spacing w:line="360" w:lineRule="auto"/>
              <w:jc w:val="center"/>
              <w:rPr>
                <w:rFonts w:ascii="Arial" w:hAnsi="Arial" w:cs="Arial"/>
                <w:b/>
                <w:sz w:val="24"/>
                <w:szCs w:val="24"/>
              </w:rPr>
            </w:pPr>
            <w:r w:rsidRPr="0089156F">
              <w:rPr>
                <w:rFonts w:ascii="Arial" w:hAnsi="Arial" w:cs="Arial"/>
                <w:b/>
                <w:sz w:val="24"/>
                <w:szCs w:val="24"/>
              </w:rPr>
              <w:t>JUDGE</w:t>
            </w:r>
          </w:p>
        </w:tc>
        <w:tc>
          <w:tcPr>
            <w:tcW w:w="5153" w:type="dxa"/>
            <w:gridSpan w:val="2"/>
          </w:tcPr>
          <w:p w:rsidR="00EC6FCC" w:rsidRDefault="001C41E0" w:rsidP="003F5F80">
            <w:pPr>
              <w:spacing w:line="360" w:lineRule="auto"/>
              <w:jc w:val="both"/>
              <w:rPr>
                <w:rFonts w:ascii="Arial" w:hAnsi="Arial" w:cs="Arial"/>
                <w:b/>
                <w:sz w:val="24"/>
                <w:szCs w:val="24"/>
              </w:rPr>
            </w:pPr>
            <w:r>
              <w:rPr>
                <w:rFonts w:ascii="Arial" w:hAnsi="Arial" w:cs="Arial"/>
                <w:b/>
                <w:sz w:val="24"/>
                <w:szCs w:val="24"/>
              </w:rPr>
              <w:t xml:space="preserve">                          N</w:t>
            </w:r>
            <w:r w:rsidR="002F7A81">
              <w:rPr>
                <w:rFonts w:ascii="Arial" w:hAnsi="Arial" w:cs="Arial"/>
                <w:b/>
                <w:sz w:val="24"/>
                <w:szCs w:val="24"/>
              </w:rPr>
              <w:t xml:space="preserve"> </w:t>
            </w:r>
            <w:proofErr w:type="spellStart"/>
            <w:r w:rsidR="002F7A81">
              <w:rPr>
                <w:rFonts w:ascii="Arial" w:hAnsi="Arial" w:cs="Arial"/>
                <w:b/>
                <w:sz w:val="24"/>
                <w:szCs w:val="24"/>
              </w:rPr>
              <w:t>N</w:t>
            </w:r>
            <w:proofErr w:type="spellEnd"/>
            <w:r w:rsidR="002C53BF">
              <w:rPr>
                <w:rFonts w:ascii="Arial" w:hAnsi="Arial" w:cs="Arial"/>
                <w:b/>
                <w:sz w:val="24"/>
                <w:szCs w:val="24"/>
              </w:rPr>
              <w:t xml:space="preserve"> </w:t>
            </w:r>
            <w:r w:rsidR="00E41721">
              <w:rPr>
                <w:rFonts w:ascii="Arial" w:hAnsi="Arial" w:cs="Arial"/>
                <w:b/>
                <w:sz w:val="24"/>
                <w:szCs w:val="24"/>
              </w:rPr>
              <w:t>SHIVUTE</w:t>
            </w:r>
            <w:r w:rsidR="00EC6FCC">
              <w:rPr>
                <w:rFonts w:ascii="Arial" w:hAnsi="Arial" w:cs="Arial"/>
                <w:b/>
                <w:sz w:val="24"/>
                <w:szCs w:val="24"/>
              </w:rPr>
              <w:t xml:space="preserve"> </w:t>
            </w:r>
          </w:p>
          <w:p w:rsidR="00EC6FCC" w:rsidRPr="0089156F" w:rsidRDefault="00EC6FCC" w:rsidP="003F5F80">
            <w:pPr>
              <w:spacing w:line="360" w:lineRule="auto"/>
              <w:jc w:val="center"/>
              <w:rPr>
                <w:rFonts w:ascii="Arial" w:hAnsi="Arial" w:cs="Arial"/>
                <w:b/>
                <w:sz w:val="24"/>
                <w:szCs w:val="24"/>
              </w:rPr>
            </w:pPr>
            <w:r w:rsidRPr="0089156F">
              <w:rPr>
                <w:rFonts w:ascii="Arial" w:hAnsi="Arial" w:cs="Arial"/>
                <w:b/>
                <w:sz w:val="24"/>
                <w:szCs w:val="24"/>
              </w:rPr>
              <w:t>JUDGE</w:t>
            </w:r>
          </w:p>
        </w:tc>
      </w:tr>
    </w:tbl>
    <w:p w:rsidR="0068392B" w:rsidRPr="00EC6FCC" w:rsidRDefault="0068392B">
      <w:pPr>
        <w:rPr>
          <w:rFonts w:ascii="Arial" w:hAnsi="Arial" w:cs="Arial"/>
          <w:sz w:val="24"/>
          <w:szCs w:val="24"/>
        </w:rPr>
      </w:pPr>
    </w:p>
    <w:sectPr w:rsidR="0068392B" w:rsidRPr="00EC6FCC" w:rsidSect="00904E2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1C" w:rsidRDefault="00B21B1C" w:rsidP="00EC6FCC">
      <w:pPr>
        <w:spacing w:after="0" w:line="240" w:lineRule="auto"/>
      </w:pPr>
      <w:r>
        <w:separator/>
      </w:r>
    </w:p>
  </w:endnote>
  <w:endnote w:type="continuationSeparator" w:id="0">
    <w:p w:rsidR="00B21B1C" w:rsidRDefault="00B21B1C" w:rsidP="00EC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1C" w:rsidRDefault="00B21B1C" w:rsidP="00EC6FCC">
      <w:pPr>
        <w:spacing w:after="0" w:line="240" w:lineRule="auto"/>
      </w:pPr>
      <w:r>
        <w:separator/>
      </w:r>
    </w:p>
  </w:footnote>
  <w:footnote w:type="continuationSeparator" w:id="0">
    <w:p w:rsidR="00B21B1C" w:rsidRDefault="00B21B1C" w:rsidP="00EC6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691625"/>
      <w:docPartObj>
        <w:docPartGallery w:val="Page Numbers (Top of Page)"/>
        <w:docPartUnique/>
      </w:docPartObj>
    </w:sdtPr>
    <w:sdtEndPr>
      <w:rPr>
        <w:noProof/>
      </w:rPr>
    </w:sdtEndPr>
    <w:sdtContent>
      <w:p w:rsidR="00904E22" w:rsidRDefault="00904E22">
        <w:pPr>
          <w:pStyle w:val="Header"/>
          <w:jc w:val="right"/>
        </w:pPr>
        <w:r>
          <w:fldChar w:fldCharType="begin"/>
        </w:r>
        <w:r>
          <w:instrText xml:space="preserve"> PAGE   \* MERGEFORMAT </w:instrText>
        </w:r>
        <w:r>
          <w:fldChar w:fldCharType="separate"/>
        </w:r>
        <w:r w:rsidR="00A8247C">
          <w:rPr>
            <w:noProof/>
          </w:rPr>
          <w:t>5</w:t>
        </w:r>
        <w:r>
          <w:rPr>
            <w:noProof/>
          </w:rPr>
          <w:fldChar w:fldCharType="end"/>
        </w:r>
      </w:p>
    </w:sdtContent>
  </w:sdt>
  <w:p w:rsidR="00904E22" w:rsidRDefault="00904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4E2B"/>
    <w:multiLevelType w:val="hybridMultilevel"/>
    <w:tmpl w:val="F57C3B3E"/>
    <w:lvl w:ilvl="0" w:tplc="FDE4B24A">
      <w:start w:val="1"/>
      <w:numFmt w:val="decimal"/>
      <w:lvlText w:val="[%1]"/>
      <w:lvlJc w:val="left"/>
      <w:pPr>
        <w:ind w:left="562" w:hanging="360"/>
      </w:pPr>
      <w:rPr>
        <w:rFonts w:ascii="Arial" w:hAnsi="Arial" w:cs="Arial" w:hint="default"/>
        <w:b w:val="0"/>
        <w:i w:val="0"/>
        <w:color w:val="auto"/>
        <w:sz w:val="24"/>
        <w:szCs w:val="24"/>
      </w:rPr>
    </w:lvl>
    <w:lvl w:ilvl="1" w:tplc="1C090019">
      <w:start w:val="1"/>
      <w:numFmt w:val="lowerLetter"/>
      <w:lvlText w:val="%2."/>
      <w:lvlJc w:val="left"/>
      <w:pPr>
        <w:ind w:left="1495" w:hanging="360"/>
      </w:pPr>
    </w:lvl>
    <w:lvl w:ilvl="2" w:tplc="1C09001B">
      <w:start w:val="1"/>
      <w:numFmt w:val="lowerRoman"/>
      <w:lvlText w:val="%3."/>
      <w:lvlJc w:val="right"/>
      <w:pPr>
        <w:ind w:left="2215" w:hanging="180"/>
      </w:pPr>
    </w:lvl>
    <w:lvl w:ilvl="3" w:tplc="1C09000F">
      <w:start w:val="1"/>
      <w:numFmt w:val="decimal"/>
      <w:lvlText w:val="%4."/>
      <w:lvlJc w:val="left"/>
      <w:pPr>
        <w:ind w:left="2935" w:hanging="360"/>
      </w:pPr>
    </w:lvl>
    <w:lvl w:ilvl="4" w:tplc="1C090019">
      <w:start w:val="1"/>
      <w:numFmt w:val="lowerLetter"/>
      <w:lvlText w:val="%5."/>
      <w:lvlJc w:val="left"/>
      <w:pPr>
        <w:ind w:left="3655" w:hanging="360"/>
      </w:pPr>
    </w:lvl>
    <w:lvl w:ilvl="5" w:tplc="1C09001B">
      <w:start w:val="1"/>
      <w:numFmt w:val="lowerRoman"/>
      <w:lvlText w:val="%6."/>
      <w:lvlJc w:val="right"/>
      <w:pPr>
        <w:ind w:left="4375" w:hanging="180"/>
      </w:pPr>
    </w:lvl>
    <w:lvl w:ilvl="6" w:tplc="1C09000F">
      <w:start w:val="1"/>
      <w:numFmt w:val="decimal"/>
      <w:lvlText w:val="%7."/>
      <w:lvlJc w:val="left"/>
      <w:pPr>
        <w:ind w:left="5095" w:hanging="360"/>
      </w:pPr>
    </w:lvl>
    <w:lvl w:ilvl="7" w:tplc="1C090019">
      <w:start w:val="1"/>
      <w:numFmt w:val="lowerLetter"/>
      <w:lvlText w:val="%8."/>
      <w:lvlJc w:val="left"/>
      <w:pPr>
        <w:ind w:left="5815" w:hanging="360"/>
      </w:pPr>
    </w:lvl>
    <w:lvl w:ilvl="8" w:tplc="1C09001B">
      <w:start w:val="1"/>
      <w:numFmt w:val="lowerRoman"/>
      <w:lvlText w:val="%9."/>
      <w:lvlJc w:val="right"/>
      <w:pPr>
        <w:ind w:left="65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CC"/>
    <w:rsid w:val="00123E65"/>
    <w:rsid w:val="00151DE0"/>
    <w:rsid w:val="001B1909"/>
    <w:rsid w:val="001C2935"/>
    <w:rsid w:val="001C41E0"/>
    <w:rsid w:val="001C5A38"/>
    <w:rsid w:val="001F56CE"/>
    <w:rsid w:val="00223288"/>
    <w:rsid w:val="002C53BF"/>
    <w:rsid w:val="002F7A81"/>
    <w:rsid w:val="00357E7D"/>
    <w:rsid w:val="003E0436"/>
    <w:rsid w:val="00454DF8"/>
    <w:rsid w:val="00496657"/>
    <w:rsid w:val="004F36B8"/>
    <w:rsid w:val="005815D7"/>
    <w:rsid w:val="006217AA"/>
    <w:rsid w:val="00624472"/>
    <w:rsid w:val="00635437"/>
    <w:rsid w:val="0068392B"/>
    <w:rsid w:val="00760317"/>
    <w:rsid w:val="00900603"/>
    <w:rsid w:val="00904E22"/>
    <w:rsid w:val="0091686A"/>
    <w:rsid w:val="00996C84"/>
    <w:rsid w:val="00A8247C"/>
    <w:rsid w:val="00AC1585"/>
    <w:rsid w:val="00B21B1C"/>
    <w:rsid w:val="00B245CD"/>
    <w:rsid w:val="00B715BA"/>
    <w:rsid w:val="00C672C5"/>
    <w:rsid w:val="00D21A3C"/>
    <w:rsid w:val="00D41B6A"/>
    <w:rsid w:val="00D850E0"/>
    <w:rsid w:val="00E41721"/>
    <w:rsid w:val="00EC6FCC"/>
    <w:rsid w:val="00F17518"/>
    <w:rsid w:val="00F64A10"/>
    <w:rsid w:val="00FD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FCC"/>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FCC"/>
    <w:pPr>
      <w:ind w:left="720"/>
      <w:contextualSpacing/>
    </w:pPr>
  </w:style>
  <w:style w:type="paragraph" w:styleId="FootnoteText">
    <w:name w:val="footnote text"/>
    <w:basedOn w:val="Normal"/>
    <w:link w:val="FootnoteTextChar"/>
    <w:uiPriority w:val="99"/>
    <w:semiHidden/>
    <w:unhideWhenUsed/>
    <w:rsid w:val="00EC6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FCC"/>
    <w:rPr>
      <w:sz w:val="20"/>
      <w:szCs w:val="20"/>
    </w:rPr>
  </w:style>
  <w:style w:type="character" w:styleId="FootnoteReference">
    <w:name w:val="footnote reference"/>
    <w:basedOn w:val="DefaultParagraphFont"/>
    <w:unhideWhenUsed/>
    <w:rsid w:val="00EC6FCC"/>
    <w:rPr>
      <w:vertAlign w:val="superscript"/>
    </w:rPr>
  </w:style>
  <w:style w:type="paragraph" w:styleId="BalloonText">
    <w:name w:val="Balloon Text"/>
    <w:basedOn w:val="Normal"/>
    <w:link w:val="BalloonTextChar"/>
    <w:uiPriority w:val="99"/>
    <w:semiHidden/>
    <w:unhideWhenUsed/>
    <w:rsid w:val="00624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472"/>
    <w:rPr>
      <w:rFonts w:ascii="Segoe UI" w:hAnsi="Segoe UI" w:cs="Segoe UI"/>
      <w:sz w:val="18"/>
      <w:szCs w:val="18"/>
    </w:rPr>
  </w:style>
  <w:style w:type="paragraph" w:styleId="Header">
    <w:name w:val="header"/>
    <w:basedOn w:val="Normal"/>
    <w:link w:val="HeaderChar"/>
    <w:uiPriority w:val="99"/>
    <w:unhideWhenUsed/>
    <w:rsid w:val="00904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E22"/>
  </w:style>
  <w:style w:type="paragraph" w:styleId="Footer">
    <w:name w:val="footer"/>
    <w:basedOn w:val="Normal"/>
    <w:link w:val="FooterChar"/>
    <w:uiPriority w:val="99"/>
    <w:unhideWhenUsed/>
    <w:rsid w:val="00904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FCC"/>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FCC"/>
    <w:pPr>
      <w:ind w:left="720"/>
      <w:contextualSpacing/>
    </w:pPr>
  </w:style>
  <w:style w:type="paragraph" w:styleId="FootnoteText">
    <w:name w:val="footnote text"/>
    <w:basedOn w:val="Normal"/>
    <w:link w:val="FootnoteTextChar"/>
    <w:uiPriority w:val="99"/>
    <w:semiHidden/>
    <w:unhideWhenUsed/>
    <w:rsid w:val="00EC6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FCC"/>
    <w:rPr>
      <w:sz w:val="20"/>
      <w:szCs w:val="20"/>
    </w:rPr>
  </w:style>
  <w:style w:type="character" w:styleId="FootnoteReference">
    <w:name w:val="footnote reference"/>
    <w:basedOn w:val="DefaultParagraphFont"/>
    <w:unhideWhenUsed/>
    <w:rsid w:val="00EC6FCC"/>
    <w:rPr>
      <w:vertAlign w:val="superscript"/>
    </w:rPr>
  </w:style>
  <w:style w:type="paragraph" w:styleId="BalloonText">
    <w:name w:val="Balloon Text"/>
    <w:basedOn w:val="Normal"/>
    <w:link w:val="BalloonTextChar"/>
    <w:uiPriority w:val="99"/>
    <w:semiHidden/>
    <w:unhideWhenUsed/>
    <w:rsid w:val="00624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472"/>
    <w:rPr>
      <w:rFonts w:ascii="Segoe UI" w:hAnsi="Segoe UI" w:cs="Segoe UI"/>
      <w:sz w:val="18"/>
      <w:szCs w:val="18"/>
    </w:rPr>
  </w:style>
  <w:style w:type="paragraph" w:styleId="Header">
    <w:name w:val="header"/>
    <w:basedOn w:val="Normal"/>
    <w:link w:val="HeaderChar"/>
    <w:uiPriority w:val="99"/>
    <w:unhideWhenUsed/>
    <w:rsid w:val="00904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E22"/>
  </w:style>
  <w:style w:type="paragraph" w:styleId="Footer">
    <w:name w:val="footer"/>
    <w:basedOn w:val="Normal"/>
    <w:link w:val="FooterChar"/>
    <w:uiPriority w:val="99"/>
    <w:unhideWhenUsed/>
    <w:rsid w:val="00904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2023-07-20T18:30:00+00:00</Judgment_x0020_Date>
  </documentManagement>
</p:properties>
</file>

<file path=customXml/itemProps1.xml><?xml version="1.0" encoding="utf-8"?>
<ds:datastoreItem xmlns:ds="http://schemas.openxmlformats.org/officeDocument/2006/customXml" ds:itemID="{B2D68BA5-D9BF-45EA-ADBC-D7B6A9FC3FAF}"/>
</file>

<file path=customXml/itemProps2.xml><?xml version="1.0" encoding="utf-8"?>
<ds:datastoreItem xmlns:ds="http://schemas.openxmlformats.org/officeDocument/2006/customXml" ds:itemID="{B5EDD623-BB5D-42D3-80B7-E11583DE783C}"/>
</file>

<file path=customXml/itemProps3.xml><?xml version="1.0" encoding="utf-8"?>
<ds:datastoreItem xmlns:ds="http://schemas.openxmlformats.org/officeDocument/2006/customXml" ds:itemID="{44208333-CAAF-4AA8-A0D0-1F4987160AAA}"/>
</file>

<file path=docProps/app.xml><?xml version="1.0" encoding="utf-8"?>
<Properties xmlns="http://schemas.openxmlformats.org/officeDocument/2006/extended-properties" xmlns:vt="http://schemas.openxmlformats.org/officeDocument/2006/docPropsVTypes">
  <Template>Normal</Template>
  <TotalTime>47</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Hameva (CR 76-2023) [2023] NAHCMD 425  (21 July 2023)</dc:title>
  <dc:creator>Herman C. January</dc:creator>
  <cp:lastModifiedBy>Michelle N. Ullrich</cp:lastModifiedBy>
  <cp:revision>4</cp:revision>
  <cp:lastPrinted>2023-07-24T11:40:00Z</cp:lastPrinted>
  <dcterms:created xsi:type="dcterms:W3CDTF">2023-07-18T06:02:00Z</dcterms:created>
  <dcterms:modified xsi:type="dcterms:W3CDTF">2023-07-24T11:41:00Z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