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0844" w:rsidRPr="006E026B" w:rsidRDefault="00B40844" w:rsidP="004358E2">
      <w:pPr>
        <w:spacing w:after="0" w:line="360" w:lineRule="auto"/>
        <w:jc w:val="center"/>
        <w:rPr>
          <w:rFonts w:ascii="Arial" w:hAnsi="Arial" w:cs="Arial"/>
          <w:b/>
          <w:sz w:val="24"/>
          <w:szCs w:val="24"/>
        </w:rPr>
      </w:pPr>
      <w:r w:rsidRPr="006E026B">
        <w:rPr>
          <w:rFonts w:ascii="Arial" w:hAnsi="Arial" w:cs="Arial"/>
          <w:b/>
          <w:sz w:val="24"/>
          <w:szCs w:val="24"/>
        </w:rPr>
        <w:t>REPUBLIC OF NAMIBIA</w:t>
      </w:r>
    </w:p>
    <w:p w:rsidR="00B40844" w:rsidRPr="00EA2DE2" w:rsidRDefault="00B40844" w:rsidP="00B40844">
      <w:pPr>
        <w:spacing w:after="0" w:line="360" w:lineRule="auto"/>
        <w:jc w:val="both"/>
        <w:rPr>
          <w:rFonts w:ascii="Arial Narrow" w:hAnsi="Arial Narrow"/>
          <w:sz w:val="10"/>
          <w:szCs w:val="10"/>
        </w:rPr>
      </w:pPr>
      <w:r>
        <w:rPr>
          <w:noProof/>
          <w:lang w:val="en-US"/>
        </w:rPr>
        <w:drawing>
          <wp:anchor distT="0" distB="0" distL="114300" distR="114300" simplePos="0" relativeHeight="251659264" behindDoc="0" locked="0" layoutInCell="1" allowOverlap="1" wp14:anchorId="2A8CF2A1" wp14:editId="7C44D916">
            <wp:simplePos x="0" y="0"/>
            <wp:positionH relativeFrom="margin">
              <wp:align>center</wp:align>
            </wp:positionH>
            <wp:positionV relativeFrom="paragraph">
              <wp:posOffset>119767</wp:posOffset>
            </wp:positionV>
            <wp:extent cx="1270000" cy="1320800"/>
            <wp:effectExtent l="0" t="0" r="6350" b="0"/>
            <wp:wrapSquare wrapText="bothSides"/>
            <wp:docPr id="1" name="Picture 1"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b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0000" cy="1320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40D92">
        <w:rPr>
          <w:rFonts w:ascii="Arial Narrow" w:hAnsi="Arial Narrow"/>
          <w:b/>
          <w:sz w:val="32"/>
          <w:szCs w:val="32"/>
        </w:rPr>
        <w:br w:type="textWrapping" w:clear="all"/>
      </w:r>
    </w:p>
    <w:p w:rsidR="00B40844" w:rsidRPr="006E026B" w:rsidRDefault="006628D2" w:rsidP="00B40844">
      <w:pPr>
        <w:spacing w:after="0" w:line="360" w:lineRule="auto"/>
        <w:jc w:val="center"/>
        <w:rPr>
          <w:rFonts w:ascii="Arial" w:hAnsi="Arial" w:cs="Arial"/>
          <w:bCs/>
          <w:sz w:val="24"/>
          <w:szCs w:val="24"/>
        </w:rPr>
      </w:pPr>
      <w:r>
        <w:rPr>
          <w:rFonts w:ascii="Arial" w:hAnsi="Arial" w:cs="Arial"/>
          <w:b/>
          <w:sz w:val="24"/>
          <w:szCs w:val="24"/>
        </w:rPr>
        <w:t>HIGH</w:t>
      </w:r>
      <w:r w:rsidR="00B40844" w:rsidRPr="006E026B">
        <w:rPr>
          <w:rFonts w:ascii="Arial" w:hAnsi="Arial" w:cs="Arial"/>
          <w:b/>
          <w:sz w:val="24"/>
          <w:szCs w:val="24"/>
        </w:rPr>
        <w:t xml:space="preserve"> COURT OF NAMIBIA MAIN DIVISION, WINDHOEK</w:t>
      </w:r>
    </w:p>
    <w:p w:rsidR="00B40844" w:rsidRPr="00EA2DE2" w:rsidRDefault="00B40844" w:rsidP="00B40844">
      <w:pPr>
        <w:spacing w:after="0" w:line="360" w:lineRule="auto"/>
        <w:jc w:val="center"/>
        <w:rPr>
          <w:rFonts w:ascii="Arial" w:hAnsi="Arial" w:cs="Arial"/>
          <w:b/>
          <w:sz w:val="14"/>
          <w:szCs w:val="14"/>
        </w:rPr>
      </w:pPr>
    </w:p>
    <w:p w:rsidR="00B40844" w:rsidRDefault="008006A3" w:rsidP="00B40844">
      <w:pPr>
        <w:spacing w:after="0" w:line="360" w:lineRule="auto"/>
        <w:jc w:val="center"/>
        <w:rPr>
          <w:rFonts w:ascii="Arial" w:hAnsi="Arial" w:cs="Arial"/>
          <w:b/>
          <w:sz w:val="24"/>
          <w:szCs w:val="24"/>
        </w:rPr>
      </w:pPr>
      <w:r>
        <w:rPr>
          <w:rFonts w:ascii="Arial" w:hAnsi="Arial" w:cs="Arial"/>
          <w:b/>
          <w:sz w:val="24"/>
          <w:szCs w:val="24"/>
        </w:rPr>
        <w:t>RULING</w:t>
      </w:r>
    </w:p>
    <w:p w:rsidR="00002E9A" w:rsidRDefault="00002E9A" w:rsidP="00B40844">
      <w:pPr>
        <w:spacing w:after="0" w:line="360" w:lineRule="auto"/>
        <w:jc w:val="center"/>
        <w:rPr>
          <w:rFonts w:ascii="Arial" w:hAnsi="Arial" w:cs="Arial"/>
          <w:b/>
          <w:sz w:val="24"/>
          <w:szCs w:val="24"/>
        </w:rPr>
      </w:pPr>
      <w:r>
        <w:rPr>
          <w:rFonts w:ascii="Arial" w:eastAsia="Times New Roman" w:hAnsi="Arial" w:cs="Arial"/>
          <w:b/>
          <w:sz w:val="24"/>
          <w:szCs w:val="24"/>
          <w:lang w:val="en-US"/>
        </w:rPr>
        <w:t>PRACTICE DIRECTIVE 61</w:t>
      </w:r>
    </w:p>
    <w:tbl>
      <w:tblPr>
        <w:tblStyle w:val="TableGrid"/>
        <w:tblW w:w="10476" w:type="dxa"/>
        <w:tblInd w:w="-275" w:type="dxa"/>
        <w:tblLook w:val="04A0" w:firstRow="1" w:lastRow="0" w:firstColumn="1" w:lastColumn="0" w:noHBand="0" w:noVBand="1"/>
      </w:tblPr>
      <w:tblGrid>
        <w:gridCol w:w="5232"/>
        <w:gridCol w:w="1134"/>
        <w:gridCol w:w="4110"/>
      </w:tblGrid>
      <w:tr w:rsidR="00CA7995" w:rsidRPr="00CA7995" w:rsidTr="00002E9A">
        <w:trPr>
          <w:trHeight w:val="1396"/>
        </w:trPr>
        <w:tc>
          <w:tcPr>
            <w:tcW w:w="6366" w:type="dxa"/>
            <w:gridSpan w:val="2"/>
            <w:vMerge w:val="restart"/>
          </w:tcPr>
          <w:p w:rsidR="00B40844" w:rsidRDefault="00B40844" w:rsidP="00937C89">
            <w:pPr>
              <w:spacing w:line="360" w:lineRule="auto"/>
              <w:jc w:val="both"/>
              <w:rPr>
                <w:rFonts w:ascii="Arial" w:hAnsi="Arial" w:cs="Arial"/>
                <w:b/>
                <w:sz w:val="24"/>
                <w:szCs w:val="24"/>
              </w:rPr>
            </w:pPr>
            <w:r w:rsidRPr="00CA7995">
              <w:rPr>
                <w:rFonts w:ascii="Arial" w:hAnsi="Arial" w:cs="Arial"/>
                <w:b/>
                <w:sz w:val="24"/>
                <w:szCs w:val="24"/>
              </w:rPr>
              <w:t>Case Title:</w:t>
            </w:r>
          </w:p>
          <w:p w:rsidR="000F1377" w:rsidRPr="00CA7995" w:rsidRDefault="000F1377" w:rsidP="00937C89">
            <w:pPr>
              <w:spacing w:line="360" w:lineRule="auto"/>
              <w:jc w:val="both"/>
              <w:rPr>
                <w:rFonts w:ascii="Arial" w:hAnsi="Arial" w:cs="Arial"/>
                <w:sz w:val="24"/>
                <w:szCs w:val="24"/>
              </w:rPr>
            </w:pPr>
          </w:p>
          <w:p w:rsidR="00B40844" w:rsidRDefault="006628D2" w:rsidP="00341C0F">
            <w:pPr>
              <w:tabs>
                <w:tab w:val="left" w:pos="3564"/>
                <w:tab w:val="left" w:pos="3706"/>
                <w:tab w:val="left" w:pos="4273"/>
              </w:tabs>
              <w:spacing w:line="360" w:lineRule="auto"/>
              <w:jc w:val="both"/>
              <w:rPr>
                <w:rFonts w:ascii="Arial" w:hAnsi="Arial" w:cs="Arial"/>
                <w:sz w:val="24"/>
                <w:szCs w:val="24"/>
              </w:rPr>
            </w:pPr>
            <w:r w:rsidRPr="006628D2">
              <w:rPr>
                <w:rFonts w:ascii="Arial" w:hAnsi="Arial" w:cs="Arial"/>
                <w:sz w:val="24"/>
                <w:szCs w:val="24"/>
              </w:rPr>
              <w:t>KAUNAPAUA NDILULA N.O.</w:t>
            </w:r>
            <w:r>
              <w:rPr>
                <w:rFonts w:ascii="Arial" w:hAnsi="Arial" w:cs="Arial"/>
                <w:sz w:val="24"/>
                <w:szCs w:val="24"/>
              </w:rPr>
              <w:t xml:space="preserve">                   </w:t>
            </w:r>
            <w:r w:rsidR="003A32E4">
              <w:rPr>
                <w:rFonts w:ascii="Arial" w:hAnsi="Arial" w:cs="Arial"/>
                <w:sz w:val="24"/>
                <w:szCs w:val="24"/>
              </w:rPr>
              <w:t xml:space="preserve">     </w:t>
            </w:r>
            <w:r w:rsidR="00341C0F">
              <w:rPr>
                <w:rFonts w:ascii="Arial" w:hAnsi="Arial" w:cs="Arial"/>
                <w:sz w:val="24"/>
                <w:szCs w:val="24"/>
              </w:rPr>
              <w:t xml:space="preserve"> </w:t>
            </w:r>
            <w:r w:rsidR="00FF4F9B">
              <w:rPr>
                <w:rFonts w:ascii="Arial" w:hAnsi="Arial" w:cs="Arial"/>
                <w:sz w:val="24"/>
                <w:szCs w:val="24"/>
              </w:rPr>
              <w:t>1</w:t>
            </w:r>
            <w:r w:rsidR="00FF4F9B" w:rsidRPr="00FF4F9B">
              <w:rPr>
                <w:rFonts w:ascii="Arial" w:hAnsi="Arial" w:cs="Arial"/>
                <w:sz w:val="24"/>
                <w:szCs w:val="24"/>
                <w:vertAlign w:val="superscript"/>
              </w:rPr>
              <w:t>ST</w:t>
            </w:r>
            <w:r w:rsidR="00FF4F9B">
              <w:rPr>
                <w:rFonts w:ascii="Arial" w:hAnsi="Arial" w:cs="Arial"/>
                <w:sz w:val="24"/>
                <w:szCs w:val="24"/>
              </w:rPr>
              <w:t xml:space="preserve"> APPLICANT</w:t>
            </w:r>
          </w:p>
          <w:p w:rsidR="001F036C" w:rsidRPr="001F036C" w:rsidRDefault="006628D2" w:rsidP="001F036C">
            <w:pPr>
              <w:spacing w:line="360" w:lineRule="auto"/>
              <w:jc w:val="both"/>
              <w:rPr>
                <w:rFonts w:ascii="Arial" w:hAnsi="Arial" w:cs="Arial"/>
                <w:sz w:val="24"/>
                <w:szCs w:val="24"/>
              </w:rPr>
            </w:pPr>
            <w:r w:rsidRPr="006628D2">
              <w:rPr>
                <w:rFonts w:ascii="Arial" w:hAnsi="Arial" w:cs="Arial"/>
                <w:sz w:val="24"/>
                <w:szCs w:val="24"/>
              </w:rPr>
              <w:t>EVANGELINA NANGULA HAMUNYELA N.O.</w:t>
            </w:r>
            <w:r w:rsidR="00FF4F9B">
              <w:rPr>
                <w:rFonts w:ascii="Arial" w:hAnsi="Arial" w:cs="Arial"/>
                <w:sz w:val="24"/>
                <w:szCs w:val="24"/>
              </w:rPr>
              <w:t xml:space="preserve">                        </w:t>
            </w:r>
            <w:r>
              <w:rPr>
                <w:rFonts w:ascii="Arial" w:hAnsi="Arial" w:cs="Arial"/>
                <w:sz w:val="24"/>
                <w:szCs w:val="24"/>
              </w:rPr>
              <w:t xml:space="preserve">         </w:t>
            </w:r>
            <w:r w:rsidR="005F200A">
              <w:rPr>
                <w:rFonts w:ascii="Arial" w:hAnsi="Arial" w:cs="Arial"/>
                <w:sz w:val="24"/>
                <w:szCs w:val="24"/>
              </w:rPr>
              <w:t xml:space="preserve">      </w:t>
            </w:r>
            <w:r w:rsidR="00B90C6F" w:rsidRPr="00B90C6F">
              <w:rPr>
                <w:rFonts w:ascii="Arial" w:hAnsi="Arial" w:cs="Arial"/>
                <w:sz w:val="24"/>
                <w:szCs w:val="24"/>
              </w:rPr>
              <w:tab/>
            </w:r>
            <w:r w:rsidR="00B90C6F" w:rsidRPr="00B90C6F">
              <w:rPr>
                <w:rFonts w:ascii="Arial" w:hAnsi="Arial" w:cs="Arial"/>
                <w:sz w:val="24"/>
                <w:szCs w:val="24"/>
              </w:rPr>
              <w:tab/>
            </w:r>
            <w:r w:rsidR="00B90C6F" w:rsidRPr="00B90C6F">
              <w:rPr>
                <w:rFonts w:ascii="Arial" w:hAnsi="Arial" w:cs="Arial"/>
                <w:sz w:val="24"/>
                <w:szCs w:val="24"/>
              </w:rPr>
              <w:tab/>
            </w:r>
            <w:r w:rsidR="00B90C6F" w:rsidRPr="00B90C6F">
              <w:rPr>
                <w:rFonts w:ascii="Arial" w:hAnsi="Arial" w:cs="Arial"/>
                <w:sz w:val="24"/>
                <w:szCs w:val="24"/>
              </w:rPr>
              <w:tab/>
            </w:r>
            <w:r w:rsidR="00B90C6F" w:rsidRPr="00B90C6F">
              <w:rPr>
                <w:rFonts w:ascii="Arial" w:hAnsi="Arial" w:cs="Arial"/>
                <w:sz w:val="24"/>
                <w:szCs w:val="24"/>
              </w:rPr>
              <w:tab/>
            </w:r>
            <w:r w:rsidR="00B90C6F" w:rsidRPr="00B90C6F">
              <w:rPr>
                <w:rFonts w:ascii="Arial" w:hAnsi="Arial" w:cs="Arial"/>
                <w:sz w:val="24"/>
                <w:szCs w:val="24"/>
              </w:rPr>
              <w:tab/>
            </w:r>
            <w:r w:rsidR="001F036C" w:rsidRPr="001F036C">
              <w:rPr>
                <w:rFonts w:ascii="Arial" w:hAnsi="Arial" w:cs="Arial"/>
                <w:sz w:val="24"/>
                <w:szCs w:val="24"/>
              </w:rPr>
              <w:t>2</w:t>
            </w:r>
            <w:r w:rsidR="00FF4F9B" w:rsidRPr="00FF4F9B">
              <w:rPr>
                <w:rFonts w:ascii="Arial" w:hAnsi="Arial" w:cs="Arial"/>
                <w:sz w:val="24"/>
                <w:szCs w:val="24"/>
                <w:vertAlign w:val="superscript"/>
              </w:rPr>
              <w:t>ND</w:t>
            </w:r>
            <w:r w:rsidR="00FF4F9B">
              <w:rPr>
                <w:rFonts w:ascii="Arial" w:hAnsi="Arial" w:cs="Arial"/>
                <w:sz w:val="24"/>
                <w:szCs w:val="24"/>
              </w:rPr>
              <w:t xml:space="preserve"> APPLICANT</w:t>
            </w:r>
          </w:p>
          <w:p w:rsidR="00B90C6F" w:rsidRDefault="006628D2" w:rsidP="001F036C">
            <w:pPr>
              <w:spacing w:line="360" w:lineRule="auto"/>
              <w:jc w:val="both"/>
              <w:rPr>
                <w:rFonts w:ascii="Arial" w:hAnsi="Arial" w:cs="Arial"/>
                <w:sz w:val="24"/>
                <w:szCs w:val="24"/>
              </w:rPr>
            </w:pPr>
            <w:r w:rsidRPr="006628D2">
              <w:rPr>
                <w:rFonts w:ascii="Arial" w:hAnsi="Arial" w:cs="Arial"/>
                <w:sz w:val="24"/>
                <w:szCs w:val="24"/>
              </w:rPr>
              <w:t>JACOBUS DE LA RAY DU TOIT N.O.</w:t>
            </w:r>
            <w:r w:rsidR="00FF4F9B">
              <w:rPr>
                <w:rFonts w:ascii="Arial" w:hAnsi="Arial" w:cs="Arial"/>
                <w:sz w:val="24"/>
                <w:szCs w:val="24"/>
              </w:rPr>
              <w:t xml:space="preserve">                                  </w:t>
            </w:r>
          </w:p>
          <w:p w:rsidR="001F036C" w:rsidRPr="001F036C" w:rsidRDefault="00B90C6F" w:rsidP="001F036C">
            <w:pPr>
              <w:spacing w:line="360" w:lineRule="auto"/>
              <w:jc w:val="both"/>
              <w:rPr>
                <w:rFonts w:ascii="Arial" w:hAnsi="Arial" w:cs="Arial"/>
                <w:sz w:val="24"/>
                <w:szCs w:val="24"/>
              </w:rPr>
            </w:pPr>
            <w:r w:rsidRPr="00B90C6F">
              <w:rPr>
                <w:rFonts w:ascii="Arial" w:hAnsi="Arial" w:cs="Arial"/>
                <w:sz w:val="24"/>
                <w:szCs w:val="24"/>
              </w:rPr>
              <w:tab/>
            </w:r>
            <w:r w:rsidRPr="00B90C6F">
              <w:rPr>
                <w:rFonts w:ascii="Arial" w:hAnsi="Arial" w:cs="Arial"/>
                <w:sz w:val="24"/>
                <w:szCs w:val="24"/>
              </w:rPr>
              <w:tab/>
            </w:r>
            <w:r w:rsidRPr="00B90C6F">
              <w:rPr>
                <w:rFonts w:ascii="Arial" w:hAnsi="Arial" w:cs="Arial"/>
                <w:sz w:val="24"/>
                <w:szCs w:val="24"/>
              </w:rPr>
              <w:tab/>
            </w:r>
            <w:r w:rsidRPr="00B90C6F">
              <w:rPr>
                <w:rFonts w:ascii="Arial" w:hAnsi="Arial" w:cs="Arial"/>
                <w:sz w:val="24"/>
                <w:szCs w:val="24"/>
              </w:rPr>
              <w:tab/>
            </w:r>
            <w:r w:rsidRPr="00B90C6F">
              <w:rPr>
                <w:rFonts w:ascii="Arial" w:hAnsi="Arial" w:cs="Arial"/>
                <w:sz w:val="24"/>
                <w:szCs w:val="24"/>
              </w:rPr>
              <w:tab/>
            </w:r>
            <w:r w:rsidRPr="00B90C6F">
              <w:rPr>
                <w:rFonts w:ascii="Arial" w:hAnsi="Arial" w:cs="Arial"/>
                <w:sz w:val="24"/>
                <w:szCs w:val="24"/>
              </w:rPr>
              <w:tab/>
            </w:r>
            <w:r w:rsidR="001F036C" w:rsidRPr="001F036C">
              <w:rPr>
                <w:rFonts w:ascii="Arial" w:hAnsi="Arial" w:cs="Arial"/>
                <w:sz w:val="24"/>
                <w:szCs w:val="24"/>
              </w:rPr>
              <w:t>3</w:t>
            </w:r>
            <w:r w:rsidR="00FF4F9B" w:rsidRPr="00FF4F9B">
              <w:rPr>
                <w:rFonts w:ascii="Arial" w:hAnsi="Arial" w:cs="Arial"/>
                <w:sz w:val="24"/>
                <w:szCs w:val="24"/>
                <w:vertAlign w:val="superscript"/>
              </w:rPr>
              <w:t>RD</w:t>
            </w:r>
            <w:r w:rsidR="00FF4F9B">
              <w:rPr>
                <w:rFonts w:ascii="Arial" w:hAnsi="Arial" w:cs="Arial"/>
                <w:sz w:val="24"/>
                <w:szCs w:val="24"/>
              </w:rPr>
              <w:t xml:space="preserve"> APPLICANT</w:t>
            </w:r>
          </w:p>
          <w:p w:rsidR="00B90C6F" w:rsidRDefault="006628D2" w:rsidP="001F036C">
            <w:pPr>
              <w:spacing w:line="360" w:lineRule="auto"/>
              <w:jc w:val="both"/>
              <w:rPr>
                <w:rFonts w:ascii="Arial" w:hAnsi="Arial" w:cs="Arial"/>
                <w:sz w:val="24"/>
                <w:szCs w:val="24"/>
              </w:rPr>
            </w:pPr>
            <w:r w:rsidRPr="006628D2">
              <w:rPr>
                <w:rFonts w:ascii="Arial" w:hAnsi="Arial" w:cs="Arial"/>
                <w:sz w:val="24"/>
                <w:szCs w:val="24"/>
              </w:rPr>
              <w:t>ANDREW CAMPBELL N.O.</w:t>
            </w:r>
            <w:r w:rsidR="00FF4F9B">
              <w:rPr>
                <w:rFonts w:ascii="Arial" w:hAnsi="Arial" w:cs="Arial"/>
                <w:sz w:val="24"/>
                <w:szCs w:val="24"/>
              </w:rPr>
              <w:t xml:space="preserve">                                  </w:t>
            </w:r>
          </w:p>
          <w:p w:rsidR="00002E9A" w:rsidRDefault="00B90C6F" w:rsidP="001F036C">
            <w:pPr>
              <w:spacing w:line="360" w:lineRule="auto"/>
              <w:jc w:val="both"/>
              <w:rPr>
                <w:rFonts w:ascii="Arial" w:hAnsi="Arial" w:cs="Arial"/>
                <w:sz w:val="24"/>
                <w:szCs w:val="24"/>
              </w:rPr>
            </w:pPr>
            <w:r w:rsidRPr="00B90C6F">
              <w:rPr>
                <w:rFonts w:ascii="Arial" w:hAnsi="Arial" w:cs="Arial"/>
                <w:sz w:val="24"/>
                <w:szCs w:val="24"/>
              </w:rPr>
              <w:tab/>
            </w:r>
            <w:r w:rsidRPr="00B90C6F">
              <w:rPr>
                <w:rFonts w:ascii="Arial" w:hAnsi="Arial" w:cs="Arial"/>
                <w:sz w:val="24"/>
                <w:szCs w:val="24"/>
              </w:rPr>
              <w:tab/>
            </w:r>
            <w:r w:rsidRPr="00B90C6F">
              <w:rPr>
                <w:rFonts w:ascii="Arial" w:hAnsi="Arial" w:cs="Arial"/>
                <w:sz w:val="24"/>
                <w:szCs w:val="24"/>
              </w:rPr>
              <w:tab/>
            </w:r>
            <w:r w:rsidRPr="00B90C6F">
              <w:rPr>
                <w:rFonts w:ascii="Arial" w:hAnsi="Arial" w:cs="Arial"/>
                <w:sz w:val="24"/>
                <w:szCs w:val="24"/>
              </w:rPr>
              <w:tab/>
            </w:r>
            <w:r w:rsidRPr="00B90C6F">
              <w:rPr>
                <w:rFonts w:ascii="Arial" w:hAnsi="Arial" w:cs="Arial"/>
                <w:sz w:val="24"/>
                <w:szCs w:val="24"/>
              </w:rPr>
              <w:tab/>
            </w:r>
            <w:r w:rsidRPr="00B90C6F">
              <w:rPr>
                <w:rFonts w:ascii="Arial" w:hAnsi="Arial" w:cs="Arial"/>
                <w:sz w:val="24"/>
                <w:szCs w:val="24"/>
              </w:rPr>
              <w:tab/>
            </w:r>
            <w:r w:rsidR="00FF4F9B">
              <w:rPr>
                <w:rFonts w:ascii="Arial" w:hAnsi="Arial" w:cs="Arial"/>
                <w:sz w:val="24"/>
                <w:szCs w:val="24"/>
              </w:rPr>
              <w:t>4</w:t>
            </w:r>
            <w:r w:rsidR="00FF4F9B" w:rsidRPr="00FF4F9B">
              <w:rPr>
                <w:rFonts w:ascii="Arial" w:hAnsi="Arial" w:cs="Arial"/>
                <w:sz w:val="24"/>
                <w:szCs w:val="24"/>
                <w:vertAlign w:val="superscript"/>
              </w:rPr>
              <w:t>TH</w:t>
            </w:r>
            <w:r w:rsidR="00FF4F9B">
              <w:rPr>
                <w:rFonts w:ascii="Arial" w:hAnsi="Arial" w:cs="Arial"/>
                <w:sz w:val="24"/>
                <w:szCs w:val="24"/>
              </w:rPr>
              <w:t xml:space="preserve"> APPLICANT</w:t>
            </w:r>
          </w:p>
          <w:p w:rsidR="00920F40" w:rsidRDefault="00920F40" w:rsidP="001F036C">
            <w:pPr>
              <w:spacing w:line="360" w:lineRule="auto"/>
              <w:jc w:val="both"/>
              <w:rPr>
                <w:rFonts w:ascii="Arial" w:hAnsi="Arial" w:cs="Arial"/>
                <w:sz w:val="24"/>
                <w:szCs w:val="24"/>
              </w:rPr>
            </w:pPr>
          </w:p>
          <w:p w:rsidR="00002E9A" w:rsidRDefault="00341C0F" w:rsidP="00002E9A">
            <w:pPr>
              <w:spacing w:line="360" w:lineRule="auto"/>
              <w:jc w:val="both"/>
              <w:rPr>
                <w:rFonts w:ascii="Arial" w:hAnsi="Arial" w:cs="Arial"/>
                <w:sz w:val="24"/>
                <w:szCs w:val="24"/>
              </w:rPr>
            </w:pPr>
            <w:r>
              <w:rPr>
                <w:rFonts w:ascii="Arial" w:hAnsi="Arial" w:cs="Arial"/>
                <w:sz w:val="24"/>
                <w:szCs w:val="24"/>
              </w:rPr>
              <w:t>v</w:t>
            </w:r>
          </w:p>
          <w:p w:rsidR="00002E9A" w:rsidRDefault="00002E9A" w:rsidP="00002E9A">
            <w:pPr>
              <w:spacing w:line="360" w:lineRule="auto"/>
              <w:jc w:val="both"/>
              <w:rPr>
                <w:rFonts w:ascii="Arial" w:hAnsi="Arial" w:cs="Arial"/>
                <w:sz w:val="24"/>
                <w:szCs w:val="24"/>
              </w:rPr>
            </w:pPr>
          </w:p>
          <w:p w:rsidR="00251549" w:rsidRPr="00251549" w:rsidRDefault="00920F40" w:rsidP="00251549">
            <w:pPr>
              <w:spacing w:line="360" w:lineRule="auto"/>
              <w:jc w:val="both"/>
              <w:rPr>
                <w:rFonts w:ascii="Arial" w:hAnsi="Arial" w:cs="Arial"/>
                <w:sz w:val="24"/>
                <w:szCs w:val="24"/>
              </w:rPr>
            </w:pPr>
            <w:r w:rsidRPr="00920F40">
              <w:rPr>
                <w:rFonts w:ascii="Arial" w:eastAsia="Times New Roman" w:hAnsi="Arial" w:cs="Arial"/>
                <w:sz w:val="24"/>
                <w:szCs w:val="24"/>
              </w:rPr>
              <w:t>LEONARD HOLO ELAGO</w:t>
            </w:r>
            <w:r>
              <w:rPr>
                <w:rFonts w:ascii="Arial" w:eastAsia="Times New Roman" w:hAnsi="Arial" w:cs="Arial"/>
                <w:sz w:val="24"/>
                <w:szCs w:val="24"/>
              </w:rPr>
              <w:t xml:space="preserve">                         </w:t>
            </w:r>
            <w:r w:rsidR="00251549">
              <w:rPr>
                <w:rFonts w:ascii="Arial" w:eastAsia="Times New Roman" w:hAnsi="Arial" w:cs="Arial"/>
                <w:sz w:val="24"/>
                <w:szCs w:val="24"/>
              </w:rPr>
              <w:t>RESPONDENT</w:t>
            </w:r>
          </w:p>
          <w:p w:rsidR="00002E9A" w:rsidRPr="00002E9A" w:rsidRDefault="00002E9A" w:rsidP="00251549">
            <w:pPr>
              <w:spacing w:line="360" w:lineRule="auto"/>
              <w:jc w:val="both"/>
              <w:rPr>
                <w:rFonts w:ascii="Arial" w:hAnsi="Arial" w:cs="Arial"/>
                <w:sz w:val="24"/>
                <w:szCs w:val="24"/>
              </w:rPr>
            </w:pPr>
          </w:p>
        </w:tc>
        <w:tc>
          <w:tcPr>
            <w:tcW w:w="4110" w:type="dxa"/>
          </w:tcPr>
          <w:p w:rsidR="00B40844" w:rsidRPr="00CA7995" w:rsidRDefault="00B40844" w:rsidP="00937C89">
            <w:pPr>
              <w:spacing w:line="360" w:lineRule="auto"/>
              <w:jc w:val="both"/>
              <w:rPr>
                <w:rFonts w:ascii="Arial" w:hAnsi="Arial" w:cs="Arial"/>
                <w:b/>
                <w:sz w:val="24"/>
                <w:szCs w:val="24"/>
              </w:rPr>
            </w:pPr>
            <w:r w:rsidRPr="00CA7995">
              <w:rPr>
                <w:rFonts w:ascii="Arial" w:hAnsi="Arial" w:cs="Arial"/>
                <w:b/>
                <w:sz w:val="24"/>
                <w:szCs w:val="24"/>
              </w:rPr>
              <w:t>Case No:</w:t>
            </w:r>
          </w:p>
          <w:p w:rsidR="00B40844" w:rsidRPr="00C2633E" w:rsidRDefault="006628D2" w:rsidP="00937C89">
            <w:pPr>
              <w:spacing w:line="360" w:lineRule="auto"/>
              <w:jc w:val="both"/>
              <w:rPr>
                <w:rFonts w:ascii="Arial" w:hAnsi="Arial" w:cs="Arial"/>
                <w:sz w:val="24"/>
                <w:szCs w:val="24"/>
                <w:shd w:val="clear" w:color="auto" w:fill="FFFFFF"/>
              </w:rPr>
            </w:pPr>
            <w:r w:rsidRPr="006628D2">
              <w:rPr>
                <w:rFonts w:ascii="Arial" w:hAnsi="Arial" w:cs="Arial"/>
                <w:sz w:val="24"/>
                <w:szCs w:val="24"/>
                <w:shd w:val="clear" w:color="auto" w:fill="FFFFFF"/>
              </w:rPr>
              <w:t>HC-MD-CIV-MOT-GEN-2021/00433</w:t>
            </w:r>
          </w:p>
        </w:tc>
      </w:tr>
      <w:tr w:rsidR="00CA7995" w:rsidRPr="00CA7995" w:rsidTr="00002E9A">
        <w:trPr>
          <w:trHeight w:val="968"/>
        </w:trPr>
        <w:tc>
          <w:tcPr>
            <w:tcW w:w="6366" w:type="dxa"/>
            <w:gridSpan w:val="2"/>
            <w:vMerge/>
          </w:tcPr>
          <w:p w:rsidR="00B40844" w:rsidRPr="00CA7995" w:rsidRDefault="00B40844" w:rsidP="00937C89">
            <w:pPr>
              <w:spacing w:line="360" w:lineRule="auto"/>
              <w:jc w:val="both"/>
              <w:rPr>
                <w:rFonts w:ascii="Arial" w:hAnsi="Arial" w:cs="Arial"/>
                <w:sz w:val="24"/>
                <w:szCs w:val="24"/>
              </w:rPr>
            </w:pPr>
          </w:p>
        </w:tc>
        <w:tc>
          <w:tcPr>
            <w:tcW w:w="4110" w:type="dxa"/>
          </w:tcPr>
          <w:p w:rsidR="00B40844" w:rsidRPr="00CA7995" w:rsidRDefault="00B40844" w:rsidP="00937C89">
            <w:pPr>
              <w:spacing w:line="360" w:lineRule="auto"/>
              <w:jc w:val="both"/>
              <w:rPr>
                <w:rFonts w:ascii="Arial" w:hAnsi="Arial" w:cs="Arial"/>
                <w:sz w:val="24"/>
                <w:szCs w:val="24"/>
              </w:rPr>
            </w:pPr>
            <w:r w:rsidRPr="00CA7995">
              <w:rPr>
                <w:rFonts w:ascii="Arial" w:hAnsi="Arial" w:cs="Arial"/>
                <w:b/>
                <w:sz w:val="24"/>
                <w:szCs w:val="24"/>
              </w:rPr>
              <w:t>Division of Court:</w:t>
            </w:r>
          </w:p>
          <w:p w:rsidR="00B40844" w:rsidRPr="00CA7995" w:rsidRDefault="00B40844" w:rsidP="00937C89">
            <w:pPr>
              <w:spacing w:line="360" w:lineRule="auto"/>
              <w:jc w:val="both"/>
              <w:rPr>
                <w:rFonts w:ascii="Arial" w:hAnsi="Arial" w:cs="Arial"/>
                <w:sz w:val="24"/>
                <w:szCs w:val="24"/>
              </w:rPr>
            </w:pPr>
            <w:r w:rsidRPr="00CA7995">
              <w:rPr>
                <w:rFonts w:ascii="Arial" w:hAnsi="Arial" w:cs="Arial"/>
                <w:sz w:val="24"/>
                <w:szCs w:val="24"/>
              </w:rPr>
              <w:t>HIGH COURT (MAIN DIVISION)</w:t>
            </w:r>
          </w:p>
        </w:tc>
      </w:tr>
      <w:tr w:rsidR="00CA7995" w:rsidRPr="00CA7995" w:rsidTr="00002E9A">
        <w:trPr>
          <w:trHeight w:val="965"/>
        </w:trPr>
        <w:tc>
          <w:tcPr>
            <w:tcW w:w="6366" w:type="dxa"/>
            <w:gridSpan w:val="2"/>
            <w:vMerge w:val="restart"/>
          </w:tcPr>
          <w:p w:rsidR="00B40844" w:rsidRPr="00CA7995" w:rsidRDefault="00B40844" w:rsidP="00937C89">
            <w:pPr>
              <w:spacing w:line="360" w:lineRule="auto"/>
              <w:jc w:val="both"/>
              <w:rPr>
                <w:rFonts w:ascii="Arial" w:hAnsi="Arial" w:cs="Arial"/>
                <w:b/>
                <w:sz w:val="24"/>
                <w:szCs w:val="24"/>
              </w:rPr>
            </w:pPr>
            <w:r w:rsidRPr="00CA7995">
              <w:rPr>
                <w:rFonts w:ascii="Arial" w:hAnsi="Arial" w:cs="Arial"/>
                <w:b/>
                <w:sz w:val="24"/>
                <w:szCs w:val="24"/>
              </w:rPr>
              <w:t>Heard before:</w:t>
            </w:r>
          </w:p>
          <w:p w:rsidR="00B40844" w:rsidRPr="00CA7995" w:rsidRDefault="00002E9A" w:rsidP="00937C89">
            <w:pPr>
              <w:spacing w:line="360" w:lineRule="auto"/>
              <w:jc w:val="both"/>
              <w:rPr>
                <w:rFonts w:ascii="Arial" w:hAnsi="Arial" w:cs="Arial"/>
                <w:sz w:val="24"/>
                <w:szCs w:val="24"/>
              </w:rPr>
            </w:pPr>
            <w:r w:rsidRPr="00806722">
              <w:rPr>
                <w:rFonts w:ascii="Arial" w:hAnsi="Arial" w:cs="Arial"/>
                <w:sz w:val="24"/>
                <w:szCs w:val="24"/>
                <w:lang w:val="en-US"/>
              </w:rPr>
              <w:t>HONOURABLE LADY JUSTICE PRINSLOO</w:t>
            </w:r>
          </w:p>
        </w:tc>
        <w:tc>
          <w:tcPr>
            <w:tcW w:w="4110" w:type="dxa"/>
          </w:tcPr>
          <w:p w:rsidR="00B40844" w:rsidRPr="00CA7995" w:rsidRDefault="00B40844" w:rsidP="00937C89">
            <w:pPr>
              <w:spacing w:line="360" w:lineRule="auto"/>
              <w:jc w:val="both"/>
              <w:rPr>
                <w:rFonts w:ascii="Arial" w:hAnsi="Arial" w:cs="Arial"/>
                <w:b/>
                <w:sz w:val="24"/>
                <w:szCs w:val="24"/>
              </w:rPr>
            </w:pPr>
            <w:r w:rsidRPr="00CA7995">
              <w:rPr>
                <w:rFonts w:ascii="Arial" w:hAnsi="Arial" w:cs="Arial"/>
                <w:b/>
                <w:sz w:val="24"/>
                <w:szCs w:val="24"/>
              </w:rPr>
              <w:t>Date of hearing:</w:t>
            </w:r>
          </w:p>
          <w:p w:rsidR="00B40844" w:rsidRPr="00CA7995" w:rsidRDefault="00E434A3" w:rsidP="00C2633E">
            <w:pPr>
              <w:spacing w:line="360" w:lineRule="auto"/>
              <w:jc w:val="both"/>
              <w:rPr>
                <w:rFonts w:ascii="Arial" w:hAnsi="Arial" w:cs="Arial"/>
                <w:sz w:val="24"/>
                <w:szCs w:val="24"/>
              </w:rPr>
            </w:pPr>
            <w:r>
              <w:rPr>
                <w:rFonts w:ascii="Arial" w:hAnsi="Arial" w:cs="Arial"/>
                <w:sz w:val="24"/>
                <w:szCs w:val="24"/>
                <w:lang w:val="en-US"/>
              </w:rPr>
              <w:t>4 July</w:t>
            </w:r>
            <w:r w:rsidR="00940E36">
              <w:rPr>
                <w:rFonts w:ascii="Arial" w:hAnsi="Arial" w:cs="Arial"/>
                <w:sz w:val="24"/>
                <w:szCs w:val="24"/>
                <w:lang w:val="en-US"/>
              </w:rPr>
              <w:t xml:space="preserve"> </w:t>
            </w:r>
            <w:r w:rsidR="00002E9A">
              <w:rPr>
                <w:rFonts w:ascii="Arial" w:hAnsi="Arial" w:cs="Arial"/>
                <w:sz w:val="24"/>
                <w:szCs w:val="24"/>
                <w:lang w:val="en-US"/>
              </w:rPr>
              <w:t>2023</w:t>
            </w:r>
          </w:p>
        </w:tc>
      </w:tr>
      <w:tr w:rsidR="00CA7995" w:rsidRPr="00CA7995" w:rsidTr="00002E9A">
        <w:trPr>
          <w:trHeight w:val="991"/>
        </w:trPr>
        <w:tc>
          <w:tcPr>
            <w:tcW w:w="6366" w:type="dxa"/>
            <w:gridSpan w:val="2"/>
            <w:vMerge/>
          </w:tcPr>
          <w:p w:rsidR="00B40844" w:rsidRPr="00CA7995" w:rsidRDefault="00B40844" w:rsidP="00937C89">
            <w:pPr>
              <w:spacing w:line="360" w:lineRule="auto"/>
              <w:jc w:val="both"/>
              <w:rPr>
                <w:rFonts w:ascii="Arial" w:hAnsi="Arial" w:cs="Arial"/>
                <w:b/>
                <w:sz w:val="24"/>
                <w:szCs w:val="24"/>
              </w:rPr>
            </w:pPr>
          </w:p>
        </w:tc>
        <w:tc>
          <w:tcPr>
            <w:tcW w:w="4110" w:type="dxa"/>
          </w:tcPr>
          <w:p w:rsidR="00B40844" w:rsidRPr="00CA7995" w:rsidRDefault="00B40844" w:rsidP="00937C89">
            <w:pPr>
              <w:spacing w:line="360" w:lineRule="auto"/>
              <w:jc w:val="both"/>
              <w:rPr>
                <w:rFonts w:ascii="Arial" w:hAnsi="Arial" w:cs="Arial"/>
                <w:b/>
                <w:sz w:val="24"/>
                <w:szCs w:val="24"/>
              </w:rPr>
            </w:pPr>
            <w:r w:rsidRPr="00CA7995">
              <w:rPr>
                <w:rFonts w:ascii="Arial" w:hAnsi="Arial" w:cs="Arial"/>
                <w:b/>
                <w:sz w:val="24"/>
                <w:szCs w:val="24"/>
              </w:rPr>
              <w:t>Delivered on:</w:t>
            </w:r>
          </w:p>
          <w:p w:rsidR="00B40844" w:rsidRPr="00CA7995" w:rsidRDefault="00E434A3" w:rsidP="00C2633E">
            <w:pPr>
              <w:spacing w:line="360" w:lineRule="auto"/>
              <w:jc w:val="both"/>
              <w:rPr>
                <w:rFonts w:ascii="Arial" w:hAnsi="Arial" w:cs="Arial"/>
                <w:b/>
                <w:sz w:val="24"/>
                <w:szCs w:val="24"/>
              </w:rPr>
            </w:pPr>
            <w:r>
              <w:rPr>
                <w:rFonts w:ascii="Arial" w:hAnsi="Arial" w:cs="Arial"/>
                <w:sz w:val="24"/>
                <w:szCs w:val="24"/>
                <w:lang w:val="en-US"/>
              </w:rPr>
              <w:t>2</w:t>
            </w:r>
            <w:r w:rsidR="00940E36">
              <w:rPr>
                <w:rFonts w:ascii="Arial" w:hAnsi="Arial" w:cs="Arial"/>
                <w:sz w:val="24"/>
                <w:szCs w:val="24"/>
                <w:lang w:val="en-US"/>
              </w:rPr>
              <w:t>5</w:t>
            </w:r>
            <w:r>
              <w:rPr>
                <w:rFonts w:ascii="Arial" w:hAnsi="Arial" w:cs="Arial"/>
                <w:sz w:val="24"/>
                <w:szCs w:val="24"/>
                <w:lang w:val="en-US"/>
              </w:rPr>
              <w:t xml:space="preserve"> July </w:t>
            </w:r>
            <w:r w:rsidR="00002E9A">
              <w:rPr>
                <w:rFonts w:ascii="Arial" w:hAnsi="Arial" w:cs="Arial"/>
                <w:sz w:val="24"/>
                <w:szCs w:val="24"/>
                <w:lang w:val="en-US"/>
              </w:rPr>
              <w:t>2023</w:t>
            </w:r>
          </w:p>
        </w:tc>
      </w:tr>
      <w:tr w:rsidR="00CA7995" w:rsidRPr="00CA7995" w:rsidTr="00002E9A">
        <w:trPr>
          <w:trHeight w:val="876"/>
        </w:trPr>
        <w:tc>
          <w:tcPr>
            <w:tcW w:w="10476" w:type="dxa"/>
            <w:gridSpan w:val="3"/>
          </w:tcPr>
          <w:p w:rsidR="0021453F" w:rsidRDefault="00B40844" w:rsidP="00940E36">
            <w:pPr>
              <w:spacing w:line="360" w:lineRule="auto"/>
              <w:jc w:val="both"/>
              <w:rPr>
                <w:rFonts w:ascii="Arial" w:hAnsi="Arial" w:cs="Arial"/>
                <w:sz w:val="24"/>
                <w:szCs w:val="24"/>
              </w:rPr>
            </w:pPr>
            <w:r w:rsidRPr="00CA7995">
              <w:rPr>
                <w:rFonts w:ascii="Arial" w:hAnsi="Arial" w:cs="Arial"/>
                <w:b/>
                <w:sz w:val="24"/>
                <w:szCs w:val="24"/>
              </w:rPr>
              <w:t xml:space="preserve">Neutral citation: </w:t>
            </w:r>
            <w:r w:rsidR="00940E36" w:rsidRPr="00940E36">
              <w:rPr>
                <w:rFonts w:ascii="Arial" w:hAnsi="Arial" w:cs="Arial"/>
                <w:b/>
                <w:sz w:val="24"/>
                <w:szCs w:val="24"/>
              </w:rPr>
              <w:tab/>
            </w:r>
            <w:r w:rsidR="00E434A3">
              <w:rPr>
                <w:rFonts w:ascii="Arial" w:eastAsia="Times New Roman" w:hAnsi="Arial" w:cs="Arial"/>
                <w:i/>
                <w:sz w:val="24"/>
                <w:szCs w:val="24"/>
              </w:rPr>
              <w:t>Ndilula N.O</w:t>
            </w:r>
            <w:r w:rsidR="00002E9A" w:rsidRPr="00A927F8">
              <w:rPr>
                <w:rFonts w:ascii="Arial" w:eastAsia="Times New Roman" w:hAnsi="Arial" w:cs="Arial"/>
                <w:i/>
                <w:sz w:val="24"/>
                <w:szCs w:val="24"/>
              </w:rPr>
              <w:t xml:space="preserve"> v</w:t>
            </w:r>
            <w:bookmarkStart w:id="0" w:name="_GoBack"/>
            <w:bookmarkEnd w:id="0"/>
            <w:r w:rsidR="00002E9A" w:rsidRPr="00A927F8">
              <w:rPr>
                <w:rFonts w:ascii="Arial" w:eastAsia="Times New Roman" w:hAnsi="Arial" w:cs="Arial"/>
                <w:i/>
                <w:sz w:val="24"/>
                <w:szCs w:val="24"/>
              </w:rPr>
              <w:t xml:space="preserve"> </w:t>
            </w:r>
            <w:r w:rsidR="00E434A3">
              <w:rPr>
                <w:rFonts w:ascii="Arial" w:eastAsia="Times New Roman" w:hAnsi="Arial" w:cs="Arial"/>
                <w:i/>
                <w:sz w:val="24"/>
                <w:szCs w:val="24"/>
              </w:rPr>
              <w:t>Elago</w:t>
            </w:r>
            <w:r w:rsidR="00002E9A">
              <w:rPr>
                <w:rFonts w:ascii="Arial" w:eastAsia="Times New Roman" w:hAnsi="Arial" w:cs="Arial"/>
                <w:i/>
                <w:sz w:val="24"/>
                <w:szCs w:val="24"/>
              </w:rPr>
              <w:t xml:space="preserve"> </w:t>
            </w:r>
            <w:r w:rsidR="00002E9A" w:rsidRPr="007B0507">
              <w:rPr>
                <w:rFonts w:ascii="Arial" w:eastAsia="Times New Roman" w:hAnsi="Arial" w:cs="Arial"/>
                <w:sz w:val="24"/>
                <w:szCs w:val="24"/>
              </w:rPr>
              <w:t>(</w:t>
            </w:r>
            <w:r w:rsidR="00E434A3" w:rsidRPr="00E434A3">
              <w:rPr>
                <w:rFonts w:ascii="Arial" w:eastAsia="Times New Roman" w:hAnsi="Arial" w:cs="Arial"/>
                <w:sz w:val="24"/>
                <w:szCs w:val="24"/>
              </w:rPr>
              <w:t>HC-MD-CIV-MOT-GEN-2021/00433</w:t>
            </w:r>
            <w:r w:rsidR="00940E36">
              <w:rPr>
                <w:rFonts w:ascii="Arial" w:eastAsia="Times New Roman" w:hAnsi="Arial" w:cs="Arial"/>
                <w:sz w:val="24"/>
                <w:szCs w:val="24"/>
              </w:rPr>
              <w:t>)</w:t>
            </w:r>
            <w:r w:rsidR="00940E36" w:rsidRPr="00940E36">
              <w:rPr>
                <w:rFonts w:ascii="Arial" w:eastAsia="Times New Roman" w:hAnsi="Arial" w:cs="Arial"/>
                <w:sz w:val="24"/>
                <w:szCs w:val="24"/>
              </w:rPr>
              <w:t xml:space="preserve"> </w:t>
            </w:r>
            <w:r w:rsidR="00002E9A">
              <w:rPr>
                <w:rFonts w:ascii="Arial" w:hAnsi="Arial" w:cs="Arial"/>
                <w:sz w:val="24"/>
                <w:szCs w:val="24"/>
              </w:rPr>
              <w:t>[</w:t>
            </w:r>
            <w:r w:rsidR="00002E9A" w:rsidRPr="00FE3661">
              <w:rPr>
                <w:rFonts w:ascii="Arial" w:hAnsi="Arial" w:cs="Arial"/>
                <w:sz w:val="24"/>
                <w:szCs w:val="24"/>
              </w:rPr>
              <w:t>202</w:t>
            </w:r>
            <w:r w:rsidR="00002E9A">
              <w:rPr>
                <w:rFonts w:ascii="Arial" w:hAnsi="Arial" w:cs="Arial"/>
                <w:sz w:val="24"/>
                <w:szCs w:val="24"/>
              </w:rPr>
              <w:t>3</w:t>
            </w:r>
            <w:r w:rsidR="00002E9A" w:rsidRPr="00FE3661">
              <w:rPr>
                <w:rFonts w:ascii="Arial" w:hAnsi="Arial" w:cs="Arial"/>
                <w:sz w:val="24"/>
                <w:szCs w:val="24"/>
              </w:rPr>
              <w:t>]</w:t>
            </w:r>
            <w:r w:rsidR="00002E9A" w:rsidRPr="00FE3661">
              <w:rPr>
                <w:rFonts w:ascii="Arial" w:hAnsi="Arial" w:cs="Arial"/>
                <w:i/>
                <w:sz w:val="24"/>
                <w:szCs w:val="24"/>
              </w:rPr>
              <w:t xml:space="preserve"> </w:t>
            </w:r>
            <w:r w:rsidR="00E434A3">
              <w:rPr>
                <w:rFonts w:ascii="Arial" w:hAnsi="Arial" w:cs="Arial"/>
                <w:sz w:val="24"/>
                <w:szCs w:val="24"/>
              </w:rPr>
              <w:t>NAH</w:t>
            </w:r>
            <w:r w:rsidR="009569D1">
              <w:rPr>
                <w:rFonts w:ascii="Arial" w:hAnsi="Arial" w:cs="Arial"/>
                <w:sz w:val="24"/>
                <w:szCs w:val="24"/>
              </w:rPr>
              <w:t>CM</w:t>
            </w:r>
            <w:r w:rsidR="00002E9A" w:rsidRPr="00FE3661">
              <w:rPr>
                <w:rFonts w:ascii="Arial" w:hAnsi="Arial" w:cs="Arial"/>
                <w:sz w:val="24"/>
                <w:szCs w:val="24"/>
              </w:rPr>
              <w:t xml:space="preserve">D </w:t>
            </w:r>
          </w:p>
          <w:p w:rsidR="00B40844" w:rsidRPr="00CA7995" w:rsidRDefault="0021453F" w:rsidP="00940E36">
            <w:pPr>
              <w:spacing w:line="360" w:lineRule="auto"/>
              <w:jc w:val="both"/>
              <w:rPr>
                <w:rFonts w:ascii="Arial" w:hAnsi="Arial" w:cs="Arial"/>
                <w:sz w:val="24"/>
                <w:szCs w:val="24"/>
              </w:rPr>
            </w:pPr>
            <w:r>
              <w:rPr>
                <w:rFonts w:ascii="Arial" w:hAnsi="Arial" w:cs="Arial"/>
                <w:sz w:val="24"/>
                <w:szCs w:val="24"/>
              </w:rPr>
              <w:t xml:space="preserve">                                </w:t>
            </w:r>
            <w:r w:rsidR="008F41BE">
              <w:rPr>
                <w:rFonts w:ascii="Arial" w:hAnsi="Arial" w:cs="Arial"/>
                <w:sz w:val="24"/>
                <w:szCs w:val="24"/>
              </w:rPr>
              <w:t>433</w:t>
            </w:r>
            <w:r w:rsidR="00940E36">
              <w:rPr>
                <w:rFonts w:ascii="Arial" w:hAnsi="Arial" w:cs="Arial"/>
                <w:sz w:val="24"/>
                <w:szCs w:val="24"/>
              </w:rPr>
              <w:t xml:space="preserve"> (</w:t>
            </w:r>
            <w:r w:rsidR="00E434A3">
              <w:rPr>
                <w:rFonts w:ascii="Arial" w:hAnsi="Arial" w:cs="Arial"/>
                <w:sz w:val="24"/>
                <w:szCs w:val="24"/>
              </w:rPr>
              <w:t>2</w:t>
            </w:r>
            <w:r w:rsidR="00940E36">
              <w:rPr>
                <w:rFonts w:ascii="Arial" w:hAnsi="Arial" w:cs="Arial"/>
                <w:sz w:val="24"/>
                <w:szCs w:val="24"/>
              </w:rPr>
              <w:t>5</w:t>
            </w:r>
            <w:r w:rsidR="00E434A3">
              <w:rPr>
                <w:rFonts w:ascii="Arial" w:hAnsi="Arial" w:cs="Arial"/>
                <w:sz w:val="24"/>
                <w:szCs w:val="24"/>
              </w:rPr>
              <w:t xml:space="preserve"> July</w:t>
            </w:r>
            <w:r w:rsidR="00002E9A">
              <w:rPr>
                <w:rFonts w:ascii="Arial" w:hAnsi="Arial" w:cs="Arial"/>
                <w:sz w:val="24"/>
                <w:szCs w:val="24"/>
              </w:rPr>
              <w:t xml:space="preserve"> 2023)</w:t>
            </w:r>
          </w:p>
        </w:tc>
      </w:tr>
      <w:tr w:rsidR="00002E9A" w:rsidRPr="00CA7995" w:rsidTr="00002E9A">
        <w:trPr>
          <w:trHeight w:val="876"/>
        </w:trPr>
        <w:tc>
          <w:tcPr>
            <w:tcW w:w="10476" w:type="dxa"/>
            <w:gridSpan w:val="3"/>
          </w:tcPr>
          <w:p w:rsidR="00002E9A" w:rsidRDefault="00002E9A" w:rsidP="00002E9A">
            <w:pPr>
              <w:shd w:val="clear" w:color="auto" w:fill="FFFFFF"/>
              <w:rPr>
                <w:rFonts w:ascii="Arial" w:eastAsia="Times New Roman" w:hAnsi="Arial" w:cs="Arial"/>
                <w:b/>
                <w:sz w:val="24"/>
                <w:szCs w:val="24"/>
                <w:lang w:val="en-US"/>
              </w:rPr>
            </w:pPr>
            <w:r w:rsidRPr="007B2C80">
              <w:rPr>
                <w:rFonts w:ascii="Arial" w:eastAsia="Times New Roman" w:hAnsi="Arial" w:cs="Arial"/>
                <w:b/>
                <w:sz w:val="24"/>
                <w:szCs w:val="24"/>
                <w:lang w:val="en-US"/>
              </w:rPr>
              <w:t>Results on merits:</w:t>
            </w:r>
          </w:p>
          <w:p w:rsidR="00002E9A" w:rsidRPr="00002E9A" w:rsidRDefault="00002E9A" w:rsidP="00002E9A">
            <w:pPr>
              <w:shd w:val="clear" w:color="auto" w:fill="FFFFFF"/>
              <w:rPr>
                <w:rFonts w:ascii="Arial" w:eastAsia="Times New Roman" w:hAnsi="Arial" w:cs="Arial"/>
                <w:sz w:val="24"/>
                <w:szCs w:val="24"/>
                <w:lang w:val="en-US"/>
              </w:rPr>
            </w:pPr>
          </w:p>
          <w:p w:rsidR="00002E9A" w:rsidRPr="00CA7995" w:rsidRDefault="00AF2E2C" w:rsidP="00002E9A">
            <w:pPr>
              <w:spacing w:line="360" w:lineRule="auto"/>
              <w:jc w:val="both"/>
              <w:rPr>
                <w:rFonts w:ascii="Arial" w:hAnsi="Arial" w:cs="Arial"/>
                <w:b/>
                <w:sz w:val="24"/>
                <w:szCs w:val="24"/>
              </w:rPr>
            </w:pPr>
            <w:r>
              <w:rPr>
                <w:rFonts w:ascii="Arial" w:eastAsia="Times New Roman" w:hAnsi="Arial" w:cs="Arial"/>
                <w:sz w:val="24"/>
                <w:szCs w:val="24"/>
                <w:lang w:val="en-US"/>
              </w:rPr>
              <w:t>Set out hereunder</w:t>
            </w:r>
          </w:p>
        </w:tc>
      </w:tr>
      <w:tr w:rsidR="00CA7995" w:rsidRPr="00CA7995" w:rsidTr="00002E9A">
        <w:tc>
          <w:tcPr>
            <w:tcW w:w="10476" w:type="dxa"/>
            <w:gridSpan w:val="3"/>
          </w:tcPr>
          <w:p w:rsidR="00B40844" w:rsidRPr="00CA7995" w:rsidRDefault="00B40844" w:rsidP="00937C89">
            <w:pPr>
              <w:spacing w:line="360" w:lineRule="auto"/>
              <w:jc w:val="both"/>
              <w:rPr>
                <w:rFonts w:ascii="Arial" w:hAnsi="Arial" w:cs="Arial"/>
                <w:b/>
                <w:sz w:val="24"/>
                <w:szCs w:val="24"/>
              </w:rPr>
            </w:pPr>
            <w:r w:rsidRPr="00CA7995">
              <w:rPr>
                <w:rFonts w:ascii="Arial" w:hAnsi="Arial" w:cs="Arial"/>
                <w:b/>
                <w:sz w:val="24"/>
                <w:szCs w:val="24"/>
              </w:rPr>
              <w:t>The order:</w:t>
            </w:r>
          </w:p>
          <w:p w:rsidR="00B40844" w:rsidRPr="00B47800" w:rsidRDefault="00B40844" w:rsidP="00937C89">
            <w:pPr>
              <w:spacing w:line="360" w:lineRule="auto"/>
              <w:jc w:val="both"/>
              <w:rPr>
                <w:rFonts w:ascii="Arial" w:hAnsi="Arial" w:cs="Arial"/>
                <w:sz w:val="20"/>
                <w:szCs w:val="20"/>
              </w:rPr>
            </w:pPr>
          </w:p>
          <w:p w:rsidR="00E434A3" w:rsidRPr="00E434A3" w:rsidRDefault="006916C9" w:rsidP="00E434A3">
            <w:pPr>
              <w:pStyle w:val="NormalWeb"/>
              <w:shd w:val="clear" w:color="auto" w:fill="FFFFFF"/>
              <w:spacing w:after="0" w:line="360" w:lineRule="auto"/>
              <w:jc w:val="both"/>
              <w:rPr>
                <w:rFonts w:ascii="Arial" w:hAnsi="Arial" w:cs="Arial"/>
              </w:rPr>
            </w:pPr>
            <w:r>
              <w:rPr>
                <w:rFonts w:ascii="Arial" w:hAnsi="Arial" w:cs="Arial"/>
              </w:rPr>
              <w:lastRenderedPageBreak/>
              <w:t>1.</w:t>
            </w:r>
            <w:r w:rsidRPr="006916C9">
              <w:rPr>
                <w:rFonts w:ascii="Arial" w:hAnsi="Arial" w:cs="Arial"/>
              </w:rPr>
              <w:tab/>
            </w:r>
            <w:r w:rsidR="00E434A3" w:rsidRPr="00E434A3">
              <w:rPr>
                <w:rFonts w:ascii="Arial" w:hAnsi="Arial" w:cs="Arial"/>
              </w:rPr>
              <w:t>The provisional sequestration order against the respondent is confirmed with costs.</w:t>
            </w:r>
          </w:p>
          <w:p w:rsidR="008C2200" w:rsidRPr="00B47800" w:rsidRDefault="00E434A3" w:rsidP="00E434A3">
            <w:pPr>
              <w:pStyle w:val="NormalWeb"/>
              <w:shd w:val="clear" w:color="auto" w:fill="FFFFFF"/>
              <w:spacing w:after="0" w:line="360" w:lineRule="auto"/>
              <w:jc w:val="both"/>
              <w:rPr>
                <w:rFonts w:ascii="Arial" w:hAnsi="Arial" w:cs="Arial"/>
              </w:rPr>
            </w:pPr>
            <w:r w:rsidRPr="00E434A3">
              <w:rPr>
                <w:rFonts w:ascii="Arial" w:hAnsi="Arial" w:cs="Arial"/>
              </w:rPr>
              <w:t>2.</w:t>
            </w:r>
            <w:r w:rsidRPr="00E434A3">
              <w:rPr>
                <w:rFonts w:ascii="Arial" w:hAnsi="Arial" w:cs="Arial"/>
              </w:rPr>
              <w:tab/>
              <w:t>The matter is regarded as finalised and removed from the roll.</w:t>
            </w:r>
          </w:p>
        </w:tc>
      </w:tr>
      <w:tr w:rsidR="00CA7995" w:rsidRPr="00CA7995" w:rsidTr="00002E9A">
        <w:trPr>
          <w:trHeight w:val="548"/>
        </w:trPr>
        <w:tc>
          <w:tcPr>
            <w:tcW w:w="10476" w:type="dxa"/>
            <w:gridSpan w:val="3"/>
          </w:tcPr>
          <w:p w:rsidR="00B40844" w:rsidRPr="00CA7995" w:rsidRDefault="008F5871" w:rsidP="008F5871">
            <w:pPr>
              <w:tabs>
                <w:tab w:val="right" w:pos="9693"/>
              </w:tabs>
              <w:spacing w:line="360" w:lineRule="auto"/>
              <w:jc w:val="both"/>
              <w:rPr>
                <w:rFonts w:ascii="Arial" w:hAnsi="Arial" w:cs="Arial"/>
                <w:b/>
                <w:sz w:val="24"/>
                <w:szCs w:val="24"/>
              </w:rPr>
            </w:pPr>
            <w:r w:rsidRPr="00806722">
              <w:rPr>
                <w:rFonts w:ascii="Arial" w:hAnsi="Arial" w:cs="Arial"/>
                <w:b/>
                <w:sz w:val="24"/>
                <w:szCs w:val="24"/>
                <w:lang w:val="en-US"/>
              </w:rPr>
              <w:lastRenderedPageBreak/>
              <w:t>Reasons for orders:</w:t>
            </w:r>
          </w:p>
        </w:tc>
      </w:tr>
      <w:tr w:rsidR="00CA7995" w:rsidRPr="00CA7995" w:rsidTr="00002E9A">
        <w:tc>
          <w:tcPr>
            <w:tcW w:w="10476" w:type="dxa"/>
            <w:gridSpan w:val="3"/>
          </w:tcPr>
          <w:p w:rsidR="00EA2DE2" w:rsidRPr="00EA2DE2" w:rsidRDefault="00EA2DE2" w:rsidP="00ED76B2">
            <w:pPr>
              <w:spacing w:line="360" w:lineRule="auto"/>
              <w:jc w:val="both"/>
              <w:rPr>
                <w:rFonts w:ascii="Arial" w:hAnsi="Arial" w:cs="Arial"/>
                <w:sz w:val="24"/>
                <w:szCs w:val="24"/>
              </w:rPr>
            </w:pPr>
          </w:p>
          <w:p w:rsidR="00B40844" w:rsidRPr="00CA7995" w:rsidRDefault="00B40844" w:rsidP="00ED76B2">
            <w:pPr>
              <w:spacing w:line="360" w:lineRule="auto"/>
              <w:jc w:val="both"/>
              <w:rPr>
                <w:rFonts w:ascii="Arial" w:hAnsi="Arial" w:cs="Arial"/>
                <w:sz w:val="24"/>
                <w:szCs w:val="24"/>
                <w:u w:val="single"/>
              </w:rPr>
            </w:pPr>
            <w:r w:rsidRPr="00CA7995">
              <w:rPr>
                <w:rFonts w:ascii="Arial" w:hAnsi="Arial" w:cs="Arial"/>
                <w:sz w:val="24"/>
                <w:szCs w:val="24"/>
                <w:u w:val="single"/>
              </w:rPr>
              <w:t>Introduction</w:t>
            </w:r>
          </w:p>
          <w:p w:rsidR="00B40844" w:rsidRPr="00CA7995" w:rsidRDefault="00B40844" w:rsidP="00ED76B2">
            <w:pPr>
              <w:spacing w:line="360" w:lineRule="auto"/>
              <w:jc w:val="both"/>
              <w:rPr>
                <w:rFonts w:ascii="Arial" w:hAnsi="Arial" w:cs="Arial"/>
                <w:sz w:val="24"/>
                <w:szCs w:val="24"/>
              </w:rPr>
            </w:pPr>
          </w:p>
          <w:p w:rsidR="00B22DD3" w:rsidRDefault="00B40844" w:rsidP="00B22DD3">
            <w:pPr>
              <w:pStyle w:val="BodyText"/>
            </w:pPr>
            <w:r w:rsidRPr="00CA7995">
              <w:t>[1]</w:t>
            </w:r>
            <w:r w:rsidRPr="00CA7995">
              <w:tab/>
            </w:r>
            <w:r w:rsidR="00B22DD3">
              <w:t>The applicants in this matter are Kaunapaua Ndilula N.O., Evangelina Nangula Hamunyela N.O., Jacobus De La R</w:t>
            </w:r>
            <w:r w:rsidR="007D2F10">
              <w:t>a</w:t>
            </w:r>
            <w:r w:rsidR="00B22DD3">
              <w:t>y Du Toit N.O., and Andrew Campbell N.O (the applicants). The applicants are trustees of the Namibia Procurement Fund Trust (the Trust). The respondents are Leonard Holo Elago and Penexuepifo Tungombili Lipuleni Elago, who were married in community of property but are now divorced.</w:t>
            </w:r>
          </w:p>
          <w:p w:rsidR="00B22DD3" w:rsidRDefault="00B22DD3" w:rsidP="00B22DD3">
            <w:pPr>
              <w:pStyle w:val="BodyText"/>
            </w:pPr>
          </w:p>
          <w:p w:rsidR="00B22DD3" w:rsidRPr="00B22DD3" w:rsidRDefault="00B22DD3" w:rsidP="00B22DD3">
            <w:pPr>
              <w:pStyle w:val="BodyText"/>
              <w:rPr>
                <w:u w:val="single"/>
              </w:rPr>
            </w:pPr>
            <w:r w:rsidRPr="00B22DD3">
              <w:rPr>
                <w:u w:val="single"/>
              </w:rPr>
              <w:t>Background</w:t>
            </w:r>
          </w:p>
          <w:p w:rsidR="00B22DD3" w:rsidRDefault="00B22DD3" w:rsidP="00B22DD3">
            <w:pPr>
              <w:pStyle w:val="BodyText"/>
            </w:pPr>
          </w:p>
          <w:p w:rsidR="00B22DD3" w:rsidRDefault="00B22DD3" w:rsidP="00B22DD3">
            <w:pPr>
              <w:pStyle w:val="BodyText"/>
            </w:pPr>
            <w:r>
              <w:t>[2]</w:t>
            </w:r>
            <w:r>
              <w:tab/>
              <w:t xml:space="preserve">On 10 November 2017, the applicants issued combined summons against Etemo Properties CC (Etemo), Johannes Mbambi, Haifo Shilongo, Leonard Elago (first respondent), the defendants in case HC-MD-CIV-CON-2017/04334, as a result of a performance guarantee totalling N$1 200 000 in respect of a sectional title development that Etemo was engaged in. Written surety agreements were issued in favour of Etemo whereby </w:t>
            </w:r>
            <w:r w:rsidRPr="00AF2E2C">
              <w:t>Mbambi</w:t>
            </w:r>
            <w:r>
              <w:t>, Shilongo and the Elago’s bound themselves jointly and severally with Etemo for the due and punctual performance on demand of all obligations of Etemo.</w:t>
            </w:r>
          </w:p>
          <w:p w:rsidR="00B22DD3" w:rsidRDefault="00B22DD3" w:rsidP="00B22DD3">
            <w:pPr>
              <w:pStyle w:val="BodyText"/>
            </w:pPr>
          </w:p>
          <w:p w:rsidR="00B22DD3" w:rsidRDefault="00B22DD3" w:rsidP="00B22DD3">
            <w:pPr>
              <w:pStyle w:val="BodyText"/>
            </w:pPr>
            <w:r>
              <w:t>[3]</w:t>
            </w:r>
            <w:r>
              <w:tab/>
              <w:t>Performance guarantees were issued for N$1 200 000 on behalf of the defendants.</w:t>
            </w:r>
          </w:p>
          <w:p w:rsidR="00B22DD3" w:rsidRDefault="00B22DD3" w:rsidP="00B22DD3">
            <w:pPr>
              <w:pStyle w:val="BodyText"/>
            </w:pPr>
          </w:p>
          <w:p w:rsidR="00B22DD3" w:rsidRDefault="00B22DD3" w:rsidP="00B22DD3">
            <w:pPr>
              <w:pStyle w:val="BodyText"/>
            </w:pPr>
            <w:r>
              <w:t>[4]</w:t>
            </w:r>
            <w:r>
              <w:tab/>
              <w:t xml:space="preserve">Etemo breached the material terms of the agreement by failing to pay the total amount due. Judgment was granted against Etemo and Mr Elago on 1 September 2020 in the amount of N$1 591 027.37 jointly and severally, plus interest and cost. </w:t>
            </w:r>
          </w:p>
          <w:p w:rsidR="00B22DD3" w:rsidRDefault="00B22DD3" w:rsidP="00B22DD3">
            <w:pPr>
              <w:pStyle w:val="BodyText"/>
            </w:pPr>
          </w:p>
          <w:p w:rsidR="00B22DD3" w:rsidRDefault="00B22DD3" w:rsidP="00B22DD3">
            <w:pPr>
              <w:pStyle w:val="BodyText"/>
            </w:pPr>
            <w:r>
              <w:t>[5]</w:t>
            </w:r>
            <w:r>
              <w:tab/>
              <w:t xml:space="preserve">As the amount remained unpaid, a writ of execution against the movable property of Mr Elago was issued by the office of the Registrar. On 28 May 2021, the Deputy Sheriff of Windhoek served the writ of execution on Mr Elago at his physical address. However, he could not locate any movable disposable assets to satisfy the judgment amount and issued a nulla bona return. </w:t>
            </w:r>
          </w:p>
          <w:p w:rsidR="00B90C6F" w:rsidRDefault="00B90C6F" w:rsidP="00B22DD3">
            <w:pPr>
              <w:pStyle w:val="BodyText"/>
            </w:pPr>
          </w:p>
          <w:p w:rsidR="005F200A" w:rsidRDefault="005F200A" w:rsidP="005F200A"/>
          <w:p w:rsidR="00B22DD3" w:rsidRPr="005F200A" w:rsidRDefault="00B22DD3" w:rsidP="005F200A">
            <w:pPr>
              <w:jc w:val="right"/>
            </w:pPr>
          </w:p>
          <w:p w:rsidR="00B22DD3" w:rsidRDefault="00B22DD3" w:rsidP="00B22DD3">
            <w:pPr>
              <w:pStyle w:val="BodyText"/>
            </w:pPr>
            <w:r>
              <w:t>[6]</w:t>
            </w:r>
            <w:r>
              <w:tab/>
              <w:t xml:space="preserve">At </w:t>
            </w:r>
            <w:r w:rsidRPr="00AF2E2C">
              <w:t>the time of this application, the total outstanding amount plus interest and cost due to the Trust amount</w:t>
            </w:r>
            <w:r w:rsidR="007D2F10">
              <w:t>ed</w:t>
            </w:r>
            <w:r w:rsidRPr="00AF2E2C">
              <w:t xml:space="preserve"> to</w:t>
            </w:r>
            <w:r>
              <w:t xml:space="preserve"> N$3 466 764.76, which remains unpaid. </w:t>
            </w:r>
          </w:p>
          <w:p w:rsidR="00B22DD3" w:rsidRDefault="00B22DD3" w:rsidP="00B22DD3">
            <w:pPr>
              <w:pStyle w:val="BodyText"/>
            </w:pPr>
          </w:p>
          <w:p w:rsidR="00B22DD3" w:rsidRPr="00B22DD3" w:rsidRDefault="00B22DD3" w:rsidP="00B22DD3">
            <w:pPr>
              <w:pStyle w:val="BodyText"/>
              <w:rPr>
                <w:u w:val="single"/>
              </w:rPr>
            </w:pPr>
            <w:r w:rsidRPr="00B22DD3">
              <w:rPr>
                <w:u w:val="single"/>
              </w:rPr>
              <w:t>The application</w:t>
            </w:r>
          </w:p>
          <w:p w:rsidR="00B22DD3" w:rsidRDefault="00B22DD3" w:rsidP="00B22DD3">
            <w:pPr>
              <w:pStyle w:val="BodyText"/>
            </w:pPr>
          </w:p>
          <w:p w:rsidR="00B22DD3" w:rsidRDefault="00B22DD3" w:rsidP="00B22DD3">
            <w:pPr>
              <w:pStyle w:val="BodyText"/>
            </w:pPr>
            <w:r>
              <w:t>[7]</w:t>
            </w:r>
            <w:r>
              <w:tab/>
              <w:t>The applicants launched the following application on 4 November 2021:</w:t>
            </w:r>
          </w:p>
          <w:p w:rsidR="00B22DD3" w:rsidRDefault="00B22DD3" w:rsidP="00B22DD3">
            <w:pPr>
              <w:pStyle w:val="BodyText"/>
            </w:pPr>
          </w:p>
          <w:p w:rsidR="00B22DD3" w:rsidRPr="00B22DD3" w:rsidRDefault="00B22DD3" w:rsidP="00B22DD3">
            <w:pPr>
              <w:pStyle w:val="BodyText"/>
              <w:rPr>
                <w:sz w:val="22"/>
                <w:szCs w:val="22"/>
              </w:rPr>
            </w:pPr>
            <w:r w:rsidRPr="00B22DD3">
              <w:tab/>
            </w:r>
            <w:r>
              <w:t>‘</w:t>
            </w:r>
            <w:r w:rsidRPr="00B22DD3">
              <w:rPr>
                <w:sz w:val="22"/>
                <w:szCs w:val="22"/>
              </w:rPr>
              <w:t>TAKE NOTICE that KAUNAPAUA NDILULA N.O., EVANGELINA NANGULA HAMUNYELA N.O., JACOBUS DE LA REY DU TOIT N.O., ANDREW CAMPBELL N.O. (hereinafter called the Applicants) intend to make application to this court for an order:</w:t>
            </w:r>
          </w:p>
          <w:p w:rsidR="00B22DD3" w:rsidRPr="00B22DD3" w:rsidRDefault="00B22DD3" w:rsidP="00B22DD3">
            <w:pPr>
              <w:pStyle w:val="BodyText"/>
              <w:rPr>
                <w:sz w:val="22"/>
                <w:szCs w:val="22"/>
              </w:rPr>
            </w:pPr>
            <w:r>
              <w:rPr>
                <w:sz w:val="22"/>
                <w:szCs w:val="22"/>
              </w:rPr>
              <w:t>1.</w:t>
            </w:r>
            <w:r>
              <w:rPr>
                <w:sz w:val="22"/>
                <w:szCs w:val="22"/>
              </w:rPr>
              <w:tab/>
            </w:r>
            <w:r w:rsidRPr="00B22DD3">
              <w:rPr>
                <w:sz w:val="22"/>
                <w:szCs w:val="22"/>
              </w:rPr>
              <w:t>That the joint estate of the Respondents be provisionally sequestrated, and the assets be placed in the hands of the Master of the High Court.</w:t>
            </w:r>
          </w:p>
          <w:p w:rsidR="00B22DD3" w:rsidRPr="00B22DD3" w:rsidRDefault="00B22DD3" w:rsidP="00B22DD3">
            <w:pPr>
              <w:pStyle w:val="BodyText"/>
              <w:rPr>
                <w:sz w:val="22"/>
                <w:szCs w:val="22"/>
              </w:rPr>
            </w:pPr>
            <w:r>
              <w:rPr>
                <w:sz w:val="22"/>
                <w:szCs w:val="22"/>
              </w:rPr>
              <w:t>2.</w:t>
            </w:r>
            <w:r>
              <w:rPr>
                <w:sz w:val="22"/>
                <w:szCs w:val="22"/>
              </w:rPr>
              <w:tab/>
            </w:r>
            <w:r w:rsidRPr="00B22DD3">
              <w:rPr>
                <w:sz w:val="22"/>
                <w:szCs w:val="22"/>
              </w:rPr>
              <w:t>That a rule nisi be issued calling upon all persons concerned to appear and show cause, if any, on a date to be determined by the above Honourable Court as to why:</w:t>
            </w:r>
          </w:p>
          <w:p w:rsidR="00B22DD3" w:rsidRPr="00B22DD3" w:rsidRDefault="00B22DD3" w:rsidP="00B22DD3">
            <w:pPr>
              <w:pStyle w:val="BodyText"/>
              <w:rPr>
                <w:sz w:val="22"/>
                <w:szCs w:val="22"/>
              </w:rPr>
            </w:pPr>
            <w:r w:rsidRPr="00B22DD3">
              <w:rPr>
                <w:sz w:val="22"/>
                <w:szCs w:val="22"/>
              </w:rPr>
              <w:tab/>
            </w:r>
            <w:r>
              <w:rPr>
                <w:sz w:val="22"/>
                <w:szCs w:val="22"/>
              </w:rPr>
              <w:t>2.1</w:t>
            </w:r>
            <w:r>
              <w:rPr>
                <w:sz w:val="22"/>
                <w:szCs w:val="22"/>
              </w:rPr>
              <w:tab/>
            </w:r>
            <w:r w:rsidRPr="00B22DD3">
              <w:rPr>
                <w:sz w:val="22"/>
                <w:szCs w:val="22"/>
              </w:rPr>
              <w:t>a final order of sequestration should not be granted;</w:t>
            </w:r>
          </w:p>
          <w:p w:rsidR="00B22DD3" w:rsidRPr="00B22DD3" w:rsidRDefault="00B22DD3" w:rsidP="00B22DD3">
            <w:pPr>
              <w:pStyle w:val="BodyText"/>
              <w:rPr>
                <w:sz w:val="22"/>
                <w:szCs w:val="22"/>
              </w:rPr>
            </w:pPr>
            <w:r w:rsidRPr="00B22DD3">
              <w:rPr>
                <w:sz w:val="22"/>
                <w:szCs w:val="22"/>
              </w:rPr>
              <w:tab/>
              <w:t>2.2</w:t>
            </w:r>
            <w:r w:rsidRPr="00B22DD3">
              <w:rPr>
                <w:sz w:val="22"/>
                <w:szCs w:val="22"/>
              </w:rPr>
              <w:tab/>
              <w:t>the costs of this application should not be ordered to be costs in the sequestration of the respondents.</w:t>
            </w:r>
          </w:p>
          <w:p w:rsidR="00B22DD3" w:rsidRPr="00B22DD3" w:rsidRDefault="00B22DD3" w:rsidP="00B22DD3">
            <w:pPr>
              <w:pStyle w:val="BodyText"/>
              <w:rPr>
                <w:sz w:val="22"/>
                <w:szCs w:val="22"/>
              </w:rPr>
            </w:pPr>
            <w:r>
              <w:rPr>
                <w:sz w:val="22"/>
                <w:szCs w:val="22"/>
              </w:rPr>
              <w:t>3.</w:t>
            </w:r>
            <w:r>
              <w:rPr>
                <w:sz w:val="22"/>
                <w:szCs w:val="22"/>
              </w:rPr>
              <w:tab/>
            </w:r>
            <w:r w:rsidRPr="00B22DD3">
              <w:rPr>
                <w:sz w:val="22"/>
                <w:szCs w:val="22"/>
              </w:rPr>
              <w:t>Directing that service of the order be affected on the Respondents personally by the Sheriff.</w:t>
            </w:r>
          </w:p>
          <w:p w:rsidR="00B22DD3" w:rsidRPr="00B22DD3" w:rsidRDefault="00B22DD3" w:rsidP="00B22DD3">
            <w:pPr>
              <w:pStyle w:val="BodyText"/>
              <w:rPr>
                <w:sz w:val="22"/>
                <w:szCs w:val="22"/>
              </w:rPr>
            </w:pPr>
            <w:r w:rsidRPr="00B22DD3">
              <w:rPr>
                <w:sz w:val="22"/>
                <w:szCs w:val="22"/>
              </w:rPr>
              <w:t>4.</w:t>
            </w:r>
            <w:r w:rsidRPr="00B22DD3">
              <w:rPr>
                <w:sz w:val="22"/>
                <w:szCs w:val="22"/>
              </w:rPr>
              <w:tab/>
              <w:t>Further and or alternative relief.’</w:t>
            </w:r>
          </w:p>
          <w:p w:rsidR="00B22DD3" w:rsidRDefault="00B22DD3" w:rsidP="00B22DD3">
            <w:pPr>
              <w:pStyle w:val="BodyText"/>
            </w:pPr>
          </w:p>
          <w:p w:rsidR="00B22DD3" w:rsidRDefault="00B22DD3" w:rsidP="00B22DD3">
            <w:pPr>
              <w:pStyle w:val="BodyText"/>
            </w:pPr>
            <w:r>
              <w:t>[8]</w:t>
            </w:r>
            <w:r>
              <w:tab/>
              <w:t xml:space="preserve">It should be noted that although the </w:t>
            </w:r>
            <w:r w:rsidR="00813F77" w:rsidRPr="00AF2E2C">
              <w:t>sequestration</w:t>
            </w:r>
            <w:r w:rsidR="00813F77">
              <w:t xml:space="preserve"> </w:t>
            </w:r>
            <w:r>
              <w:t xml:space="preserve">application was brought against both Mr and </w:t>
            </w:r>
            <w:r w:rsidRPr="00AF2E2C">
              <w:t>Ms</w:t>
            </w:r>
            <w:r>
              <w:t xml:space="preserve"> Elago, the applicants did not pursue the application against </w:t>
            </w:r>
            <w:r w:rsidRPr="00AF2E2C">
              <w:t>Ms</w:t>
            </w:r>
            <w:r>
              <w:t xml:space="preserve"> Elago. </w:t>
            </w:r>
            <w:r w:rsidRPr="00B90C6F">
              <w:t>Ms</w:t>
            </w:r>
            <w:r>
              <w:t xml:space="preserve"> Elago was not a party to the proceedings under case number HC-MD-CIV-ACT-CON-2017/04334. When this application was launched, the respondents were married in community of property, and the Trust had to </w:t>
            </w:r>
            <w:r w:rsidR="00813F77" w:rsidRPr="00AF2E2C">
              <w:t>launch</w:t>
            </w:r>
            <w:r w:rsidR="00813F77">
              <w:t xml:space="preserve"> </w:t>
            </w:r>
            <w:r>
              <w:t xml:space="preserve">the proceedings against the joint </w:t>
            </w:r>
            <w:r w:rsidRPr="00AF2E2C">
              <w:t>estate. During proceedings in July</w:t>
            </w:r>
            <w:r>
              <w:t xml:space="preserve"> 2022, a decree of divorce was issued, and the </w:t>
            </w:r>
            <w:r w:rsidR="0021453F">
              <w:t>parties' joint estate was</w:t>
            </w:r>
            <w:r w:rsidR="00813F77">
              <w:t xml:space="preserve"> dissolved as a result. </w:t>
            </w:r>
          </w:p>
          <w:p w:rsidR="00AF2E2C" w:rsidRDefault="00AF2E2C" w:rsidP="00B22DD3">
            <w:pPr>
              <w:pStyle w:val="BodyText"/>
            </w:pPr>
          </w:p>
          <w:p w:rsidR="00B22DD3" w:rsidRDefault="00B22DD3" w:rsidP="00B22DD3">
            <w:pPr>
              <w:pStyle w:val="BodyText"/>
            </w:pPr>
            <w:r>
              <w:t>[9]</w:t>
            </w:r>
            <w:r>
              <w:tab/>
              <w:t>Although the applicants hold authority for the proposition that debts incurred during a marriage, and which remain unpaid at the dissolution of the marriage, remain recoverable from the former parties to the marriage, they do not pursue the application in respect of the second respondent. The applicants, however, reserved the right to pursue the debt in respect of the second respondent should the need arise.</w:t>
            </w:r>
          </w:p>
          <w:p w:rsidR="00B22DD3" w:rsidRDefault="00B22DD3" w:rsidP="00B22DD3">
            <w:pPr>
              <w:pStyle w:val="BodyText"/>
            </w:pPr>
          </w:p>
          <w:p w:rsidR="00004751" w:rsidRDefault="00004751" w:rsidP="00B22DD3">
            <w:pPr>
              <w:pStyle w:val="BodyText"/>
            </w:pPr>
          </w:p>
          <w:p w:rsidR="00004751" w:rsidRDefault="00004751" w:rsidP="00B22DD3">
            <w:pPr>
              <w:pStyle w:val="BodyText"/>
            </w:pPr>
          </w:p>
          <w:p w:rsidR="0038616F" w:rsidRDefault="0038616F" w:rsidP="00B22DD3">
            <w:pPr>
              <w:pStyle w:val="BodyText"/>
            </w:pPr>
          </w:p>
          <w:p w:rsidR="00B22DD3" w:rsidRDefault="00B22DD3" w:rsidP="00B22DD3">
            <w:pPr>
              <w:pStyle w:val="BodyText"/>
            </w:pPr>
            <w:r>
              <w:t>[10]</w:t>
            </w:r>
            <w:r>
              <w:tab/>
              <w:t xml:space="preserve">Therefore, when I refer to the respondent, it should be understood to be Mr Elago only. </w:t>
            </w:r>
          </w:p>
          <w:p w:rsidR="00B22DD3" w:rsidRDefault="00B22DD3" w:rsidP="00B22DD3">
            <w:pPr>
              <w:pStyle w:val="BodyText"/>
            </w:pPr>
          </w:p>
          <w:p w:rsidR="00B22DD3" w:rsidRDefault="00B22DD3" w:rsidP="00B22DD3">
            <w:pPr>
              <w:pStyle w:val="BodyText"/>
            </w:pPr>
            <w:r>
              <w:t>[11]</w:t>
            </w:r>
            <w:r>
              <w:tab/>
              <w:t>In support of their application, the applicants made the following averments:</w:t>
            </w:r>
          </w:p>
          <w:p w:rsidR="00B22DD3" w:rsidRDefault="00B22DD3" w:rsidP="00B22DD3">
            <w:pPr>
              <w:pStyle w:val="BodyText"/>
            </w:pPr>
            <w:r>
              <w:t>a)</w:t>
            </w:r>
            <w:r>
              <w:tab/>
              <w:t>The respondents committed an act of insolvency in terms of s 8(</w:t>
            </w:r>
            <w:r w:rsidRPr="00B22DD3">
              <w:rPr>
                <w:i/>
              </w:rPr>
              <w:t>b</w:t>
            </w:r>
            <w:r>
              <w:t>) of the Insolvency Act 24 of 1936 (the Act).</w:t>
            </w:r>
          </w:p>
          <w:p w:rsidR="00B22DD3" w:rsidRDefault="00B22DD3" w:rsidP="00B22DD3">
            <w:pPr>
              <w:pStyle w:val="BodyText"/>
            </w:pPr>
            <w:r>
              <w:t>b)</w:t>
            </w:r>
            <w:r>
              <w:tab/>
              <w:t>That it would be to the advantage of the respondents' creditors should the insolvent estate be sequestrated and that the estate be realised, which would yield a substantial dividend for the creditors. In this regard, a trustee would be able to ensure that the respondents' property is realised for its true value and that the proceeds be distributed to the respondent’s creditors.</w:t>
            </w:r>
          </w:p>
          <w:p w:rsidR="00B22DD3" w:rsidRDefault="00B22DD3" w:rsidP="00B22DD3">
            <w:pPr>
              <w:pStyle w:val="BodyText"/>
            </w:pPr>
            <w:r>
              <w:t>c)</w:t>
            </w:r>
            <w:r>
              <w:tab/>
              <w:t xml:space="preserve">That an impartial trustee will investigate the affairs of the respondents to ensure that the proceeds from the realisation of any asset will be made available to the respondents’ creditors. </w:t>
            </w:r>
          </w:p>
          <w:p w:rsidR="00B22DD3" w:rsidRDefault="00B22DD3" w:rsidP="00B22DD3">
            <w:pPr>
              <w:pStyle w:val="BodyText"/>
            </w:pPr>
            <w:r>
              <w:t>d)</w:t>
            </w:r>
            <w:r>
              <w:tab/>
              <w:t xml:space="preserve">The applicants filed a certificate in terms of s 9(3) of the Act issued on 2 February 2022 by the Master of the High Court confirming the sufficiency of the security given by the applicants. </w:t>
            </w:r>
          </w:p>
          <w:p w:rsidR="00B22DD3" w:rsidRDefault="00B22DD3" w:rsidP="00B22DD3">
            <w:pPr>
              <w:pStyle w:val="BodyText"/>
            </w:pPr>
          </w:p>
          <w:p w:rsidR="00B22DD3" w:rsidRPr="00B22DD3" w:rsidRDefault="00B22DD3" w:rsidP="00B22DD3">
            <w:pPr>
              <w:pStyle w:val="BodyText"/>
              <w:rPr>
                <w:u w:val="single"/>
              </w:rPr>
            </w:pPr>
            <w:r w:rsidRPr="00B22DD3">
              <w:rPr>
                <w:u w:val="single"/>
              </w:rPr>
              <w:t>Opposition by Mr Elago</w:t>
            </w:r>
          </w:p>
          <w:p w:rsidR="00B22DD3" w:rsidRDefault="00B22DD3" w:rsidP="00B22DD3">
            <w:pPr>
              <w:pStyle w:val="BodyText"/>
            </w:pPr>
          </w:p>
          <w:p w:rsidR="00B22DD3" w:rsidRDefault="00B22DD3" w:rsidP="00B22DD3">
            <w:pPr>
              <w:pStyle w:val="BodyText"/>
            </w:pPr>
            <w:r>
              <w:t>[12]</w:t>
            </w:r>
            <w:r>
              <w:tab/>
              <w:t xml:space="preserve">Although Mr Elago objected to the application, his failure to comply with court orders resulted in him having to request </w:t>
            </w:r>
            <w:r w:rsidRPr="00AF2E2C">
              <w:t>condonation from the court</w:t>
            </w:r>
            <w:r>
              <w:t>, which was refused. Consequently, Mr Elago could not submit answering papers, and the matter proceeded unopposed.</w:t>
            </w:r>
            <w:r w:rsidR="005F200A">
              <w:rPr>
                <w:rStyle w:val="FootnoteReference"/>
              </w:rPr>
              <w:footnoteReference w:id="1"/>
            </w:r>
          </w:p>
          <w:p w:rsidR="00B22DD3" w:rsidRDefault="00B22DD3" w:rsidP="00B22DD3">
            <w:pPr>
              <w:pStyle w:val="BodyText"/>
            </w:pPr>
          </w:p>
          <w:p w:rsidR="00B22DD3" w:rsidRPr="00B90C6F" w:rsidRDefault="00B22DD3" w:rsidP="00B22DD3">
            <w:pPr>
              <w:pStyle w:val="BodyText"/>
              <w:rPr>
                <w:u w:val="single"/>
              </w:rPr>
            </w:pPr>
            <w:r w:rsidRPr="00B90C6F">
              <w:rPr>
                <w:u w:val="single"/>
              </w:rPr>
              <w:t>Rule nisi return date</w:t>
            </w:r>
          </w:p>
          <w:p w:rsidR="00B22DD3" w:rsidRDefault="00B22DD3" w:rsidP="00B22DD3">
            <w:pPr>
              <w:pStyle w:val="BodyText"/>
            </w:pPr>
          </w:p>
          <w:p w:rsidR="00B22DD3" w:rsidRDefault="00B22DD3" w:rsidP="00B22DD3">
            <w:pPr>
              <w:pStyle w:val="BodyText"/>
            </w:pPr>
            <w:r>
              <w:t>[13]</w:t>
            </w:r>
            <w:r>
              <w:tab/>
              <w:t xml:space="preserve">The applicants obtained a provisional sequestration order on 16 March 2023, and although the matter was regarded as unopposed, the court allowed Mr Elago nevertheless to partake in the proceedings, and he was invited to show cause why a final order should not be granted. </w:t>
            </w:r>
          </w:p>
          <w:p w:rsidR="00B22DD3" w:rsidRDefault="00B22DD3" w:rsidP="00B22DD3">
            <w:pPr>
              <w:pStyle w:val="BodyText"/>
            </w:pPr>
          </w:p>
          <w:p w:rsidR="00B22DD3" w:rsidRDefault="00B22DD3" w:rsidP="00B22DD3">
            <w:pPr>
              <w:pStyle w:val="BodyText"/>
            </w:pPr>
            <w:r>
              <w:t>[14]</w:t>
            </w:r>
            <w:r>
              <w:tab/>
              <w:t xml:space="preserve">On the rule nisi return </w:t>
            </w:r>
            <w:r w:rsidRPr="00AF2E2C">
              <w:t>date which was</w:t>
            </w:r>
            <w:r>
              <w:t xml:space="preserve"> on 11 May 2023, the court raised several issues </w:t>
            </w:r>
            <w:r w:rsidRPr="00AF2E2C">
              <w:t>with</w:t>
            </w:r>
            <w:r>
              <w:t xml:space="preserve"> the applicants’ legal practitioner that, in my view, required further submissions by the parties. Some of these issues were as follows (I only refer to the major issues  raised):</w:t>
            </w:r>
          </w:p>
          <w:p w:rsidR="00B22DD3" w:rsidRDefault="00B22DD3" w:rsidP="00B22DD3">
            <w:pPr>
              <w:pStyle w:val="BodyText"/>
            </w:pPr>
            <w:r>
              <w:t>a)</w:t>
            </w:r>
            <w:r>
              <w:tab/>
              <w:t xml:space="preserve">the fact that the respondents were not served personally with the order and therefore had no opportunity to show cause why the order should not be made final; </w:t>
            </w:r>
          </w:p>
          <w:p w:rsidR="00336260" w:rsidRDefault="00B22DD3" w:rsidP="00B22DD3">
            <w:pPr>
              <w:pStyle w:val="BodyText"/>
            </w:pPr>
            <w:r>
              <w:t>b)</w:t>
            </w:r>
            <w:r>
              <w:tab/>
              <w:t xml:space="preserve">what advantage the creditors would derive from the sequestration; </w:t>
            </w:r>
          </w:p>
          <w:p w:rsidR="00B22DD3" w:rsidRDefault="00B22DD3" w:rsidP="00B22DD3">
            <w:pPr>
              <w:pStyle w:val="BodyText"/>
            </w:pPr>
            <w:r>
              <w:t>c)</w:t>
            </w:r>
            <w:r>
              <w:tab/>
              <w:t xml:space="preserve">the nulla bona return is more than six months old and whether it has become stale. </w:t>
            </w:r>
          </w:p>
          <w:p w:rsidR="00B90C6F" w:rsidRDefault="00B90C6F" w:rsidP="00B22DD3">
            <w:pPr>
              <w:pStyle w:val="BodyText"/>
            </w:pPr>
          </w:p>
          <w:p w:rsidR="00B22DD3" w:rsidRPr="005F200A" w:rsidRDefault="00B22DD3" w:rsidP="00B22DD3">
            <w:pPr>
              <w:pStyle w:val="BodyText"/>
              <w:rPr>
                <w:u w:val="single"/>
              </w:rPr>
            </w:pPr>
            <w:r w:rsidRPr="005F200A">
              <w:rPr>
                <w:u w:val="single"/>
              </w:rPr>
              <w:t>Submissions on behalf of the applicants</w:t>
            </w:r>
          </w:p>
          <w:p w:rsidR="00B22DD3" w:rsidRPr="005F200A" w:rsidRDefault="00B22DD3" w:rsidP="00B22DD3">
            <w:pPr>
              <w:pStyle w:val="BodyText"/>
              <w:rPr>
                <w:u w:val="single"/>
              </w:rPr>
            </w:pPr>
          </w:p>
          <w:p w:rsidR="00B22DD3" w:rsidRDefault="00B22DD3" w:rsidP="00B22DD3">
            <w:pPr>
              <w:pStyle w:val="BodyText"/>
            </w:pPr>
            <w:r>
              <w:t>[15]</w:t>
            </w:r>
            <w:r>
              <w:tab/>
              <w:t>Ms Kuzeeko, arguing on behalf of the applicants, commenced her argument by pointing out that Mr Elago admitted his act of insolvency on affidavit when he filed his application for condonation dated 23 September 2022.</w:t>
            </w:r>
          </w:p>
          <w:p w:rsidR="00B22DD3" w:rsidRDefault="00B22DD3" w:rsidP="00B22DD3">
            <w:pPr>
              <w:pStyle w:val="BodyText"/>
            </w:pPr>
          </w:p>
          <w:p w:rsidR="00B22DD3" w:rsidRDefault="00B22DD3" w:rsidP="00B22DD3">
            <w:pPr>
              <w:pStyle w:val="BodyText"/>
            </w:pPr>
            <w:r>
              <w:t>[16]</w:t>
            </w:r>
            <w:r>
              <w:tab/>
              <w:t>Ms Kuzeeko submitted that the applicants had complied with the requirements of s 9 of the Act, which provides that the creditor who brings the application must have established a claim against the debtor</w:t>
            </w:r>
            <w:r w:rsidR="007D2F10">
              <w:t>. I</w:t>
            </w:r>
            <w:r>
              <w:t>n other words, the debtor must indeed owe the creditor money. A second requirement is that there must also be a benefit to creditors. Thirdly, the debtor must have committed an act of insolvency.</w:t>
            </w:r>
          </w:p>
          <w:p w:rsidR="00B22DD3" w:rsidRDefault="00B22DD3" w:rsidP="00B22DD3">
            <w:pPr>
              <w:pStyle w:val="BodyText"/>
            </w:pPr>
          </w:p>
          <w:p w:rsidR="00B22DD3" w:rsidRDefault="00B22DD3" w:rsidP="00B22DD3">
            <w:pPr>
              <w:pStyle w:val="BodyText"/>
            </w:pPr>
            <w:r>
              <w:t>[17]</w:t>
            </w:r>
            <w:r>
              <w:tab/>
              <w:t>In response to the issues raised by the court, Ms Kuzeeko submitted as follows:</w:t>
            </w:r>
          </w:p>
          <w:p w:rsidR="00B22DD3" w:rsidRDefault="00B22DD3" w:rsidP="00B22DD3">
            <w:pPr>
              <w:pStyle w:val="BodyText"/>
            </w:pPr>
          </w:p>
          <w:p w:rsidR="00B22DD3" w:rsidRDefault="00B22DD3" w:rsidP="00B22DD3">
            <w:pPr>
              <w:pStyle w:val="BodyText"/>
            </w:pPr>
            <w:r>
              <w:t>a)</w:t>
            </w:r>
            <w:r>
              <w:tab/>
              <w:t xml:space="preserve">On the issue of personal service: Section 11 of the Insolvency Act provides that if the Court sequestrates the estate of a debtor provisionally, it shall simultaneously grant a rule nisi calling upon the debtor upon a day mentioned in the rule to appear and to show cause why his estate should not be sequestrated finally. The fundamental purpose of service is to bring the matter to the attention of a party, including having the benefit of an explanation as to the meaning and nature of the process. However, the respondent opposed the application and was part of the proceedings throughout. As a result, the respondent was well aware of the return date and was also present on the rule nisi return date. Therefore, personal service would not be required. </w:t>
            </w:r>
          </w:p>
          <w:p w:rsidR="00B22DD3" w:rsidRDefault="00B22DD3" w:rsidP="00B22DD3">
            <w:pPr>
              <w:pStyle w:val="BodyText"/>
            </w:pPr>
            <w:r>
              <w:t>b)</w:t>
            </w:r>
            <w:r>
              <w:tab/>
              <w:t xml:space="preserve">On the nulla bona return: the Deputy Sheriff executed the writ of execution on 28 May 2021 and issued a nulla bona return on 1 June 2021. The current application was launched on 3 November 2021. At the time of the application, the nulla bona was less than six months old and, therefore not stale, even though the application was heard only some 16 months later. </w:t>
            </w:r>
          </w:p>
          <w:p w:rsidR="00004751" w:rsidRDefault="00B22DD3" w:rsidP="00B22DD3">
            <w:pPr>
              <w:pStyle w:val="BodyText"/>
            </w:pPr>
            <w:r>
              <w:t>c)</w:t>
            </w:r>
            <w:r>
              <w:tab/>
              <w:t xml:space="preserve">On the advantage for the creditors: The term advantage to creditors is not defined in the Insolvency Act. It is trite that there is no onus on the Trust to prove that it is to the advantage or benefit of the creditors and what dividend would be paid to the creditors if the estate of the respondent (debtor) is sequestrated. From the authorities, it is sufficient if the Trust reasonably </w:t>
            </w:r>
            <w:r w:rsidRPr="00AF2E2C">
              <w:t>believes</w:t>
            </w:r>
            <w:r>
              <w:t xml:space="preserve"> that it will be to the advantage or benefit of the creditors that the estate of the respondent</w:t>
            </w:r>
          </w:p>
          <w:p w:rsidR="00004751" w:rsidRDefault="00004751" w:rsidP="00B22DD3">
            <w:pPr>
              <w:pStyle w:val="BodyText"/>
            </w:pPr>
          </w:p>
          <w:p w:rsidR="00004751" w:rsidRDefault="00004751" w:rsidP="00B22DD3">
            <w:pPr>
              <w:pStyle w:val="BodyText"/>
            </w:pPr>
          </w:p>
          <w:p w:rsidR="0038616F" w:rsidRDefault="0038616F" w:rsidP="00B22DD3">
            <w:pPr>
              <w:pStyle w:val="BodyText"/>
            </w:pPr>
          </w:p>
          <w:p w:rsidR="0038616F" w:rsidRDefault="0038616F" w:rsidP="00B22DD3">
            <w:pPr>
              <w:pStyle w:val="BodyText"/>
            </w:pPr>
          </w:p>
          <w:p w:rsidR="00B90C6F" w:rsidRDefault="00B22DD3" w:rsidP="00B22DD3">
            <w:pPr>
              <w:pStyle w:val="BodyText"/>
            </w:pPr>
            <w:r>
              <w:t xml:space="preserve">is sequestrated. Ms Kuzeeko referred the court to </w:t>
            </w:r>
            <w:r w:rsidRPr="005775DF">
              <w:rPr>
                <w:i/>
              </w:rPr>
              <w:t>Hillhouse v Stott, Freban Investments (Pty) Ltd v Itzkin; Botha v Botha</w:t>
            </w:r>
            <w:r>
              <w:t>,</w:t>
            </w:r>
            <w:r w:rsidR="005775DF">
              <w:rPr>
                <w:rStyle w:val="FootnoteReference"/>
              </w:rPr>
              <w:footnoteReference w:id="2"/>
            </w:r>
            <w:r w:rsidR="005775DF">
              <w:t xml:space="preserve"> </w:t>
            </w:r>
            <w:r>
              <w:t>wherein the court explained ‘reason to believe’ to mean “it is not required</w:t>
            </w:r>
          </w:p>
          <w:p w:rsidR="00B22DD3" w:rsidRDefault="00B22DD3" w:rsidP="00B22DD3">
            <w:pPr>
              <w:pStyle w:val="BodyText"/>
            </w:pPr>
            <w:r>
              <w:t xml:space="preserve">to prove that sequestration will be advantageous to the creditors, only a reasonable belief that it will be so. However, the belief must be rational, and the court must be furnished with sufficient facts to support it.” </w:t>
            </w:r>
          </w:p>
          <w:p w:rsidR="00B22DD3" w:rsidRDefault="00B22DD3" w:rsidP="00B22DD3">
            <w:pPr>
              <w:pStyle w:val="BodyText"/>
            </w:pPr>
            <w:r>
              <w:t>d)</w:t>
            </w:r>
            <w:r>
              <w:tab/>
              <w:t>Currently, the Trust cannot investigate the af</w:t>
            </w:r>
            <w:r w:rsidR="007D2F10">
              <w:t>fairs and or the assets of the</w:t>
            </w:r>
            <w:r w:rsidR="008F41BE">
              <w:t xml:space="preserve"> </w:t>
            </w:r>
            <w:r>
              <w:t>respondent, and the appointment of a trustee is necessary. The respondent referred in his papers to construction and immovable property, which has been disposed of and should be investigated. Counsel further submitted that even if this court were to find that there is no pecuniary benefit to the creditors, which may only be established upon an investigation by a trustee, the estate of the respondent should be sequestrated as it would be in the benefit of his creditors. In this regard,</w:t>
            </w:r>
            <w:r w:rsidR="007D2F10">
              <w:t xml:space="preserve"> </w:t>
            </w:r>
            <w:r>
              <w:t xml:space="preserve">Ms Kuzeeko drew the court’s attention to </w:t>
            </w:r>
            <w:r w:rsidRPr="00AF2E2C">
              <w:rPr>
                <w:i/>
              </w:rPr>
              <w:t>Meskin &amp; Co v Friedman</w:t>
            </w:r>
            <w:r w:rsidR="00B90C6F">
              <w:rPr>
                <w:i/>
              </w:rPr>
              <w:t>.</w:t>
            </w:r>
            <w:r>
              <w:rPr>
                <w:rStyle w:val="FootnoteReference"/>
              </w:rPr>
              <w:footnoteReference w:id="3"/>
            </w:r>
            <w:r>
              <w:t xml:space="preserve"> </w:t>
            </w:r>
          </w:p>
          <w:p w:rsidR="00B22DD3" w:rsidRDefault="00B22DD3" w:rsidP="00B22DD3">
            <w:pPr>
              <w:pStyle w:val="BodyText"/>
            </w:pPr>
          </w:p>
          <w:p w:rsidR="00B22DD3" w:rsidRPr="00B22DD3" w:rsidRDefault="00B22DD3" w:rsidP="00B22DD3">
            <w:pPr>
              <w:pStyle w:val="BodyText"/>
              <w:rPr>
                <w:u w:val="single"/>
              </w:rPr>
            </w:pPr>
            <w:r w:rsidRPr="00B22DD3">
              <w:rPr>
                <w:u w:val="single"/>
              </w:rPr>
              <w:t>Submissions on behalf of the respondent</w:t>
            </w:r>
          </w:p>
          <w:p w:rsidR="00B22DD3" w:rsidRDefault="00B22DD3" w:rsidP="00B22DD3">
            <w:pPr>
              <w:pStyle w:val="BodyText"/>
            </w:pPr>
          </w:p>
          <w:p w:rsidR="00B22DD3" w:rsidRDefault="00B22DD3" w:rsidP="00B22DD3">
            <w:pPr>
              <w:pStyle w:val="BodyText"/>
            </w:pPr>
            <w:r>
              <w:t>[18]</w:t>
            </w:r>
            <w:r>
              <w:tab/>
              <w:t xml:space="preserve">Mr Elago submitted that if the court granted the order as prayed, it would leave him financially destitute as he would not be able to do business which in turn </w:t>
            </w:r>
            <w:r w:rsidRPr="00AF2E2C">
              <w:t xml:space="preserve">would </w:t>
            </w:r>
            <w:r w:rsidR="00002901" w:rsidRPr="00AF2E2C">
              <w:t>result in</w:t>
            </w:r>
            <w:r w:rsidRPr="00AF2E2C">
              <w:t xml:space="preserve"> </w:t>
            </w:r>
            <w:r w:rsidR="00002901" w:rsidRPr="00AF2E2C">
              <w:t xml:space="preserve">him </w:t>
            </w:r>
            <w:r w:rsidRPr="00AF2E2C">
              <w:t>be</w:t>
            </w:r>
            <w:r w:rsidR="00002901" w:rsidRPr="00AF2E2C">
              <w:t>ing</w:t>
            </w:r>
            <w:r w:rsidRPr="00AF2E2C">
              <w:t xml:space="preserve"> unable to satisfy the de</w:t>
            </w:r>
            <w:r w:rsidR="00002901" w:rsidRPr="00AF2E2C">
              <w:t>bt</w:t>
            </w:r>
            <w:r w:rsidRPr="00AF2E2C">
              <w:t>. Therefore, a sequestration order would not be to the advantage of his creditors.</w:t>
            </w:r>
          </w:p>
          <w:p w:rsidR="00B22DD3" w:rsidRDefault="00B22DD3" w:rsidP="00B22DD3">
            <w:pPr>
              <w:pStyle w:val="BodyText"/>
            </w:pPr>
          </w:p>
          <w:p w:rsidR="00B22DD3" w:rsidRDefault="00B22DD3" w:rsidP="00B22DD3">
            <w:pPr>
              <w:pStyle w:val="BodyText"/>
            </w:pPr>
            <w:r>
              <w:t>[19]</w:t>
            </w:r>
            <w:r>
              <w:tab/>
              <w:t xml:space="preserve">In addition to the inability to satisfy his debts, the respondent submitted that he would not be able to provide for his family. </w:t>
            </w:r>
          </w:p>
          <w:p w:rsidR="00B22DD3" w:rsidRDefault="00B22DD3" w:rsidP="00B22DD3">
            <w:pPr>
              <w:pStyle w:val="BodyText"/>
            </w:pPr>
          </w:p>
          <w:p w:rsidR="00B22DD3" w:rsidRDefault="00B22DD3" w:rsidP="00B22DD3">
            <w:pPr>
              <w:pStyle w:val="BodyText"/>
            </w:pPr>
            <w:r>
              <w:t>[20]</w:t>
            </w:r>
            <w:r>
              <w:tab/>
              <w:t xml:space="preserve">Mr Elago further submitted that the immovable property referred to in his application for condonation was sold in June 2023, and as a result, he no longer possesses any immovable property. </w:t>
            </w:r>
          </w:p>
          <w:p w:rsidR="00B22DD3" w:rsidRDefault="00B22DD3" w:rsidP="00B22DD3">
            <w:pPr>
              <w:pStyle w:val="BodyText"/>
            </w:pPr>
          </w:p>
          <w:p w:rsidR="00B22DD3" w:rsidRDefault="00B22DD3" w:rsidP="00B22DD3">
            <w:pPr>
              <w:pStyle w:val="BodyText"/>
            </w:pPr>
            <w:r>
              <w:t>[21]</w:t>
            </w:r>
            <w:r>
              <w:tab/>
              <w:t xml:space="preserve">The respondent further raised the issue that the application was limited to him and </w:t>
            </w:r>
            <w:r w:rsidR="00002901" w:rsidRPr="00AF2E2C">
              <w:t>is</w:t>
            </w:r>
            <w:r w:rsidR="00002901">
              <w:t xml:space="preserve"> </w:t>
            </w:r>
            <w:r>
              <w:t>not in respect of the remainder of the judgment debtors in case HC-MD-CIV-CON-2017/04334.</w:t>
            </w:r>
          </w:p>
          <w:p w:rsidR="00B22DD3" w:rsidRDefault="00B22DD3" w:rsidP="00B22DD3">
            <w:pPr>
              <w:pStyle w:val="BodyText"/>
            </w:pPr>
          </w:p>
          <w:p w:rsidR="00004751" w:rsidRDefault="00004751" w:rsidP="00B22DD3">
            <w:pPr>
              <w:pStyle w:val="BodyText"/>
            </w:pPr>
          </w:p>
          <w:p w:rsidR="00004751" w:rsidRDefault="00004751" w:rsidP="00B22DD3">
            <w:pPr>
              <w:pStyle w:val="BodyText"/>
            </w:pPr>
          </w:p>
          <w:p w:rsidR="00336260" w:rsidRDefault="00336260" w:rsidP="00B22DD3">
            <w:pPr>
              <w:pStyle w:val="BodyText"/>
            </w:pPr>
          </w:p>
          <w:p w:rsidR="00B22DD3" w:rsidRPr="00002901" w:rsidRDefault="00B22DD3" w:rsidP="00B22DD3">
            <w:pPr>
              <w:pStyle w:val="BodyText"/>
              <w:rPr>
                <w:u w:val="single"/>
              </w:rPr>
            </w:pPr>
            <w:r w:rsidRPr="00002901">
              <w:rPr>
                <w:u w:val="single"/>
              </w:rPr>
              <w:t>Discussion</w:t>
            </w:r>
          </w:p>
          <w:p w:rsidR="00B22DD3" w:rsidRDefault="00B22DD3" w:rsidP="00B22DD3">
            <w:pPr>
              <w:pStyle w:val="BodyText"/>
            </w:pPr>
          </w:p>
          <w:p w:rsidR="00B22DD3" w:rsidRDefault="00B22DD3" w:rsidP="00B22DD3">
            <w:pPr>
              <w:pStyle w:val="BodyText"/>
            </w:pPr>
            <w:r>
              <w:t>[22]</w:t>
            </w:r>
            <w:r>
              <w:tab/>
              <w:t xml:space="preserve">In </w:t>
            </w:r>
            <w:r w:rsidRPr="00002901">
              <w:rPr>
                <w:i/>
              </w:rPr>
              <w:t>Baard and Another v Serengetti Tourism (Pty) Ltd t/a Etosha Mountain Lodge</w:t>
            </w:r>
            <w:r w:rsidR="00002901">
              <w:rPr>
                <w:rStyle w:val="FootnoteReference"/>
                <w:i/>
              </w:rPr>
              <w:footnoteReference w:id="4"/>
            </w:r>
            <w:r w:rsidR="00002901">
              <w:t xml:space="preserve"> </w:t>
            </w:r>
            <w:r>
              <w:t xml:space="preserve">our Apex Court set out the </w:t>
            </w:r>
            <w:r w:rsidRPr="00AF2E2C">
              <w:t xml:space="preserve">requirements </w:t>
            </w:r>
            <w:r w:rsidR="00813F77" w:rsidRPr="00AF2E2C">
              <w:t>for</w:t>
            </w:r>
            <w:r w:rsidR="00813F77">
              <w:t xml:space="preserve"> </w:t>
            </w:r>
            <w:r>
              <w:t>sequestration as follows:</w:t>
            </w:r>
          </w:p>
          <w:p w:rsidR="00B22DD3" w:rsidRDefault="00B22DD3" w:rsidP="00B22DD3">
            <w:pPr>
              <w:pStyle w:val="BodyText"/>
            </w:pPr>
          </w:p>
          <w:p w:rsidR="00B22DD3" w:rsidRDefault="00002901" w:rsidP="00B22DD3">
            <w:pPr>
              <w:pStyle w:val="BodyText"/>
              <w:rPr>
                <w:sz w:val="22"/>
                <w:szCs w:val="22"/>
              </w:rPr>
            </w:pPr>
            <w:r w:rsidRPr="00002901">
              <w:tab/>
              <w:t xml:space="preserve"> </w:t>
            </w:r>
            <w:r w:rsidR="00B22DD3" w:rsidRPr="00002901">
              <w:rPr>
                <w:sz w:val="22"/>
                <w:szCs w:val="22"/>
              </w:rPr>
              <w:t xml:space="preserve">‘[52] The requirements of sequestration which must be met for a valid sequestration order, repeated here for convenience, are that the applicant creditor must have a liquidated claim against the debtor of an amount not less than N$5000; the debtor must have committed an act of insolvency in terms of the Act and is in fact insolvent and the court, using its discretion based on the facts and circumstances of the particular case must be satisfied that sequestration would be to the advantage of the creditors. The court in </w:t>
            </w:r>
            <w:r w:rsidR="00B22DD3" w:rsidRPr="005775DF">
              <w:rPr>
                <w:i/>
                <w:sz w:val="22"/>
                <w:szCs w:val="22"/>
              </w:rPr>
              <w:t>Braithwaite v Gilbert (Volkskas Bpk Intervening)</w:t>
            </w:r>
            <w:r w:rsidR="00813F77">
              <w:t xml:space="preserve"> </w:t>
            </w:r>
            <w:r w:rsidR="00813F77">
              <w:rPr>
                <w:sz w:val="22"/>
                <w:szCs w:val="22"/>
              </w:rPr>
              <w:t>1984 (4) SA 717 (W)</w:t>
            </w:r>
            <w:r w:rsidR="00B22DD3" w:rsidRPr="005775DF">
              <w:rPr>
                <w:i/>
                <w:sz w:val="22"/>
                <w:szCs w:val="22"/>
              </w:rPr>
              <w:t xml:space="preserve"> </w:t>
            </w:r>
            <w:r w:rsidR="00B22DD3" w:rsidRPr="00002901">
              <w:rPr>
                <w:sz w:val="22"/>
                <w:szCs w:val="22"/>
              </w:rPr>
              <w:t>confirmed that the onus rests entirely on the applicant creditor and not on the debtor to show that the above requirements have been met.’</w:t>
            </w:r>
          </w:p>
          <w:p w:rsidR="00B22DD3" w:rsidRDefault="00B22DD3" w:rsidP="00B22DD3">
            <w:pPr>
              <w:pStyle w:val="BodyText"/>
            </w:pPr>
          </w:p>
          <w:p w:rsidR="00B22DD3" w:rsidRPr="00002901" w:rsidRDefault="00B22DD3" w:rsidP="00B22DD3">
            <w:pPr>
              <w:pStyle w:val="BodyText"/>
              <w:rPr>
                <w:i/>
              </w:rPr>
            </w:pPr>
            <w:r w:rsidRPr="00002901">
              <w:rPr>
                <w:i/>
              </w:rPr>
              <w:t>The court’s duty on the return day</w:t>
            </w:r>
          </w:p>
          <w:p w:rsidR="00002901" w:rsidRPr="00002901" w:rsidRDefault="00002901" w:rsidP="00B22DD3">
            <w:pPr>
              <w:pStyle w:val="BodyText"/>
              <w:rPr>
                <w:i/>
              </w:rPr>
            </w:pPr>
          </w:p>
          <w:p w:rsidR="00B22DD3" w:rsidRDefault="00B22DD3" w:rsidP="00B22DD3">
            <w:pPr>
              <w:pStyle w:val="BodyText"/>
            </w:pPr>
            <w:r>
              <w:t>[23]</w:t>
            </w:r>
            <w:r>
              <w:tab/>
              <w:t xml:space="preserve">On the return day, when the court is approached to confirm the provisional sequestration order, the court has a duty to </w:t>
            </w:r>
            <w:r w:rsidR="00002901" w:rsidRPr="00AF2E2C">
              <w:t xml:space="preserve">determine </w:t>
            </w:r>
            <w:r w:rsidRPr="00AF2E2C">
              <w:t>i</w:t>
            </w:r>
            <w:r>
              <w:t xml:space="preserve">f the formalities have been met </w:t>
            </w:r>
            <w:r w:rsidR="007D2F10">
              <w:t>and would only grant the final order if satisfied that the applicant had established the requirements of s 12(1) of the Act</w:t>
            </w:r>
            <w:r>
              <w:t xml:space="preserve">. </w:t>
            </w:r>
          </w:p>
          <w:p w:rsidR="00AF2E2C" w:rsidRDefault="00AF2E2C" w:rsidP="00B22DD3">
            <w:pPr>
              <w:pStyle w:val="BodyText"/>
            </w:pPr>
          </w:p>
          <w:p w:rsidR="00B22DD3" w:rsidRPr="00002901" w:rsidRDefault="00B22DD3" w:rsidP="00B22DD3">
            <w:pPr>
              <w:pStyle w:val="BodyText"/>
              <w:rPr>
                <w:i/>
              </w:rPr>
            </w:pPr>
            <w:r w:rsidRPr="00002901">
              <w:rPr>
                <w:i/>
              </w:rPr>
              <w:t xml:space="preserve">Has an act of insolvency been </w:t>
            </w:r>
            <w:r w:rsidR="00002901" w:rsidRPr="00AF2E2C">
              <w:rPr>
                <w:i/>
              </w:rPr>
              <w:t>established</w:t>
            </w:r>
            <w:r w:rsidRPr="00002901">
              <w:rPr>
                <w:i/>
              </w:rPr>
              <w:t>?</w:t>
            </w:r>
          </w:p>
          <w:p w:rsidR="00002901" w:rsidRPr="00002901" w:rsidRDefault="00002901" w:rsidP="00B22DD3">
            <w:pPr>
              <w:pStyle w:val="BodyText"/>
              <w:rPr>
                <w:i/>
              </w:rPr>
            </w:pPr>
          </w:p>
          <w:p w:rsidR="00B22DD3" w:rsidRDefault="00002901" w:rsidP="00B22DD3">
            <w:pPr>
              <w:pStyle w:val="BodyText"/>
            </w:pPr>
            <w:r>
              <w:t>[24]</w:t>
            </w:r>
            <w:r>
              <w:tab/>
              <w:t>Section 8</w:t>
            </w:r>
            <w:r w:rsidR="00B22DD3">
              <w:t>(</w:t>
            </w:r>
            <w:r w:rsidR="00B22DD3" w:rsidRPr="00002901">
              <w:rPr>
                <w:i/>
              </w:rPr>
              <w:t>b</w:t>
            </w:r>
            <w:r>
              <w:t xml:space="preserve">) of the </w:t>
            </w:r>
            <w:r w:rsidR="00B22DD3">
              <w:t>Act, which is relevant to the facts be</w:t>
            </w:r>
            <w:r>
              <w:t>fore</w:t>
            </w:r>
            <w:r w:rsidR="00B22DD3">
              <w:t xml:space="preserve"> this court</w:t>
            </w:r>
            <w:r w:rsidR="00597765">
              <w:t>,</w:t>
            </w:r>
            <w:r w:rsidR="00B22DD3">
              <w:t xml:space="preserve"> reads as follows:</w:t>
            </w:r>
          </w:p>
          <w:p w:rsidR="00002901" w:rsidRDefault="00002901" w:rsidP="00B22DD3">
            <w:pPr>
              <w:pStyle w:val="BodyText"/>
            </w:pPr>
          </w:p>
          <w:p w:rsidR="00B22DD3" w:rsidRPr="00002901" w:rsidRDefault="00002901" w:rsidP="00B22DD3">
            <w:pPr>
              <w:pStyle w:val="BodyText"/>
              <w:rPr>
                <w:sz w:val="22"/>
                <w:szCs w:val="22"/>
              </w:rPr>
            </w:pPr>
            <w:r w:rsidRPr="00002901">
              <w:tab/>
              <w:t xml:space="preserve"> </w:t>
            </w:r>
            <w:r w:rsidR="00B22DD3">
              <w:t>‘</w:t>
            </w:r>
            <w:r w:rsidR="00B22DD3" w:rsidRPr="00002901">
              <w:rPr>
                <w:sz w:val="22"/>
                <w:szCs w:val="22"/>
              </w:rPr>
              <w:t>A debtor commits an act of insolvency-</w:t>
            </w:r>
          </w:p>
          <w:p w:rsidR="00B22DD3" w:rsidRPr="00002901" w:rsidRDefault="00813F77" w:rsidP="00B22DD3">
            <w:pPr>
              <w:pStyle w:val="BodyText"/>
              <w:rPr>
                <w:sz w:val="22"/>
                <w:szCs w:val="22"/>
              </w:rPr>
            </w:pPr>
            <w:r>
              <w:rPr>
                <w:sz w:val="22"/>
                <w:szCs w:val="22"/>
              </w:rPr>
              <w:t>(a)</w:t>
            </w:r>
            <w:r>
              <w:rPr>
                <w:sz w:val="22"/>
                <w:szCs w:val="22"/>
              </w:rPr>
              <w:tab/>
              <w:t xml:space="preserve">. . . . </w:t>
            </w:r>
          </w:p>
          <w:p w:rsidR="00B22DD3" w:rsidRDefault="00B22DD3" w:rsidP="00B22DD3">
            <w:pPr>
              <w:pStyle w:val="BodyText"/>
            </w:pPr>
            <w:r w:rsidRPr="00002901">
              <w:rPr>
                <w:sz w:val="22"/>
                <w:szCs w:val="22"/>
              </w:rPr>
              <w:t>(b)</w:t>
            </w:r>
            <w:r w:rsidRPr="00002901">
              <w:rPr>
                <w:sz w:val="22"/>
                <w:szCs w:val="22"/>
              </w:rPr>
              <w:tab/>
              <w:t>if a court has given judgment against him and he fails, upon the demand of the officer whose duty it is to execute that judgment, to satisfy it or to indicate to that officer disposable property sufficient to satisfy it, or if it appears from the return made by that officer that he has not found sufficient disposable property to satisfy the judgment;</w:t>
            </w:r>
            <w:r>
              <w:t xml:space="preserve"> …’</w:t>
            </w:r>
          </w:p>
          <w:p w:rsidR="00B22DD3" w:rsidRDefault="00B22DD3" w:rsidP="00B22DD3">
            <w:pPr>
              <w:pStyle w:val="BodyText"/>
            </w:pPr>
          </w:p>
          <w:p w:rsidR="0038616F" w:rsidRDefault="00B22DD3" w:rsidP="00B22DD3">
            <w:pPr>
              <w:pStyle w:val="BodyText"/>
            </w:pPr>
            <w:r>
              <w:t>[25]</w:t>
            </w:r>
            <w:r>
              <w:tab/>
              <w:t xml:space="preserve">It is common cause that the respondent admitted to an act of insolvency and that he is factually insolvent. The Deputy Sheriff further declared in </w:t>
            </w:r>
            <w:r w:rsidRPr="00AF2E2C">
              <w:t xml:space="preserve">the </w:t>
            </w:r>
            <w:r w:rsidR="00002901" w:rsidRPr="00AF2E2C">
              <w:t xml:space="preserve">nulla bona </w:t>
            </w:r>
            <w:r w:rsidRPr="00AF2E2C">
              <w:t>return</w:t>
            </w:r>
            <w:r>
              <w:t xml:space="preserve"> that after diligent </w:t>
            </w:r>
          </w:p>
          <w:p w:rsidR="0038616F" w:rsidRDefault="0038616F" w:rsidP="00B22DD3">
            <w:pPr>
              <w:pStyle w:val="BodyText"/>
            </w:pPr>
          </w:p>
          <w:p w:rsidR="00B22DD3" w:rsidRDefault="00B22DD3" w:rsidP="00B22DD3">
            <w:pPr>
              <w:pStyle w:val="BodyText"/>
            </w:pPr>
            <w:r>
              <w:t xml:space="preserve">search he could not locate movable disposable assets to satisfy the writ of execution or a portion thereof and therefore returned a nulla bona. </w:t>
            </w:r>
          </w:p>
          <w:p w:rsidR="00B90C6F" w:rsidRDefault="00B90C6F" w:rsidP="00B22DD3">
            <w:pPr>
              <w:pStyle w:val="BodyText"/>
            </w:pPr>
          </w:p>
          <w:p w:rsidR="00B22DD3" w:rsidRPr="00072566" w:rsidRDefault="00B22DD3" w:rsidP="00B22DD3">
            <w:pPr>
              <w:pStyle w:val="BodyText"/>
              <w:rPr>
                <w:u w:val="single"/>
              </w:rPr>
            </w:pPr>
            <w:r w:rsidRPr="00072566">
              <w:rPr>
                <w:u w:val="single"/>
              </w:rPr>
              <w:t>Service on the respondent</w:t>
            </w:r>
          </w:p>
          <w:p w:rsidR="00072566" w:rsidRDefault="00072566" w:rsidP="00B22DD3">
            <w:pPr>
              <w:pStyle w:val="BodyText"/>
            </w:pPr>
          </w:p>
          <w:p w:rsidR="00B22DD3" w:rsidRDefault="00B22DD3" w:rsidP="00B22DD3">
            <w:pPr>
              <w:pStyle w:val="BodyText"/>
            </w:pPr>
            <w:r>
              <w:t>[26]</w:t>
            </w:r>
            <w:r>
              <w:tab/>
              <w:t xml:space="preserve">I </w:t>
            </w:r>
            <w:r w:rsidRPr="00AF2E2C">
              <w:t>raise</w:t>
            </w:r>
            <w:r w:rsidR="00072566" w:rsidRPr="00AF2E2C">
              <w:t>d</w:t>
            </w:r>
            <w:r w:rsidRPr="00AF2E2C">
              <w:t xml:space="preserve"> the issue of personal service of the rule nisi on the respondent with Ms Kuzeeko. The rule nisi was served on a third </w:t>
            </w:r>
            <w:r w:rsidR="00072566" w:rsidRPr="00AF2E2C">
              <w:t xml:space="preserve">party </w:t>
            </w:r>
            <w:r w:rsidRPr="00AF2E2C">
              <w:t>and</w:t>
            </w:r>
            <w:r>
              <w:t xml:space="preserve"> not on the respondent personally. </w:t>
            </w:r>
          </w:p>
          <w:p w:rsidR="00B22DD3" w:rsidRDefault="00B22DD3" w:rsidP="00B22DD3">
            <w:pPr>
              <w:pStyle w:val="BodyText"/>
            </w:pPr>
          </w:p>
          <w:p w:rsidR="00B22DD3" w:rsidRDefault="00B22DD3" w:rsidP="00B22DD3">
            <w:pPr>
              <w:pStyle w:val="BodyText"/>
            </w:pPr>
            <w:r>
              <w:t>[27]</w:t>
            </w:r>
            <w:r>
              <w:tab/>
              <w:t>It is a fundamental principle of fairness in litigation that litigants be given proper notice of l</w:t>
            </w:r>
            <w:r w:rsidR="005775DF">
              <w:t>egal proceedings against them.</w:t>
            </w:r>
            <w:r w:rsidR="005775DF">
              <w:rPr>
                <w:rStyle w:val="FootnoteReference"/>
              </w:rPr>
              <w:footnoteReference w:id="5"/>
            </w:r>
            <w:r w:rsidR="005775DF">
              <w:t xml:space="preserve"> </w:t>
            </w:r>
            <w:r>
              <w:t>This is indeed not a matter where the respondent came to know about the proceedings by some other means. The respondent was been personally served with the initiating process and has been part of the proceedings throughout. The fundamental purpose of service has been complied with, and the respondent not only opposed the application but was in attendance when the court issued the rule nisi. I am therefore satisfied that even though the rule nisi was not served on the respondent personally</w:t>
            </w:r>
            <w:r w:rsidR="00072566">
              <w:t>,</w:t>
            </w:r>
            <w:r>
              <w:t xml:space="preserve"> the respondent was aware of the return date. As a result of </w:t>
            </w:r>
            <w:r w:rsidR="00072566" w:rsidRPr="00AF2E2C">
              <w:t xml:space="preserve">the </w:t>
            </w:r>
            <w:r w:rsidRPr="00AF2E2C">
              <w:t>extension</w:t>
            </w:r>
            <w:r>
              <w:t xml:space="preserve"> of the rule to enable the parties to address the issues raised</w:t>
            </w:r>
            <w:r w:rsidR="00597765">
              <w:t>,</w:t>
            </w:r>
            <w:r>
              <w:t xml:space="preserve"> it also gave the respondent the opportunity to show cause why the final order should not be granted.  </w:t>
            </w:r>
          </w:p>
          <w:p w:rsidR="00B22DD3" w:rsidRDefault="00B22DD3" w:rsidP="00B22DD3">
            <w:pPr>
              <w:pStyle w:val="BodyText"/>
            </w:pPr>
          </w:p>
          <w:p w:rsidR="00B22DD3" w:rsidRDefault="0038616F" w:rsidP="00B22DD3">
            <w:pPr>
              <w:pStyle w:val="BodyText"/>
            </w:pPr>
            <w:r>
              <w:t>[28]</w:t>
            </w:r>
            <w:r>
              <w:tab/>
            </w:r>
            <w:r w:rsidR="00B22DD3">
              <w:t xml:space="preserve">The respondent attended court on the return date and made submissions in reply to those </w:t>
            </w:r>
            <w:r w:rsidR="00072566" w:rsidRPr="00AF2E2C">
              <w:t xml:space="preserve">submissions made </w:t>
            </w:r>
            <w:r w:rsidR="00597765">
              <w:t>on behalf of the</w:t>
            </w:r>
            <w:r w:rsidR="00B22DD3">
              <w:t xml:space="preserve"> applicant</w:t>
            </w:r>
            <w:r>
              <w:t>s</w:t>
            </w:r>
            <w:r w:rsidR="00B22DD3">
              <w:t xml:space="preserve">. </w:t>
            </w:r>
          </w:p>
          <w:p w:rsidR="00B22DD3" w:rsidRDefault="00B22DD3" w:rsidP="00B22DD3">
            <w:pPr>
              <w:pStyle w:val="BodyText"/>
            </w:pPr>
          </w:p>
          <w:p w:rsidR="00B22DD3" w:rsidRPr="00072566" w:rsidRDefault="00B22DD3" w:rsidP="00B22DD3">
            <w:pPr>
              <w:pStyle w:val="BodyText"/>
              <w:rPr>
                <w:i/>
              </w:rPr>
            </w:pPr>
            <w:r w:rsidRPr="00072566">
              <w:rPr>
                <w:i/>
              </w:rPr>
              <w:t>Nulla bona return</w:t>
            </w:r>
          </w:p>
          <w:p w:rsidR="00B22DD3" w:rsidRPr="00072566" w:rsidRDefault="00B22DD3" w:rsidP="00B22DD3">
            <w:pPr>
              <w:pStyle w:val="BodyText"/>
              <w:rPr>
                <w:i/>
              </w:rPr>
            </w:pPr>
          </w:p>
          <w:p w:rsidR="00B22DD3" w:rsidRDefault="00B22DD3" w:rsidP="00B22DD3">
            <w:pPr>
              <w:pStyle w:val="BodyText"/>
            </w:pPr>
            <w:r>
              <w:t>[29]</w:t>
            </w:r>
            <w:r>
              <w:tab/>
              <w:t xml:space="preserve">I raised the issue of the nulla bona return with Ms Kuzeeko and whether it was stale. Having considered the nulla bona return, it is clear that the writ of execution was executed on 28 May 2021, and a nulla bona return was filed on 1 June 2021. The current application was launched on 3 November 2021, which was within a period of six months. </w:t>
            </w:r>
          </w:p>
          <w:p w:rsidR="00B22DD3" w:rsidRDefault="00B22DD3" w:rsidP="00B22DD3">
            <w:pPr>
              <w:pStyle w:val="BodyText"/>
            </w:pPr>
          </w:p>
          <w:p w:rsidR="00B22DD3" w:rsidRDefault="00B22DD3" w:rsidP="00B22DD3">
            <w:pPr>
              <w:pStyle w:val="BodyText"/>
            </w:pPr>
            <w:r>
              <w:t>[30]</w:t>
            </w:r>
            <w:r>
              <w:tab/>
              <w:t xml:space="preserve">In </w:t>
            </w:r>
            <w:r w:rsidRPr="005F200A">
              <w:rPr>
                <w:i/>
              </w:rPr>
              <w:t>Seaways (Pty) Ltd t/a South African Express Line v Rubin</w:t>
            </w:r>
            <w:r w:rsidR="005F200A">
              <w:rPr>
                <w:rStyle w:val="FootnoteReference"/>
              </w:rPr>
              <w:footnoteReference w:id="6"/>
            </w:r>
            <w:r w:rsidR="005F200A">
              <w:t xml:space="preserve"> </w:t>
            </w:r>
            <w:r>
              <w:t>the court held that:</w:t>
            </w:r>
          </w:p>
          <w:p w:rsidR="0038616F" w:rsidRDefault="0038616F" w:rsidP="00B22DD3">
            <w:pPr>
              <w:pStyle w:val="BodyText"/>
            </w:pPr>
          </w:p>
          <w:p w:rsidR="00B22DD3" w:rsidRDefault="00B22DD3" w:rsidP="00B22DD3">
            <w:pPr>
              <w:pStyle w:val="BodyText"/>
            </w:pPr>
          </w:p>
          <w:p w:rsidR="00B90C6F" w:rsidRDefault="00072566" w:rsidP="00B22DD3">
            <w:pPr>
              <w:pStyle w:val="BodyText"/>
              <w:rPr>
                <w:sz w:val="22"/>
                <w:szCs w:val="22"/>
              </w:rPr>
            </w:pPr>
            <w:r w:rsidRPr="00072566">
              <w:tab/>
            </w:r>
            <w:r w:rsidR="00B22DD3">
              <w:t>‘[</w:t>
            </w:r>
            <w:r w:rsidR="00B22DD3" w:rsidRPr="00072566">
              <w:rPr>
                <w:sz w:val="22"/>
                <w:szCs w:val="22"/>
              </w:rPr>
              <w:t>8] A nulla bona return, whether recent or not, is sufficient to establish an act of insolvency in terms of s 8(</w:t>
            </w:r>
            <w:r w:rsidR="00B22DD3" w:rsidRPr="00072566">
              <w:rPr>
                <w:i/>
                <w:sz w:val="22"/>
                <w:szCs w:val="22"/>
              </w:rPr>
              <w:t>b</w:t>
            </w:r>
            <w:r w:rsidR="00B22DD3" w:rsidRPr="00072566">
              <w:rPr>
                <w:sz w:val="22"/>
                <w:szCs w:val="22"/>
              </w:rPr>
              <w:t>) of the Act. But where the nulla bona relied on is not a recent one, the failure to indicate that the debtor’s circumstances have not improved in the interim may be a significant factor in the exercise of the</w:t>
            </w:r>
          </w:p>
          <w:p w:rsidR="00B22DD3" w:rsidRPr="00072566" w:rsidRDefault="00B22DD3" w:rsidP="00B22DD3">
            <w:pPr>
              <w:pStyle w:val="BodyText"/>
              <w:rPr>
                <w:sz w:val="22"/>
                <w:szCs w:val="22"/>
              </w:rPr>
            </w:pPr>
            <w:r w:rsidRPr="00072566">
              <w:rPr>
                <w:sz w:val="22"/>
                <w:szCs w:val="22"/>
              </w:rPr>
              <w:t xml:space="preserve">Court’s discretion to grant a sequestration order (see </w:t>
            </w:r>
            <w:r w:rsidRPr="00813F77">
              <w:rPr>
                <w:i/>
                <w:sz w:val="22"/>
                <w:szCs w:val="22"/>
              </w:rPr>
              <w:t>First Rand Bank Ltd v Evans</w:t>
            </w:r>
            <w:r w:rsidRPr="00072566">
              <w:rPr>
                <w:sz w:val="22"/>
                <w:szCs w:val="22"/>
              </w:rPr>
              <w:t xml:space="preserve"> 2011 (4) SA 597 (KZD) paras 28-30).’</w:t>
            </w:r>
          </w:p>
          <w:p w:rsidR="00B22DD3" w:rsidRDefault="00B22DD3" w:rsidP="00B22DD3">
            <w:pPr>
              <w:pStyle w:val="BodyText"/>
            </w:pPr>
          </w:p>
          <w:p w:rsidR="00B22DD3" w:rsidRDefault="00B22DD3" w:rsidP="00B22DD3">
            <w:pPr>
              <w:pStyle w:val="BodyText"/>
            </w:pPr>
            <w:r>
              <w:t>[31]</w:t>
            </w:r>
            <w:r>
              <w:tab/>
              <w:t>I am accordingly satisfied that in the circumstances of the present matter, the applicant can rely on the nulla bona return of 28 May 2021.</w:t>
            </w:r>
          </w:p>
          <w:p w:rsidR="00B22DD3" w:rsidRDefault="00B22DD3" w:rsidP="00B22DD3">
            <w:pPr>
              <w:pStyle w:val="BodyText"/>
            </w:pPr>
          </w:p>
          <w:p w:rsidR="00B22DD3" w:rsidRPr="00072566" w:rsidRDefault="00B22DD3" w:rsidP="00B22DD3">
            <w:pPr>
              <w:pStyle w:val="BodyText"/>
              <w:rPr>
                <w:i/>
              </w:rPr>
            </w:pPr>
            <w:r w:rsidRPr="00072566">
              <w:rPr>
                <w:i/>
              </w:rPr>
              <w:t>Advantage to the creditors</w:t>
            </w:r>
          </w:p>
          <w:p w:rsidR="00B22DD3" w:rsidRPr="00072566" w:rsidRDefault="00B22DD3" w:rsidP="00B22DD3">
            <w:pPr>
              <w:pStyle w:val="BodyText"/>
              <w:rPr>
                <w:i/>
              </w:rPr>
            </w:pPr>
          </w:p>
          <w:p w:rsidR="00B22DD3" w:rsidRDefault="00B22DD3" w:rsidP="00B22DD3">
            <w:pPr>
              <w:pStyle w:val="BodyText"/>
            </w:pPr>
            <w:r>
              <w:t>[32]</w:t>
            </w:r>
            <w:r>
              <w:tab/>
              <w:t xml:space="preserve">In </w:t>
            </w:r>
            <w:r w:rsidRPr="00072566">
              <w:rPr>
                <w:i/>
              </w:rPr>
              <w:t>Hillhouse v Stott; Feban Investments (Pty) Limited v Itzkin; Botha v Botha</w:t>
            </w:r>
            <w:r w:rsidR="00072566">
              <w:t>,</w:t>
            </w:r>
            <w:r w:rsidR="00072566">
              <w:rPr>
                <w:rStyle w:val="FootnoteReference"/>
              </w:rPr>
              <w:footnoteReference w:id="7"/>
            </w:r>
            <w:r w:rsidR="00072566">
              <w:t xml:space="preserve"> </w:t>
            </w:r>
            <w:r>
              <w:t xml:space="preserve">Leveson J, following the approach set out in </w:t>
            </w:r>
            <w:r w:rsidRPr="005F200A">
              <w:rPr>
                <w:i/>
              </w:rPr>
              <w:t>Meskin</w:t>
            </w:r>
            <w:r>
              <w:t>, said the following at 585 E-G.</w:t>
            </w:r>
          </w:p>
          <w:p w:rsidR="00B22DD3" w:rsidRDefault="00B22DD3" w:rsidP="00B22DD3">
            <w:pPr>
              <w:pStyle w:val="BodyText"/>
            </w:pPr>
          </w:p>
          <w:p w:rsidR="00B22DD3" w:rsidRPr="00072566" w:rsidRDefault="00072566" w:rsidP="00B22DD3">
            <w:pPr>
              <w:pStyle w:val="BodyText"/>
              <w:rPr>
                <w:sz w:val="22"/>
                <w:szCs w:val="22"/>
              </w:rPr>
            </w:pPr>
            <w:r w:rsidRPr="00072566">
              <w:tab/>
            </w:r>
            <w:r w:rsidR="00B22DD3">
              <w:t>‘</w:t>
            </w:r>
            <w:r w:rsidR="00B22DD3" w:rsidRPr="00072566">
              <w:rPr>
                <w:sz w:val="22"/>
                <w:szCs w:val="22"/>
              </w:rPr>
              <w:t xml:space="preserve">The degree of proof necessary to satisfy that requirement was considered by n a broad sense it seems proper to say, on the basis of the cases, that ‘advantage to creditors’ ought to have some bearing on the question as to whether the granting of the application would secure some useful purpose. I express it thus because, as Roper J has shown in the </w:t>
            </w:r>
            <w:r w:rsidR="00B22DD3" w:rsidRPr="00072566">
              <w:rPr>
                <w:i/>
                <w:sz w:val="22"/>
                <w:szCs w:val="22"/>
              </w:rPr>
              <w:t>Meskin</w:t>
            </w:r>
            <w:r w:rsidR="00B22DD3" w:rsidRPr="00072566">
              <w:rPr>
                <w:sz w:val="22"/>
                <w:szCs w:val="22"/>
              </w:rPr>
              <w:t xml:space="preserve"> case, there need not always be immediate financial benefit. It is sufficient if it be shown that investigation and inquiry under the relevant provisions of the Act might unearth assets, thereby benefiting creditors. But for cases such as the present where the only question is to what extent creditors can benefit from the moneys known to be available (there being no other assets), I think it proper to adopt the test of Seligson AJ in </w:t>
            </w:r>
            <w:r w:rsidR="00B22DD3" w:rsidRPr="00072566">
              <w:rPr>
                <w:i/>
                <w:sz w:val="22"/>
                <w:szCs w:val="22"/>
              </w:rPr>
              <w:t>Epstein v Epstein</w:t>
            </w:r>
            <w:r w:rsidR="00B22DD3" w:rsidRPr="00072566">
              <w:rPr>
                <w:sz w:val="22"/>
                <w:szCs w:val="22"/>
              </w:rPr>
              <w:t xml:space="preserve"> 1987 (4) SA 606 (C) at 609:</w:t>
            </w:r>
          </w:p>
          <w:p w:rsidR="00B22DD3" w:rsidRPr="00072566" w:rsidRDefault="00B22DD3" w:rsidP="00B22DD3">
            <w:pPr>
              <w:pStyle w:val="BodyText"/>
              <w:rPr>
                <w:sz w:val="22"/>
                <w:szCs w:val="22"/>
              </w:rPr>
            </w:pPr>
          </w:p>
          <w:p w:rsidR="00B22DD3" w:rsidRPr="00072566" w:rsidRDefault="0038616F" w:rsidP="00B22DD3">
            <w:pPr>
              <w:pStyle w:val="BodyText"/>
              <w:rPr>
                <w:sz w:val="22"/>
                <w:szCs w:val="22"/>
              </w:rPr>
            </w:pPr>
            <w:r>
              <w:rPr>
                <w:sz w:val="22"/>
                <w:szCs w:val="22"/>
              </w:rPr>
              <w:t>“</w:t>
            </w:r>
            <w:r w:rsidR="00B22DD3" w:rsidRPr="00072566">
              <w:rPr>
                <w:sz w:val="22"/>
                <w:szCs w:val="22"/>
              </w:rPr>
              <w:t xml:space="preserve">The correct test to be applied is whether the facts placed before the Court show that there is a reasonable prospect – not necessarily a likelihood, but a prospect which is not too remote – that some not negligible pecuniary benefit will result to creditors.’” </w:t>
            </w:r>
          </w:p>
          <w:p w:rsidR="00B22DD3" w:rsidRDefault="00B22DD3" w:rsidP="00B22DD3">
            <w:pPr>
              <w:pStyle w:val="BodyText"/>
            </w:pPr>
          </w:p>
          <w:p w:rsidR="00004751" w:rsidRDefault="00B22DD3" w:rsidP="00B22DD3">
            <w:pPr>
              <w:pStyle w:val="BodyText"/>
            </w:pPr>
            <w:r>
              <w:t>[33]</w:t>
            </w:r>
            <w:r>
              <w:tab/>
              <w:t>Having heard the respondent's submissions, it would appear that an immovable property he owned was sold in June of this year. I am of the view that an investigation and enquiry in terms</w:t>
            </w:r>
          </w:p>
          <w:p w:rsidR="00B22DD3" w:rsidRDefault="00B22DD3" w:rsidP="00B22DD3">
            <w:pPr>
              <w:pStyle w:val="BodyText"/>
            </w:pPr>
            <w:r>
              <w:t>of th</w:t>
            </w:r>
            <w:r w:rsidR="00813F77">
              <w:t xml:space="preserve">e Act </w:t>
            </w:r>
            <w:r>
              <w:t xml:space="preserve">will reveal how it came about that the immovable property was sold whilst a provisional sequestration order was already in place. </w:t>
            </w:r>
          </w:p>
          <w:p w:rsidR="0038616F" w:rsidRDefault="0038616F" w:rsidP="00B22DD3">
            <w:pPr>
              <w:pStyle w:val="BodyText"/>
            </w:pPr>
          </w:p>
          <w:p w:rsidR="0038616F" w:rsidRDefault="0038616F" w:rsidP="00B22DD3">
            <w:pPr>
              <w:pStyle w:val="BodyText"/>
            </w:pPr>
          </w:p>
          <w:p w:rsidR="00B22DD3" w:rsidRDefault="00B22DD3" w:rsidP="00B22DD3">
            <w:pPr>
              <w:pStyle w:val="BodyText"/>
            </w:pPr>
          </w:p>
          <w:p w:rsidR="00B90C6F" w:rsidRDefault="00B22DD3" w:rsidP="00B22DD3">
            <w:pPr>
              <w:pStyle w:val="BodyText"/>
            </w:pPr>
            <w:r>
              <w:t>[34]</w:t>
            </w:r>
            <w:r>
              <w:tab/>
              <w:t>Sequestration serves the vital function of preventing debtors from unfairly disposing of their assets, which could disadvantage their creditors. As such, it is crucial to prioritize the respondent's</w:t>
            </w:r>
          </w:p>
          <w:p w:rsidR="00B22DD3" w:rsidRDefault="00B22DD3" w:rsidP="00B22DD3">
            <w:pPr>
              <w:pStyle w:val="BodyText"/>
            </w:pPr>
            <w:r>
              <w:t>interests and preserve any remaining assets in their estate to prevent f</w:t>
            </w:r>
            <w:r w:rsidR="005775DF">
              <w:t>urther harm to their creditors.</w:t>
            </w:r>
            <w:r w:rsidR="005775DF">
              <w:rPr>
                <w:rStyle w:val="FootnoteReference"/>
              </w:rPr>
              <w:footnoteReference w:id="8"/>
            </w:r>
          </w:p>
          <w:p w:rsidR="00B22DD3" w:rsidRDefault="00B22DD3" w:rsidP="00B22DD3">
            <w:pPr>
              <w:pStyle w:val="BodyText"/>
            </w:pPr>
          </w:p>
          <w:p w:rsidR="00B22DD3" w:rsidRDefault="00B22DD3" w:rsidP="00B22DD3">
            <w:pPr>
              <w:pStyle w:val="BodyText"/>
            </w:pPr>
            <w:r>
              <w:t>[35]</w:t>
            </w:r>
            <w:r>
              <w:tab/>
              <w:t xml:space="preserve">Although the respondent has expressed concern that a final order may negatively impact </w:t>
            </w:r>
            <w:r w:rsidR="00072566" w:rsidRPr="00AF2E2C">
              <w:t>his</w:t>
            </w:r>
            <w:r w:rsidRPr="00AF2E2C">
              <w:t xml:space="preserve"> earning capacity and ability to settle </w:t>
            </w:r>
            <w:r w:rsidR="00072566" w:rsidRPr="00AF2E2C">
              <w:t xml:space="preserve">his </w:t>
            </w:r>
            <w:r w:rsidRPr="00AF2E2C">
              <w:t>debt, the</w:t>
            </w:r>
            <w:r>
              <w:t xml:space="preserve"> court recognizes the potential benefits that creditors could receive if the respondent's estate is sequestrated.</w:t>
            </w:r>
          </w:p>
          <w:p w:rsidR="00B22DD3" w:rsidRDefault="00B22DD3" w:rsidP="00B22DD3">
            <w:pPr>
              <w:pStyle w:val="BodyText"/>
            </w:pPr>
          </w:p>
          <w:p w:rsidR="00B22DD3" w:rsidRPr="005F200A" w:rsidRDefault="00B22DD3" w:rsidP="00B22DD3">
            <w:pPr>
              <w:pStyle w:val="BodyText"/>
              <w:rPr>
                <w:u w:val="single"/>
              </w:rPr>
            </w:pPr>
            <w:r w:rsidRPr="005F200A">
              <w:rPr>
                <w:u w:val="single"/>
              </w:rPr>
              <w:t>Conclusion</w:t>
            </w:r>
          </w:p>
          <w:p w:rsidR="00B22DD3" w:rsidRDefault="00B22DD3" w:rsidP="00B22DD3">
            <w:pPr>
              <w:pStyle w:val="BodyText"/>
            </w:pPr>
          </w:p>
          <w:p w:rsidR="00B22DD3" w:rsidRDefault="00B22DD3" w:rsidP="00B22DD3">
            <w:pPr>
              <w:pStyle w:val="BodyText"/>
            </w:pPr>
            <w:r>
              <w:t>[36]</w:t>
            </w:r>
            <w:r>
              <w:tab/>
              <w:t xml:space="preserve">Section 12 of </w:t>
            </w:r>
            <w:r w:rsidRPr="00813F77">
              <w:t xml:space="preserve">the </w:t>
            </w:r>
            <w:r w:rsidR="00813F77">
              <w:t>Act</w:t>
            </w:r>
            <w:r>
              <w:t xml:space="preserve"> sets out the requirement for a final order of sequestration and provides that:</w:t>
            </w:r>
          </w:p>
          <w:p w:rsidR="00B22DD3" w:rsidRDefault="00B22DD3" w:rsidP="00B22DD3">
            <w:pPr>
              <w:pStyle w:val="BodyText"/>
            </w:pPr>
          </w:p>
          <w:p w:rsidR="00B22DD3" w:rsidRPr="00072566" w:rsidRDefault="00072566" w:rsidP="00B22DD3">
            <w:pPr>
              <w:pStyle w:val="BodyText"/>
              <w:rPr>
                <w:sz w:val="22"/>
                <w:szCs w:val="22"/>
              </w:rPr>
            </w:pPr>
            <w:r w:rsidRPr="00072566">
              <w:tab/>
            </w:r>
            <w:r w:rsidR="00813F77">
              <w:rPr>
                <w:sz w:val="22"/>
                <w:szCs w:val="22"/>
              </w:rPr>
              <w:t>‘12</w:t>
            </w:r>
            <w:r w:rsidR="00813F77" w:rsidRPr="00813F77">
              <w:rPr>
                <w:sz w:val="22"/>
                <w:szCs w:val="22"/>
              </w:rPr>
              <w:tab/>
            </w:r>
            <w:r w:rsidR="00B22DD3" w:rsidRPr="00072566">
              <w:rPr>
                <w:sz w:val="22"/>
                <w:szCs w:val="22"/>
              </w:rPr>
              <w:t xml:space="preserve">Final sequestration or dismissal of petition for sequestration </w:t>
            </w:r>
          </w:p>
          <w:p w:rsidR="00B22DD3" w:rsidRPr="00072566" w:rsidRDefault="00C42144" w:rsidP="00B22DD3">
            <w:pPr>
              <w:pStyle w:val="BodyText"/>
              <w:rPr>
                <w:sz w:val="22"/>
                <w:szCs w:val="22"/>
              </w:rPr>
            </w:pPr>
            <w:r>
              <w:rPr>
                <w:sz w:val="22"/>
                <w:szCs w:val="22"/>
              </w:rPr>
              <w:t>(1)</w:t>
            </w:r>
            <w:r w:rsidRPr="00C42144">
              <w:rPr>
                <w:sz w:val="22"/>
                <w:szCs w:val="22"/>
              </w:rPr>
              <w:tab/>
            </w:r>
            <w:r w:rsidR="00B22DD3" w:rsidRPr="00072566">
              <w:rPr>
                <w:sz w:val="22"/>
                <w:szCs w:val="22"/>
              </w:rPr>
              <w:t xml:space="preserve">If at the hearing pursuant to the aforesaid rule nisi the court is satisfied that- </w:t>
            </w:r>
          </w:p>
          <w:p w:rsidR="00B22DD3" w:rsidRPr="00072566" w:rsidRDefault="00C42144" w:rsidP="00B22DD3">
            <w:pPr>
              <w:pStyle w:val="BodyText"/>
              <w:rPr>
                <w:sz w:val="22"/>
                <w:szCs w:val="22"/>
              </w:rPr>
            </w:pPr>
            <w:r>
              <w:rPr>
                <w:sz w:val="22"/>
                <w:szCs w:val="22"/>
              </w:rPr>
              <w:t>(a)</w:t>
            </w:r>
            <w:r w:rsidRPr="00C42144">
              <w:rPr>
                <w:sz w:val="22"/>
                <w:szCs w:val="22"/>
              </w:rPr>
              <w:tab/>
            </w:r>
            <w:r w:rsidR="00B22DD3" w:rsidRPr="00072566">
              <w:rPr>
                <w:sz w:val="22"/>
                <w:szCs w:val="22"/>
              </w:rPr>
              <w:t>the petitioning creditor has established against the debtor a claim such as is mentioned in subsection (1) of section nine; and</w:t>
            </w:r>
          </w:p>
          <w:p w:rsidR="00B22DD3" w:rsidRPr="00072566" w:rsidRDefault="00C42144" w:rsidP="00B22DD3">
            <w:pPr>
              <w:pStyle w:val="BodyText"/>
              <w:rPr>
                <w:sz w:val="22"/>
                <w:szCs w:val="22"/>
              </w:rPr>
            </w:pPr>
            <w:r>
              <w:rPr>
                <w:sz w:val="22"/>
                <w:szCs w:val="22"/>
              </w:rPr>
              <w:t>(b)</w:t>
            </w:r>
            <w:r w:rsidRPr="00C42144">
              <w:rPr>
                <w:sz w:val="22"/>
                <w:szCs w:val="22"/>
              </w:rPr>
              <w:tab/>
            </w:r>
            <w:r w:rsidR="00B22DD3" w:rsidRPr="00072566">
              <w:rPr>
                <w:sz w:val="22"/>
                <w:szCs w:val="22"/>
              </w:rPr>
              <w:t xml:space="preserve">the debtor has committed an act of insolvency or is insolvent; and </w:t>
            </w:r>
          </w:p>
          <w:p w:rsidR="00B22DD3" w:rsidRPr="00072566" w:rsidRDefault="00B22DD3" w:rsidP="00B22DD3">
            <w:pPr>
              <w:pStyle w:val="BodyText"/>
              <w:rPr>
                <w:sz w:val="22"/>
                <w:szCs w:val="22"/>
              </w:rPr>
            </w:pPr>
            <w:r w:rsidRPr="00072566">
              <w:rPr>
                <w:sz w:val="22"/>
                <w:szCs w:val="22"/>
              </w:rPr>
              <w:t>(c)</w:t>
            </w:r>
            <w:r w:rsidR="00C42144" w:rsidRPr="00C42144">
              <w:rPr>
                <w:sz w:val="22"/>
                <w:szCs w:val="22"/>
              </w:rPr>
              <w:tab/>
            </w:r>
            <w:r w:rsidRPr="00072566">
              <w:rPr>
                <w:sz w:val="22"/>
                <w:szCs w:val="22"/>
              </w:rPr>
              <w:t xml:space="preserve">there is reason to believe that it will be to the advantage of creditors of the debtor if his estate is sequestrated, it may sequestrate the estate of the debtor. </w:t>
            </w:r>
          </w:p>
          <w:p w:rsidR="00B22DD3" w:rsidRPr="00072566" w:rsidRDefault="00B22DD3" w:rsidP="00B22DD3">
            <w:pPr>
              <w:pStyle w:val="BodyText"/>
              <w:rPr>
                <w:sz w:val="22"/>
                <w:szCs w:val="22"/>
              </w:rPr>
            </w:pPr>
            <w:r w:rsidRPr="00072566">
              <w:rPr>
                <w:sz w:val="22"/>
                <w:szCs w:val="22"/>
              </w:rPr>
              <w:t>(2)</w:t>
            </w:r>
            <w:r w:rsidR="00C42144" w:rsidRPr="00C42144">
              <w:rPr>
                <w:sz w:val="22"/>
                <w:szCs w:val="22"/>
              </w:rPr>
              <w:tab/>
            </w:r>
            <w:r w:rsidRPr="00072566">
              <w:rPr>
                <w:sz w:val="22"/>
                <w:szCs w:val="22"/>
              </w:rPr>
              <w:t>If at such hearing the court is not so satisfied, it shall dismiss the peti</w:t>
            </w:r>
            <w:r w:rsidR="00072566">
              <w:rPr>
                <w:sz w:val="22"/>
                <w:szCs w:val="22"/>
              </w:rPr>
              <w:t>tion for the sequestration of</w:t>
            </w:r>
            <w:r w:rsidRPr="00072566">
              <w:rPr>
                <w:sz w:val="22"/>
                <w:szCs w:val="22"/>
              </w:rPr>
              <w:t xml:space="preserve"> the estate of the debtor and set aside the order of provisional sequestration or require further proof of the matters set forth in the petition and postpone the hearing for any reasonable period but not sine die.’</w:t>
            </w:r>
          </w:p>
          <w:p w:rsidR="00B22DD3" w:rsidRDefault="00B22DD3" w:rsidP="00B22DD3">
            <w:pPr>
              <w:pStyle w:val="BodyText"/>
            </w:pPr>
          </w:p>
          <w:p w:rsidR="00004751" w:rsidRDefault="00B22DD3" w:rsidP="00B22DD3">
            <w:pPr>
              <w:pStyle w:val="BodyText"/>
            </w:pPr>
            <w:r>
              <w:t>[37]</w:t>
            </w:r>
            <w:r>
              <w:tab/>
              <w:t>After considering all the evidence presented to the court, I have concluded tha</w:t>
            </w:r>
            <w:r w:rsidR="005775DF">
              <w:t xml:space="preserve">t the </w:t>
            </w:r>
            <w:r w:rsidR="00B62468">
              <w:t>requirements</w:t>
            </w:r>
            <w:r w:rsidR="005775DF">
              <w:t xml:space="preserve"> outlined in s</w:t>
            </w:r>
            <w:r>
              <w:t xml:space="preserve"> 12(1) of the Act have been met. Therefore, it is fair and reasonable to issue an order of sequestration against the respondent.</w:t>
            </w:r>
          </w:p>
          <w:p w:rsidR="00B22DD3" w:rsidRDefault="00B22DD3" w:rsidP="00B22DD3">
            <w:pPr>
              <w:pStyle w:val="BodyText"/>
            </w:pPr>
          </w:p>
          <w:p w:rsidR="000466BD" w:rsidRPr="003A32E4" w:rsidRDefault="00B22DD3" w:rsidP="00B22DD3">
            <w:pPr>
              <w:pStyle w:val="BodyText"/>
            </w:pPr>
            <w:r>
              <w:t>[38]</w:t>
            </w:r>
            <w:r>
              <w:tab/>
              <w:t>Lastly, on the issue of cost, there is no reason why cost should not follow the result, and I order it accordingly.</w:t>
            </w:r>
          </w:p>
          <w:p w:rsidR="00B601AD" w:rsidRDefault="00B601AD" w:rsidP="00B601AD">
            <w:pPr>
              <w:spacing w:line="360" w:lineRule="auto"/>
              <w:jc w:val="both"/>
              <w:rPr>
                <w:rFonts w:ascii="Arial" w:hAnsi="Arial" w:cs="Arial"/>
                <w:sz w:val="24"/>
                <w:szCs w:val="24"/>
              </w:rPr>
            </w:pPr>
          </w:p>
          <w:p w:rsidR="0038616F" w:rsidRDefault="0038616F" w:rsidP="00B601AD">
            <w:pPr>
              <w:spacing w:line="360" w:lineRule="auto"/>
              <w:jc w:val="both"/>
              <w:rPr>
                <w:rFonts w:ascii="Arial" w:hAnsi="Arial" w:cs="Arial"/>
                <w:sz w:val="24"/>
                <w:szCs w:val="24"/>
              </w:rPr>
            </w:pPr>
          </w:p>
          <w:p w:rsidR="0038616F" w:rsidRPr="0078733C" w:rsidRDefault="0038616F" w:rsidP="00B601AD">
            <w:pPr>
              <w:spacing w:line="360" w:lineRule="auto"/>
              <w:jc w:val="both"/>
              <w:rPr>
                <w:rFonts w:ascii="Arial" w:hAnsi="Arial" w:cs="Arial"/>
                <w:sz w:val="24"/>
                <w:szCs w:val="24"/>
              </w:rPr>
            </w:pPr>
          </w:p>
          <w:p w:rsidR="00B601AD" w:rsidRPr="0078733C" w:rsidRDefault="00940E36" w:rsidP="00B601AD">
            <w:pPr>
              <w:spacing w:line="360" w:lineRule="auto"/>
              <w:jc w:val="both"/>
              <w:rPr>
                <w:rFonts w:ascii="Arial" w:hAnsi="Arial" w:cs="Arial"/>
                <w:sz w:val="24"/>
                <w:szCs w:val="24"/>
              </w:rPr>
            </w:pPr>
            <w:r>
              <w:rPr>
                <w:rFonts w:ascii="Arial" w:hAnsi="Arial" w:cs="Arial"/>
                <w:sz w:val="24"/>
                <w:szCs w:val="24"/>
              </w:rPr>
              <w:t>Order:</w:t>
            </w:r>
          </w:p>
          <w:p w:rsidR="00737C3D" w:rsidRPr="0078733C" w:rsidRDefault="00737C3D" w:rsidP="00474C2A">
            <w:pPr>
              <w:tabs>
                <w:tab w:val="left" w:pos="837"/>
              </w:tabs>
              <w:spacing w:line="360" w:lineRule="auto"/>
              <w:jc w:val="both"/>
              <w:rPr>
                <w:rFonts w:ascii="Arial" w:hAnsi="Arial" w:cs="Arial"/>
                <w:sz w:val="24"/>
                <w:szCs w:val="24"/>
              </w:rPr>
            </w:pPr>
          </w:p>
          <w:p w:rsidR="00737C3D" w:rsidRDefault="005775DF" w:rsidP="00474C2A">
            <w:pPr>
              <w:tabs>
                <w:tab w:val="left" w:pos="837"/>
              </w:tabs>
              <w:spacing w:line="360" w:lineRule="auto"/>
              <w:jc w:val="both"/>
              <w:rPr>
                <w:rFonts w:ascii="Arial" w:hAnsi="Arial" w:cs="Arial"/>
                <w:sz w:val="24"/>
                <w:szCs w:val="24"/>
              </w:rPr>
            </w:pPr>
            <w:r>
              <w:rPr>
                <w:rFonts w:ascii="Arial" w:hAnsi="Arial" w:cs="Arial"/>
                <w:sz w:val="24"/>
                <w:szCs w:val="24"/>
              </w:rPr>
              <w:t>[39</w:t>
            </w:r>
            <w:r w:rsidR="00737C3D" w:rsidRPr="0078733C">
              <w:rPr>
                <w:rFonts w:ascii="Arial" w:hAnsi="Arial" w:cs="Arial"/>
                <w:sz w:val="24"/>
                <w:szCs w:val="24"/>
              </w:rPr>
              <w:t>]</w:t>
            </w:r>
            <w:r w:rsidR="00737C3D" w:rsidRPr="0078733C">
              <w:rPr>
                <w:rFonts w:ascii="Arial" w:hAnsi="Arial" w:cs="Arial"/>
                <w:sz w:val="24"/>
                <w:szCs w:val="24"/>
              </w:rPr>
              <w:tab/>
            </w:r>
            <w:r w:rsidR="006916C9" w:rsidRPr="0078733C">
              <w:rPr>
                <w:rFonts w:ascii="Arial" w:hAnsi="Arial" w:cs="Arial"/>
                <w:sz w:val="24"/>
                <w:szCs w:val="24"/>
              </w:rPr>
              <w:t>In the result</w:t>
            </w:r>
            <w:r w:rsidR="0000513F" w:rsidRPr="0078733C">
              <w:rPr>
                <w:rFonts w:ascii="Arial" w:hAnsi="Arial" w:cs="Arial"/>
                <w:sz w:val="24"/>
                <w:szCs w:val="24"/>
              </w:rPr>
              <w:t>, I make the order as set out above.</w:t>
            </w:r>
          </w:p>
          <w:p w:rsidR="00C04F28" w:rsidRPr="00CA7995" w:rsidRDefault="00C04F28" w:rsidP="00474C2A">
            <w:pPr>
              <w:tabs>
                <w:tab w:val="left" w:pos="837"/>
              </w:tabs>
              <w:spacing w:line="360" w:lineRule="auto"/>
              <w:jc w:val="both"/>
              <w:rPr>
                <w:rFonts w:ascii="Arial" w:hAnsi="Arial" w:cs="Arial"/>
                <w:sz w:val="24"/>
                <w:szCs w:val="24"/>
              </w:rPr>
            </w:pPr>
          </w:p>
        </w:tc>
      </w:tr>
      <w:tr w:rsidR="00CA7995" w:rsidRPr="00CA7995" w:rsidTr="0000513F">
        <w:tc>
          <w:tcPr>
            <w:tcW w:w="5232" w:type="dxa"/>
          </w:tcPr>
          <w:p w:rsidR="00B40844" w:rsidRPr="00CA7995" w:rsidRDefault="00B40844" w:rsidP="00ED76B2">
            <w:pPr>
              <w:spacing w:line="360" w:lineRule="auto"/>
              <w:jc w:val="center"/>
              <w:rPr>
                <w:rFonts w:ascii="Arial" w:hAnsi="Arial" w:cs="Arial"/>
                <w:b/>
                <w:sz w:val="24"/>
                <w:szCs w:val="24"/>
              </w:rPr>
            </w:pPr>
            <w:r w:rsidRPr="00CA7995">
              <w:rPr>
                <w:rFonts w:ascii="Arial" w:hAnsi="Arial" w:cs="Arial"/>
                <w:b/>
                <w:sz w:val="24"/>
                <w:szCs w:val="24"/>
              </w:rPr>
              <w:lastRenderedPageBreak/>
              <w:t>Judge’s signature:</w:t>
            </w:r>
          </w:p>
        </w:tc>
        <w:tc>
          <w:tcPr>
            <w:tcW w:w="5244" w:type="dxa"/>
            <w:gridSpan w:val="2"/>
          </w:tcPr>
          <w:p w:rsidR="00B40844" w:rsidRPr="00CA7995" w:rsidRDefault="00B40844" w:rsidP="00937C89">
            <w:pPr>
              <w:spacing w:line="360" w:lineRule="auto"/>
              <w:jc w:val="center"/>
              <w:rPr>
                <w:rFonts w:ascii="Arial" w:hAnsi="Arial" w:cs="Arial"/>
                <w:b/>
                <w:sz w:val="24"/>
                <w:szCs w:val="24"/>
              </w:rPr>
            </w:pPr>
            <w:r w:rsidRPr="00CA7995">
              <w:rPr>
                <w:rFonts w:ascii="Arial" w:hAnsi="Arial" w:cs="Arial"/>
                <w:b/>
                <w:sz w:val="24"/>
                <w:szCs w:val="24"/>
              </w:rPr>
              <w:t>Note to the parties:</w:t>
            </w:r>
          </w:p>
        </w:tc>
      </w:tr>
      <w:tr w:rsidR="00CA7995" w:rsidRPr="00CA7995" w:rsidTr="0000513F">
        <w:trPr>
          <w:trHeight w:val="1114"/>
        </w:trPr>
        <w:tc>
          <w:tcPr>
            <w:tcW w:w="5232" w:type="dxa"/>
          </w:tcPr>
          <w:p w:rsidR="00B40844" w:rsidRPr="00CA7995" w:rsidRDefault="00B40844" w:rsidP="00937C89">
            <w:pPr>
              <w:spacing w:line="360" w:lineRule="auto"/>
              <w:jc w:val="both"/>
              <w:rPr>
                <w:rFonts w:ascii="Arial" w:hAnsi="Arial" w:cs="Arial"/>
                <w:sz w:val="24"/>
                <w:szCs w:val="24"/>
              </w:rPr>
            </w:pPr>
          </w:p>
          <w:p w:rsidR="0000513F" w:rsidRPr="00CA7995" w:rsidRDefault="0000513F" w:rsidP="00937C89">
            <w:pPr>
              <w:spacing w:line="360" w:lineRule="auto"/>
              <w:jc w:val="both"/>
              <w:rPr>
                <w:rFonts w:ascii="Arial" w:hAnsi="Arial" w:cs="Arial"/>
                <w:sz w:val="24"/>
                <w:szCs w:val="24"/>
              </w:rPr>
            </w:pPr>
          </w:p>
          <w:p w:rsidR="00B40844" w:rsidRPr="00CA7995" w:rsidRDefault="00B40844" w:rsidP="00937C89">
            <w:pPr>
              <w:spacing w:line="360" w:lineRule="auto"/>
              <w:jc w:val="both"/>
              <w:rPr>
                <w:rFonts w:ascii="Arial" w:hAnsi="Arial" w:cs="Arial"/>
                <w:sz w:val="24"/>
                <w:szCs w:val="24"/>
              </w:rPr>
            </w:pPr>
          </w:p>
        </w:tc>
        <w:tc>
          <w:tcPr>
            <w:tcW w:w="5244" w:type="dxa"/>
            <w:gridSpan w:val="2"/>
          </w:tcPr>
          <w:p w:rsidR="00B40844" w:rsidRPr="00CA7995" w:rsidRDefault="00B40844" w:rsidP="00937C89">
            <w:pPr>
              <w:spacing w:line="360" w:lineRule="auto"/>
              <w:jc w:val="both"/>
              <w:rPr>
                <w:rFonts w:ascii="Arial" w:hAnsi="Arial" w:cs="Arial"/>
                <w:sz w:val="24"/>
                <w:szCs w:val="24"/>
              </w:rPr>
            </w:pPr>
            <w:r w:rsidRPr="00CA7995">
              <w:rPr>
                <w:rFonts w:ascii="Arial" w:hAnsi="Arial" w:cs="Arial"/>
                <w:sz w:val="24"/>
                <w:szCs w:val="24"/>
              </w:rPr>
              <w:t>Not applicable.</w:t>
            </w:r>
          </w:p>
        </w:tc>
      </w:tr>
      <w:tr w:rsidR="00CA7995" w:rsidRPr="00CA7995" w:rsidTr="00002E9A">
        <w:tc>
          <w:tcPr>
            <w:tcW w:w="10476" w:type="dxa"/>
            <w:gridSpan w:val="3"/>
          </w:tcPr>
          <w:p w:rsidR="00B40844" w:rsidRPr="00CA7995" w:rsidRDefault="00B40844" w:rsidP="00937C89">
            <w:pPr>
              <w:spacing w:line="360" w:lineRule="auto"/>
              <w:jc w:val="center"/>
              <w:rPr>
                <w:rFonts w:ascii="Arial" w:hAnsi="Arial" w:cs="Arial"/>
                <w:b/>
                <w:sz w:val="24"/>
                <w:szCs w:val="24"/>
              </w:rPr>
            </w:pPr>
            <w:r w:rsidRPr="00CA7995">
              <w:rPr>
                <w:rFonts w:ascii="Arial" w:hAnsi="Arial" w:cs="Arial"/>
                <w:b/>
                <w:sz w:val="24"/>
                <w:szCs w:val="24"/>
              </w:rPr>
              <w:t>Counsel:</w:t>
            </w:r>
          </w:p>
        </w:tc>
      </w:tr>
      <w:tr w:rsidR="00CA7995" w:rsidRPr="00CA7995" w:rsidTr="0000513F">
        <w:tc>
          <w:tcPr>
            <w:tcW w:w="5232" w:type="dxa"/>
          </w:tcPr>
          <w:p w:rsidR="00B40844" w:rsidRPr="00CA7995" w:rsidRDefault="005775DF" w:rsidP="00937C89">
            <w:pPr>
              <w:spacing w:line="360" w:lineRule="auto"/>
              <w:jc w:val="center"/>
              <w:rPr>
                <w:rFonts w:ascii="Arial" w:hAnsi="Arial" w:cs="Arial"/>
                <w:b/>
                <w:sz w:val="24"/>
                <w:szCs w:val="24"/>
              </w:rPr>
            </w:pPr>
            <w:r>
              <w:rPr>
                <w:rFonts w:ascii="Arial" w:hAnsi="Arial" w:cs="Arial"/>
                <w:b/>
                <w:sz w:val="24"/>
                <w:szCs w:val="24"/>
              </w:rPr>
              <w:t>Applicant</w:t>
            </w:r>
            <w:r w:rsidR="00B45A5A">
              <w:rPr>
                <w:rFonts w:ascii="Arial" w:hAnsi="Arial" w:cs="Arial"/>
                <w:b/>
                <w:sz w:val="24"/>
                <w:szCs w:val="24"/>
              </w:rPr>
              <w:t>s</w:t>
            </w:r>
          </w:p>
        </w:tc>
        <w:tc>
          <w:tcPr>
            <w:tcW w:w="5244" w:type="dxa"/>
            <w:gridSpan w:val="2"/>
          </w:tcPr>
          <w:p w:rsidR="00B40844" w:rsidRPr="00CA7995" w:rsidRDefault="005775DF" w:rsidP="00937C89">
            <w:pPr>
              <w:spacing w:line="360" w:lineRule="auto"/>
              <w:jc w:val="center"/>
              <w:rPr>
                <w:rFonts w:ascii="Arial" w:hAnsi="Arial" w:cs="Arial"/>
                <w:b/>
                <w:sz w:val="24"/>
                <w:szCs w:val="24"/>
              </w:rPr>
            </w:pPr>
            <w:r>
              <w:rPr>
                <w:rFonts w:ascii="Arial" w:hAnsi="Arial" w:cs="Arial"/>
                <w:b/>
                <w:sz w:val="24"/>
                <w:szCs w:val="24"/>
              </w:rPr>
              <w:t>Respondent</w:t>
            </w:r>
          </w:p>
        </w:tc>
      </w:tr>
      <w:tr w:rsidR="00CA7995" w:rsidRPr="00CA7995" w:rsidTr="0000513F">
        <w:tc>
          <w:tcPr>
            <w:tcW w:w="5232" w:type="dxa"/>
          </w:tcPr>
          <w:p w:rsidR="00B40844" w:rsidRPr="004B72D1" w:rsidRDefault="00072566" w:rsidP="00937C89">
            <w:pPr>
              <w:spacing w:line="360" w:lineRule="auto"/>
              <w:jc w:val="center"/>
              <w:rPr>
                <w:rFonts w:ascii="Arial" w:hAnsi="Arial" w:cs="Arial"/>
                <w:sz w:val="24"/>
                <w:szCs w:val="24"/>
              </w:rPr>
            </w:pPr>
            <w:r>
              <w:rPr>
                <w:rFonts w:ascii="Arial" w:hAnsi="Arial" w:cs="Arial"/>
                <w:sz w:val="24"/>
                <w:szCs w:val="24"/>
              </w:rPr>
              <w:t>M KUZEEKO</w:t>
            </w:r>
          </w:p>
          <w:p w:rsidR="005775DF" w:rsidRDefault="00072566" w:rsidP="00133961">
            <w:pPr>
              <w:spacing w:line="360" w:lineRule="auto"/>
              <w:jc w:val="center"/>
              <w:rPr>
                <w:rFonts w:ascii="Arial" w:hAnsi="Arial" w:cs="Arial"/>
                <w:sz w:val="24"/>
                <w:szCs w:val="24"/>
              </w:rPr>
            </w:pPr>
            <w:r>
              <w:rPr>
                <w:rFonts w:ascii="Arial" w:hAnsi="Arial" w:cs="Arial"/>
                <w:sz w:val="24"/>
                <w:szCs w:val="24"/>
              </w:rPr>
              <w:t>Of Weder, Hoveka &amp; Kauta</w:t>
            </w:r>
            <w:r w:rsidR="00133961" w:rsidRPr="004B72D1">
              <w:rPr>
                <w:rFonts w:ascii="Arial" w:hAnsi="Arial" w:cs="Arial"/>
                <w:sz w:val="24"/>
                <w:szCs w:val="24"/>
              </w:rPr>
              <w:t xml:space="preserve"> Inc.</w:t>
            </w:r>
            <w:r w:rsidR="005775DF">
              <w:rPr>
                <w:rFonts w:ascii="Arial" w:hAnsi="Arial" w:cs="Arial"/>
                <w:sz w:val="24"/>
                <w:szCs w:val="24"/>
              </w:rPr>
              <w:t>,</w:t>
            </w:r>
            <w:r w:rsidR="00133961" w:rsidRPr="004B72D1">
              <w:rPr>
                <w:rFonts w:ascii="Arial" w:hAnsi="Arial" w:cs="Arial"/>
                <w:sz w:val="24"/>
                <w:szCs w:val="24"/>
              </w:rPr>
              <w:t xml:space="preserve"> </w:t>
            </w:r>
          </w:p>
          <w:p w:rsidR="00B40844" w:rsidRPr="004B72D1" w:rsidRDefault="0078733C" w:rsidP="00133961">
            <w:pPr>
              <w:spacing w:line="360" w:lineRule="auto"/>
              <w:jc w:val="center"/>
              <w:rPr>
                <w:rFonts w:ascii="Arial" w:hAnsi="Arial" w:cs="Arial"/>
                <w:sz w:val="24"/>
                <w:szCs w:val="24"/>
              </w:rPr>
            </w:pPr>
            <w:r w:rsidRPr="004B72D1">
              <w:rPr>
                <w:rFonts w:ascii="Arial" w:hAnsi="Arial" w:cs="Arial"/>
                <w:sz w:val="24"/>
                <w:szCs w:val="24"/>
              </w:rPr>
              <w:t xml:space="preserve">Windhoek </w:t>
            </w:r>
          </w:p>
          <w:p w:rsidR="00B40844" w:rsidRPr="00D24453" w:rsidRDefault="00B40844" w:rsidP="00937C89">
            <w:pPr>
              <w:spacing w:line="360" w:lineRule="auto"/>
              <w:jc w:val="center"/>
              <w:rPr>
                <w:rFonts w:ascii="Arial" w:hAnsi="Arial" w:cs="Arial"/>
                <w:sz w:val="24"/>
                <w:szCs w:val="24"/>
              </w:rPr>
            </w:pPr>
          </w:p>
        </w:tc>
        <w:tc>
          <w:tcPr>
            <w:tcW w:w="5244" w:type="dxa"/>
            <w:gridSpan w:val="2"/>
          </w:tcPr>
          <w:p w:rsidR="004B72D1" w:rsidRDefault="005775DF" w:rsidP="00937C89">
            <w:pPr>
              <w:spacing w:line="360" w:lineRule="auto"/>
              <w:jc w:val="center"/>
              <w:rPr>
                <w:rFonts w:ascii="Arial" w:hAnsi="Arial" w:cs="Arial"/>
                <w:sz w:val="24"/>
                <w:szCs w:val="24"/>
              </w:rPr>
            </w:pPr>
            <w:r>
              <w:rPr>
                <w:rFonts w:ascii="Arial" w:hAnsi="Arial" w:cs="Arial"/>
                <w:sz w:val="24"/>
                <w:szCs w:val="24"/>
              </w:rPr>
              <w:t>L ELAGO</w:t>
            </w:r>
          </w:p>
          <w:p w:rsidR="005775DF" w:rsidRDefault="005775DF" w:rsidP="004B72D1">
            <w:pPr>
              <w:spacing w:line="360" w:lineRule="auto"/>
              <w:jc w:val="center"/>
              <w:rPr>
                <w:rFonts w:ascii="Arial" w:hAnsi="Arial" w:cs="Arial"/>
                <w:sz w:val="24"/>
                <w:szCs w:val="24"/>
              </w:rPr>
            </w:pPr>
            <w:r>
              <w:rPr>
                <w:rFonts w:ascii="Arial" w:hAnsi="Arial" w:cs="Arial"/>
                <w:sz w:val="24"/>
                <w:szCs w:val="24"/>
              </w:rPr>
              <w:t>In person</w:t>
            </w:r>
            <w:r w:rsidR="004B72D1">
              <w:rPr>
                <w:rFonts w:ascii="Arial" w:hAnsi="Arial" w:cs="Arial"/>
                <w:sz w:val="24"/>
                <w:szCs w:val="24"/>
              </w:rPr>
              <w:t xml:space="preserve">, </w:t>
            </w:r>
          </w:p>
          <w:p w:rsidR="0000513F" w:rsidRPr="00CA7995" w:rsidRDefault="004B72D1" w:rsidP="004B72D1">
            <w:pPr>
              <w:spacing w:line="360" w:lineRule="auto"/>
              <w:jc w:val="center"/>
              <w:rPr>
                <w:rFonts w:ascii="Arial" w:hAnsi="Arial" w:cs="Arial"/>
                <w:sz w:val="24"/>
                <w:szCs w:val="24"/>
              </w:rPr>
            </w:pPr>
            <w:r>
              <w:rPr>
                <w:rFonts w:ascii="Arial" w:hAnsi="Arial" w:cs="Arial"/>
                <w:sz w:val="24"/>
                <w:szCs w:val="24"/>
              </w:rPr>
              <w:t>Windhoek</w:t>
            </w:r>
          </w:p>
        </w:tc>
      </w:tr>
    </w:tbl>
    <w:p w:rsidR="00B845CF" w:rsidRDefault="00B845CF"/>
    <w:sectPr w:rsidR="00B845CF" w:rsidSect="00002E9A">
      <w:headerReference w:type="default" r:id="rId9"/>
      <w:footerReference w:type="default" r:id="rId10"/>
      <w:pgSz w:w="11906" w:h="16838"/>
      <w:pgMar w:top="851" w:right="1080" w:bottom="851" w:left="1080" w:header="708" w:footer="61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3452" w:rsidRDefault="00F93452" w:rsidP="00B40844">
      <w:pPr>
        <w:spacing w:after="0" w:line="240" w:lineRule="auto"/>
      </w:pPr>
      <w:r>
        <w:separator/>
      </w:r>
    </w:p>
  </w:endnote>
  <w:endnote w:type="continuationSeparator" w:id="0">
    <w:p w:rsidR="00F93452" w:rsidRDefault="00F93452" w:rsidP="00B408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7C89" w:rsidRPr="00F674F4" w:rsidRDefault="00937C89" w:rsidP="005F200A">
    <w:pPr>
      <w:pStyle w:val="Footer"/>
      <w:rPr>
        <w:rFonts w:ascii="Arial" w:hAnsi="Arial" w:cs="Arial"/>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3452" w:rsidRDefault="00F93452" w:rsidP="00B40844">
      <w:pPr>
        <w:spacing w:after="0" w:line="240" w:lineRule="auto"/>
      </w:pPr>
      <w:r>
        <w:separator/>
      </w:r>
    </w:p>
  </w:footnote>
  <w:footnote w:type="continuationSeparator" w:id="0">
    <w:p w:rsidR="00F93452" w:rsidRDefault="00F93452" w:rsidP="00B40844">
      <w:pPr>
        <w:spacing w:after="0" w:line="240" w:lineRule="auto"/>
      </w:pPr>
      <w:r>
        <w:continuationSeparator/>
      </w:r>
    </w:p>
  </w:footnote>
  <w:footnote w:id="1">
    <w:p w:rsidR="005F200A" w:rsidRPr="005F200A" w:rsidRDefault="005F200A">
      <w:pPr>
        <w:pStyle w:val="FootnoteText"/>
        <w:rPr>
          <w:rFonts w:ascii="Arial" w:hAnsi="Arial" w:cs="Arial"/>
          <w:lang w:val="en-US"/>
        </w:rPr>
      </w:pPr>
      <w:r w:rsidRPr="005F200A">
        <w:rPr>
          <w:rStyle w:val="FootnoteReference"/>
          <w:rFonts w:ascii="Arial" w:hAnsi="Arial" w:cs="Arial"/>
        </w:rPr>
        <w:footnoteRef/>
      </w:r>
      <w:r w:rsidRPr="005F200A">
        <w:rPr>
          <w:rFonts w:ascii="Arial" w:hAnsi="Arial" w:cs="Arial"/>
        </w:rPr>
        <w:t xml:space="preserve"> </w:t>
      </w:r>
      <w:r w:rsidRPr="007D2F10">
        <w:rPr>
          <w:rFonts w:ascii="Arial" w:hAnsi="Arial" w:cs="Arial"/>
          <w:i/>
        </w:rPr>
        <w:t>Ndilula N.O. v Elago</w:t>
      </w:r>
      <w:r w:rsidRPr="007D2F10">
        <w:rPr>
          <w:rFonts w:ascii="Arial" w:hAnsi="Arial" w:cs="Arial"/>
        </w:rPr>
        <w:t xml:space="preserve"> (HC-MD-CIV-MOT-GEN-2021/00433) [2023] NAHCMD 76 (24 February 2023).</w:t>
      </w:r>
    </w:p>
  </w:footnote>
  <w:footnote w:id="2">
    <w:p w:rsidR="005775DF" w:rsidRPr="005775DF" w:rsidRDefault="005775DF" w:rsidP="007D2F10">
      <w:pPr>
        <w:pStyle w:val="FootnoteText"/>
        <w:spacing w:line="360" w:lineRule="auto"/>
        <w:rPr>
          <w:lang w:val="en-US"/>
        </w:rPr>
      </w:pPr>
      <w:r>
        <w:rPr>
          <w:rStyle w:val="FootnoteReference"/>
        </w:rPr>
        <w:footnoteRef/>
      </w:r>
      <w:r>
        <w:t xml:space="preserve"> </w:t>
      </w:r>
      <w:r w:rsidRPr="007D2F10">
        <w:rPr>
          <w:rFonts w:ascii="Arial" w:hAnsi="Arial" w:cs="Arial"/>
          <w:i/>
        </w:rPr>
        <w:t>Hillhouse v Stott, Freban Investments (Pty) Ltd v Itzkin; Botha v Botha</w:t>
      </w:r>
      <w:r w:rsidRPr="007D2F10">
        <w:rPr>
          <w:rFonts w:ascii="Arial" w:hAnsi="Arial" w:cs="Arial"/>
        </w:rPr>
        <w:t xml:space="preserve"> 1990 4 SA 580 (W) 585 at 584 B-D.</w:t>
      </w:r>
    </w:p>
  </w:footnote>
  <w:footnote w:id="3">
    <w:p w:rsidR="00B22DD3" w:rsidRPr="00B22DD3" w:rsidRDefault="00B22DD3" w:rsidP="007D2F10">
      <w:pPr>
        <w:pStyle w:val="FootnoteText"/>
        <w:spacing w:line="360" w:lineRule="auto"/>
        <w:rPr>
          <w:rFonts w:ascii="Arial" w:hAnsi="Arial" w:cs="Arial"/>
          <w:lang w:val="en-US"/>
        </w:rPr>
      </w:pPr>
      <w:r>
        <w:rPr>
          <w:rStyle w:val="FootnoteReference"/>
        </w:rPr>
        <w:footnoteRef/>
      </w:r>
      <w:r>
        <w:t xml:space="preserve"> </w:t>
      </w:r>
      <w:r w:rsidRPr="00B22DD3">
        <w:rPr>
          <w:rFonts w:ascii="Arial" w:hAnsi="Arial" w:cs="Arial"/>
          <w:i/>
        </w:rPr>
        <w:t>Meskin &amp; Co v Friedman</w:t>
      </w:r>
      <w:r w:rsidRPr="00B22DD3">
        <w:rPr>
          <w:rFonts w:ascii="Arial" w:hAnsi="Arial" w:cs="Arial"/>
        </w:rPr>
        <w:t xml:space="preserve"> 1948 2 SA 555 (W) 559.</w:t>
      </w:r>
    </w:p>
  </w:footnote>
  <w:footnote w:id="4">
    <w:p w:rsidR="00002901" w:rsidRPr="00002901" w:rsidRDefault="00002901" w:rsidP="0038616F">
      <w:pPr>
        <w:pStyle w:val="FootnoteText"/>
        <w:spacing w:line="360" w:lineRule="auto"/>
        <w:rPr>
          <w:lang w:val="en-US"/>
        </w:rPr>
      </w:pPr>
      <w:r>
        <w:rPr>
          <w:rStyle w:val="FootnoteReference"/>
        </w:rPr>
        <w:footnoteRef/>
      </w:r>
      <w:r>
        <w:t xml:space="preserve"> </w:t>
      </w:r>
      <w:r w:rsidRPr="00597765">
        <w:rPr>
          <w:rFonts w:ascii="Arial" w:hAnsi="Arial" w:cs="Arial"/>
          <w:i/>
        </w:rPr>
        <w:t>Baard and Another v Serengetti Tourism (Pty) Ltd t/a Etosha Mountain Lodge</w:t>
      </w:r>
      <w:r w:rsidRPr="00597765">
        <w:rPr>
          <w:rFonts w:ascii="Arial" w:hAnsi="Arial" w:cs="Arial"/>
        </w:rPr>
        <w:t xml:space="preserve"> 2021 (1) NR 17 (SC) at para [52].</w:t>
      </w:r>
    </w:p>
  </w:footnote>
  <w:footnote w:id="5">
    <w:p w:rsidR="005775DF" w:rsidRPr="005775DF" w:rsidRDefault="005775DF" w:rsidP="0038616F">
      <w:pPr>
        <w:pStyle w:val="FootnoteText"/>
        <w:spacing w:line="360" w:lineRule="auto"/>
        <w:rPr>
          <w:rFonts w:ascii="Arial" w:hAnsi="Arial" w:cs="Arial"/>
          <w:lang w:val="en-US"/>
        </w:rPr>
      </w:pPr>
      <w:r>
        <w:rPr>
          <w:rStyle w:val="FootnoteReference"/>
        </w:rPr>
        <w:footnoteRef/>
      </w:r>
      <w:r>
        <w:t xml:space="preserve"> </w:t>
      </w:r>
      <w:r w:rsidRPr="005775DF">
        <w:rPr>
          <w:rFonts w:ascii="Arial" w:hAnsi="Arial" w:cs="Arial"/>
          <w:i/>
        </w:rPr>
        <w:t>Standard Bank Namibia Ltd and Others v Maletzky and Others</w:t>
      </w:r>
      <w:r w:rsidRPr="005775DF">
        <w:rPr>
          <w:rFonts w:ascii="Arial" w:hAnsi="Arial" w:cs="Arial"/>
        </w:rPr>
        <w:t xml:space="preserve"> (15 of 2013) [2015] NASC 12 (24 June 2015) at para 17.</w:t>
      </w:r>
    </w:p>
  </w:footnote>
  <w:footnote w:id="6">
    <w:p w:rsidR="005F200A" w:rsidRPr="005F200A" w:rsidRDefault="005F200A" w:rsidP="0038616F">
      <w:pPr>
        <w:pStyle w:val="FootnoteText"/>
        <w:spacing w:line="360" w:lineRule="auto"/>
        <w:rPr>
          <w:rFonts w:ascii="Arial" w:hAnsi="Arial" w:cs="Arial"/>
          <w:lang w:val="en-US"/>
        </w:rPr>
      </w:pPr>
      <w:r>
        <w:rPr>
          <w:rStyle w:val="FootnoteReference"/>
        </w:rPr>
        <w:footnoteRef/>
      </w:r>
      <w:r>
        <w:t xml:space="preserve"> </w:t>
      </w:r>
      <w:r w:rsidRPr="005F200A">
        <w:rPr>
          <w:rFonts w:ascii="Arial" w:hAnsi="Arial" w:cs="Arial"/>
          <w:i/>
        </w:rPr>
        <w:t>Seaways (Pty) Ltd t/a South African Express Line v Rubin</w:t>
      </w:r>
      <w:r>
        <w:rPr>
          <w:rFonts w:ascii="Arial" w:hAnsi="Arial" w:cs="Arial"/>
        </w:rPr>
        <w:t xml:space="preserve"> </w:t>
      </w:r>
      <w:r w:rsidRPr="005F200A">
        <w:rPr>
          <w:rFonts w:ascii="Arial" w:hAnsi="Arial" w:cs="Arial"/>
        </w:rPr>
        <w:t>(31419/2010) [2013] ZAGPJHC 118 (24 May 2013).</w:t>
      </w:r>
    </w:p>
  </w:footnote>
  <w:footnote w:id="7">
    <w:p w:rsidR="00072566" w:rsidRPr="005F200A" w:rsidRDefault="00072566">
      <w:pPr>
        <w:pStyle w:val="FootnoteText"/>
        <w:rPr>
          <w:rFonts w:ascii="Arial" w:hAnsi="Arial" w:cs="Arial"/>
          <w:lang w:val="en-US"/>
        </w:rPr>
      </w:pPr>
      <w:r w:rsidRPr="005F200A">
        <w:rPr>
          <w:rStyle w:val="FootnoteReference"/>
          <w:rFonts w:ascii="Arial" w:hAnsi="Arial" w:cs="Arial"/>
        </w:rPr>
        <w:footnoteRef/>
      </w:r>
      <w:r w:rsidRPr="005F200A">
        <w:rPr>
          <w:rFonts w:ascii="Arial" w:hAnsi="Arial" w:cs="Arial"/>
        </w:rPr>
        <w:t xml:space="preserve"> </w:t>
      </w:r>
      <w:r w:rsidRPr="005F200A">
        <w:rPr>
          <w:rFonts w:ascii="Arial" w:hAnsi="Arial" w:cs="Arial"/>
          <w:lang w:val="en-US"/>
        </w:rPr>
        <w:t>Supra footnote 2 at 585 E-G.</w:t>
      </w:r>
    </w:p>
  </w:footnote>
  <w:footnote w:id="8">
    <w:p w:rsidR="005775DF" w:rsidRPr="005775DF" w:rsidRDefault="005775DF" w:rsidP="0038616F">
      <w:pPr>
        <w:pStyle w:val="FootnoteText"/>
        <w:spacing w:line="360" w:lineRule="auto"/>
        <w:rPr>
          <w:lang w:val="en-US"/>
        </w:rPr>
      </w:pPr>
      <w:r>
        <w:rPr>
          <w:rStyle w:val="FootnoteReference"/>
        </w:rPr>
        <w:footnoteRef/>
      </w:r>
      <w:r>
        <w:t xml:space="preserve"> </w:t>
      </w:r>
      <w:r w:rsidRPr="005775DF">
        <w:rPr>
          <w:rFonts w:ascii="Arial" w:hAnsi="Arial" w:cs="Arial"/>
          <w:i/>
        </w:rPr>
        <w:t>Baard and Another v Serengetti Tourism (Pty) Ltd t/a Etosha Mountain Lodge</w:t>
      </w:r>
      <w:r w:rsidRPr="005775DF">
        <w:rPr>
          <w:rFonts w:ascii="Arial" w:hAnsi="Arial" w:cs="Arial"/>
        </w:rPr>
        <w:t xml:space="preserve"> 2021 (1) NR 17 (SC) at para [59].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0383227"/>
      <w:docPartObj>
        <w:docPartGallery w:val="Page Numbers (Top of Page)"/>
        <w:docPartUnique/>
      </w:docPartObj>
    </w:sdtPr>
    <w:sdtEndPr>
      <w:rPr>
        <w:noProof/>
      </w:rPr>
    </w:sdtEndPr>
    <w:sdtContent>
      <w:p w:rsidR="005F200A" w:rsidRDefault="005F200A">
        <w:pPr>
          <w:pStyle w:val="Header"/>
          <w:jc w:val="right"/>
        </w:pPr>
        <w:r>
          <w:fldChar w:fldCharType="begin"/>
        </w:r>
        <w:r>
          <w:instrText xml:space="preserve"> PAGE   \* MERGEFORMAT </w:instrText>
        </w:r>
        <w:r>
          <w:fldChar w:fldCharType="separate"/>
        </w:r>
        <w:r w:rsidR="00B34298">
          <w:rPr>
            <w:noProof/>
          </w:rPr>
          <w:t>2</w:t>
        </w:r>
        <w:r>
          <w:rPr>
            <w:noProof/>
          </w:rPr>
          <w:fldChar w:fldCharType="end"/>
        </w:r>
      </w:p>
    </w:sdtContent>
  </w:sdt>
  <w:p w:rsidR="005F200A" w:rsidRDefault="005F200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44584"/>
    <w:multiLevelType w:val="hybridMultilevel"/>
    <w:tmpl w:val="BB623718"/>
    <w:lvl w:ilvl="0" w:tplc="294CA37C">
      <w:start w:val="1"/>
      <w:numFmt w:val="decimal"/>
      <w:lvlText w:val="%1."/>
      <w:lvlJc w:val="left"/>
      <w:pPr>
        <w:ind w:left="455" w:hanging="435"/>
      </w:pPr>
      <w:rPr>
        <w:rFonts w:hint="default"/>
      </w:rPr>
    </w:lvl>
    <w:lvl w:ilvl="1" w:tplc="04090019" w:tentative="1">
      <w:start w:val="1"/>
      <w:numFmt w:val="lowerLetter"/>
      <w:lvlText w:val="%2."/>
      <w:lvlJc w:val="left"/>
      <w:pPr>
        <w:ind w:left="1100" w:hanging="360"/>
      </w:pPr>
    </w:lvl>
    <w:lvl w:ilvl="2" w:tplc="0409001B" w:tentative="1">
      <w:start w:val="1"/>
      <w:numFmt w:val="lowerRoman"/>
      <w:lvlText w:val="%3."/>
      <w:lvlJc w:val="right"/>
      <w:pPr>
        <w:ind w:left="1820" w:hanging="180"/>
      </w:pPr>
    </w:lvl>
    <w:lvl w:ilvl="3" w:tplc="0409000F" w:tentative="1">
      <w:start w:val="1"/>
      <w:numFmt w:val="decimal"/>
      <w:lvlText w:val="%4."/>
      <w:lvlJc w:val="left"/>
      <w:pPr>
        <w:ind w:left="2540" w:hanging="360"/>
      </w:pPr>
    </w:lvl>
    <w:lvl w:ilvl="4" w:tplc="04090019" w:tentative="1">
      <w:start w:val="1"/>
      <w:numFmt w:val="lowerLetter"/>
      <w:lvlText w:val="%5."/>
      <w:lvlJc w:val="left"/>
      <w:pPr>
        <w:ind w:left="3260" w:hanging="360"/>
      </w:pPr>
    </w:lvl>
    <w:lvl w:ilvl="5" w:tplc="0409001B" w:tentative="1">
      <w:start w:val="1"/>
      <w:numFmt w:val="lowerRoman"/>
      <w:lvlText w:val="%6."/>
      <w:lvlJc w:val="right"/>
      <w:pPr>
        <w:ind w:left="3980" w:hanging="180"/>
      </w:pPr>
    </w:lvl>
    <w:lvl w:ilvl="6" w:tplc="0409000F" w:tentative="1">
      <w:start w:val="1"/>
      <w:numFmt w:val="decimal"/>
      <w:lvlText w:val="%7."/>
      <w:lvlJc w:val="left"/>
      <w:pPr>
        <w:ind w:left="4700" w:hanging="360"/>
      </w:pPr>
    </w:lvl>
    <w:lvl w:ilvl="7" w:tplc="04090019" w:tentative="1">
      <w:start w:val="1"/>
      <w:numFmt w:val="lowerLetter"/>
      <w:lvlText w:val="%8."/>
      <w:lvlJc w:val="left"/>
      <w:pPr>
        <w:ind w:left="5420" w:hanging="360"/>
      </w:pPr>
    </w:lvl>
    <w:lvl w:ilvl="8" w:tplc="0409001B" w:tentative="1">
      <w:start w:val="1"/>
      <w:numFmt w:val="lowerRoman"/>
      <w:lvlText w:val="%9."/>
      <w:lvlJc w:val="right"/>
      <w:pPr>
        <w:ind w:left="6140" w:hanging="180"/>
      </w:pPr>
    </w:lvl>
  </w:abstractNum>
  <w:abstractNum w:abstractNumId="1">
    <w:nsid w:val="002E0581"/>
    <w:multiLevelType w:val="hybridMultilevel"/>
    <w:tmpl w:val="B426A390"/>
    <w:lvl w:ilvl="0" w:tplc="0409000F">
      <w:start w:val="1"/>
      <w:numFmt w:val="decimal"/>
      <w:lvlText w:val="%1."/>
      <w:lvlJc w:val="left"/>
      <w:pPr>
        <w:ind w:left="815" w:hanging="360"/>
      </w:pPr>
      <w:rPr>
        <w:rFonts w:hint="default"/>
      </w:rPr>
    </w:lvl>
    <w:lvl w:ilvl="1" w:tplc="04090019" w:tentative="1">
      <w:start w:val="1"/>
      <w:numFmt w:val="lowerLetter"/>
      <w:lvlText w:val="%2."/>
      <w:lvlJc w:val="left"/>
      <w:pPr>
        <w:ind w:left="1535" w:hanging="360"/>
      </w:pPr>
    </w:lvl>
    <w:lvl w:ilvl="2" w:tplc="0409001B" w:tentative="1">
      <w:start w:val="1"/>
      <w:numFmt w:val="lowerRoman"/>
      <w:lvlText w:val="%3."/>
      <w:lvlJc w:val="right"/>
      <w:pPr>
        <w:ind w:left="2255" w:hanging="180"/>
      </w:pPr>
    </w:lvl>
    <w:lvl w:ilvl="3" w:tplc="0409000F" w:tentative="1">
      <w:start w:val="1"/>
      <w:numFmt w:val="decimal"/>
      <w:lvlText w:val="%4."/>
      <w:lvlJc w:val="left"/>
      <w:pPr>
        <w:ind w:left="2975" w:hanging="360"/>
      </w:pPr>
    </w:lvl>
    <w:lvl w:ilvl="4" w:tplc="04090019" w:tentative="1">
      <w:start w:val="1"/>
      <w:numFmt w:val="lowerLetter"/>
      <w:lvlText w:val="%5."/>
      <w:lvlJc w:val="left"/>
      <w:pPr>
        <w:ind w:left="3695" w:hanging="360"/>
      </w:pPr>
    </w:lvl>
    <w:lvl w:ilvl="5" w:tplc="0409001B" w:tentative="1">
      <w:start w:val="1"/>
      <w:numFmt w:val="lowerRoman"/>
      <w:lvlText w:val="%6."/>
      <w:lvlJc w:val="right"/>
      <w:pPr>
        <w:ind w:left="4415" w:hanging="180"/>
      </w:pPr>
    </w:lvl>
    <w:lvl w:ilvl="6" w:tplc="0409000F" w:tentative="1">
      <w:start w:val="1"/>
      <w:numFmt w:val="decimal"/>
      <w:lvlText w:val="%7."/>
      <w:lvlJc w:val="left"/>
      <w:pPr>
        <w:ind w:left="5135" w:hanging="360"/>
      </w:pPr>
    </w:lvl>
    <w:lvl w:ilvl="7" w:tplc="04090019" w:tentative="1">
      <w:start w:val="1"/>
      <w:numFmt w:val="lowerLetter"/>
      <w:lvlText w:val="%8."/>
      <w:lvlJc w:val="left"/>
      <w:pPr>
        <w:ind w:left="5855" w:hanging="360"/>
      </w:pPr>
    </w:lvl>
    <w:lvl w:ilvl="8" w:tplc="0409001B" w:tentative="1">
      <w:start w:val="1"/>
      <w:numFmt w:val="lowerRoman"/>
      <w:lvlText w:val="%9."/>
      <w:lvlJc w:val="right"/>
      <w:pPr>
        <w:ind w:left="6575" w:hanging="180"/>
      </w:pPr>
    </w:lvl>
  </w:abstractNum>
  <w:abstractNum w:abstractNumId="2">
    <w:nsid w:val="04B82690"/>
    <w:multiLevelType w:val="hybridMultilevel"/>
    <w:tmpl w:val="77A4533A"/>
    <w:lvl w:ilvl="0" w:tplc="CD98B92C">
      <w:start w:val="1"/>
      <w:numFmt w:val="lowerLetter"/>
      <w:lvlText w:val="%1)"/>
      <w:lvlJc w:val="left"/>
      <w:pPr>
        <w:ind w:left="815" w:hanging="360"/>
      </w:pPr>
      <w:rPr>
        <w:rFonts w:hint="default"/>
      </w:rPr>
    </w:lvl>
    <w:lvl w:ilvl="1" w:tplc="04090019" w:tentative="1">
      <w:start w:val="1"/>
      <w:numFmt w:val="lowerLetter"/>
      <w:lvlText w:val="%2."/>
      <w:lvlJc w:val="left"/>
      <w:pPr>
        <w:ind w:left="1535" w:hanging="360"/>
      </w:pPr>
    </w:lvl>
    <w:lvl w:ilvl="2" w:tplc="0409001B" w:tentative="1">
      <w:start w:val="1"/>
      <w:numFmt w:val="lowerRoman"/>
      <w:lvlText w:val="%3."/>
      <w:lvlJc w:val="right"/>
      <w:pPr>
        <w:ind w:left="2255" w:hanging="180"/>
      </w:pPr>
    </w:lvl>
    <w:lvl w:ilvl="3" w:tplc="0409000F" w:tentative="1">
      <w:start w:val="1"/>
      <w:numFmt w:val="decimal"/>
      <w:lvlText w:val="%4."/>
      <w:lvlJc w:val="left"/>
      <w:pPr>
        <w:ind w:left="2975" w:hanging="360"/>
      </w:pPr>
    </w:lvl>
    <w:lvl w:ilvl="4" w:tplc="04090019" w:tentative="1">
      <w:start w:val="1"/>
      <w:numFmt w:val="lowerLetter"/>
      <w:lvlText w:val="%5."/>
      <w:lvlJc w:val="left"/>
      <w:pPr>
        <w:ind w:left="3695" w:hanging="360"/>
      </w:pPr>
    </w:lvl>
    <w:lvl w:ilvl="5" w:tplc="0409001B" w:tentative="1">
      <w:start w:val="1"/>
      <w:numFmt w:val="lowerRoman"/>
      <w:lvlText w:val="%6."/>
      <w:lvlJc w:val="right"/>
      <w:pPr>
        <w:ind w:left="4415" w:hanging="180"/>
      </w:pPr>
    </w:lvl>
    <w:lvl w:ilvl="6" w:tplc="0409000F" w:tentative="1">
      <w:start w:val="1"/>
      <w:numFmt w:val="decimal"/>
      <w:lvlText w:val="%7."/>
      <w:lvlJc w:val="left"/>
      <w:pPr>
        <w:ind w:left="5135" w:hanging="360"/>
      </w:pPr>
    </w:lvl>
    <w:lvl w:ilvl="7" w:tplc="04090019" w:tentative="1">
      <w:start w:val="1"/>
      <w:numFmt w:val="lowerLetter"/>
      <w:lvlText w:val="%8."/>
      <w:lvlJc w:val="left"/>
      <w:pPr>
        <w:ind w:left="5855" w:hanging="360"/>
      </w:pPr>
    </w:lvl>
    <w:lvl w:ilvl="8" w:tplc="0409001B" w:tentative="1">
      <w:start w:val="1"/>
      <w:numFmt w:val="lowerRoman"/>
      <w:lvlText w:val="%9."/>
      <w:lvlJc w:val="right"/>
      <w:pPr>
        <w:ind w:left="6575" w:hanging="180"/>
      </w:pPr>
    </w:lvl>
  </w:abstractNum>
  <w:abstractNum w:abstractNumId="3">
    <w:nsid w:val="38C34F4F"/>
    <w:multiLevelType w:val="hybridMultilevel"/>
    <w:tmpl w:val="AFFAA764"/>
    <w:lvl w:ilvl="0" w:tplc="947E1C80">
      <w:start w:val="1"/>
      <w:numFmt w:val="lowerLetter"/>
      <w:lvlText w:val="(%1)"/>
      <w:lvlJc w:val="left"/>
      <w:pPr>
        <w:ind w:left="945" w:hanging="585"/>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C4900F2"/>
    <w:multiLevelType w:val="hybridMultilevel"/>
    <w:tmpl w:val="EB6AC1A2"/>
    <w:lvl w:ilvl="0" w:tplc="CFD80FC2">
      <w:start w:val="1"/>
      <w:numFmt w:val="lowerLetter"/>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nsid w:val="48F93CAC"/>
    <w:multiLevelType w:val="hybridMultilevel"/>
    <w:tmpl w:val="343E8924"/>
    <w:lvl w:ilvl="0" w:tplc="294CA37C">
      <w:start w:val="1"/>
      <w:numFmt w:val="decimal"/>
      <w:lvlText w:val="%1."/>
      <w:lvlJc w:val="left"/>
      <w:pPr>
        <w:ind w:left="455" w:hanging="435"/>
      </w:pPr>
      <w:rPr>
        <w:rFonts w:hint="default"/>
      </w:rPr>
    </w:lvl>
    <w:lvl w:ilvl="1" w:tplc="04090019" w:tentative="1">
      <w:start w:val="1"/>
      <w:numFmt w:val="lowerLetter"/>
      <w:lvlText w:val="%2."/>
      <w:lvlJc w:val="left"/>
      <w:pPr>
        <w:ind w:left="1100" w:hanging="360"/>
      </w:pPr>
    </w:lvl>
    <w:lvl w:ilvl="2" w:tplc="0409001B" w:tentative="1">
      <w:start w:val="1"/>
      <w:numFmt w:val="lowerRoman"/>
      <w:lvlText w:val="%3."/>
      <w:lvlJc w:val="right"/>
      <w:pPr>
        <w:ind w:left="1820" w:hanging="180"/>
      </w:pPr>
    </w:lvl>
    <w:lvl w:ilvl="3" w:tplc="0409000F" w:tentative="1">
      <w:start w:val="1"/>
      <w:numFmt w:val="decimal"/>
      <w:lvlText w:val="%4."/>
      <w:lvlJc w:val="left"/>
      <w:pPr>
        <w:ind w:left="2540" w:hanging="360"/>
      </w:pPr>
    </w:lvl>
    <w:lvl w:ilvl="4" w:tplc="04090019" w:tentative="1">
      <w:start w:val="1"/>
      <w:numFmt w:val="lowerLetter"/>
      <w:lvlText w:val="%5."/>
      <w:lvlJc w:val="left"/>
      <w:pPr>
        <w:ind w:left="3260" w:hanging="360"/>
      </w:pPr>
    </w:lvl>
    <w:lvl w:ilvl="5" w:tplc="0409001B" w:tentative="1">
      <w:start w:val="1"/>
      <w:numFmt w:val="lowerRoman"/>
      <w:lvlText w:val="%6."/>
      <w:lvlJc w:val="right"/>
      <w:pPr>
        <w:ind w:left="3980" w:hanging="180"/>
      </w:pPr>
    </w:lvl>
    <w:lvl w:ilvl="6" w:tplc="0409000F" w:tentative="1">
      <w:start w:val="1"/>
      <w:numFmt w:val="decimal"/>
      <w:lvlText w:val="%7."/>
      <w:lvlJc w:val="left"/>
      <w:pPr>
        <w:ind w:left="4700" w:hanging="360"/>
      </w:pPr>
    </w:lvl>
    <w:lvl w:ilvl="7" w:tplc="04090019" w:tentative="1">
      <w:start w:val="1"/>
      <w:numFmt w:val="lowerLetter"/>
      <w:lvlText w:val="%8."/>
      <w:lvlJc w:val="left"/>
      <w:pPr>
        <w:ind w:left="5420" w:hanging="360"/>
      </w:pPr>
    </w:lvl>
    <w:lvl w:ilvl="8" w:tplc="0409001B" w:tentative="1">
      <w:start w:val="1"/>
      <w:numFmt w:val="lowerRoman"/>
      <w:lvlText w:val="%9."/>
      <w:lvlJc w:val="right"/>
      <w:pPr>
        <w:ind w:left="6140" w:hanging="180"/>
      </w:pPr>
    </w:lvl>
  </w:abstractNum>
  <w:abstractNum w:abstractNumId="6">
    <w:nsid w:val="57837C55"/>
    <w:multiLevelType w:val="hybridMultilevel"/>
    <w:tmpl w:val="79C4B0E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5"/>
  </w:num>
  <w:num w:numId="4">
    <w:abstractNumId w:val="2"/>
  </w:num>
  <w:num w:numId="5">
    <w:abstractNumId w:val="1"/>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0844"/>
    <w:rsid w:val="00002901"/>
    <w:rsid w:val="00002E9A"/>
    <w:rsid w:val="00004751"/>
    <w:rsid w:val="0000513F"/>
    <w:rsid w:val="000142CE"/>
    <w:rsid w:val="00015808"/>
    <w:rsid w:val="00030A66"/>
    <w:rsid w:val="000466BD"/>
    <w:rsid w:val="00052806"/>
    <w:rsid w:val="00053646"/>
    <w:rsid w:val="00072566"/>
    <w:rsid w:val="000929C5"/>
    <w:rsid w:val="000A6E7F"/>
    <w:rsid w:val="000C03BB"/>
    <w:rsid w:val="000D3C9C"/>
    <w:rsid w:val="000F1377"/>
    <w:rsid w:val="000F39A3"/>
    <w:rsid w:val="000F681E"/>
    <w:rsid w:val="00116AFB"/>
    <w:rsid w:val="001223B7"/>
    <w:rsid w:val="00124C63"/>
    <w:rsid w:val="00133961"/>
    <w:rsid w:val="00152FEA"/>
    <w:rsid w:val="0015711C"/>
    <w:rsid w:val="001744E0"/>
    <w:rsid w:val="0018718C"/>
    <w:rsid w:val="001B3825"/>
    <w:rsid w:val="001E097B"/>
    <w:rsid w:val="001F036C"/>
    <w:rsid w:val="0021453F"/>
    <w:rsid w:val="00217744"/>
    <w:rsid w:val="00224808"/>
    <w:rsid w:val="002317B0"/>
    <w:rsid w:val="0023549A"/>
    <w:rsid w:val="00251549"/>
    <w:rsid w:val="002536EA"/>
    <w:rsid w:val="0026588D"/>
    <w:rsid w:val="0026594C"/>
    <w:rsid w:val="00276736"/>
    <w:rsid w:val="002A4AA3"/>
    <w:rsid w:val="002B1E42"/>
    <w:rsid w:val="002B38E0"/>
    <w:rsid w:val="002C1EF6"/>
    <w:rsid w:val="002D20C5"/>
    <w:rsid w:val="002E0391"/>
    <w:rsid w:val="002E738E"/>
    <w:rsid w:val="0031523D"/>
    <w:rsid w:val="00322F39"/>
    <w:rsid w:val="00323AAF"/>
    <w:rsid w:val="00323E22"/>
    <w:rsid w:val="00336260"/>
    <w:rsid w:val="00340EA6"/>
    <w:rsid w:val="003413C7"/>
    <w:rsid w:val="00341C0F"/>
    <w:rsid w:val="0035617B"/>
    <w:rsid w:val="00371B8F"/>
    <w:rsid w:val="0038382D"/>
    <w:rsid w:val="00384B95"/>
    <w:rsid w:val="0038616F"/>
    <w:rsid w:val="003A18AD"/>
    <w:rsid w:val="003A32E4"/>
    <w:rsid w:val="003A49EA"/>
    <w:rsid w:val="003C2574"/>
    <w:rsid w:val="003D165C"/>
    <w:rsid w:val="003D3059"/>
    <w:rsid w:val="00404B70"/>
    <w:rsid w:val="00412278"/>
    <w:rsid w:val="00426C60"/>
    <w:rsid w:val="00431A65"/>
    <w:rsid w:val="004352E5"/>
    <w:rsid w:val="004358E2"/>
    <w:rsid w:val="00436C2B"/>
    <w:rsid w:val="00463486"/>
    <w:rsid w:val="004665B1"/>
    <w:rsid w:val="00466B36"/>
    <w:rsid w:val="00471E85"/>
    <w:rsid w:val="00474C2A"/>
    <w:rsid w:val="00475B7A"/>
    <w:rsid w:val="004907E4"/>
    <w:rsid w:val="004936A7"/>
    <w:rsid w:val="004A1B08"/>
    <w:rsid w:val="004A2D48"/>
    <w:rsid w:val="004B72D1"/>
    <w:rsid w:val="004C646F"/>
    <w:rsid w:val="00503F36"/>
    <w:rsid w:val="00535F29"/>
    <w:rsid w:val="00536EFF"/>
    <w:rsid w:val="00545EEF"/>
    <w:rsid w:val="00552964"/>
    <w:rsid w:val="00562322"/>
    <w:rsid w:val="005629DA"/>
    <w:rsid w:val="005676AD"/>
    <w:rsid w:val="005775DF"/>
    <w:rsid w:val="00594F6C"/>
    <w:rsid w:val="00597765"/>
    <w:rsid w:val="005A4D90"/>
    <w:rsid w:val="005B62A0"/>
    <w:rsid w:val="005C0E24"/>
    <w:rsid w:val="005C21D7"/>
    <w:rsid w:val="005C3354"/>
    <w:rsid w:val="005D7BD0"/>
    <w:rsid w:val="005F200A"/>
    <w:rsid w:val="005F325C"/>
    <w:rsid w:val="005F32EB"/>
    <w:rsid w:val="00610BF1"/>
    <w:rsid w:val="006115E2"/>
    <w:rsid w:val="006628D2"/>
    <w:rsid w:val="00672C76"/>
    <w:rsid w:val="006916C9"/>
    <w:rsid w:val="00695745"/>
    <w:rsid w:val="006976D9"/>
    <w:rsid w:val="006A0BA4"/>
    <w:rsid w:val="006B7521"/>
    <w:rsid w:val="006D0991"/>
    <w:rsid w:val="006D7450"/>
    <w:rsid w:val="006E0FD4"/>
    <w:rsid w:val="006F7810"/>
    <w:rsid w:val="00702C62"/>
    <w:rsid w:val="00703171"/>
    <w:rsid w:val="00736DA4"/>
    <w:rsid w:val="00737C3D"/>
    <w:rsid w:val="00746C0C"/>
    <w:rsid w:val="00766C68"/>
    <w:rsid w:val="0078274D"/>
    <w:rsid w:val="007853D8"/>
    <w:rsid w:val="0078733C"/>
    <w:rsid w:val="007950C8"/>
    <w:rsid w:val="00796B9C"/>
    <w:rsid w:val="007D0792"/>
    <w:rsid w:val="007D2F10"/>
    <w:rsid w:val="007D6C74"/>
    <w:rsid w:val="007F68C4"/>
    <w:rsid w:val="008006A3"/>
    <w:rsid w:val="00805692"/>
    <w:rsid w:val="00812409"/>
    <w:rsid w:val="00813F77"/>
    <w:rsid w:val="00816D5D"/>
    <w:rsid w:val="00821A0C"/>
    <w:rsid w:val="008275AC"/>
    <w:rsid w:val="00835300"/>
    <w:rsid w:val="0084650C"/>
    <w:rsid w:val="00882F73"/>
    <w:rsid w:val="00890A20"/>
    <w:rsid w:val="00892D9A"/>
    <w:rsid w:val="008A1447"/>
    <w:rsid w:val="008B171D"/>
    <w:rsid w:val="008C2200"/>
    <w:rsid w:val="008E0730"/>
    <w:rsid w:val="008F41BE"/>
    <w:rsid w:val="008F5871"/>
    <w:rsid w:val="008F59A0"/>
    <w:rsid w:val="0091061F"/>
    <w:rsid w:val="00920F40"/>
    <w:rsid w:val="009279BE"/>
    <w:rsid w:val="00937C89"/>
    <w:rsid w:val="00940E36"/>
    <w:rsid w:val="009569D1"/>
    <w:rsid w:val="009617AA"/>
    <w:rsid w:val="009733A9"/>
    <w:rsid w:val="009919F6"/>
    <w:rsid w:val="00997C11"/>
    <w:rsid w:val="009A7A59"/>
    <w:rsid w:val="009C35C9"/>
    <w:rsid w:val="009C6F3F"/>
    <w:rsid w:val="009D27E8"/>
    <w:rsid w:val="009F5D03"/>
    <w:rsid w:val="00A10E40"/>
    <w:rsid w:val="00A15CD1"/>
    <w:rsid w:val="00A22E0F"/>
    <w:rsid w:val="00A26B7B"/>
    <w:rsid w:val="00A3327E"/>
    <w:rsid w:val="00A50F13"/>
    <w:rsid w:val="00A66511"/>
    <w:rsid w:val="00A75ED6"/>
    <w:rsid w:val="00AA3ECB"/>
    <w:rsid w:val="00AD72DD"/>
    <w:rsid w:val="00AF2E2C"/>
    <w:rsid w:val="00B01B6C"/>
    <w:rsid w:val="00B121EA"/>
    <w:rsid w:val="00B22DD3"/>
    <w:rsid w:val="00B34298"/>
    <w:rsid w:val="00B40844"/>
    <w:rsid w:val="00B45A5A"/>
    <w:rsid w:val="00B463CA"/>
    <w:rsid w:val="00B47800"/>
    <w:rsid w:val="00B50C99"/>
    <w:rsid w:val="00B56E34"/>
    <w:rsid w:val="00B5737E"/>
    <w:rsid w:val="00B601AD"/>
    <w:rsid w:val="00B61AC7"/>
    <w:rsid w:val="00B62468"/>
    <w:rsid w:val="00B808CB"/>
    <w:rsid w:val="00B845CF"/>
    <w:rsid w:val="00B90C6F"/>
    <w:rsid w:val="00B92DE7"/>
    <w:rsid w:val="00B9407E"/>
    <w:rsid w:val="00BB13F4"/>
    <w:rsid w:val="00BB3273"/>
    <w:rsid w:val="00BC5931"/>
    <w:rsid w:val="00BE31AD"/>
    <w:rsid w:val="00C04F28"/>
    <w:rsid w:val="00C06EB4"/>
    <w:rsid w:val="00C071E0"/>
    <w:rsid w:val="00C2633E"/>
    <w:rsid w:val="00C42144"/>
    <w:rsid w:val="00C73D5D"/>
    <w:rsid w:val="00CA44E2"/>
    <w:rsid w:val="00CA7995"/>
    <w:rsid w:val="00CC7431"/>
    <w:rsid w:val="00CD62C0"/>
    <w:rsid w:val="00CE5E5B"/>
    <w:rsid w:val="00CF3819"/>
    <w:rsid w:val="00CF413C"/>
    <w:rsid w:val="00D113DD"/>
    <w:rsid w:val="00D14EF6"/>
    <w:rsid w:val="00D24453"/>
    <w:rsid w:val="00D25285"/>
    <w:rsid w:val="00D30D4D"/>
    <w:rsid w:val="00D37DAA"/>
    <w:rsid w:val="00D5070E"/>
    <w:rsid w:val="00D547B6"/>
    <w:rsid w:val="00D6224D"/>
    <w:rsid w:val="00D80947"/>
    <w:rsid w:val="00D837ED"/>
    <w:rsid w:val="00D91FF4"/>
    <w:rsid w:val="00D960EA"/>
    <w:rsid w:val="00DB5AA2"/>
    <w:rsid w:val="00DD76E7"/>
    <w:rsid w:val="00DD7A91"/>
    <w:rsid w:val="00DF1565"/>
    <w:rsid w:val="00E01A84"/>
    <w:rsid w:val="00E0573A"/>
    <w:rsid w:val="00E11E88"/>
    <w:rsid w:val="00E221FD"/>
    <w:rsid w:val="00E33022"/>
    <w:rsid w:val="00E41BE5"/>
    <w:rsid w:val="00E434A3"/>
    <w:rsid w:val="00E47C47"/>
    <w:rsid w:val="00E533BE"/>
    <w:rsid w:val="00E540B7"/>
    <w:rsid w:val="00E62DB3"/>
    <w:rsid w:val="00E83C8A"/>
    <w:rsid w:val="00E96F9E"/>
    <w:rsid w:val="00EA2DE2"/>
    <w:rsid w:val="00EB1AE0"/>
    <w:rsid w:val="00EC29B1"/>
    <w:rsid w:val="00ED2F03"/>
    <w:rsid w:val="00ED5B76"/>
    <w:rsid w:val="00ED7008"/>
    <w:rsid w:val="00ED76B2"/>
    <w:rsid w:val="00EF184A"/>
    <w:rsid w:val="00EF2FFD"/>
    <w:rsid w:val="00F0235A"/>
    <w:rsid w:val="00F05CAB"/>
    <w:rsid w:val="00F0783D"/>
    <w:rsid w:val="00F258A0"/>
    <w:rsid w:val="00F502F0"/>
    <w:rsid w:val="00F62BCA"/>
    <w:rsid w:val="00F65529"/>
    <w:rsid w:val="00F65903"/>
    <w:rsid w:val="00F72231"/>
    <w:rsid w:val="00F7691A"/>
    <w:rsid w:val="00F82EDF"/>
    <w:rsid w:val="00F8480F"/>
    <w:rsid w:val="00F92D04"/>
    <w:rsid w:val="00F93452"/>
    <w:rsid w:val="00FA07D9"/>
    <w:rsid w:val="00FB2E9E"/>
    <w:rsid w:val="00FB5F14"/>
    <w:rsid w:val="00FC2237"/>
    <w:rsid w:val="00FC6F2E"/>
    <w:rsid w:val="00FD68B7"/>
    <w:rsid w:val="00FF4F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EBFDA3-0F1F-46D3-90C9-5D095530C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0844"/>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40844"/>
    <w:pPr>
      <w:spacing w:after="0" w:line="240" w:lineRule="auto"/>
    </w:pPr>
    <w:rPr>
      <w:lang w:val="en-Z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B408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0844"/>
    <w:rPr>
      <w:lang w:val="en-ZA"/>
    </w:rPr>
  </w:style>
  <w:style w:type="paragraph" w:styleId="FootnoteText">
    <w:name w:val="footnote text"/>
    <w:basedOn w:val="Normal"/>
    <w:link w:val="FootnoteTextChar"/>
    <w:uiPriority w:val="99"/>
    <w:unhideWhenUsed/>
    <w:rsid w:val="00B40844"/>
    <w:pPr>
      <w:spacing w:after="0" w:line="240" w:lineRule="auto"/>
    </w:pPr>
    <w:rPr>
      <w:sz w:val="20"/>
      <w:szCs w:val="20"/>
    </w:rPr>
  </w:style>
  <w:style w:type="character" w:customStyle="1" w:styleId="FootnoteTextChar">
    <w:name w:val="Footnote Text Char"/>
    <w:basedOn w:val="DefaultParagraphFont"/>
    <w:link w:val="FootnoteText"/>
    <w:uiPriority w:val="99"/>
    <w:rsid w:val="00B40844"/>
    <w:rPr>
      <w:sz w:val="20"/>
      <w:szCs w:val="20"/>
      <w:lang w:val="en-ZA"/>
    </w:rPr>
  </w:style>
  <w:style w:type="character" w:styleId="FootnoteReference">
    <w:name w:val="footnote reference"/>
    <w:basedOn w:val="DefaultParagraphFont"/>
    <w:uiPriority w:val="99"/>
    <w:unhideWhenUsed/>
    <w:rsid w:val="00B40844"/>
    <w:rPr>
      <w:vertAlign w:val="superscript"/>
    </w:rPr>
  </w:style>
  <w:style w:type="paragraph" w:styleId="NormalWeb">
    <w:name w:val="Normal (Web)"/>
    <w:basedOn w:val="Normal"/>
    <w:uiPriority w:val="99"/>
    <w:unhideWhenUsed/>
    <w:rsid w:val="00B40844"/>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ListParagraph">
    <w:name w:val="List Paragraph"/>
    <w:basedOn w:val="Normal"/>
    <w:uiPriority w:val="34"/>
    <w:qFormat/>
    <w:rsid w:val="00B121EA"/>
    <w:pPr>
      <w:ind w:left="720"/>
      <w:contextualSpacing/>
    </w:pPr>
  </w:style>
  <w:style w:type="paragraph" w:styleId="BalloonText">
    <w:name w:val="Balloon Text"/>
    <w:basedOn w:val="Normal"/>
    <w:link w:val="BalloonTextChar"/>
    <w:uiPriority w:val="99"/>
    <w:semiHidden/>
    <w:unhideWhenUsed/>
    <w:rsid w:val="004122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2278"/>
    <w:rPr>
      <w:rFonts w:ascii="Segoe UI" w:hAnsi="Segoe UI" w:cs="Segoe UI"/>
      <w:sz w:val="18"/>
      <w:szCs w:val="18"/>
      <w:lang w:val="en-ZA"/>
    </w:rPr>
  </w:style>
  <w:style w:type="paragraph" w:customStyle="1" w:styleId="I">
    <w:name w:val="I"/>
    <w:uiPriority w:val="99"/>
    <w:rsid w:val="00FB2E9E"/>
    <w:pPr>
      <w:widowControl w:val="0"/>
      <w:tabs>
        <w:tab w:val="left" w:pos="578"/>
        <w:tab w:val="left" w:pos="862"/>
        <w:tab w:val="left" w:pos="1440"/>
        <w:tab w:val="left" w:pos="2013"/>
        <w:tab w:val="left" w:pos="2591"/>
        <w:tab w:val="left" w:pos="3311"/>
      </w:tabs>
      <w:autoSpaceDE w:val="0"/>
      <w:autoSpaceDN w:val="0"/>
      <w:adjustRightInd w:val="0"/>
      <w:spacing w:after="181" w:line="240" w:lineRule="auto"/>
      <w:ind w:left="578" w:hanging="578"/>
    </w:pPr>
    <w:rPr>
      <w:rFonts w:ascii="Arial" w:eastAsiaTheme="minorEastAsia" w:hAnsi="Arial" w:cs="Arial"/>
      <w:sz w:val="24"/>
      <w:szCs w:val="24"/>
    </w:rPr>
  </w:style>
  <w:style w:type="paragraph" w:customStyle="1" w:styleId="Pb">
    <w:name w:val="Pb"/>
    <w:uiPriority w:val="99"/>
    <w:rsid w:val="00FB2E9E"/>
    <w:pPr>
      <w:widowControl w:val="0"/>
      <w:pBdr>
        <w:top w:val="single" w:sz="6" w:space="2" w:color="008080"/>
      </w:pBdr>
      <w:autoSpaceDE w:val="0"/>
      <w:autoSpaceDN w:val="0"/>
      <w:adjustRightInd w:val="0"/>
      <w:spacing w:after="181" w:line="240" w:lineRule="auto"/>
      <w:jc w:val="right"/>
    </w:pPr>
    <w:rPr>
      <w:rFonts w:ascii="Arial" w:eastAsiaTheme="minorEastAsia" w:hAnsi="Arial" w:cs="Arial"/>
      <w:b/>
      <w:bCs/>
      <w:color w:val="808080"/>
      <w:sz w:val="18"/>
      <w:szCs w:val="18"/>
    </w:rPr>
  </w:style>
  <w:style w:type="paragraph" w:customStyle="1" w:styleId="TTI">
    <w:name w:val="TTI"/>
    <w:uiPriority w:val="99"/>
    <w:rsid w:val="00FB2E9E"/>
    <w:pPr>
      <w:widowControl w:val="0"/>
      <w:tabs>
        <w:tab w:val="left" w:pos="283"/>
        <w:tab w:val="left" w:pos="713"/>
        <w:tab w:val="left" w:pos="1293"/>
        <w:tab w:val="left" w:pos="1865"/>
        <w:tab w:val="left" w:pos="2443"/>
        <w:tab w:val="left" w:pos="3163"/>
      </w:tabs>
      <w:autoSpaceDE w:val="0"/>
      <w:autoSpaceDN w:val="0"/>
      <w:adjustRightInd w:val="0"/>
      <w:spacing w:after="181" w:line="240" w:lineRule="auto"/>
      <w:ind w:left="1293" w:hanging="1293"/>
    </w:pPr>
    <w:rPr>
      <w:rFonts w:ascii="Arial" w:eastAsiaTheme="minorEastAsia" w:hAnsi="Arial" w:cs="Arial"/>
      <w:sz w:val="24"/>
      <w:szCs w:val="24"/>
    </w:rPr>
  </w:style>
  <w:style w:type="character" w:customStyle="1" w:styleId="Mc">
    <w:name w:val="Mc"/>
    <w:uiPriority w:val="99"/>
    <w:rsid w:val="00FB2E9E"/>
    <w:rPr>
      <w:color w:val="000000"/>
      <w:sz w:val="16"/>
    </w:rPr>
  </w:style>
  <w:style w:type="paragraph" w:styleId="BodyText">
    <w:name w:val="Body Text"/>
    <w:basedOn w:val="Normal"/>
    <w:link w:val="BodyTextChar"/>
    <w:uiPriority w:val="99"/>
    <w:unhideWhenUsed/>
    <w:rsid w:val="0078733C"/>
    <w:pPr>
      <w:tabs>
        <w:tab w:val="left" w:pos="729"/>
      </w:tabs>
      <w:spacing w:after="0" w:line="360" w:lineRule="auto"/>
      <w:jc w:val="both"/>
    </w:pPr>
    <w:rPr>
      <w:rFonts w:ascii="Arial" w:hAnsi="Arial" w:cs="Arial"/>
      <w:sz w:val="24"/>
      <w:szCs w:val="24"/>
    </w:rPr>
  </w:style>
  <w:style w:type="character" w:customStyle="1" w:styleId="BodyTextChar">
    <w:name w:val="Body Text Char"/>
    <w:basedOn w:val="DefaultParagraphFont"/>
    <w:link w:val="BodyText"/>
    <w:uiPriority w:val="99"/>
    <w:rsid w:val="0078733C"/>
    <w:rPr>
      <w:rFonts w:ascii="Arial" w:hAnsi="Arial" w:cs="Arial"/>
      <w:sz w:val="24"/>
      <w:szCs w:val="24"/>
      <w:lang w:val="en-ZA"/>
    </w:rPr>
  </w:style>
  <w:style w:type="paragraph" w:styleId="BodyTextIndent">
    <w:name w:val="Body Text Indent"/>
    <w:basedOn w:val="Normal"/>
    <w:link w:val="BodyTextIndentChar"/>
    <w:uiPriority w:val="99"/>
    <w:unhideWhenUsed/>
    <w:rsid w:val="0078733C"/>
    <w:pPr>
      <w:spacing w:after="0" w:line="360" w:lineRule="auto"/>
      <w:ind w:left="20" w:hanging="20"/>
      <w:jc w:val="both"/>
    </w:pPr>
    <w:rPr>
      <w:rFonts w:ascii="Arial" w:hAnsi="Arial" w:cs="Arial"/>
      <w:sz w:val="24"/>
      <w:szCs w:val="24"/>
    </w:rPr>
  </w:style>
  <w:style w:type="character" w:customStyle="1" w:styleId="BodyTextIndentChar">
    <w:name w:val="Body Text Indent Char"/>
    <w:basedOn w:val="DefaultParagraphFont"/>
    <w:link w:val="BodyTextIndent"/>
    <w:uiPriority w:val="99"/>
    <w:rsid w:val="0078733C"/>
    <w:rPr>
      <w:rFonts w:ascii="Arial" w:hAnsi="Arial" w:cs="Arial"/>
      <w:sz w:val="24"/>
      <w:szCs w:val="24"/>
      <w:lang w:val="en-ZA"/>
    </w:rPr>
  </w:style>
  <w:style w:type="paragraph" w:styleId="BodyText2">
    <w:name w:val="Body Text 2"/>
    <w:basedOn w:val="Normal"/>
    <w:link w:val="BodyText2Char"/>
    <w:uiPriority w:val="99"/>
    <w:unhideWhenUsed/>
    <w:rsid w:val="0078733C"/>
    <w:pPr>
      <w:spacing w:after="0" w:line="360" w:lineRule="auto"/>
    </w:pPr>
    <w:rPr>
      <w:rFonts w:ascii="Arial" w:hAnsi="Arial" w:cs="Arial"/>
      <w:color w:val="7030A0"/>
      <w:sz w:val="24"/>
      <w:szCs w:val="24"/>
    </w:rPr>
  </w:style>
  <w:style w:type="character" w:customStyle="1" w:styleId="BodyText2Char">
    <w:name w:val="Body Text 2 Char"/>
    <w:basedOn w:val="DefaultParagraphFont"/>
    <w:link w:val="BodyText2"/>
    <w:uiPriority w:val="99"/>
    <w:rsid w:val="0078733C"/>
    <w:rPr>
      <w:rFonts w:ascii="Arial" w:hAnsi="Arial" w:cs="Arial"/>
      <w:color w:val="7030A0"/>
      <w:sz w:val="24"/>
      <w:szCs w:val="24"/>
      <w:lang w:val="en-ZA"/>
    </w:rPr>
  </w:style>
  <w:style w:type="paragraph" w:styleId="Header">
    <w:name w:val="header"/>
    <w:basedOn w:val="Normal"/>
    <w:link w:val="HeaderChar"/>
    <w:uiPriority w:val="99"/>
    <w:unhideWhenUsed/>
    <w:rsid w:val="005F20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200A"/>
    <w:rPr>
      <w:lang w:val="en-ZA"/>
    </w:rPr>
  </w:style>
  <w:style w:type="character" w:styleId="SubtleEmphasis">
    <w:name w:val="Subtle Emphasis"/>
    <w:basedOn w:val="DefaultParagraphFont"/>
    <w:uiPriority w:val="19"/>
    <w:qFormat/>
    <w:rsid w:val="0021453F"/>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2023-07-24T18:30:00+00:00</Judgment_x0020_Date>
    <Year xmlns="c1afb1bd-f2fb-40fd-9abb-aea55b4d7662">2023</Year>
  </documentManagement>
</p:properties>
</file>

<file path=customXml/itemProps1.xml><?xml version="1.0" encoding="utf-8"?>
<ds:datastoreItem xmlns:ds="http://schemas.openxmlformats.org/officeDocument/2006/customXml" ds:itemID="{536226A3-8A88-406E-BC1F-5A23DBB202F4}"/>
</file>

<file path=customXml/itemProps2.xml><?xml version="1.0" encoding="utf-8"?>
<ds:datastoreItem xmlns:ds="http://schemas.openxmlformats.org/officeDocument/2006/customXml" ds:itemID="{70FC90D2-6ED8-4190-B3D3-FE9CEB725B46}"/>
</file>

<file path=customXml/itemProps3.xml><?xml version="1.0" encoding="utf-8"?>
<ds:datastoreItem xmlns:ds="http://schemas.openxmlformats.org/officeDocument/2006/customXml" ds:itemID="{33DF28CF-013E-413E-9BF3-33963EA52F7C}"/>
</file>

<file path=customXml/itemProps4.xml><?xml version="1.0" encoding="utf-8"?>
<ds:datastoreItem xmlns:ds="http://schemas.openxmlformats.org/officeDocument/2006/customXml" ds:itemID="{F59DF4D2-9E99-49FD-8EC7-3918E8BFF6CD}"/>
</file>

<file path=docProps/app.xml><?xml version="1.0" encoding="utf-8"?>
<Properties xmlns="http://schemas.openxmlformats.org/officeDocument/2006/extended-properties" xmlns:vt="http://schemas.openxmlformats.org/officeDocument/2006/docPropsVTypes">
  <Template>Normal</Template>
  <TotalTime>0</TotalTime>
  <Pages>11</Pages>
  <Words>2920</Words>
  <Characters>16649</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Ndilula NO v Elago (HC-MD-CIV-MOT-GEN-2021-00433) [2023] NAHCMD 433 (25 July 2023)</dc:title>
  <dc:subject/>
  <dc:creator>shomany keister</dc:creator>
  <cp:keywords/>
  <dc:description/>
  <cp:lastModifiedBy>Charlet Mokomele</cp:lastModifiedBy>
  <cp:revision>2</cp:revision>
  <cp:lastPrinted>2023-07-21T12:10:00Z</cp:lastPrinted>
  <dcterms:created xsi:type="dcterms:W3CDTF">2023-07-25T14:11:00Z</dcterms:created>
  <dcterms:modified xsi:type="dcterms:W3CDTF">2023-07-25T14:11:00Z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2cdfba32e7b52501905398caff7c37cc1126380f00be713e6bfbfe12cbdb4e62</vt:lpwstr>
  </property>
  <property fmtid="{D5CDD505-2E9C-101B-9397-08002B2CF9AE}" pid="3" name="ContentTypeId">
    <vt:lpwstr>0x0101000ECE0F99B3F8644397ECB0C536651393</vt:lpwstr>
  </property>
</Properties>
</file>