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D24E4F" w:rsidRDefault="00853524" w:rsidP="00C036D4">
      <w:pPr>
        <w:jc w:val="center"/>
        <w:rPr>
          <w:b/>
        </w:rPr>
      </w:pPr>
      <w:r w:rsidRPr="00D24E4F">
        <w:rPr>
          <w:b/>
        </w:rPr>
        <w:t>REPUBLIC OF NAMIBIA</w:t>
      </w:r>
    </w:p>
    <w:p w14:paraId="4D884DEA" w14:textId="05633A06" w:rsidR="00853524" w:rsidRPr="00D24E4F" w:rsidRDefault="00853524" w:rsidP="00C036D4">
      <w:pPr>
        <w:jc w:val="center"/>
        <w:rPr>
          <w:b/>
          <w:sz w:val="32"/>
          <w:szCs w:val="32"/>
        </w:rPr>
      </w:pPr>
      <w:r w:rsidRPr="00D24E4F">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D24E4F">
        <w:rPr>
          <w:b/>
          <w:sz w:val="32"/>
          <w:szCs w:val="32"/>
        </w:rPr>
        <w:t xml:space="preserve"> </w:t>
      </w:r>
    </w:p>
    <w:p w14:paraId="0121DDEF" w14:textId="77777777" w:rsidR="00853524" w:rsidRDefault="00853524" w:rsidP="00C036D4">
      <w:pPr>
        <w:jc w:val="center"/>
        <w:rPr>
          <w:b/>
        </w:rPr>
      </w:pPr>
      <w:r w:rsidRPr="00D24E4F">
        <w:rPr>
          <w:b/>
        </w:rPr>
        <w:t>HIGH COURT OF NAMIBIA MAIN DIVISION, WINDHOEK</w:t>
      </w:r>
    </w:p>
    <w:p w14:paraId="55871290" w14:textId="77777777" w:rsidR="00CA1F9F" w:rsidRPr="00D24E4F" w:rsidRDefault="00CA1F9F" w:rsidP="00C036D4">
      <w:pPr>
        <w:jc w:val="center"/>
        <w:rPr>
          <w:bCs/>
        </w:rPr>
      </w:pPr>
    </w:p>
    <w:p w14:paraId="0B4BB7B9" w14:textId="3E0B36AA" w:rsidR="00853524" w:rsidRPr="00D24E4F" w:rsidRDefault="005610BF" w:rsidP="00C036D4">
      <w:pPr>
        <w:jc w:val="center"/>
        <w:rPr>
          <w:b/>
        </w:rPr>
      </w:pPr>
      <w:r>
        <w:rPr>
          <w:b/>
        </w:rPr>
        <w:t xml:space="preserve">EX TEMPORE </w:t>
      </w:r>
      <w:r w:rsidR="00140A9D" w:rsidRPr="00D24E4F">
        <w:rPr>
          <w:b/>
        </w:rPr>
        <w:t>JUDGMENT</w:t>
      </w:r>
    </w:p>
    <w:p w14:paraId="4AB5AAC2" w14:textId="77777777" w:rsidR="00140A9D" w:rsidRPr="00D24E4F" w:rsidRDefault="00140A9D" w:rsidP="00C036D4">
      <w:pPr>
        <w:jc w:val="center"/>
        <w:rPr>
          <w:b/>
        </w:rPr>
      </w:pPr>
    </w:p>
    <w:p w14:paraId="656267F7" w14:textId="2AA84862" w:rsidR="00853524" w:rsidRPr="005610BF" w:rsidRDefault="005610BF" w:rsidP="00C036D4">
      <w:pPr>
        <w:jc w:val="right"/>
        <w:rPr>
          <w:bCs/>
        </w:rPr>
      </w:pPr>
      <w:r>
        <w:t xml:space="preserve">             Case No.: </w:t>
      </w:r>
      <w:r w:rsidR="00DC6935">
        <w:rPr>
          <w:bCs/>
        </w:rPr>
        <w:t>HC-MD-CIV-ACT-DEL-2022/03820</w:t>
      </w:r>
    </w:p>
    <w:p w14:paraId="0B3B6951" w14:textId="77777777" w:rsidR="00853524" w:rsidRPr="00D24E4F" w:rsidRDefault="00853524" w:rsidP="00C036D4"/>
    <w:p w14:paraId="01440233" w14:textId="77777777" w:rsidR="00853524" w:rsidRPr="00D24E4F" w:rsidRDefault="00853524" w:rsidP="00C036D4">
      <w:r w:rsidRPr="00D24E4F">
        <w:t>In the matter between:</w:t>
      </w:r>
    </w:p>
    <w:p w14:paraId="291513BA" w14:textId="77777777" w:rsidR="00853524" w:rsidRPr="00D24E4F" w:rsidRDefault="00853524" w:rsidP="00C036D4"/>
    <w:p w14:paraId="28A29F10" w14:textId="50C0DE37" w:rsidR="00853524" w:rsidRPr="00D24E4F" w:rsidRDefault="005226D1" w:rsidP="00C036D4">
      <w:pPr>
        <w:pStyle w:val="Heading4"/>
        <w:numPr>
          <w:ilvl w:val="0"/>
          <w:numId w:val="0"/>
        </w:numPr>
        <w:rPr>
          <w:b/>
        </w:rPr>
      </w:pPr>
      <w:r w:rsidRPr="005226D1">
        <w:rPr>
          <w:b/>
        </w:rPr>
        <w:t>WILSON HAPITA MUTALENI</w:t>
      </w:r>
      <w:r>
        <w:rPr>
          <w:b/>
        </w:rPr>
        <w:tab/>
      </w:r>
      <w:r>
        <w:rPr>
          <w:b/>
        </w:rPr>
        <w:tab/>
      </w:r>
      <w:r>
        <w:rPr>
          <w:b/>
        </w:rPr>
        <w:tab/>
      </w:r>
      <w:r>
        <w:rPr>
          <w:b/>
        </w:rPr>
        <w:tab/>
      </w:r>
      <w:r>
        <w:rPr>
          <w:b/>
        </w:rPr>
        <w:tab/>
        <w:t xml:space="preserve">         </w:t>
      </w:r>
      <w:r w:rsidR="005610BF">
        <w:rPr>
          <w:b/>
        </w:rPr>
        <w:t>PLAINTIFF</w:t>
      </w:r>
    </w:p>
    <w:p w14:paraId="28A88F8F" w14:textId="77777777" w:rsidR="005610BF" w:rsidRDefault="005610BF" w:rsidP="00C036D4"/>
    <w:p w14:paraId="35124039" w14:textId="77777777" w:rsidR="00853524" w:rsidRPr="00D24E4F" w:rsidRDefault="00853524" w:rsidP="00C036D4">
      <w:r w:rsidRPr="00D24E4F">
        <w:t>and</w:t>
      </w:r>
    </w:p>
    <w:p w14:paraId="65981685" w14:textId="77777777" w:rsidR="005610BF" w:rsidRDefault="005610BF" w:rsidP="00C036D4">
      <w:pPr>
        <w:rPr>
          <w:b/>
          <w:color w:val="000000" w:themeColor="text1"/>
        </w:rPr>
      </w:pPr>
    </w:p>
    <w:p w14:paraId="4328AABD" w14:textId="77777777" w:rsidR="005226D1" w:rsidRDefault="005226D1" w:rsidP="00C036D4">
      <w:pPr>
        <w:rPr>
          <w:b/>
          <w:color w:val="000000" w:themeColor="text1"/>
        </w:rPr>
      </w:pPr>
      <w:r w:rsidRPr="005226D1">
        <w:rPr>
          <w:b/>
          <w:color w:val="000000" w:themeColor="text1"/>
        </w:rPr>
        <w:t xml:space="preserve">MINISTER OF HOME AFFAIRS, IMMIGRATION, </w:t>
      </w:r>
    </w:p>
    <w:p w14:paraId="72A36D59" w14:textId="046826DD" w:rsidR="008B1836" w:rsidRDefault="005226D1" w:rsidP="00C036D4">
      <w:pPr>
        <w:rPr>
          <w:b/>
          <w:color w:val="000000" w:themeColor="text1"/>
        </w:rPr>
      </w:pPr>
      <w:r w:rsidRPr="005226D1">
        <w:rPr>
          <w:b/>
          <w:color w:val="000000" w:themeColor="text1"/>
        </w:rPr>
        <w:t>SAFETY AND SECURITY</w:t>
      </w:r>
      <w:r w:rsidR="005610BF">
        <w:rPr>
          <w:b/>
          <w:color w:val="000000" w:themeColor="text1"/>
        </w:rPr>
        <w:t xml:space="preserve">                                              </w:t>
      </w:r>
      <w:r>
        <w:rPr>
          <w:b/>
          <w:color w:val="000000" w:themeColor="text1"/>
        </w:rPr>
        <w:t xml:space="preserve">        </w:t>
      </w:r>
      <w:r w:rsidR="005610BF">
        <w:rPr>
          <w:b/>
          <w:color w:val="000000" w:themeColor="text1"/>
        </w:rPr>
        <w:t>FIRST DEFENDANT</w:t>
      </w:r>
    </w:p>
    <w:p w14:paraId="749F8844" w14:textId="32D1EEF5" w:rsidR="005610BF" w:rsidRPr="00D24E4F" w:rsidRDefault="005226D1" w:rsidP="00C036D4">
      <w:pPr>
        <w:rPr>
          <w:b/>
          <w:color w:val="000000" w:themeColor="text1"/>
        </w:rPr>
      </w:pPr>
      <w:r w:rsidRPr="005226D1">
        <w:rPr>
          <w:b/>
          <w:color w:val="000000" w:themeColor="text1"/>
        </w:rPr>
        <w:t>V K NEHONGA</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w:t>
      </w:r>
      <w:r w:rsidR="005610BF">
        <w:rPr>
          <w:b/>
          <w:color w:val="000000" w:themeColor="text1"/>
        </w:rPr>
        <w:t>SECOND DEFENDANT</w:t>
      </w:r>
    </w:p>
    <w:p w14:paraId="2EAE5FF1" w14:textId="566C858C" w:rsidR="008B1836" w:rsidRPr="00D24E4F" w:rsidRDefault="00382515" w:rsidP="00C036D4">
      <w:pPr>
        <w:rPr>
          <w:b/>
          <w:color w:val="000000" w:themeColor="text1"/>
        </w:rPr>
      </w:pPr>
      <w:r w:rsidRPr="00D24E4F">
        <w:rPr>
          <w:b/>
          <w:color w:val="000000" w:themeColor="text1"/>
        </w:rPr>
        <w:tab/>
      </w:r>
      <w:r w:rsidR="00F40790">
        <w:rPr>
          <w:b/>
          <w:color w:val="000000" w:themeColor="text1"/>
        </w:rPr>
        <w:t xml:space="preserve">                                                                                            </w:t>
      </w:r>
    </w:p>
    <w:p w14:paraId="11C06559" w14:textId="77777777" w:rsidR="00853524" w:rsidRPr="00D24E4F" w:rsidRDefault="00853524" w:rsidP="00C036D4">
      <w:pPr>
        <w:rPr>
          <w:b/>
          <w:u w:val="single"/>
        </w:rPr>
      </w:pPr>
    </w:p>
    <w:p w14:paraId="1CFCD256" w14:textId="54A12B8B" w:rsidR="00853524" w:rsidRPr="00D24E4F" w:rsidRDefault="00853524" w:rsidP="005226D1">
      <w:pPr>
        <w:ind w:left="2160" w:hanging="2160"/>
        <w:rPr>
          <w:i/>
          <w:iCs/>
          <w:color w:val="000000" w:themeColor="text1"/>
        </w:rPr>
      </w:pPr>
      <w:r w:rsidRPr="00D24E4F">
        <w:rPr>
          <w:b/>
        </w:rPr>
        <w:t>Neutral citation</w:t>
      </w:r>
      <w:r w:rsidR="001076B6" w:rsidRPr="00D24E4F">
        <w:rPr>
          <w:b/>
        </w:rPr>
        <w:t>:</w:t>
      </w:r>
      <w:r w:rsidRPr="00D24E4F">
        <w:rPr>
          <w:b/>
        </w:rPr>
        <w:tab/>
      </w:r>
      <w:r w:rsidR="005226D1">
        <w:rPr>
          <w:i/>
          <w:iCs/>
          <w:color w:val="000000" w:themeColor="text1"/>
        </w:rPr>
        <w:t xml:space="preserve">Mutaleni v Minister of Home Affairs, Immigration, Safety and Security </w:t>
      </w:r>
      <w:r w:rsidR="005226D1">
        <w:rPr>
          <w:iCs/>
          <w:color w:val="000000" w:themeColor="text1"/>
        </w:rPr>
        <w:t>(HC-MD-CIV-</w:t>
      </w:r>
      <w:r w:rsidR="00DC6935">
        <w:rPr>
          <w:iCs/>
          <w:color w:val="000000" w:themeColor="text1"/>
        </w:rPr>
        <w:t>A</w:t>
      </w:r>
      <w:r w:rsidR="006C6A4F">
        <w:rPr>
          <w:iCs/>
          <w:color w:val="000000" w:themeColor="text1"/>
        </w:rPr>
        <w:t>CT-DEL-2022/03820) [2023] NAHCMD 439</w:t>
      </w:r>
      <w:r w:rsidR="00DC6935" w:rsidRPr="00DC6935">
        <w:rPr>
          <w:iCs/>
          <w:color w:val="FF0000"/>
        </w:rPr>
        <w:t xml:space="preserve"> </w:t>
      </w:r>
      <w:r w:rsidR="00DC6935">
        <w:rPr>
          <w:iCs/>
          <w:color w:val="000000" w:themeColor="text1"/>
        </w:rPr>
        <w:t>(</w:t>
      </w:r>
      <w:r w:rsidR="00077BF7" w:rsidRPr="00077BF7">
        <w:rPr>
          <w:iCs/>
        </w:rPr>
        <w:t>26 July</w:t>
      </w:r>
      <w:r w:rsidR="005610BF" w:rsidRPr="00077BF7">
        <w:rPr>
          <w:iCs/>
        </w:rPr>
        <w:t xml:space="preserve"> 2023</w:t>
      </w:r>
      <w:r w:rsidR="005610BF" w:rsidRPr="005610BF">
        <w:rPr>
          <w:iCs/>
          <w:color w:val="000000" w:themeColor="text1"/>
        </w:rPr>
        <w:t>)</w:t>
      </w:r>
    </w:p>
    <w:p w14:paraId="2A1E0044" w14:textId="77777777" w:rsidR="00853524" w:rsidRPr="00D24E4F" w:rsidRDefault="00853524" w:rsidP="00C036D4">
      <w:pPr>
        <w:ind w:left="2160" w:hanging="2160"/>
      </w:pPr>
    </w:p>
    <w:p w14:paraId="6CFF978A" w14:textId="18B81DB5" w:rsidR="006D65BF" w:rsidRPr="00D24E4F" w:rsidRDefault="00853524" w:rsidP="00C036D4">
      <w:pPr>
        <w:ind w:left="2160" w:hanging="2160"/>
        <w:rPr>
          <w:b/>
          <w:i/>
        </w:rPr>
      </w:pPr>
      <w:r w:rsidRPr="00D24E4F">
        <w:rPr>
          <w:b/>
        </w:rPr>
        <w:t>Coram</w:t>
      </w:r>
      <w:r w:rsidR="001076B6" w:rsidRPr="00D24E4F">
        <w:rPr>
          <w:b/>
        </w:rPr>
        <w:t>:</w:t>
      </w:r>
      <w:r w:rsidR="008B1836" w:rsidRPr="00D24E4F">
        <w:tab/>
        <w:t>Schimming</w:t>
      </w:r>
      <w:r w:rsidR="00F40790">
        <w:t>-</w:t>
      </w:r>
      <w:r w:rsidRPr="00D24E4F">
        <w:t>Chase J</w:t>
      </w:r>
    </w:p>
    <w:p w14:paraId="1145F951" w14:textId="04946410" w:rsidR="00853524" w:rsidRPr="00CA1F9F" w:rsidRDefault="00853524" w:rsidP="00C036D4">
      <w:pPr>
        <w:ind w:left="2160" w:hanging="2160"/>
        <w:rPr>
          <w:b/>
        </w:rPr>
      </w:pPr>
      <w:r w:rsidRPr="00CA1F9F">
        <w:rPr>
          <w:b/>
          <w:bCs/>
        </w:rPr>
        <w:t>Heard</w:t>
      </w:r>
      <w:r w:rsidR="001076B6" w:rsidRPr="00CA1F9F">
        <w:rPr>
          <w:b/>
          <w:bCs/>
        </w:rPr>
        <w:t>:</w:t>
      </w:r>
      <w:r w:rsidRPr="00CA1F9F">
        <w:rPr>
          <w:b/>
        </w:rPr>
        <w:tab/>
      </w:r>
      <w:r w:rsidR="005226D1" w:rsidRPr="00CA1F9F">
        <w:rPr>
          <w:b/>
        </w:rPr>
        <w:t>25</w:t>
      </w:r>
      <w:r w:rsidR="005610BF" w:rsidRPr="00CA1F9F">
        <w:rPr>
          <w:b/>
        </w:rPr>
        <w:t xml:space="preserve"> July 2023</w:t>
      </w:r>
    </w:p>
    <w:p w14:paraId="447A448F" w14:textId="4AD3954F" w:rsidR="00853524" w:rsidRPr="00CA1F9F" w:rsidRDefault="005610BF" w:rsidP="00C036D4">
      <w:pPr>
        <w:ind w:left="2160" w:hanging="2160"/>
        <w:rPr>
          <w:b/>
        </w:rPr>
      </w:pPr>
      <w:r w:rsidRPr="00CA1F9F">
        <w:rPr>
          <w:b/>
          <w:bCs/>
        </w:rPr>
        <w:t>Order</w:t>
      </w:r>
      <w:r w:rsidR="001076B6" w:rsidRPr="00CA1F9F">
        <w:rPr>
          <w:b/>
          <w:bCs/>
        </w:rPr>
        <w:t>:</w:t>
      </w:r>
      <w:r w:rsidR="00334AFC" w:rsidRPr="00CA1F9F">
        <w:rPr>
          <w:b/>
          <w:bCs/>
        </w:rPr>
        <w:tab/>
      </w:r>
      <w:r w:rsidR="005226D1" w:rsidRPr="00CA1F9F">
        <w:rPr>
          <w:b/>
        </w:rPr>
        <w:t>25</w:t>
      </w:r>
      <w:r w:rsidRPr="00CA1F9F">
        <w:rPr>
          <w:b/>
        </w:rPr>
        <w:t xml:space="preserve"> July 2023</w:t>
      </w:r>
    </w:p>
    <w:p w14:paraId="13AB186D" w14:textId="2CE5E5E5" w:rsidR="005610BF" w:rsidRPr="00CA1F9F" w:rsidRDefault="005610BF" w:rsidP="00C036D4">
      <w:pPr>
        <w:ind w:left="2160" w:hanging="2160"/>
        <w:rPr>
          <w:b/>
        </w:rPr>
      </w:pPr>
      <w:r w:rsidRPr="00CA1F9F">
        <w:rPr>
          <w:b/>
          <w:bCs/>
        </w:rPr>
        <w:t>Written Reasons:</w:t>
      </w:r>
      <w:r w:rsidR="00077BF7" w:rsidRPr="00CA1F9F">
        <w:rPr>
          <w:b/>
        </w:rPr>
        <w:tab/>
        <w:t>26</w:t>
      </w:r>
      <w:r w:rsidRPr="00CA1F9F">
        <w:rPr>
          <w:b/>
        </w:rPr>
        <w:t xml:space="preserve"> July 2023</w:t>
      </w:r>
    </w:p>
    <w:p w14:paraId="514826F6" w14:textId="41065798" w:rsidR="00853524" w:rsidRPr="00D24E4F" w:rsidRDefault="00853524" w:rsidP="00C036D4">
      <w:pPr>
        <w:ind w:left="1440" w:hanging="1440"/>
      </w:pPr>
    </w:p>
    <w:p w14:paraId="48EF9267" w14:textId="77777777" w:rsidR="005610BF" w:rsidRDefault="005610BF" w:rsidP="00C036D4">
      <w:pPr>
        <w:rPr>
          <w:bCs/>
        </w:rPr>
      </w:pPr>
    </w:p>
    <w:p w14:paraId="29D05EB9" w14:textId="77777777" w:rsidR="005610BF" w:rsidRPr="00D24E4F" w:rsidRDefault="005610BF" w:rsidP="00C036D4">
      <w:pPr>
        <w:rPr>
          <w:bCs/>
        </w:rPr>
      </w:pPr>
    </w:p>
    <w:p w14:paraId="6BE47DE3" w14:textId="77777777" w:rsidR="00853524" w:rsidRPr="00D24E4F" w:rsidRDefault="00000000" w:rsidP="00C036D4">
      <w:pPr>
        <w:rPr>
          <w:bCs/>
        </w:rPr>
      </w:pPr>
      <w:r>
        <w:rPr>
          <w:bCs/>
        </w:rPr>
        <w:pict w14:anchorId="5E7E26FB">
          <v:rect id="_x0000_i1025" style="width:0;height:1.5pt" o:hralign="center" o:hrstd="t" o:hr="t" fillcolor="#a0a0a0" stroked="f"/>
        </w:pict>
      </w:r>
    </w:p>
    <w:p w14:paraId="37BE7084" w14:textId="4192C691" w:rsidR="00853524" w:rsidRPr="00D24E4F" w:rsidRDefault="001F6CB9" w:rsidP="00C036D4">
      <w:pPr>
        <w:jc w:val="center"/>
        <w:rPr>
          <w:b/>
          <w:bCs/>
        </w:rPr>
      </w:pPr>
      <w:r w:rsidRPr="00D24E4F">
        <w:rPr>
          <w:b/>
          <w:bCs/>
        </w:rPr>
        <w:t>ORDER</w:t>
      </w:r>
    </w:p>
    <w:p w14:paraId="1FEF45F5" w14:textId="77777777" w:rsidR="00853524" w:rsidRPr="00D24E4F" w:rsidRDefault="00000000" w:rsidP="00C036D4">
      <w:pPr>
        <w:jc w:val="center"/>
        <w:rPr>
          <w:b/>
          <w:bCs/>
        </w:rPr>
      </w:pPr>
      <w:r>
        <w:rPr>
          <w:bCs/>
        </w:rPr>
        <w:pict w14:anchorId="28AA4E8A">
          <v:rect id="_x0000_i1026" style="width:0;height:1.5pt" o:hralign="center" o:hrstd="t" o:hr="t" fillcolor="#a0a0a0" stroked="f"/>
        </w:pict>
      </w:r>
    </w:p>
    <w:p w14:paraId="395B7EDA" w14:textId="77777777" w:rsidR="00853524" w:rsidRPr="00D24E4F" w:rsidRDefault="00853524" w:rsidP="00C036D4">
      <w:pPr>
        <w:rPr>
          <w:bCs/>
        </w:rPr>
      </w:pPr>
    </w:p>
    <w:p w14:paraId="1F83C585" w14:textId="2F613F0C" w:rsidR="005226D1" w:rsidRDefault="0009135D" w:rsidP="0009135D">
      <w:pPr>
        <w:ind w:left="720" w:hanging="360"/>
      </w:pPr>
      <w:r>
        <w:rPr>
          <w:rFonts w:cs="Times New Roman"/>
          <w:spacing w:val="0"/>
          <w:szCs w:val="22"/>
          <w:lang w:val="en-US"/>
        </w:rPr>
        <w:t>1.</w:t>
      </w:r>
      <w:r>
        <w:rPr>
          <w:rFonts w:cs="Times New Roman"/>
          <w:spacing w:val="0"/>
          <w:szCs w:val="22"/>
          <w:lang w:val="en-US"/>
        </w:rPr>
        <w:tab/>
      </w:r>
      <w:r w:rsidR="005226D1" w:rsidRPr="005226D1">
        <w:t>The determination of the defendants’ special pleas stands over for determination at trial.</w:t>
      </w:r>
    </w:p>
    <w:p w14:paraId="107B89FE" w14:textId="3B2D74BF" w:rsidR="005226D1" w:rsidRDefault="0009135D" w:rsidP="0009135D">
      <w:pPr>
        <w:ind w:left="720" w:hanging="360"/>
      </w:pPr>
      <w:r>
        <w:rPr>
          <w:rFonts w:cs="Times New Roman"/>
          <w:spacing w:val="0"/>
          <w:szCs w:val="22"/>
          <w:lang w:val="en-US"/>
        </w:rPr>
        <w:t>2.</w:t>
      </w:r>
      <w:r>
        <w:rPr>
          <w:rFonts w:cs="Times New Roman"/>
          <w:spacing w:val="0"/>
          <w:szCs w:val="22"/>
          <w:lang w:val="en-US"/>
        </w:rPr>
        <w:tab/>
      </w:r>
      <w:r w:rsidR="005226D1" w:rsidRPr="005226D1">
        <w:t>Costs in the interlocutory shall be costs in the cause.</w:t>
      </w:r>
    </w:p>
    <w:p w14:paraId="5E133ED7" w14:textId="22DE387F" w:rsidR="005226D1" w:rsidRDefault="0009135D" w:rsidP="0009135D">
      <w:pPr>
        <w:ind w:left="720" w:hanging="360"/>
      </w:pPr>
      <w:r>
        <w:rPr>
          <w:rFonts w:cs="Times New Roman"/>
          <w:spacing w:val="0"/>
          <w:szCs w:val="22"/>
          <w:lang w:val="en-US"/>
        </w:rPr>
        <w:t>3.</w:t>
      </w:r>
      <w:r>
        <w:rPr>
          <w:rFonts w:cs="Times New Roman"/>
          <w:spacing w:val="0"/>
          <w:szCs w:val="22"/>
          <w:lang w:val="en-US"/>
        </w:rPr>
        <w:tab/>
      </w:r>
      <w:r w:rsidR="005226D1" w:rsidRPr="005226D1">
        <w:t>The matter is postponed to 11 September 2023 at 15h00 for a Case Management Conference.</w:t>
      </w:r>
    </w:p>
    <w:p w14:paraId="4A7DEB18" w14:textId="5467B0B6" w:rsidR="005226D1" w:rsidRPr="005226D1" w:rsidRDefault="0009135D" w:rsidP="0009135D">
      <w:pPr>
        <w:ind w:left="720" w:hanging="360"/>
      </w:pPr>
      <w:r w:rsidRPr="005226D1">
        <w:rPr>
          <w:rFonts w:cs="Times New Roman"/>
          <w:spacing w:val="0"/>
          <w:szCs w:val="22"/>
          <w:lang w:val="en-US"/>
        </w:rPr>
        <w:t>4.</w:t>
      </w:r>
      <w:r w:rsidRPr="005226D1">
        <w:rPr>
          <w:rFonts w:cs="Times New Roman"/>
          <w:spacing w:val="0"/>
          <w:szCs w:val="22"/>
          <w:lang w:val="en-US"/>
        </w:rPr>
        <w:tab/>
      </w:r>
      <w:r w:rsidR="005226D1" w:rsidRPr="005226D1">
        <w:t>The parties must file a joint case management report on or before 6 September 2023 at 15h00.</w:t>
      </w:r>
    </w:p>
    <w:p w14:paraId="6BCDA908" w14:textId="77777777" w:rsidR="00853524" w:rsidRPr="00D24E4F" w:rsidRDefault="00000000" w:rsidP="00C036D4">
      <w:pPr>
        <w:rPr>
          <w:bCs/>
        </w:rPr>
      </w:pPr>
      <w:r>
        <w:rPr>
          <w:bCs/>
        </w:rPr>
        <w:pict w14:anchorId="2893D86E">
          <v:rect id="_x0000_i1027" style="width:0;height:1.5pt" o:hralign="center" o:hrstd="t" o:hr="t" fillcolor="#a0a0a0" stroked="f"/>
        </w:pict>
      </w:r>
    </w:p>
    <w:p w14:paraId="4BDA99AF" w14:textId="283B76EE" w:rsidR="00853524" w:rsidRPr="00D24E4F" w:rsidRDefault="001F6CB9" w:rsidP="00C036D4">
      <w:pPr>
        <w:jc w:val="center"/>
        <w:rPr>
          <w:b/>
        </w:rPr>
      </w:pPr>
      <w:r w:rsidRPr="00D24E4F">
        <w:rPr>
          <w:b/>
        </w:rPr>
        <w:t>JUDGMENT</w:t>
      </w:r>
    </w:p>
    <w:p w14:paraId="1C469921" w14:textId="77777777" w:rsidR="00853524" w:rsidRPr="00D24E4F" w:rsidRDefault="00000000" w:rsidP="00C036D4">
      <w:pPr>
        <w:jc w:val="center"/>
        <w:rPr>
          <w:b/>
        </w:rPr>
      </w:pPr>
      <w:r>
        <w:rPr>
          <w:bCs/>
        </w:rPr>
        <w:pict w14:anchorId="4AE2B4B3">
          <v:rect id="_x0000_i1028" style="width:0;height:1.5pt" o:hralign="center" o:hrstd="t" o:hr="t" fillcolor="#a0a0a0" stroked="f"/>
        </w:pict>
      </w:r>
    </w:p>
    <w:p w14:paraId="249A22DE" w14:textId="77777777" w:rsidR="005368A3" w:rsidRDefault="005368A3" w:rsidP="00C036D4"/>
    <w:p w14:paraId="57C51389" w14:textId="4D376AFD" w:rsidR="00BB03B8" w:rsidRDefault="006F4DCB" w:rsidP="005610BF">
      <w:r w:rsidRPr="00D24E4F">
        <w:t>SCHIMMING-CHASE</w:t>
      </w:r>
      <w:r w:rsidR="00853524" w:rsidRPr="00D24E4F">
        <w:t xml:space="preserve"> J</w:t>
      </w:r>
      <w:r w:rsidRPr="00D24E4F">
        <w:t>:</w:t>
      </w:r>
    </w:p>
    <w:p w14:paraId="62103EC7" w14:textId="77777777" w:rsidR="005610BF" w:rsidRDefault="005610BF" w:rsidP="005610BF"/>
    <w:p w14:paraId="2C97702A" w14:textId="65BBD895" w:rsidR="005226D1" w:rsidRPr="0009135D" w:rsidRDefault="0009135D" w:rsidP="0009135D">
      <w:pPr>
        <w:rPr>
          <w:shd w:val="clear" w:color="auto" w:fill="FFFFFF"/>
          <w:lang w:val="en-GB"/>
        </w:rPr>
      </w:pPr>
      <w:r>
        <w:rPr>
          <w:spacing w:val="0"/>
          <w:lang w:val="en-GB"/>
        </w:rPr>
        <w:t>[1]</w:t>
      </w:r>
      <w:r>
        <w:rPr>
          <w:spacing w:val="0"/>
          <w:lang w:val="en-GB"/>
        </w:rPr>
        <w:tab/>
      </w:r>
      <w:r w:rsidR="005226D1" w:rsidRPr="0009135D">
        <w:rPr>
          <w:shd w:val="clear" w:color="auto" w:fill="FFFFFF"/>
          <w:lang w:val="en-GB"/>
        </w:rPr>
        <w:t>The claim of the plaintiff is premised on a motor vehicle accident that is alleged to have occurred on 21 September 2020, between the vehicle of the plaintiff and the vehicle of the first defendant – driven by the second defendant, during the course and scope of his employment, alternatively, the ambit of risk created by such employment, so pleads the plaintiff.</w:t>
      </w:r>
    </w:p>
    <w:p w14:paraId="48B6CFA0" w14:textId="77777777" w:rsidR="005226D1" w:rsidRDefault="005226D1" w:rsidP="005226D1">
      <w:pPr>
        <w:pStyle w:val="ListParagraph"/>
        <w:spacing w:after="0"/>
        <w:ind w:left="0"/>
        <w:rPr>
          <w:rFonts w:cs="Arial"/>
          <w:szCs w:val="24"/>
          <w:shd w:val="clear" w:color="auto" w:fill="FFFFFF"/>
          <w:lang w:val="en-GB"/>
        </w:rPr>
      </w:pPr>
    </w:p>
    <w:p w14:paraId="28481B32" w14:textId="3484FB25" w:rsidR="005226D1" w:rsidRPr="0009135D" w:rsidRDefault="0009135D" w:rsidP="0009135D">
      <w:pPr>
        <w:rPr>
          <w:shd w:val="clear" w:color="auto" w:fill="FFFFFF"/>
          <w:lang w:val="en-GB"/>
        </w:rPr>
      </w:pPr>
      <w:r>
        <w:rPr>
          <w:spacing w:val="0"/>
          <w:lang w:val="en-GB"/>
        </w:rPr>
        <w:t>[2]</w:t>
      </w:r>
      <w:r>
        <w:rPr>
          <w:spacing w:val="0"/>
          <w:lang w:val="en-GB"/>
        </w:rPr>
        <w:tab/>
      </w:r>
      <w:r w:rsidR="005226D1" w:rsidRPr="0009135D">
        <w:rPr>
          <w:shd w:val="clear" w:color="auto" w:fill="FFFFFF"/>
          <w:lang w:val="en-GB"/>
        </w:rPr>
        <w:t xml:space="preserve">It is common cause </w:t>
      </w:r>
      <w:r w:rsidR="00CA1F9F" w:rsidRPr="0009135D">
        <w:rPr>
          <w:shd w:val="clear" w:color="auto" w:fill="FFFFFF"/>
          <w:lang w:val="en-GB"/>
        </w:rPr>
        <w:t xml:space="preserve">that </w:t>
      </w:r>
      <w:r w:rsidR="005226D1" w:rsidRPr="0009135D">
        <w:rPr>
          <w:shd w:val="clear" w:color="auto" w:fill="FFFFFF"/>
          <w:lang w:val="en-GB"/>
        </w:rPr>
        <w:t xml:space="preserve">the plaintiff issued summons out of this </w:t>
      </w:r>
      <w:proofErr w:type="gramStart"/>
      <w:r w:rsidR="005226D1" w:rsidRPr="0009135D">
        <w:rPr>
          <w:shd w:val="clear" w:color="auto" w:fill="FFFFFF"/>
          <w:lang w:val="en-GB"/>
        </w:rPr>
        <w:t>court, and</w:t>
      </w:r>
      <w:proofErr w:type="gramEnd"/>
      <w:r w:rsidR="005226D1" w:rsidRPr="0009135D">
        <w:rPr>
          <w:shd w:val="clear" w:color="auto" w:fill="FFFFFF"/>
          <w:lang w:val="en-GB"/>
        </w:rPr>
        <w:t xml:space="preserve"> served summons on the defendants on 16 September 2022.</w:t>
      </w:r>
    </w:p>
    <w:p w14:paraId="7148207B" w14:textId="77777777" w:rsidR="005226D1" w:rsidRDefault="005226D1" w:rsidP="005226D1">
      <w:pPr>
        <w:pStyle w:val="ListParagraph"/>
        <w:spacing w:after="0"/>
        <w:ind w:left="0"/>
        <w:rPr>
          <w:rFonts w:cs="Arial"/>
          <w:szCs w:val="24"/>
          <w:shd w:val="clear" w:color="auto" w:fill="FFFFFF"/>
          <w:lang w:val="en-GB"/>
        </w:rPr>
      </w:pPr>
    </w:p>
    <w:p w14:paraId="77130E49" w14:textId="7297EC1A" w:rsidR="005226D1" w:rsidRPr="0009135D" w:rsidRDefault="0009135D" w:rsidP="0009135D">
      <w:pPr>
        <w:rPr>
          <w:shd w:val="clear" w:color="auto" w:fill="FFFFFF"/>
          <w:lang w:val="en-GB"/>
        </w:rPr>
      </w:pPr>
      <w:r>
        <w:rPr>
          <w:spacing w:val="0"/>
          <w:lang w:val="en-GB"/>
        </w:rPr>
        <w:t>[3]</w:t>
      </w:r>
      <w:r>
        <w:rPr>
          <w:spacing w:val="0"/>
          <w:lang w:val="en-GB"/>
        </w:rPr>
        <w:tab/>
      </w:r>
      <w:r w:rsidR="005226D1" w:rsidRPr="0009135D">
        <w:rPr>
          <w:shd w:val="clear" w:color="auto" w:fill="FFFFFF"/>
          <w:lang w:val="en-GB"/>
        </w:rPr>
        <w:t>On 12 January 2023, the defendants delivered their pleas and therein raised s</w:t>
      </w:r>
      <w:r w:rsidR="00CA1F9F" w:rsidRPr="0009135D">
        <w:rPr>
          <w:shd w:val="clear" w:color="auto" w:fill="FFFFFF"/>
          <w:lang w:val="en-GB"/>
        </w:rPr>
        <w:t>pecial pleas in terms of s</w:t>
      </w:r>
      <w:r w:rsidR="005226D1" w:rsidRPr="0009135D">
        <w:rPr>
          <w:shd w:val="clear" w:color="auto" w:fill="FFFFFF"/>
          <w:lang w:val="en-GB"/>
        </w:rPr>
        <w:t xml:space="preserve"> 39(1) of the Po</w:t>
      </w:r>
      <w:r w:rsidR="00CA1F9F" w:rsidRPr="0009135D">
        <w:rPr>
          <w:shd w:val="clear" w:color="auto" w:fill="FFFFFF"/>
          <w:lang w:val="en-GB"/>
        </w:rPr>
        <w:t>lice Act 19 of 1990, and s</w:t>
      </w:r>
      <w:r w:rsidR="005226D1" w:rsidRPr="0009135D">
        <w:rPr>
          <w:shd w:val="clear" w:color="auto" w:fill="FFFFFF"/>
          <w:lang w:val="en-GB"/>
        </w:rPr>
        <w:t xml:space="preserve"> 11 of the Presc</w:t>
      </w:r>
      <w:r w:rsidR="007F569D" w:rsidRPr="0009135D">
        <w:rPr>
          <w:shd w:val="clear" w:color="auto" w:fill="FFFFFF"/>
          <w:lang w:val="en-GB"/>
        </w:rPr>
        <w:t>ription Act 68 of 1969, pleading that</w:t>
      </w:r>
      <w:r w:rsidR="005226D1" w:rsidRPr="0009135D">
        <w:rPr>
          <w:shd w:val="clear" w:color="auto" w:fill="FFFFFF"/>
          <w:lang w:val="en-GB"/>
        </w:rPr>
        <w:t xml:space="preserve"> the plaintiff caused summons to be issued and served on them more than 12 months after the alleged cause of action arose, as such, the plaintiff’s claim has prescribed.</w:t>
      </w:r>
    </w:p>
    <w:p w14:paraId="3117ED3F" w14:textId="77777777" w:rsidR="005226D1" w:rsidRPr="005E295D" w:rsidRDefault="005226D1" w:rsidP="005226D1">
      <w:pPr>
        <w:pStyle w:val="ListParagraph"/>
        <w:rPr>
          <w:rFonts w:cs="Arial"/>
          <w:szCs w:val="24"/>
          <w:shd w:val="clear" w:color="auto" w:fill="FFFFFF"/>
          <w:lang w:val="en-GB"/>
        </w:rPr>
      </w:pPr>
    </w:p>
    <w:p w14:paraId="7DF564EC" w14:textId="5970359B" w:rsidR="005226D1" w:rsidRPr="0009135D" w:rsidRDefault="0009135D" w:rsidP="0009135D">
      <w:pPr>
        <w:rPr>
          <w:shd w:val="clear" w:color="auto" w:fill="FFFFFF"/>
          <w:lang w:val="en-GB"/>
        </w:rPr>
      </w:pPr>
      <w:r>
        <w:rPr>
          <w:spacing w:val="0"/>
          <w:lang w:val="en-GB"/>
        </w:rPr>
        <w:lastRenderedPageBreak/>
        <w:t>[4]</w:t>
      </w:r>
      <w:r>
        <w:rPr>
          <w:spacing w:val="0"/>
          <w:lang w:val="en-GB"/>
        </w:rPr>
        <w:tab/>
      </w:r>
      <w:r w:rsidR="00CA1F9F" w:rsidRPr="0009135D">
        <w:rPr>
          <w:shd w:val="clear" w:color="auto" w:fill="FFFFFF"/>
          <w:lang w:val="en-GB"/>
        </w:rPr>
        <w:t xml:space="preserve">The plaintiff, </w:t>
      </w:r>
      <w:r w:rsidR="005226D1" w:rsidRPr="0009135D">
        <w:rPr>
          <w:shd w:val="clear" w:color="auto" w:fill="FFFFFF"/>
          <w:lang w:val="en-GB"/>
        </w:rPr>
        <w:t>in replication</w:t>
      </w:r>
      <w:r w:rsidR="00CA1F9F" w:rsidRPr="0009135D">
        <w:rPr>
          <w:shd w:val="clear" w:color="auto" w:fill="FFFFFF"/>
          <w:lang w:val="en-GB"/>
        </w:rPr>
        <w:t>,</w:t>
      </w:r>
      <w:r w:rsidR="005226D1" w:rsidRPr="0009135D">
        <w:rPr>
          <w:shd w:val="clear" w:color="auto" w:fill="FFFFFF"/>
          <w:lang w:val="en-GB"/>
        </w:rPr>
        <w:t xml:space="preserve"> denies pres</w:t>
      </w:r>
      <w:r w:rsidR="007F569D" w:rsidRPr="0009135D">
        <w:rPr>
          <w:shd w:val="clear" w:color="auto" w:fill="FFFFFF"/>
          <w:lang w:val="en-GB"/>
        </w:rPr>
        <w:t>cription of the claim, and pleads</w:t>
      </w:r>
      <w:r w:rsidR="005226D1" w:rsidRPr="0009135D">
        <w:rPr>
          <w:shd w:val="clear" w:color="auto" w:fill="FFFFFF"/>
          <w:lang w:val="en-GB"/>
        </w:rPr>
        <w:t>, the prescriptive pr</w:t>
      </w:r>
      <w:r w:rsidR="007F569D" w:rsidRPr="0009135D">
        <w:rPr>
          <w:shd w:val="clear" w:color="auto" w:fill="FFFFFF"/>
          <w:lang w:val="en-GB"/>
        </w:rPr>
        <w:t>ovisions do not apply to his</w:t>
      </w:r>
      <w:r w:rsidR="005226D1" w:rsidRPr="0009135D">
        <w:rPr>
          <w:shd w:val="clear" w:color="auto" w:fill="FFFFFF"/>
          <w:lang w:val="en-GB"/>
        </w:rPr>
        <w:t xml:space="preserve"> cause of action because the second defendant did not act in pursuance of the Police Act, but in the course and scope of his employment with the first defendant, alternatively, within the ambit of risk created by such employment.</w:t>
      </w:r>
    </w:p>
    <w:p w14:paraId="4A2DA62C" w14:textId="77777777" w:rsidR="005226D1" w:rsidRPr="006F361E" w:rsidRDefault="005226D1" w:rsidP="005226D1">
      <w:pPr>
        <w:pStyle w:val="ListParagraph"/>
        <w:spacing w:after="0"/>
        <w:ind w:left="0"/>
        <w:rPr>
          <w:rFonts w:cs="Arial"/>
          <w:szCs w:val="24"/>
          <w:shd w:val="clear" w:color="auto" w:fill="FFFFFF"/>
          <w:lang w:val="en-GB"/>
        </w:rPr>
      </w:pPr>
    </w:p>
    <w:p w14:paraId="544CCA50" w14:textId="4E3470F8" w:rsidR="005226D1" w:rsidRPr="0009135D" w:rsidRDefault="0009135D" w:rsidP="0009135D">
      <w:pPr>
        <w:rPr>
          <w:shd w:val="clear" w:color="auto" w:fill="FFFFFF"/>
          <w:lang w:val="en-GB"/>
        </w:rPr>
      </w:pPr>
      <w:r w:rsidRPr="009F5CEA">
        <w:rPr>
          <w:spacing w:val="0"/>
          <w:lang w:val="en-GB"/>
        </w:rPr>
        <w:t>[5]</w:t>
      </w:r>
      <w:r w:rsidRPr="009F5CEA">
        <w:rPr>
          <w:spacing w:val="0"/>
          <w:lang w:val="en-GB"/>
        </w:rPr>
        <w:tab/>
      </w:r>
      <w:r w:rsidR="005226D1" w:rsidRPr="0009135D">
        <w:rPr>
          <w:shd w:val="clear" w:color="auto" w:fill="FFFFFF"/>
          <w:lang w:val="en-GB"/>
        </w:rPr>
        <w:t xml:space="preserve">In </w:t>
      </w:r>
      <w:r w:rsidR="005226D1" w:rsidRPr="0009135D">
        <w:rPr>
          <w:bCs/>
          <w:i/>
          <w:shd w:val="clear" w:color="auto" w:fill="FFFFFF"/>
        </w:rPr>
        <w:t>Masuku and Another v Mdlalose and Others,</w:t>
      </w:r>
      <w:r w:rsidR="005226D1">
        <w:rPr>
          <w:rStyle w:val="FootnoteReference"/>
          <w:bCs/>
          <w:i/>
          <w:shd w:val="clear" w:color="auto" w:fill="FFFFFF"/>
        </w:rPr>
        <w:footnoteReference w:id="1"/>
      </w:r>
      <w:r w:rsidR="005226D1" w:rsidRPr="0009135D">
        <w:rPr>
          <w:bCs/>
          <w:i/>
          <w:shd w:val="clear" w:color="auto" w:fill="FFFFFF"/>
        </w:rPr>
        <w:t xml:space="preserve"> </w:t>
      </w:r>
      <w:r w:rsidR="005226D1" w:rsidRPr="0009135D">
        <w:rPr>
          <w:bCs/>
          <w:shd w:val="clear" w:color="auto" w:fill="FFFFFF"/>
        </w:rPr>
        <w:t xml:space="preserve">the South African Supreme Court of Appeal, considered the question before court today, writing for </w:t>
      </w:r>
      <w:proofErr w:type="gramStart"/>
      <w:r w:rsidR="005226D1" w:rsidRPr="0009135D">
        <w:rPr>
          <w:bCs/>
          <w:shd w:val="clear" w:color="auto" w:fill="FFFFFF"/>
        </w:rPr>
        <w:t>the majority of</w:t>
      </w:r>
      <w:proofErr w:type="gramEnd"/>
      <w:r w:rsidR="005226D1" w:rsidRPr="0009135D">
        <w:rPr>
          <w:bCs/>
          <w:shd w:val="clear" w:color="auto" w:fill="FFFFFF"/>
        </w:rPr>
        <w:t xml:space="preserve"> the court Smalberger JA found:</w:t>
      </w:r>
    </w:p>
    <w:p w14:paraId="20FA4139" w14:textId="77777777" w:rsidR="005226D1" w:rsidRDefault="005226D1" w:rsidP="005226D1">
      <w:pPr>
        <w:rPr>
          <w:shd w:val="clear" w:color="auto" w:fill="FFFFFF"/>
          <w:lang w:val="en-GB"/>
        </w:rPr>
      </w:pPr>
    </w:p>
    <w:p w14:paraId="3BA4D93C" w14:textId="365E6D46" w:rsidR="005226D1" w:rsidRPr="007F569D" w:rsidRDefault="007F569D" w:rsidP="005226D1">
      <w:pPr>
        <w:rPr>
          <w:sz w:val="22"/>
          <w:shd w:val="clear" w:color="auto" w:fill="FFFFFF"/>
          <w:lang w:val="en-GB"/>
        </w:rPr>
      </w:pPr>
      <w:r>
        <w:rPr>
          <w:sz w:val="22"/>
          <w:shd w:val="clear" w:color="auto" w:fill="FFFFFF"/>
          <w:lang w:val="en-GB"/>
        </w:rPr>
        <w:tab/>
      </w:r>
      <w:r w:rsidR="005226D1" w:rsidRPr="007F569D">
        <w:rPr>
          <w:sz w:val="22"/>
          <w:shd w:val="clear" w:color="auto" w:fill="FFFFFF"/>
          <w:lang w:val="en-GB"/>
        </w:rPr>
        <w:t>‘The concepts ‘in the course and scope of his employment’ (or any of its equivalents) and ‘in pursuance of’ the Act are notionally distinct from each other. They derive from different sources and deal with different incidents of liability. The former is primarily concerned with the common-law principles of vicarious liability; the latter is of statutory origin and its meaning and ambit stem from the provisions of the Act. Different policy considerations are at stake when dealing with the two concepts. The former favours a plaintiff by making a master liable for the wrongs of his servant, thereby extending and establishing liability where otherwise it would not exist. It is thus expansive in both its purpose and effect. The latter enures (endures) for the benefit of a defendant.’</w:t>
      </w:r>
    </w:p>
    <w:p w14:paraId="3E2EAF1C" w14:textId="77777777" w:rsidR="005226D1" w:rsidRPr="007F569D" w:rsidRDefault="005226D1" w:rsidP="005226D1">
      <w:pPr>
        <w:rPr>
          <w:sz w:val="22"/>
          <w:shd w:val="clear" w:color="auto" w:fill="FFFFFF"/>
          <w:lang w:val="en-GB"/>
        </w:rPr>
      </w:pPr>
    </w:p>
    <w:p w14:paraId="2000969F" w14:textId="77777777" w:rsidR="005226D1" w:rsidRPr="007F569D" w:rsidRDefault="005226D1" w:rsidP="005226D1">
      <w:pPr>
        <w:rPr>
          <w:sz w:val="22"/>
          <w:shd w:val="clear" w:color="auto" w:fill="FFFFFF"/>
          <w:lang w:val="en-GB"/>
        </w:rPr>
      </w:pPr>
      <w:r w:rsidRPr="007F569D">
        <w:rPr>
          <w:sz w:val="22"/>
          <w:shd w:val="clear" w:color="auto" w:fill="FFFFFF"/>
          <w:lang w:val="en-GB"/>
        </w:rPr>
        <w:t xml:space="preserve">… </w:t>
      </w:r>
    </w:p>
    <w:p w14:paraId="519F163F" w14:textId="77777777" w:rsidR="005226D1" w:rsidRPr="007F569D" w:rsidRDefault="005226D1" w:rsidP="005226D1">
      <w:pPr>
        <w:rPr>
          <w:sz w:val="22"/>
          <w:shd w:val="clear" w:color="auto" w:fill="FFFFFF"/>
        </w:rPr>
      </w:pPr>
    </w:p>
    <w:p w14:paraId="5F254979" w14:textId="77777777" w:rsidR="005226D1" w:rsidRPr="007F569D" w:rsidRDefault="005226D1" w:rsidP="005226D1">
      <w:pPr>
        <w:rPr>
          <w:sz w:val="22"/>
          <w:shd w:val="clear" w:color="auto" w:fill="FFFFFF"/>
          <w:lang w:val="en-GB"/>
        </w:rPr>
      </w:pPr>
      <w:r w:rsidRPr="007F569D">
        <w:rPr>
          <w:sz w:val="22"/>
          <w:shd w:val="clear" w:color="auto" w:fill="FFFFFF"/>
          <w:lang w:val="en-GB"/>
        </w:rPr>
        <w:t>‘In my view, one cannot determine the issue before us in vacuo. It is impossible to lay down precise rules governing the meaning of each of the concepts. Notionally they differ. Their application must inevitably depend upon the facts and circumstances of each particular case, which in the nature of things can vary radically and cover a myriad of situations.</w:t>
      </w:r>
      <w:r w:rsidRPr="007F569D">
        <w:rPr>
          <w:sz w:val="22"/>
        </w:rPr>
        <w:t xml:space="preserve"> </w:t>
      </w:r>
      <w:r w:rsidRPr="007F569D">
        <w:rPr>
          <w:sz w:val="22"/>
          <w:shd w:val="clear" w:color="auto" w:fill="FFFFFF"/>
          <w:lang w:val="en-GB"/>
        </w:rPr>
        <w:t>Only once the relevant facts have been established will it be possible to determine, applying recognised principles, whether the acts complained of amount to conduct “within the course and scope of employment” or “in pursuance of” the Act, or both, or neither. While the concepts clearly overlap, one cannot predict with certainty that they will necessarily always be co-extensive.’</w:t>
      </w:r>
    </w:p>
    <w:p w14:paraId="348097F3" w14:textId="77777777" w:rsidR="005226D1" w:rsidRPr="009F5CEA" w:rsidRDefault="005226D1" w:rsidP="005226D1">
      <w:pPr>
        <w:rPr>
          <w:shd w:val="clear" w:color="auto" w:fill="FFFFFF"/>
          <w:lang w:val="en-GB"/>
        </w:rPr>
      </w:pPr>
    </w:p>
    <w:p w14:paraId="44521BD2" w14:textId="036D2875" w:rsidR="005226D1" w:rsidRPr="0009135D" w:rsidRDefault="0009135D" w:rsidP="0009135D">
      <w:pPr>
        <w:rPr>
          <w:shd w:val="clear" w:color="auto" w:fill="FFFFFF"/>
          <w:lang w:val="en-GB"/>
        </w:rPr>
      </w:pPr>
      <w:r>
        <w:rPr>
          <w:spacing w:val="0"/>
          <w:lang w:val="en-GB"/>
        </w:rPr>
        <w:t>[6]</w:t>
      </w:r>
      <w:r>
        <w:rPr>
          <w:spacing w:val="0"/>
          <w:lang w:val="en-GB"/>
        </w:rPr>
        <w:tab/>
      </w:r>
      <w:r w:rsidR="005226D1" w:rsidRPr="0009135D">
        <w:rPr>
          <w:shd w:val="clear" w:color="auto" w:fill="FFFFFF"/>
          <w:lang w:val="en-GB"/>
        </w:rPr>
        <w:t>Most recently, in</w:t>
      </w:r>
      <w:r w:rsidR="005226D1" w:rsidRPr="0009135D">
        <w:rPr>
          <w:rFonts w:eastAsia="Calibri"/>
          <w:i/>
          <w:color w:val="0D0D0D"/>
          <w:lang w:val="en-GB"/>
        </w:rPr>
        <w:t xml:space="preserve"> </w:t>
      </w:r>
      <w:r w:rsidR="005226D1" w:rsidRPr="0009135D">
        <w:rPr>
          <w:i/>
          <w:shd w:val="clear" w:color="auto" w:fill="FFFFFF"/>
          <w:lang w:val="en-GB"/>
        </w:rPr>
        <w:t>Bruni N.O. v Inspector General of Police</w:t>
      </w:r>
      <w:r w:rsidR="00CA1F9F" w:rsidRPr="0009135D">
        <w:rPr>
          <w:i/>
          <w:shd w:val="clear" w:color="auto" w:fill="FFFFFF"/>
          <w:lang w:val="en-GB"/>
        </w:rPr>
        <w:t>,</w:t>
      </w:r>
      <w:r w:rsidR="005226D1">
        <w:rPr>
          <w:rStyle w:val="FootnoteReference"/>
          <w:shd w:val="clear" w:color="auto" w:fill="FFFFFF"/>
          <w:lang w:val="en-GB"/>
        </w:rPr>
        <w:footnoteReference w:id="2"/>
      </w:r>
      <w:r w:rsidR="005226D1" w:rsidRPr="0009135D">
        <w:rPr>
          <w:shd w:val="clear" w:color="auto" w:fill="FFFFFF"/>
          <w:lang w:val="en-GB"/>
        </w:rPr>
        <w:t xml:space="preserve"> Sibeya J had </w:t>
      </w:r>
      <w:r w:rsidR="005226D1" w:rsidRPr="0009135D">
        <w:rPr>
          <w:shd w:val="clear" w:color="auto" w:fill="FFFFFF"/>
          <w:lang w:val="en-GB"/>
        </w:rPr>
        <w:lastRenderedPageBreak/>
        <w:t xml:space="preserve">occasion to consider the distinction between </w:t>
      </w:r>
      <w:r w:rsidR="007F569D" w:rsidRPr="0009135D">
        <w:rPr>
          <w:shd w:val="clear" w:color="auto" w:fill="FFFFFF"/>
          <w:lang w:val="en-GB"/>
        </w:rPr>
        <w:t>‘</w:t>
      </w:r>
      <w:r w:rsidR="005226D1" w:rsidRPr="0009135D">
        <w:rPr>
          <w:shd w:val="clear" w:color="auto" w:fill="FFFFFF"/>
          <w:lang w:val="en-GB"/>
        </w:rPr>
        <w:t>in pursuance of the Act</w:t>
      </w:r>
      <w:r w:rsidR="007F569D" w:rsidRPr="0009135D">
        <w:rPr>
          <w:shd w:val="clear" w:color="auto" w:fill="FFFFFF"/>
          <w:lang w:val="en-GB"/>
        </w:rPr>
        <w:t>’</w:t>
      </w:r>
      <w:r w:rsidR="005226D1" w:rsidRPr="0009135D">
        <w:rPr>
          <w:shd w:val="clear" w:color="auto" w:fill="FFFFFF"/>
          <w:lang w:val="en-GB"/>
        </w:rPr>
        <w:t xml:space="preserve"> and </w:t>
      </w:r>
      <w:r w:rsidR="007F569D" w:rsidRPr="0009135D">
        <w:rPr>
          <w:shd w:val="clear" w:color="auto" w:fill="FFFFFF"/>
          <w:lang w:val="en-GB"/>
        </w:rPr>
        <w:t>‘</w:t>
      </w:r>
      <w:r w:rsidR="005226D1" w:rsidRPr="0009135D">
        <w:rPr>
          <w:shd w:val="clear" w:color="auto" w:fill="FFFFFF"/>
          <w:lang w:val="en-GB"/>
        </w:rPr>
        <w:t>in the course and scope of employment</w:t>
      </w:r>
      <w:r w:rsidR="007F569D" w:rsidRPr="0009135D">
        <w:rPr>
          <w:shd w:val="clear" w:color="auto" w:fill="FFFFFF"/>
          <w:lang w:val="en-GB"/>
        </w:rPr>
        <w:t>’</w:t>
      </w:r>
      <w:r w:rsidR="005226D1" w:rsidRPr="0009135D">
        <w:rPr>
          <w:shd w:val="clear" w:color="auto" w:fill="FFFFFF"/>
          <w:lang w:val="en-GB"/>
        </w:rPr>
        <w:t>:</w:t>
      </w:r>
    </w:p>
    <w:p w14:paraId="1D021943" w14:textId="77777777" w:rsidR="005226D1" w:rsidRDefault="005226D1" w:rsidP="005226D1">
      <w:pPr>
        <w:pStyle w:val="ListParagraph"/>
        <w:spacing w:after="0"/>
        <w:ind w:left="0"/>
        <w:rPr>
          <w:rFonts w:cs="Arial"/>
          <w:szCs w:val="24"/>
          <w:shd w:val="clear" w:color="auto" w:fill="FFFFFF"/>
          <w:lang w:val="en-GB"/>
        </w:rPr>
      </w:pPr>
    </w:p>
    <w:p w14:paraId="748FEE3D" w14:textId="77777777" w:rsidR="005226D1" w:rsidRPr="007F569D" w:rsidRDefault="005226D1" w:rsidP="005226D1">
      <w:pPr>
        <w:pStyle w:val="ListParagraph"/>
        <w:spacing w:after="0"/>
        <w:ind w:left="0"/>
        <w:rPr>
          <w:rFonts w:cs="Arial"/>
          <w:sz w:val="22"/>
          <w:shd w:val="clear" w:color="auto" w:fill="FFFFFF"/>
          <w:lang w:val="en-GB"/>
        </w:rPr>
      </w:pPr>
      <w:r>
        <w:rPr>
          <w:rFonts w:cs="Arial"/>
          <w:shd w:val="clear" w:color="auto" w:fill="FFFFFF"/>
          <w:lang w:val="en-GB"/>
        </w:rPr>
        <w:tab/>
      </w:r>
      <w:r w:rsidRPr="007F569D">
        <w:rPr>
          <w:rFonts w:cs="Arial"/>
          <w:sz w:val="22"/>
          <w:shd w:val="clear" w:color="auto" w:fill="FFFFFF"/>
          <w:lang w:val="en-GB"/>
        </w:rPr>
        <w:t>‘[30]</w:t>
      </w:r>
      <w:r w:rsidRPr="007F569D">
        <w:rPr>
          <w:rFonts w:cs="Arial"/>
          <w:sz w:val="22"/>
          <w:shd w:val="clear" w:color="auto" w:fill="FFFFFF"/>
          <w:lang w:val="en-GB"/>
        </w:rPr>
        <w:tab/>
        <w:t>The above authority reaffirms the distinction there is between acting in the course and scope of employment as compared to acting in pursuance of the Act. Acting in pursuance of the Act was introduced by the legislation (the Police Act) while acting in the course and scope of employment, which is probably wider, is associated with the vicarious liability which finds its origin from common law. On this basis alone, the two concepts cannot be said to be the same or at the very least carry the same meaning.</w:t>
      </w:r>
    </w:p>
    <w:p w14:paraId="50B37E43" w14:textId="77777777" w:rsidR="005226D1" w:rsidRPr="007F569D" w:rsidRDefault="005226D1" w:rsidP="005226D1">
      <w:pPr>
        <w:pStyle w:val="ListParagraph"/>
        <w:spacing w:after="0"/>
        <w:ind w:left="0"/>
        <w:rPr>
          <w:rFonts w:cs="Arial"/>
          <w:sz w:val="22"/>
          <w:shd w:val="clear" w:color="auto" w:fill="FFFFFF"/>
          <w:lang w:val="en-GB"/>
        </w:rPr>
      </w:pPr>
    </w:p>
    <w:p w14:paraId="10FFC3F5" w14:textId="77777777" w:rsidR="005226D1" w:rsidRPr="007F569D" w:rsidRDefault="005226D1" w:rsidP="005226D1">
      <w:pPr>
        <w:pStyle w:val="ListParagraph"/>
        <w:spacing w:after="0"/>
        <w:ind w:left="0"/>
        <w:rPr>
          <w:rFonts w:cs="Arial"/>
          <w:sz w:val="22"/>
          <w:shd w:val="clear" w:color="auto" w:fill="FFFFFF"/>
          <w:lang w:val="en-GB"/>
        </w:rPr>
      </w:pPr>
      <w:r w:rsidRPr="007F569D">
        <w:rPr>
          <w:rFonts w:cs="Arial"/>
          <w:sz w:val="22"/>
          <w:shd w:val="clear" w:color="auto" w:fill="FFFFFF"/>
          <w:lang w:val="en-GB"/>
        </w:rPr>
        <w:t>…</w:t>
      </w:r>
    </w:p>
    <w:p w14:paraId="3F0D4BE5" w14:textId="77777777" w:rsidR="005226D1" w:rsidRPr="007F569D" w:rsidRDefault="005226D1" w:rsidP="005226D1">
      <w:pPr>
        <w:pStyle w:val="ListParagraph"/>
        <w:spacing w:after="0"/>
        <w:ind w:left="0"/>
        <w:rPr>
          <w:rFonts w:cs="Arial"/>
          <w:sz w:val="22"/>
          <w:shd w:val="clear" w:color="auto" w:fill="FFFFFF"/>
          <w:lang w:val="en-GB"/>
        </w:rPr>
      </w:pPr>
    </w:p>
    <w:p w14:paraId="7C256B60" w14:textId="77777777" w:rsidR="005226D1" w:rsidRPr="007F569D" w:rsidRDefault="005226D1" w:rsidP="005226D1">
      <w:pPr>
        <w:pStyle w:val="ListParagraph"/>
        <w:spacing w:after="0"/>
        <w:ind w:left="0"/>
        <w:rPr>
          <w:rFonts w:cs="Arial"/>
          <w:sz w:val="22"/>
          <w:shd w:val="clear" w:color="auto" w:fill="FFFFFF"/>
          <w:lang w:val="en-GB"/>
        </w:rPr>
      </w:pPr>
      <w:r w:rsidRPr="007F569D">
        <w:rPr>
          <w:rFonts w:cs="Arial"/>
          <w:sz w:val="22"/>
          <w:shd w:val="clear" w:color="auto" w:fill="FFFFFF"/>
          <w:lang w:val="en-GB"/>
        </w:rPr>
        <w:t>[32]</w:t>
      </w:r>
      <w:r w:rsidRPr="007F569D">
        <w:rPr>
          <w:rFonts w:cs="Arial"/>
          <w:sz w:val="22"/>
          <w:shd w:val="clear" w:color="auto" w:fill="FFFFFF"/>
          <w:lang w:val="en-GB"/>
        </w:rPr>
        <w:tab/>
        <w:t>The above authority makes it plain that there is no formula to determine whether the acts of a police officer are conducted within the course and scope of his employment or in pursuance of the Police Act. To resolve this issue, in my view, regard should be had to the reading of the Act, the purpose of the Act, the functions of the police created in the Act and the facts of each particular case.</w:t>
      </w:r>
    </w:p>
    <w:p w14:paraId="42954440" w14:textId="77777777" w:rsidR="005226D1" w:rsidRPr="007F569D" w:rsidRDefault="005226D1" w:rsidP="005226D1">
      <w:pPr>
        <w:pStyle w:val="ListParagraph"/>
        <w:spacing w:after="0"/>
        <w:ind w:left="0"/>
        <w:rPr>
          <w:rFonts w:cs="Arial"/>
          <w:sz w:val="22"/>
          <w:shd w:val="clear" w:color="auto" w:fill="FFFFFF"/>
          <w:lang w:val="en-GB"/>
        </w:rPr>
      </w:pPr>
    </w:p>
    <w:p w14:paraId="7368272F" w14:textId="77777777" w:rsidR="005226D1" w:rsidRPr="007F569D" w:rsidRDefault="005226D1" w:rsidP="005226D1">
      <w:pPr>
        <w:pStyle w:val="ListParagraph"/>
        <w:spacing w:after="0"/>
        <w:ind w:left="0"/>
        <w:rPr>
          <w:rFonts w:cs="Arial"/>
          <w:sz w:val="22"/>
          <w:shd w:val="clear" w:color="auto" w:fill="FFFFFF"/>
          <w:lang w:val="en-GB"/>
        </w:rPr>
      </w:pPr>
      <w:r w:rsidRPr="007F569D">
        <w:rPr>
          <w:rFonts w:cs="Arial"/>
          <w:sz w:val="22"/>
          <w:shd w:val="clear" w:color="auto" w:fill="FFFFFF"/>
          <w:lang w:val="en-GB"/>
        </w:rPr>
        <w:t>…</w:t>
      </w:r>
    </w:p>
    <w:p w14:paraId="7DB43167" w14:textId="77777777" w:rsidR="005226D1" w:rsidRPr="007F569D" w:rsidRDefault="005226D1" w:rsidP="005226D1">
      <w:pPr>
        <w:pStyle w:val="ListParagraph"/>
        <w:spacing w:after="0"/>
        <w:ind w:left="0"/>
        <w:rPr>
          <w:rFonts w:cs="Arial"/>
          <w:sz w:val="22"/>
          <w:shd w:val="clear" w:color="auto" w:fill="FFFFFF"/>
          <w:lang w:val="en-GB"/>
        </w:rPr>
      </w:pPr>
    </w:p>
    <w:p w14:paraId="04D83C06" w14:textId="0EA88B45" w:rsidR="005226D1" w:rsidRPr="007F569D" w:rsidRDefault="005226D1" w:rsidP="005226D1">
      <w:pPr>
        <w:pStyle w:val="ListParagraph"/>
        <w:spacing w:after="0"/>
        <w:ind w:left="0"/>
        <w:rPr>
          <w:rFonts w:cs="Arial"/>
          <w:sz w:val="22"/>
          <w:shd w:val="clear" w:color="auto" w:fill="FFFFFF"/>
          <w:lang w:val="en-GB"/>
        </w:rPr>
      </w:pPr>
      <w:r w:rsidRPr="007F569D">
        <w:rPr>
          <w:rFonts w:cs="Arial"/>
          <w:sz w:val="22"/>
          <w:shd w:val="clear" w:color="auto" w:fill="FFFFFF"/>
          <w:lang w:val="en-GB"/>
        </w:rPr>
        <w:t>[36]</w:t>
      </w:r>
      <w:r w:rsidRPr="007F569D">
        <w:rPr>
          <w:rFonts w:cs="Arial"/>
          <w:sz w:val="22"/>
          <w:shd w:val="clear" w:color="auto" w:fill="FFFFFF"/>
          <w:lang w:val="en-GB"/>
        </w:rPr>
        <w:tab/>
        <w:t>As clause 39(1) is designed to protect the state to the prejudice of the claimants it requires to be restrictively interpreted (strict interpretation). I find that clause 14(1) above, recognises that a police officer may act in terms of any other legislation or common law other than the Police Act. Where reference is made to this Act (the Police Act) or any other Law (any other authority including any other Act or common law), a police officer may act in terms thereof and still acting within the course and scope of his employment but not i</w:t>
      </w:r>
      <w:r w:rsidR="007F569D" w:rsidRPr="007F569D">
        <w:rPr>
          <w:rFonts w:cs="Arial"/>
          <w:sz w:val="22"/>
          <w:shd w:val="clear" w:color="auto" w:fill="FFFFFF"/>
          <w:lang w:val="en-GB"/>
        </w:rPr>
        <w:t>n pursuance of the Police Act.’</w:t>
      </w:r>
    </w:p>
    <w:p w14:paraId="7683728A" w14:textId="77777777" w:rsidR="005226D1" w:rsidRPr="00925D65" w:rsidRDefault="005226D1" w:rsidP="005226D1">
      <w:pPr>
        <w:pStyle w:val="ListParagraph"/>
        <w:spacing w:after="0"/>
        <w:ind w:left="0"/>
        <w:rPr>
          <w:rFonts w:cs="Arial"/>
          <w:szCs w:val="24"/>
          <w:shd w:val="clear" w:color="auto" w:fill="FFFFFF"/>
          <w:lang w:val="en-GB"/>
        </w:rPr>
      </w:pPr>
    </w:p>
    <w:p w14:paraId="2BCE1976" w14:textId="1C5A689B" w:rsidR="005226D1" w:rsidRPr="0009135D" w:rsidRDefault="0009135D" w:rsidP="0009135D">
      <w:pPr>
        <w:rPr>
          <w:shd w:val="clear" w:color="auto" w:fill="FFFFFF"/>
          <w:lang w:val="en-GB"/>
        </w:rPr>
      </w:pPr>
      <w:r>
        <w:rPr>
          <w:spacing w:val="0"/>
          <w:lang w:val="en-GB"/>
        </w:rPr>
        <w:t>[7]</w:t>
      </w:r>
      <w:r>
        <w:rPr>
          <w:spacing w:val="0"/>
          <w:lang w:val="en-GB"/>
        </w:rPr>
        <w:tab/>
      </w:r>
      <w:proofErr w:type="spellStart"/>
      <w:r w:rsidR="007F569D" w:rsidRPr="0009135D">
        <w:rPr>
          <w:shd w:val="clear" w:color="auto" w:fill="FFFFFF"/>
          <w:lang w:val="en-GB"/>
        </w:rPr>
        <w:t>Sibeya</w:t>
      </w:r>
      <w:proofErr w:type="spellEnd"/>
      <w:r w:rsidR="007F569D" w:rsidRPr="0009135D">
        <w:rPr>
          <w:shd w:val="clear" w:color="auto" w:fill="FFFFFF"/>
          <w:lang w:val="en-GB"/>
        </w:rPr>
        <w:t xml:space="preserve"> J</w:t>
      </w:r>
      <w:r w:rsidR="005226D1" w:rsidRPr="0009135D">
        <w:rPr>
          <w:i/>
          <w:shd w:val="clear" w:color="auto" w:fill="FFFFFF"/>
          <w:lang w:val="en-GB"/>
        </w:rPr>
        <w:t xml:space="preserve"> </w:t>
      </w:r>
      <w:r w:rsidR="007F569D" w:rsidRPr="0009135D">
        <w:rPr>
          <w:shd w:val="clear" w:color="auto" w:fill="FFFFFF"/>
          <w:lang w:val="en-GB"/>
        </w:rPr>
        <w:t>accepted</w:t>
      </w:r>
      <w:r w:rsidR="005226D1" w:rsidRPr="0009135D">
        <w:rPr>
          <w:shd w:val="clear" w:color="auto" w:fill="FFFFFF"/>
          <w:lang w:val="en-GB"/>
        </w:rPr>
        <w:t xml:space="preserve"> the finding of the Supreme Court of Appeal in </w:t>
      </w:r>
      <w:r w:rsidR="005226D1" w:rsidRPr="0009135D">
        <w:rPr>
          <w:i/>
          <w:shd w:val="clear" w:color="auto" w:fill="FFFFFF"/>
          <w:lang w:val="en-GB"/>
        </w:rPr>
        <w:t xml:space="preserve">Masuku </w:t>
      </w:r>
      <w:r w:rsidR="007F569D" w:rsidRPr="0009135D">
        <w:rPr>
          <w:shd w:val="clear" w:color="auto" w:fill="FFFFFF"/>
          <w:lang w:val="en-GB"/>
        </w:rPr>
        <w:t xml:space="preserve">regarding </w:t>
      </w:r>
      <w:r w:rsidR="005226D1" w:rsidRPr="0009135D">
        <w:rPr>
          <w:shd w:val="clear" w:color="auto" w:fill="FFFFFF"/>
          <w:lang w:val="en-GB"/>
        </w:rPr>
        <w:t xml:space="preserve">the distinction </w:t>
      </w:r>
      <w:r w:rsidR="007F569D" w:rsidRPr="0009135D">
        <w:rPr>
          <w:shd w:val="clear" w:color="auto" w:fill="FFFFFF"/>
          <w:lang w:val="en-GB"/>
        </w:rPr>
        <w:t xml:space="preserve">between the words </w:t>
      </w:r>
      <w:r w:rsidR="00CA1F9F" w:rsidRPr="0009135D">
        <w:rPr>
          <w:shd w:val="clear" w:color="auto" w:fill="FFFFFF"/>
          <w:lang w:val="en-GB"/>
        </w:rPr>
        <w:t>in pursuance of the A</w:t>
      </w:r>
      <w:r w:rsidR="005226D1" w:rsidRPr="0009135D">
        <w:rPr>
          <w:shd w:val="clear" w:color="auto" w:fill="FFFFFF"/>
          <w:lang w:val="en-GB"/>
        </w:rPr>
        <w:t>ct and within the</w:t>
      </w:r>
      <w:r w:rsidR="007F569D" w:rsidRPr="0009135D">
        <w:rPr>
          <w:shd w:val="clear" w:color="auto" w:fill="FFFFFF"/>
          <w:lang w:val="en-GB"/>
        </w:rPr>
        <w:t xml:space="preserve"> course and scope of employment. It</w:t>
      </w:r>
      <w:r w:rsidR="005226D1" w:rsidRPr="0009135D">
        <w:rPr>
          <w:shd w:val="clear" w:color="auto" w:fill="FFFFFF"/>
          <w:lang w:val="en-GB"/>
        </w:rPr>
        <w:t xml:space="preserve"> is</w:t>
      </w:r>
      <w:r w:rsidR="007F569D" w:rsidRPr="0009135D">
        <w:rPr>
          <w:shd w:val="clear" w:color="auto" w:fill="FFFFFF"/>
          <w:lang w:val="en-GB"/>
        </w:rPr>
        <w:t xml:space="preserve"> to be</w:t>
      </w:r>
      <w:r w:rsidR="005226D1" w:rsidRPr="0009135D">
        <w:rPr>
          <w:shd w:val="clear" w:color="auto" w:fill="FFFFFF"/>
          <w:lang w:val="en-GB"/>
        </w:rPr>
        <w:t xml:space="preserve"> determined on the facts of each case. I, respectf</w:t>
      </w:r>
      <w:r w:rsidR="007F569D" w:rsidRPr="0009135D">
        <w:rPr>
          <w:shd w:val="clear" w:color="auto" w:fill="FFFFFF"/>
          <w:lang w:val="en-GB"/>
        </w:rPr>
        <w:t>ully, agree with the above principle.</w:t>
      </w:r>
    </w:p>
    <w:p w14:paraId="1CB38B20" w14:textId="77777777" w:rsidR="005226D1" w:rsidRDefault="005226D1" w:rsidP="005226D1">
      <w:pPr>
        <w:pStyle w:val="ListParagraph"/>
        <w:spacing w:after="0"/>
        <w:ind w:left="0"/>
        <w:rPr>
          <w:rFonts w:cs="Arial"/>
          <w:szCs w:val="24"/>
          <w:shd w:val="clear" w:color="auto" w:fill="FFFFFF"/>
          <w:lang w:val="en-GB"/>
        </w:rPr>
      </w:pPr>
    </w:p>
    <w:p w14:paraId="2EED1A80" w14:textId="39C76576" w:rsidR="005226D1" w:rsidRPr="0009135D" w:rsidRDefault="0009135D" w:rsidP="0009135D">
      <w:pPr>
        <w:rPr>
          <w:shd w:val="clear" w:color="auto" w:fill="FFFFFF"/>
          <w:lang w:val="en-GB"/>
        </w:rPr>
      </w:pPr>
      <w:r>
        <w:rPr>
          <w:spacing w:val="0"/>
          <w:lang w:val="en-GB"/>
        </w:rPr>
        <w:lastRenderedPageBreak/>
        <w:t>[8]</w:t>
      </w:r>
      <w:r>
        <w:rPr>
          <w:spacing w:val="0"/>
          <w:lang w:val="en-GB"/>
        </w:rPr>
        <w:tab/>
      </w:r>
      <w:r w:rsidR="005226D1" w:rsidRPr="0009135D">
        <w:rPr>
          <w:shd w:val="clear" w:color="auto" w:fill="FFFFFF"/>
          <w:lang w:val="en-GB"/>
        </w:rPr>
        <w:t xml:space="preserve">The case of the plaintiff is pleaded as an MVA. However, having regard to the defendants’ pleas, the denials by the defendants make no averment to place this court in a position to assess and apply the above test to the present matter. Counsel for the defendants in paras 3.7 and paras 3.8 of her heads of argument attempt to place factual averments before </w:t>
      </w:r>
      <w:r w:rsidR="007F569D" w:rsidRPr="0009135D">
        <w:rPr>
          <w:shd w:val="clear" w:color="auto" w:fill="FFFFFF"/>
          <w:lang w:val="en-GB"/>
        </w:rPr>
        <w:t>court, which averments are not even p</w:t>
      </w:r>
      <w:r w:rsidR="005226D1" w:rsidRPr="0009135D">
        <w:rPr>
          <w:shd w:val="clear" w:color="auto" w:fill="FFFFFF"/>
          <w:lang w:val="en-GB"/>
        </w:rPr>
        <w:t xml:space="preserve">leaded. </w:t>
      </w:r>
      <w:r w:rsidR="007F569D" w:rsidRPr="0009135D">
        <w:rPr>
          <w:shd w:val="clear" w:color="auto" w:fill="FFFFFF"/>
          <w:lang w:val="en-GB"/>
        </w:rPr>
        <w:t>I</w:t>
      </w:r>
      <w:r w:rsidR="005226D1" w:rsidRPr="0009135D">
        <w:rPr>
          <w:shd w:val="clear" w:color="auto" w:fill="FFFFFF"/>
          <w:lang w:val="en-GB"/>
        </w:rPr>
        <w:t>t would be wholly inappropriate for this court to make any factual finding before trial. It is thus clear that it is apt in the c</w:t>
      </w:r>
      <w:r w:rsidR="007F569D" w:rsidRPr="0009135D">
        <w:rPr>
          <w:shd w:val="clear" w:color="auto" w:fill="FFFFFF"/>
          <w:lang w:val="en-GB"/>
        </w:rPr>
        <w:t>ircumstances of this matter that the</w:t>
      </w:r>
      <w:r w:rsidR="005226D1" w:rsidRPr="0009135D">
        <w:rPr>
          <w:shd w:val="clear" w:color="auto" w:fill="FFFFFF"/>
          <w:lang w:val="en-GB"/>
        </w:rPr>
        <w:t xml:space="preserve"> special pleas of the d</w:t>
      </w:r>
      <w:r w:rsidR="007F569D" w:rsidRPr="0009135D">
        <w:rPr>
          <w:shd w:val="clear" w:color="auto" w:fill="FFFFFF"/>
          <w:lang w:val="en-GB"/>
        </w:rPr>
        <w:t>efendants</w:t>
      </w:r>
      <w:r w:rsidR="005226D1" w:rsidRPr="0009135D">
        <w:rPr>
          <w:shd w:val="clear" w:color="auto" w:fill="FFFFFF"/>
          <w:lang w:val="en-GB"/>
        </w:rPr>
        <w:t xml:space="preserve"> be determined after the hearing of evidence, fitting only for the trial court.</w:t>
      </w:r>
    </w:p>
    <w:p w14:paraId="591E6C1A" w14:textId="77777777" w:rsidR="005226D1" w:rsidRDefault="005226D1" w:rsidP="005226D1">
      <w:pPr>
        <w:pStyle w:val="ListParagraph"/>
        <w:spacing w:after="0"/>
        <w:ind w:left="0"/>
        <w:rPr>
          <w:rFonts w:cs="Arial"/>
          <w:szCs w:val="24"/>
          <w:shd w:val="clear" w:color="auto" w:fill="FFFFFF"/>
          <w:lang w:val="en-GB"/>
        </w:rPr>
      </w:pPr>
    </w:p>
    <w:p w14:paraId="7F2605D8" w14:textId="2D84E95F" w:rsidR="005226D1" w:rsidRPr="0009135D" w:rsidRDefault="0009135D" w:rsidP="0009135D">
      <w:pPr>
        <w:rPr>
          <w:shd w:val="clear" w:color="auto" w:fill="FFFFFF"/>
          <w:lang w:val="en-GB"/>
        </w:rPr>
      </w:pPr>
      <w:r w:rsidRPr="006A17FF">
        <w:rPr>
          <w:spacing w:val="0"/>
          <w:lang w:val="en-GB"/>
        </w:rPr>
        <w:t>[9]</w:t>
      </w:r>
      <w:r w:rsidRPr="006A17FF">
        <w:rPr>
          <w:spacing w:val="0"/>
          <w:lang w:val="en-GB"/>
        </w:rPr>
        <w:tab/>
      </w:r>
      <w:r w:rsidR="005226D1" w:rsidRPr="0009135D">
        <w:rPr>
          <w:shd w:val="clear" w:color="auto" w:fill="FFFFFF"/>
          <w:lang w:val="en-GB"/>
        </w:rPr>
        <w:t>In the circumstances, I make the following order:</w:t>
      </w:r>
    </w:p>
    <w:p w14:paraId="70BB3EF4" w14:textId="77777777" w:rsidR="005226D1" w:rsidRDefault="005226D1" w:rsidP="005226D1">
      <w:pPr>
        <w:pStyle w:val="ListParagraph"/>
        <w:rPr>
          <w:rFonts w:cs="Arial"/>
          <w:szCs w:val="24"/>
          <w:shd w:val="clear" w:color="auto" w:fill="FFFFFF"/>
          <w:lang w:val="en-GB"/>
        </w:rPr>
      </w:pPr>
    </w:p>
    <w:p w14:paraId="5A6B10D9" w14:textId="679EF67B" w:rsidR="005226D1" w:rsidRPr="0009135D" w:rsidRDefault="0009135D" w:rsidP="0009135D">
      <w:pPr>
        <w:ind w:left="720" w:hanging="360"/>
      </w:pPr>
      <w:r>
        <w:rPr>
          <w:rFonts w:eastAsiaTheme="minorHAnsi"/>
          <w:spacing w:val="0"/>
          <w:lang w:val="en-US"/>
        </w:rPr>
        <w:t>1.</w:t>
      </w:r>
      <w:r>
        <w:rPr>
          <w:rFonts w:eastAsiaTheme="minorHAnsi"/>
          <w:spacing w:val="0"/>
          <w:lang w:val="en-US"/>
        </w:rPr>
        <w:tab/>
      </w:r>
      <w:r w:rsidR="005226D1" w:rsidRPr="0009135D">
        <w:t xml:space="preserve"> The determination of the defendants’ special pleas stands over for determination at trial.</w:t>
      </w:r>
    </w:p>
    <w:p w14:paraId="5872388F" w14:textId="08356DCE" w:rsidR="005226D1" w:rsidRPr="0009135D" w:rsidRDefault="0009135D" w:rsidP="0009135D">
      <w:pPr>
        <w:ind w:left="720" w:hanging="360"/>
      </w:pPr>
      <w:r>
        <w:rPr>
          <w:rFonts w:eastAsiaTheme="minorHAnsi"/>
          <w:spacing w:val="0"/>
          <w:lang w:val="en-US"/>
        </w:rPr>
        <w:t>2.</w:t>
      </w:r>
      <w:r>
        <w:rPr>
          <w:rFonts w:eastAsiaTheme="minorHAnsi"/>
          <w:spacing w:val="0"/>
          <w:lang w:val="en-US"/>
        </w:rPr>
        <w:tab/>
      </w:r>
      <w:r w:rsidR="005226D1" w:rsidRPr="0009135D">
        <w:t>Costs in the interlocutory shall be costs in the cause.</w:t>
      </w:r>
    </w:p>
    <w:p w14:paraId="30F0BD16" w14:textId="53F105D4" w:rsidR="005226D1" w:rsidRPr="0009135D" w:rsidRDefault="0009135D" w:rsidP="0009135D">
      <w:pPr>
        <w:ind w:left="720" w:hanging="360"/>
      </w:pPr>
      <w:r>
        <w:rPr>
          <w:rFonts w:eastAsiaTheme="minorHAnsi"/>
          <w:spacing w:val="0"/>
          <w:lang w:val="en-US"/>
        </w:rPr>
        <w:t>3.</w:t>
      </w:r>
      <w:r>
        <w:rPr>
          <w:rFonts w:eastAsiaTheme="minorHAnsi"/>
          <w:spacing w:val="0"/>
          <w:lang w:val="en-US"/>
        </w:rPr>
        <w:tab/>
      </w:r>
      <w:r w:rsidR="005226D1" w:rsidRPr="0009135D">
        <w:t>The matter is postponed to 11 September 2023 at 15h00 for a Case Management Conference.</w:t>
      </w:r>
    </w:p>
    <w:p w14:paraId="1E92C77E" w14:textId="2B0DCA78" w:rsidR="005226D1" w:rsidRPr="0009135D" w:rsidRDefault="0009135D" w:rsidP="0009135D">
      <w:pPr>
        <w:ind w:left="720" w:hanging="360"/>
      </w:pPr>
      <w:r w:rsidRPr="001804B5">
        <w:rPr>
          <w:rFonts w:eastAsiaTheme="minorHAnsi"/>
          <w:spacing w:val="0"/>
          <w:lang w:val="en-US"/>
        </w:rPr>
        <w:t>4.</w:t>
      </w:r>
      <w:r w:rsidRPr="001804B5">
        <w:rPr>
          <w:rFonts w:eastAsiaTheme="minorHAnsi"/>
          <w:spacing w:val="0"/>
          <w:lang w:val="en-US"/>
        </w:rPr>
        <w:tab/>
      </w:r>
      <w:r w:rsidR="005226D1" w:rsidRPr="0009135D">
        <w:t>The parties must file a joint case management report on or before 6 September 2023 at 15h00.</w:t>
      </w:r>
    </w:p>
    <w:p w14:paraId="5B539DA6" w14:textId="77777777" w:rsidR="005610BF" w:rsidRPr="005610BF" w:rsidRDefault="005610BF" w:rsidP="005610BF">
      <w:pPr>
        <w:pStyle w:val="ListParagraph"/>
        <w:rPr>
          <w:rFonts w:cs="Arial"/>
          <w:szCs w:val="24"/>
        </w:rPr>
      </w:pPr>
    </w:p>
    <w:p w14:paraId="08D48088" w14:textId="77777777" w:rsidR="005610BF" w:rsidRDefault="005610BF" w:rsidP="005610BF">
      <w:pPr>
        <w:pStyle w:val="ListParagraph"/>
        <w:spacing w:after="0"/>
        <w:rPr>
          <w:rFonts w:cs="Arial"/>
          <w:szCs w:val="24"/>
        </w:rPr>
      </w:pPr>
    </w:p>
    <w:p w14:paraId="004F9EA2" w14:textId="42E1FAFE" w:rsidR="005226D1" w:rsidRDefault="005226D1" w:rsidP="007F569D"/>
    <w:p w14:paraId="7266AB1A" w14:textId="77777777" w:rsidR="007F569D" w:rsidRPr="007F569D" w:rsidRDefault="007F569D" w:rsidP="007F569D"/>
    <w:p w14:paraId="00509BA4" w14:textId="77777777" w:rsidR="00BB03B8" w:rsidRDefault="00BB03B8" w:rsidP="00C036D4">
      <w:pPr>
        <w:widowControl/>
        <w:ind w:left="4320"/>
        <w:jc w:val="left"/>
      </w:pPr>
    </w:p>
    <w:p w14:paraId="7B24043E" w14:textId="5133507D" w:rsidR="00853524" w:rsidRPr="00D24E4F" w:rsidRDefault="00853524" w:rsidP="005610BF">
      <w:pPr>
        <w:widowControl/>
        <w:ind w:left="4320"/>
        <w:jc w:val="right"/>
      </w:pPr>
      <w:r w:rsidRPr="00D24E4F">
        <w:t>____________________</w:t>
      </w:r>
    </w:p>
    <w:p w14:paraId="2FC3ACD2" w14:textId="138029EB" w:rsidR="00853524" w:rsidRPr="00D24E4F" w:rsidRDefault="00853524" w:rsidP="005610BF">
      <w:pPr>
        <w:ind w:left="3600" w:firstLine="720"/>
        <w:jc w:val="right"/>
      </w:pPr>
      <w:r w:rsidRPr="00D24E4F">
        <w:t>E</w:t>
      </w:r>
      <w:r w:rsidR="009A4927">
        <w:t xml:space="preserve"> </w:t>
      </w:r>
      <w:r w:rsidRPr="00D24E4F">
        <w:t>M SCHIMMING-CHASE</w:t>
      </w:r>
    </w:p>
    <w:p w14:paraId="46B13592" w14:textId="63A6223C" w:rsidR="00147336" w:rsidRDefault="00053826" w:rsidP="005610BF">
      <w:pPr>
        <w:jc w:val="right"/>
      </w:pPr>
      <w:r>
        <w:t xml:space="preserve">                                                                    </w:t>
      </w:r>
      <w:r w:rsidR="00853524" w:rsidRPr="00D24E4F">
        <w:t>Judg</w:t>
      </w:r>
      <w:r w:rsidR="0012505E" w:rsidRPr="00D24E4F">
        <w:t>e</w:t>
      </w:r>
      <w:r w:rsidR="00147336">
        <w:br w:type="page"/>
      </w:r>
    </w:p>
    <w:p w14:paraId="1C4F74C7" w14:textId="24680C6B" w:rsidR="00853524" w:rsidRPr="00D24E4F" w:rsidRDefault="00853524" w:rsidP="00C036D4">
      <w:pPr>
        <w:widowControl/>
        <w:jc w:val="left"/>
      </w:pPr>
      <w:r w:rsidRPr="00D24E4F">
        <w:lastRenderedPageBreak/>
        <w:t>APPEARANCES</w:t>
      </w:r>
    </w:p>
    <w:p w14:paraId="2F3FACC4" w14:textId="77777777" w:rsidR="00853524" w:rsidRPr="00D24E4F" w:rsidRDefault="00853524" w:rsidP="00C036D4">
      <w:pPr>
        <w:pStyle w:val="BodyText"/>
        <w:autoSpaceDE w:val="0"/>
        <w:autoSpaceDN w:val="0"/>
        <w:adjustRightInd w:val="0"/>
        <w:spacing w:line="360" w:lineRule="auto"/>
        <w:jc w:val="both"/>
        <w:rPr>
          <w:rFonts w:ascii="Arial" w:hAnsi="Arial" w:cs="Arial"/>
        </w:rPr>
      </w:pPr>
    </w:p>
    <w:p w14:paraId="5BFD58FA" w14:textId="5280CBF4" w:rsidR="005610BF" w:rsidRDefault="00A52125" w:rsidP="005610BF">
      <w:r>
        <w:t>PLAINTIFF</w:t>
      </w:r>
      <w:r w:rsidR="000E59B9" w:rsidRPr="00D24E4F">
        <w:t>:</w:t>
      </w:r>
      <w:r w:rsidR="000E59B9" w:rsidRPr="00D24E4F">
        <w:tab/>
      </w:r>
      <w:r w:rsidR="000E59B9" w:rsidRPr="00D24E4F">
        <w:tab/>
      </w:r>
      <w:r w:rsidR="000E59B9" w:rsidRPr="00D24E4F">
        <w:tab/>
      </w:r>
      <w:r w:rsidR="000E59B9" w:rsidRPr="00D24E4F">
        <w:tab/>
      </w:r>
      <w:r w:rsidR="00053826">
        <w:tab/>
      </w:r>
      <w:r w:rsidR="005226D1">
        <w:t>D Esau</w:t>
      </w:r>
      <w:r w:rsidR="005610BF">
        <w:t xml:space="preserve"> </w:t>
      </w:r>
    </w:p>
    <w:p w14:paraId="214B5EB1" w14:textId="77E5E4B0" w:rsidR="005610BF" w:rsidRDefault="005226D1" w:rsidP="005610BF">
      <w:pPr>
        <w:ind w:left="3600" w:firstLine="720"/>
      </w:pPr>
      <w:r>
        <w:t>Of Directorate of Legal Aid</w:t>
      </w:r>
      <w:r w:rsidR="00CA1F9F">
        <w:t>,</w:t>
      </w:r>
    </w:p>
    <w:p w14:paraId="3CAA1AD7" w14:textId="637C670B" w:rsidR="00053826" w:rsidRPr="00D24E4F" w:rsidRDefault="005610BF" w:rsidP="005610BF">
      <w:pPr>
        <w:ind w:left="3600" w:firstLine="720"/>
      </w:pPr>
      <w:r>
        <w:t>Windhoek</w:t>
      </w:r>
    </w:p>
    <w:p w14:paraId="3689FA6C" w14:textId="77777777" w:rsidR="005610BF" w:rsidRDefault="005610BF" w:rsidP="00C036D4">
      <w:pPr>
        <w:autoSpaceDE w:val="0"/>
        <w:autoSpaceDN w:val="0"/>
        <w:adjustRightInd w:val="0"/>
      </w:pPr>
    </w:p>
    <w:p w14:paraId="65045567" w14:textId="33EE84C5" w:rsidR="005610BF" w:rsidRDefault="005610BF" w:rsidP="005610BF">
      <w:pPr>
        <w:autoSpaceDE w:val="0"/>
        <w:autoSpaceDN w:val="0"/>
        <w:adjustRightInd w:val="0"/>
      </w:pPr>
      <w:r>
        <w:t>DEFENDANT</w:t>
      </w:r>
      <w:r w:rsidR="005226D1">
        <w:t>S</w:t>
      </w:r>
      <w:r w:rsidR="000E59B9" w:rsidRPr="00D24E4F">
        <w:t>:</w:t>
      </w:r>
      <w:r w:rsidR="00500299">
        <w:tab/>
      </w:r>
      <w:r w:rsidR="00500299">
        <w:tab/>
      </w:r>
      <w:r w:rsidR="00500299">
        <w:tab/>
      </w:r>
      <w:r w:rsidR="005226D1">
        <w:tab/>
        <w:t>Q Fenyeho</w:t>
      </w:r>
    </w:p>
    <w:p w14:paraId="724D3D96" w14:textId="60683CDA" w:rsidR="005610BF" w:rsidRDefault="005610BF" w:rsidP="005610BF">
      <w:pPr>
        <w:autoSpaceDE w:val="0"/>
        <w:autoSpaceDN w:val="0"/>
        <w:adjustRightInd w:val="0"/>
        <w:ind w:left="3600" w:firstLine="720"/>
      </w:pPr>
      <w:r>
        <w:t xml:space="preserve">Of </w:t>
      </w:r>
      <w:r w:rsidR="005226D1">
        <w:t>Office of the Government Attorney</w:t>
      </w:r>
      <w:r w:rsidR="00CA1F9F">
        <w:t>,</w:t>
      </w:r>
    </w:p>
    <w:p w14:paraId="7252089C" w14:textId="759E02DB" w:rsidR="005610BF" w:rsidRPr="00D24E4F" w:rsidRDefault="005610BF" w:rsidP="005226D1">
      <w:pPr>
        <w:autoSpaceDE w:val="0"/>
        <w:autoSpaceDN w:val="0"/>
        <w:adjustRightInd w:val="0"/>
        <w:ind w:left="3600" w:firstLine="720"/>
      </w:pPr>
      <w:r>
        <w:t>Windhoek</w:t>
      </w:r>
    </w:p>
    <w:sectPr w:rsidR="005610BF" w:rsidRPr="00D24E4F" w:rsidSect="00866EC4">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7D5C" w14:textId="77777777" w:rsidR="00EC3BEA" w:rsidRDefault="00EC3BEA" w:rsidP="00867D73">
      <w:pPr>
        <w:spacing w:line="240" w:lineRule="auto"/>
      </w:pPr>
      <w:r>
        <w:separator/>
      </w:r>
    </w:p>
  </w:endnote>
  <w:endnote w:type="continuationSeparator" w:id="0">
    <w:p w14:paraId="45B634CB" w14:textId="77777777" w:rsidR="00EC3BEA" w:rsidRDefault="00EC3BEA"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0EA7" w14:textId="77777777" w:rsidR="00EC3BEA" w:rsidRDefault="00EC3BEA" w:rsidP="00867D73">
      <w:pPr>
        <w:spacing w:line="240" w:lineRule="auto"/>
      </w:pPr>
      <w:r>
        <w:separator/>
      </w:r>
    </w:p>
  </w:footnote>
  <w:footnote w:type="continuationSeparator" w:id="0">
    <w:p w14:paraId="3F2BEA1F" w14:textId="77777777" w:rsidR="00EC3BEA" w:rsidRDefault="00EC3BEA" w:rsidP="00867D73">
      <w:pPr>
        <w:spacing w:line="240" w:lineRule="auto"/>
      </w:pPr>
      <w:r>
        <w:continuationSeparator/>
      </w:r>
    </w:p>
  </w:footnote>
  <w:footnote w:id="1">
    <w:p w14:paraId="7FFBDFB9" w14:textId="77777777" w:rsidR="005226D1" w:rsidRPr="00D91B22" w:rsidRDefault="005226D1" w:rsidP="005226D1">
      <w:pPr>
        <w:pStyle w:val="FootnoteText"/>
        <w:rPr>
          <w:lang w:val="en-US"/>
        </w:rPr>
      </w:pPr>
      <w:r w:rsidRPr="00D91B22">
        <w:rPr>
          <w:rStyle w:val="FootnoteReference"/>
        </w:rPr>
        <w:footnoteRef/>
      </w:r>
      <w:r w:rsidRPr="00D91B22">
        <w:t xml:space="preserve"> </w:t>
      </w:r>
      <w:r w:rsidRPr="00D91B22">
        <w:rPr>
          <w:i/>
        </w:rPr>
        <w:t>Masuku and Another v Mdlalose and Others</w:t>
      </w:r>
      <w:r w:rsidRPr="00D91B22">
        <w:t xml:space="preserve"> 1998 (1) SA 1 (SCA).</w:t>
      </w:r>
    </w:p>
  </w:footnote>
  <w:footnote w:id="2">
    <w:p w14:paraId="7CC2A9D3" w14:textId="77777777" w:rsidR="005226D1" w:rsidRPr="00382A74" w:rsidRDefault="005226D1" w:rsidP="005226D1">
      <w:pPr>
        <w:pStyle w:val="FootnoteText"/>
        <w:rPr>
          <w:lang w:val="en-US"/>
        </w:rPr>
      </w:pPr>
      <w:r w:rsidRPr="00D91B22">
        <w:rPr>
          <w:rStyle w:val="FootnoteReference"/>
        </w:rPr>
        <w:footnoteRef/>
      </w:r>
      <w:r w:rsidRPr="00D91B22">
        <w:t xml:space="preserve"> </w:t>
      </w:r>
      <w:r w:rsidRPr="00D91B22">
        <w:rPr>
          <w:i/>
        </w:rPr>
        <w:t xml:space="preserve">Bruni N.O. v Inspector General of Police </w:t>
      </w:r>
      <w:r w:rsidRPr="00D91B22">
        <w:t>(HC-MD-CIV-ACT-OTH-2022/00521) [2023] NAHCMD 347 (22 June 2023)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55152A" w:rsidRDefault="005515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55152A" w:rsidRDefault="005515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55152A" w:rsidRDefault="0055152A">
    <w:pPr>
      <w:ind w:right="360"/>
      <w:jc w:val="right"/>
    </w:pPr>
    <w:r>
      <w:rPr>
        <w:rStyle w:val="PageNumber"/>
      </w:rPr>
      <w:fldChar w:fldCharType="begin"/>
    </w:r>
    <w:r>
      <w:rPr>
        <w:rStyle w:val="PageNumber"/>
      </w:rPr>
      <w:instrText xml:space="preserve"> PAGE </w:instrText>
    </w:r>
    <w:r>
      <w:rPr>
        <w:rStyle w:val="PageNumber"/>
      </w:rPr>
      <w:fldChar w:fldCharType="separate"/>
    </w:r>
    <w:r w:rsidR="006C6A4F">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0179318C"/>
    <w:multiLevelType w:val="hybridMultilevel"/>
    <w:tmpl w:val="6C4AD844"/>
    <w:lvl w:ilvl="0" w:tplc="AD2E349A">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3" w15:restartNumberingAfterBreak="0">
    <w:nsid w:val="09C33D37"/>
    <w:multiLevelType w:val="hybridMultilevel"/>
    <w:tmpl w:val="42A62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76FD8"/>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BA705F"/>
    <w:multiLevelType w:val="hybridMultilevel"/>
    <w:tmpl w:val="22A44124"/>
    <w:lvl w:ilvl="0" w:tplc="5C081486">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0F3F1F"/>
    <w:multiLevelType w:val="hybridMultilevel"/>
    <w:tmpl w:val="22A22744"/>
    <w:lvl w:ilvl="0" w:tplc="9886C370">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7" w15:restartNumberingAfterBreak="0">
    <w:nsid w:val="17525113"/>
    <w:multiLevelType w:val="hybridMultilevel"/>
    <w:tmpl w:val="2660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81963"/>
    <w:multiLevelType w:val="hybridMultilevel"/>
    <w:tmpl w:val="09D48D9C"/>
    <w:lvl w:ilvl="0" w:tplc="2C1CAC6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18D143E4"/>
    <w:multiLevelType w:val="hybridMultilevel"/>
    <w:tmpl w:val="22A44124"/>
    <w:lvl w:ilvl="0" w:tplc="5C081486">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6B3B9C"/>
    <w:multiLevelType w:val="hybridMultilevel"/>
    <w:tmpl w:val="3224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D74B3"/>
    <w:multiLevelType w:val="hybridMultilevel"/>
    <w:tmpl w:val="D338BE96"/>
    <w:lvl w:ilvl="0" w:tplc="1FD815EE">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23302880"/>
    <w:multiLevelType w:val="hybridMultilevel"/>
    <w:tmpl w:val="D65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4" w15:restartNumberingAfterBreak="0">
    <w:nsid w:val="2EDC5B8D"/>
    <w:multiLevelType w:val="hybridMultilevel"/>
    <w:tmpl w:val="80CC9BB4"/>
    <w:lvl w:ilvl="0" w:tplc="81F89736">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86F4701"/>
    <w:multiLevelType w:val="hybridMultilevel"/>
    <w:tmpl w:val="81C4BC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F670A9"/>
    <w:multiLevelType w:val="hybridMultilevel"/>
    <w:tmpl w:val="83AE4872"/>
    <w:lvl w:ilvl="0" w:tplc="85766732">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17" w15:restartNumberingAfterBreak="0">
    <w:nsid w:val="4157651F"/>
    <w:multiLevelType w:val="hybridMultilevel"/>
    <w:tmpl w:val="55FE6882"/>
    <w:lvl w:ilvl="0" w:tplc="D910EA98">
      <w:start w:val="1"/>
      <w:numFmt w:val="lowerLetter"/>
      <w:lvlText w:val="(%1)"/>
      <w:lvlJc w:val="left"/>
      <w:pPr>
        <w:ind w:left="4680" w:hanging="360"/>
      </w:pPr>
      <w:rPr>
        <w:rFonts w:ascii="Arial" w:eastAsia="Times New Roman" w:hAnsi="Arial" w:cs="Times New Roman"/>
      </w:rPr>
    </w:lvl>
    <w:lvl w:ilvl="1" w:tplc="20000019" w:tentative="1">
      <w:start w:val="1"/>
      <w:numFmt w:val="lowerLetter"/>
      <w:lvlText w:val="%2."/>
      <w:lvlJc w:val="left"/>
      <w:pPr>
        <w:ind w:left="5400" w:hanging="360"/>
      </w:pPr>
    </w:lvl>
    <w:lvl w:ilvl="2" w:tplc="2000001B" w:tentative="1">
      <w:start w:val="1"/>
      <w:numFmt w:val="lowerRoman"/>
      <w:lvlText w:val="%3."/>
      <w:lvlJc w:val="right"/>
      <w:pPr>
        <w:ind w:left="6120" w:hanging="180"/>
      </w:pPr>
    </w:lvl>
    <w:lvl w:ilvl="3" w:tplc="2000000F" w:tentative="1">
      <w:start w:val="1"/>
      <w:numFmt w:val="decimal"/>
      <w:lvlText w:val="%4."/>
      <w:lvlJc w:val="left"/>
      <w:pPr>
        <w:ind w:left="6840" w:hanging="360"/>
      </w:pPr>
    </w:lvl>
    <w:lvl w:ilvl="4" w:tplc="20000019" w:tentative="1">
      <w:start w:val="1"/>
      <w:numFmt w:val="lowerLetter"/>
      <w:lvlText w:val="%5."/>
      <w:lvlJc w:val="left"/>
      <w:pPr>
        <w:ind w:left="7560" w:hanging="360"/>
      </w:pPr>
    </w:lvl>
    <w:lvl w:ilvl="5" w:tplc="2000001B" w:tentative="1">
      <w:start w:val="1"/>
      <w:numFmt w:val="lowerRoman"/>
      <w:lvlText w:val="%6."/>
      <w:lvlJc w:val="right"/>
      <w:pPr>
        <w:ind w:left="8280" w:hanging="180"/>
      </w:pPr>
    </w:lvl>
    <w:lvl w:ilvl="6" w:tplc="2000000F" w:tentative="1">
      <w:start w:val="1"/>
      <w:numFmt w:val="decimal"/>
      <w:lvlText w:val="%7."/>
      <w:lvlJc w:val="left"/>
      <w:pPr>
        <w:ind w:left="9000" w:hanging="360"/>
      </w:pPr>
    </w:lvl>
    <w:lvl w:ilvl="7" w:tplc="20000019" w:tentative="1">
      <w:start w:val="1"/>
      <w:numFmt w:val="lowerLetter"/>
      <w:lvlText w:val="%8."/>
      <w:lvlJc w:val="left"/>
      <w:pPr>
        <w:ind w:left="9720" w:hanging="360"/>
      </w:pPr>
    </w:lvl>
    <w:lvl w:ilvl="8" w:tplc="2000001B" w:tentative="1">
      <w:start w:val="1"/>
      <w:numFmt w:val="lowerRoman"/>
      <w:lvlText w:val="%9."/>
      <w:lvlJc w:val="right"/>
      <w:pPr>
        <w:ind w:left="10440" w:hanging="180"/>
      </w:pPr>
    </w:lvl>
  </w:abstractNum>
  <w:abstractNum w:abstractNumId="18" w15:restartNumberingAfterBreak="0">
    <w:nsid w:val="45B4562D"/>
    <w:multiLevelType w:val="hybridMultilevel"/>
    <w:tmpl w:val="D82E0F3C"/>
    <w:lvl w:ilvl="0" w:tplc="343678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499D5707"/>
    <w:multiLevelType w:val="hybridMultilevel"/>
    <w:tmpl w:val="C0F89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031D4"/>
    <w:multiLevelType w:val="hybridMultilevel"/>
    <w:tmpl w:val="71F89226"/>
    <w:lvl w:ilvl="0" w:tplc="06D0BA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DF22BF"/>
    <w:multiLevelType w:val="hybridMultilevel"/>
    <w:tmpl w:val="7CB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E781811"/>
    <w:multiLevelType w:val="hybridMultilevel"/>
    <w:tmpl w:val="37DA0688"/>
    <w:lvl w:ilvl="0" w:tplc="CB122204">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24" w15:restartNumberingAfterBreak="0">
    <w:nsid w:val="4F5F2DEF"/>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6" w15:restartNumberingAfterBreak="0">
    <w:nsid w:val="54260793"/>
    <w:multiLevelType w:val="hybridMultilevel"/>
    <w:tmpl w:val="E6A0156A"/>
    <w:lvl w:ilvl="0" w:tplc="DD802FD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D48A5"/>
    <w:multiLevelType w:val="hybridMultilevel"/>
    <w:tmpl w:val="1592D0A2"/>
    <w:lvl w:ilvl="0" w:tplc="A1EC7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B750A"/>
    <w:multiLevelType w:val="hybridMultilevel"/>
    <w:tmpl w:val="9F6C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63DD2"/>
    <w:multiLevelType w:val="hybridMultilevel"/>
    <w:tmpl w:val="50FC440A"/>
    <w:lvl w:ilvl="0" w:tplc="5B925D3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661637F0"/>
    <w:multiLevelType w:val="hybridMultilevel"/>
    <w:tmpl w:val="6A9C79D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00B8A"/>
    <w:multiLevelType w:val="hybridMultilevel"/>
    <w:tmpl w:val="D414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B4A03"/>
    <w:multiLevelType w:val="multilevel"/>
    <w:tmpl w:val="477E26DC"/>
    <w:lvl w:ilvl="0">
      <w:start w:val="110"/>
      <w:numFmt w:val="decimal"/>
      <w:lvlText w:val="%1"/>
      <w:lvlJc w:val="left"/>
      <w:pPr>
        <w:ind w:left="590" w:hanging="590"/>
      </w:pPr>
      <w:rPr>
        <w:rFonts w:hint="default"/>
      </w:rPr>
    </w:lvl>
    <w:lvl w:ilvl="1">
      <w:start w:val="1"/>
      <w:numFmt w:val="decimal"/>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735797C"/>
    <w:multiLevelType w:val="hybridMultilevel"/>
    <w:tmpl w:val="A27E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636820">
    <w:abstractNumId w:val="0"/>
  </w:num>
  <w:num w:numId="2" w16cid:durableId="1313869582">
    <w:abstractNumId w:val="0"/>
  </w:num>
  <w:num w:numId="3" w16cid:durableId="1999572149">
    <w:abstractNumId w:val="29"/>
  </w:num>
  <w:num w:numId="4" w16cid:durableId="1884247417">
    <w:abstractNumId w:val="13"/>
  </w:num>
  <w:num w:numId="5" w16cid:durableId="799883366">
    <w:abstractNumId w:val="25"/>
  </w:num>
  <w:num w:numId="6" w16cid:durableId="1812214694">
    <w:abstractNumId w:val="13"/>
    <w:lvlOverride w:ilvl="0">
      <w:startOverride w:val="1"/>
    </w:lvlOverride>
  </w:num>
  <w:num w:numId="7" w16cid:durableId="531504407">
    <w:abstractNumId w:val="13"/>
    <w:lvlOverride w:ilvl="0">
      <w:startOverride w:val="1"/>
    </w:lvlOverride>
  </w:num>
  <w:num w:numId="8" w16cid:durableId="653413242">
    <w:abstractNumId w:val="13"/>
    <w:lvlOverride w:ilvl="0">
      <w:startOverride w:val="1"/>
    </w:lvlOverride>
  </w:num>
  <w:num w:numId="9" w16cid:durableId="992097507">
    <w:abstractNumId w:val="13"/>
    <w:lvlOverride w:ilvl="0">
      <w:startOverride w:val="1"/>
    </w:lvlOverride>
  </w:num>
  <w:num w:numId="10" w16cid:durableId="2074885528">
    <w:abstractNumId w:val="13"/>
    <w:lvlOverride w:ilvl="0">
      <w:startOverride w:val="1"/>
    </w:lvlOverride>
  </w:num>
  <w:num w:numId="11" w16cid:durableId="724259744">
    <w:abstractNumId w:val="13"/>
    <w:lvlOverride w:ilvl="0">
      <w:startOverride w:val="5"/>
    </w:lvlOverride>
  </w:num>
  <w:num w:numId="12" w16cid:durableId="1535535946">
    <w:abstractNumId w:val="13"/>
    <w:lvlOverride w:ilvl="0">
      <w:startOverride w:val="1"/>
    </w:lvlOverride>
  </w:num>
  <w:num w:numId="13" w16cid:durableId="154803738">
    <w:abstractNumId w:val="14"/>
  </w:num>
  <w:num w:numId="14" w16cid:durableId="83038037">
    <w:abstractNumId w:val="16"/>
  </w:num>
  <w:num w:numId="15" w16cid:durableId="1488279603">
    <w:abstractNumId w:val="6"/>
  </w:num>
  <w:num w:numId="16" w16cid:durableId="97263663">
    <w:abstractNumId w:val="23"/>
  </w:num>
  <w:num w:numId="17" w16cid:durableId="843396834">
    <w:abstractNumId w:val="2"/>
  </w:num>
  <w:num w:numId="18" w16cid:durableId="1357266085">
    <w:abstractNumId w:val="33"/>
  </w:num>
  <w:num w:numId="19" w16cid:durableId="1851291453">
    <w:abstractNumId w:val="8"/>
  </w:num>
  <w:num w:numId="20" w16cid:durableId="1638532295">
    <w:abstractNumId w:val="17"/>
  </w:num>
  <w:num w:numId="21" w16cid:durableId="1793866597">
    <w:abstractNumId w:val="18"/>
  </w:num>
  <w:num w:numId="22" w16cid:durableId="522977737">
    <w:abstractNumId w:val="11"/>
  </w:num>
  <w:num w:numId="23" w16cid:durableId="1598639994">
    <w:abstractNumId w:val="1"/>
  </w:num>
  <w:num w:numId="24" w16cid:durableId="543097707">
    <w:abstractNumId w:val="27"/>
  </w:num>
  <w:num w:numId="25" w16cid:durableId="636109598">
    <w:abstractNumId w:val="22"/>
  </w:num>
  <w:num w:numId="26" w16cid:durableId="851265856">
    <w:abstractNumId w:val="24"/>
  </w:num>
  <w:num w:numId="27" w16cid:durableId="1862476042">
    <w:abstractNumId w:val="4"/>
  </w:num>
  <w:num w:numId="28" w16cid:durableId="671034814">
    <w:abstractNumId w:val="30"/>
  </w:num>
  <w:num w:numId="29" w16cid:durableId="520167138">
    <w:abstractNumId w:val="12"/>
  </w:num>
  <w:num w:numId="30" w16cid:durableId="1925262314">
    <w:abstractNumId w:val="21"/>
  </w:num>
  <w:num w:numId="31" w16cid:durableId="1656372292">
    <w:abstractNumId w:val="31"/>
  </w:num>
  <w:num w:numId="32" w16cid:durableId="283584051">
    <w:abstractNumId w:val="10"/>
  </w:num>
  <w:num w:numId="33" w16cid:durableId="301738583">
    <w:abstractNumId w:val="32"/>
  </w:num>
  <w:num w:numId="34" w16cid:durableId="1536385065">
    <w:abstractNumId w:val="34"/>
  </w:num>
  <w:num w:numId="35" w16cid:durableId="1757945976">
    <w:abstractNumId w:val="15"/>
  </w:num>
  <w:num w:numId="36" w16cid:durableId="816725206">
    <w:abstractNumId w:val="19"/>
  </w:num>
  <w:num w:numId="37" w16cid:durableId="460659945">
    <w:abstractNumId w:val="28"/>
  </w:num>
  <w:num w:numId="38" w16cid:durableId="2143767151">
    <w:abstractNumId w:val="7"/>
  </w:num>
  <w:num w:numId="39" w16cid:durableId="1199002343">
    <w:abstractNumId w:val="13"/>
    <w:lvlOverride w:ilvl="0">
      <w:startOverride w:val="1"/>
    </w:lvlOverride>
  </w:num>
  <w:num w:numId="40" w16cid:durableId="384109270">
    <w:abstractNumId w:val="13"/>
    <w:lvlOverride w:ilvl="0">
      <w:startOverride w:val="1"/>
    </w:lvlOverride>
  </w:num>
  <w:num w:numId="41" w16cid:durableId="1921476660">
    <w:abstractNumId w:val="13"/>
    <w:lvlOverride w:ilvl="0">
      <w:startOverride w:val="1"/>
    </w:lvlOverride>
  </w:num>
  <w:num w:numId="42" w16cid:durableId="16521288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0426960">
    <w:abstractNumId w:val="20"/>
  </w:num>
  <w:num w:numId="44" w16cid:durableId="1305968391">
    <w:abstractNumId w:val="26"/>
  </w:num>
  <w:num w:numId="45" w16cid:durableId="1238978893">
    <w:abstractNumId w:val="5"/>
  </w:num>
  <w:num w:numId="46" w16cid:durableId="141127013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0AD3"/>
    <w:rsid w:val="00001E44"/>
    <w:rsid w:val="000031EF"/>
    <w:rsid w:val="00005673"/>
    <w:rsid w:val="0001020A"/>
    <w:rsid w:val="00010EE2"/>
    <w:rsid w:val="00013787"/>
    <w:rsid w:val="00014C91"/>
    <w:rsid w:val="00015776"/>
    <w:rsid w:val="00016E2D"/>
    <w:rsid w:val="00016FEE"/>
    <w:rsid w:val="000178BA"/>
    <w:rsid w:val="000226A9"/>
    <w:rsid w:val="00027D48"/>
    <w:rsid w:val="000324F3"/>
    <w:rsid w:val="00045453"/>
    <w:rsid w:val="0005086D"/>
    <w:rsid w:val="00051121"/>
    <w:rsid w:val="00051574"/>
    <w:rsid w:val="00053826"/>
    <w:rsid w:val="00063685"/>
    <w:rsid w:val="000650A6"/>
    <w:rsid w:val="00070A8F"/>
    <w:rsid w:val="0007119C"/>
    <w:rsid w:val="00072ED7"/>
    <w:rsid w:val="00072F8E"/>
    <w:rsid w:val="00077BF7"/>
    <w:rsid w:val="00083864"/>
    <w:rsid w:val="00083B84"/>
    <w:rsid w:val="00085D64"/>
    <w:rsid w:val="00087A71"/>
    <w:rsid w:val="0009135D"/>
    <w:rsid w:val="00093246"/>
    <w:rsid w:val="00093CE9"/>
    <w:rsid w:val="000975CD"/>
    <w:rsid w:val="00097B54"/>
    <w:rsid w:val="000B1663"/>
    <w:rsid w:val="000B66A4"/>
    <w:rsid w:val="000B7750"/>
    <w:rsid w:val="000C20ED"/>
    <w:rsid w:val="000C4BBF"/>
    <w:rsid w:val="000C4C61"/>
    <w:rsid w:val="000C54BA"/>
    <w:rsid w:val="000C75F9"/>
    <w:rsid w:val="000C7A3B"/>
    <w:rsid w:val="000D3986"/>
    <w:rsid w:val="000D490E"/>
    <w:rsid w:val="000D617B"/>
    <w:rsid w:val="000D661F"/>
    <w:rsid w:val="000E0AC9"/>
    <w:rsid w:val="000E1E31"/>
    <w:rsid w:val="000E321B"/>
    <w:rsid w:val="000E3CA3"/>
    <w:rsid w:val="000E59B9"/>
    <w:rsid w:val="000E61B8"/>
    <w:rsid w:val="000E6332"/>
    <w:rsid w:val="000F3ED7"/>
    <w:rsid w:val="000F7F8A"/>
    <w:rsid w:val="0010488E"/>
    <w:rsid w:val="00105F5C"/>
    <w:rsid w:val="001063BC"/>
    <w:rsid w:val="001076B6"/>
    <w:rsid w:val="00110892"/>
    <w:rsid w:val="00115C5D"/>
    <w:rsid w:val="001173DC"/>
    <w:rsid w:val="00117DD9"/>
    <w:rsid w:val="0012505E"/>
    <w:rsid w:val="0013471F"/>
    <w:rsid w:val="00135CE1"/>
    <w:rsid w:val="001367FF"/>
    <w:rsid w:val="00140A9D"/>
    <w:rsid w:val="0014460F"/>
    <w:rsid w:val="0014505C"/>
    <w:rsid w:val="00145ADF"/>
    <w:rsid w:val="00147336"/>
    <w:rsid w:val="00157754"/>
    <w:rsid w:val="001600D3"/>
    <w:rsid w:val="00161ADB"/>
    <w:rsid w:val="00162921"/>
    <w:rsid w:val="00162FA5"/>
    <w:rsid w:val="0016314E"/>
    <w:rsid w:val="0016544A"/>
    <w:rsid w:val="00165969"/>
    <w:rsid w:val="00171961"/>
    <w:rsid w:val="00174E15"/>
    <w:rsid w:val="001763A5"/>
    <w:rsid w:val="00176DB6"/>
    <w:rsid w:val="00180C19"/>
    <w:rsid w:val="001825ED"/>
    <w:rsid w:val="001846B9"/>
    <w:rsid w:val="001846FB"/>
    <w:rsid w:val="00185464"/>
    <w:rsid w:val="00186562"/>
    <w:rsid w:val="0019079A"/>
    <w:rsid w:val="00193D82"/>
    <w:rsid w:val="0019695F"/>
    <w:rsid w:val="0019700F"/>
    <w:rsid w:val="001A0782"/>
    <w:rsid w:val="001A4178"/>
    <w:rsid w:val="001A7011"/>
    <w:rsid w:val="001B3027"/>
    <w:rsid w:val="001B39A8"/>
    <w:rsid w:val="001B6D0D"/>
    <w:rsid w:val="001C373C"/>
    <w:rsid w:val="001C5C4C"/>
    <w:rsid w:val="001C727F"/>
    <w:rsid w:val="001D4C80"/>
    <w:rsid w:val="001D4E59"/>
    <w:rsid w:val="001E1CC2"/>
    <w:rsid w:val="001E20BF"/>
    <w:rsid w:val="001E46B3"/>
    <w:rsid w:val="001E5489"/>
    <w:rsid w:val="001F4D61"/>
    <w:rsid w:val="001F5190"/>
    <w:rsid w:val="001F6CB9"/>
    <w:rsid w:val="002023D0"/>
    <w:rsid w:val="002025F8"/>
    <w:rsid w:val="002076B9"/>
    <w:rsid w:val="00210D9A"/>
    <w:rsid w:val="00211B5D"/>
    <w:rsid w:val="00214E82"/>
    <w:rsid w:val="00216928"/>
    <w:rsid w:val="00222B92"/>
    <w:rsid w:val="00231AB5"/>
    <w:rsid w:val="00237278"/>
    <w:rsid w:val="0024093F"/>
    <w:rsid w:val="00240999"/>
    <w:rsid w:val="00241AD6"/>
    <w:rsid w:val="0024419B"/>
    <w:rsid w:val="00244899"/>
    <w:rsid w:val="00247EF9"/>
    <w:rsid w:val="0025315E"/>
    <w:rsid w:val="0025677F"/>
    <w:rsid w:val="00257636"/>
    <w:rsid w:val="00257D35"/>
    <w:rsid w:val="00264113"/>
    <w:rsid w:val="00266D54"/>
    <w:rsid w:val="0027073E"/>
    <w:rsid w:val="002719BF"/>
    <w:rsid w:val="00275A78"/>
    <w:rsid w:val="00277B56"/>
    <w:rsid w:val="00277E0C"/>
    <w:rsid w:val="002812F7"/>
    <w:rsid w:val="00285FF7"/>
    <w:rsid w:val="00287908"/>
    <w:rsid w:val="00290268"/>
    <w:rsid w:val="002A0EEB"/>
    <w:rsid w:val="002A217F"/>
    <w:rsid w:val="002A4EDC"/>
    <w:rsid w:val="002A7773"/>
    <w:rsid w:val="002A7BCD"/>
    <w:rsid w:val="002B1453"/>
    <w:rsid w:val="002B24D7"/>
    <w:rsid w:val="002B6CD0"/>
    <w:rsid w:val="002B7099"/>
    <w:rsid w:val="002C5751"/>
    <w:rsid w:val="002D035C"/>
    <w:rsid w:val="002D08EE"/>
    <w:rsid w:val="002D0A9C"/>
    <w:rsid w:val="002D1C5A"/>
    <w:rsid w:val="002D31C9"/>
    <w:rsid w:val="002D47EB"/>
    <w:rsid w:val="002D4990"/>
    <w:rsid w:val="002D6750"/>
    <w:rsid w:val="002D6836"/>
    <w:rsid w:val="002D6B87"/>
    <w:rsid w:val="002D786B"/>
    <w:rsid w:val="002E30DE"/>
    <w:rsid w:val="002E380C"/>
    <w:rsid w:val="002E3BF2"/>
    <w:rsid w:val="002E56E4"/>
    <w:rsid w:val="002E6D61"/>
    <w:rsid w:val="002F09FA"/>
    <w:rsid w:val="002F1084"/>
    <w:rsid w:val="002F3C44"/>
    <w:rsid w:val="003016C4"/>
    <w:rsid w:val="0030298A"/>
    <w:rsid w:val="00307C87"/>
    <w:rsid w:val="00311B99"/>
    <w:rsid w:val="00316EA0"/>
    <w:rsid w:val="003209AD"/>
    <w:rsid w:val="00321344"/>
    <w:rsid w:val="003219ED"/>
    <w:rsid w:val="00333E79"/>
    <w:rsid w:val="00334677"/>
    <w:rsid w:val="00334AFC"/>
    <w:rsid w:val="00340D6A"/>
    <w:rsid w:val="003428D2"/>
    <w:rsid w:val="00347D03"/>
    <w:rsid w:val="00350278"/>
    <w:rsid w:val="003504E0"/>
    <w:rsid w:val="003517F4"/>
    <w:rsid w:val="00352F30"/>
    <w:rsid w:val="00354402"/>
    <w:rsid w:val="00365991"/>
    <w:rsid w:val="0037192F"/>
    <w:rsid w:val="00373CDF"/>
    <w:rsid w:val="00376F2E"/>
    <w:rsid w:val="003770DD"/>
    <w:rsid w:val="00382515"/>
    <w:rsid w:val="00383735"/>
    <w:rsid w:val="00383E88"/>
    <w:rsid w:val="00384959"/>
    <w:rsid w:val="00391047"/>
    <w:rsid w:val="00392518"/>
    <w:rsid w:val="0039415D"/>
    <w:rsid w:val="00394CCF"/>
    <w:rsid w:val="003A3CF2"/>
    <w:rsid w:val="003A3E0C"/>
    <w:rsid w:val="003A5FD0"/>
    <w:rsid w:val="003A636A"/>
    <w:rsid w:val="003A667E"/>
    <w:rsid w:val="003A7C97"/>
    <w:rsid w:val="003B1674"/>
    <w:rsid w:val="003C07FB"/>
    <w:rsid w:val="003C1894"/>
    <w:rsid w:val="003C30BF"/>
    <w:rsid w:val="003C3175"/>
    <w:rsid w:val="003C3E52"/>
    <w:rsid w:val="003C3EA1"/>
    <w:rsid w:val="003C42F0"/>
    <w:rsid w:val="003D158E"/>
    <w:rsid w:val="003D180E"/>
    <w:rsid w:val="003D1B0D"/>
    <w:rsid w:val="003D70E6"/>
    <w:rsid w:val="003E2C84"/>
    <w:rsid w:val="003E364B"/>
    <w:rsid w:val="003E3AA8"/>
    <w:rsid w:val="003E6394"/>
    <w:rsid w:val="003E6BED"/>
    <w:rsid w:val="003E70D0"/>
    <w:rsid w:val="003E7333"/>
    <w:rsid w:val="003F4C9B"/>
    <w:rsid w:val="003F5776"/>
    <w:rsid w:val="003F5D86"/>
    <w:rsid w:val="003F6093"/>
    <w:rsid w:val="003F6F0E"/>
    <w:rsid w:val="00400D96"/>
    <w:rsid w:val="004032BD"/>
    <w:rsid w:val="00403581"/>
    <w:rsid w:val="0040448F"/>
    <w:rsid w:val="00406D74"/>
    <w:rsid w:val="00410928"/>
    <w:rsid w:val="00414D46"/>
    <w:rsid w:val="00414F89"/>
    <w:rsid w:val="00415368"/>
    <w:rsid w:val="00422636"/>
    <w:rsid w:val="004229A8"/>
    <w:rsid w:val="00430666"/>
    <w:rsid w:val="0043111A"/>
    <w:rsid w:val="004375AE"/>
    <w:rsid w:val="00437C3B"/>
    <w:rsid w:val="00440A23"/>
    <w:rsid w:val="004412A9"/>
    <w:rsid w:val="0044133E"/>
    <w:rsid w:val="00441FD6"/>
    <w:rsid w:val="00442B69"/>
    <w:rsid w:val="00444DD0"/>
    <w:rsid w:val="00452D35"/>
    <w:rsid w:val="00457F74"/>
    <w:rsid w:val="00467F45"/>
    <w:rsid w:val="0047151B"/>
    <w:rsid w:val="00472891"/>
    <w:rsid w:val="00480A13"/>
    <w:rsid w:val="00487CB0"/>
    <w:rsid w:val="00493180"/>
    <w:rsid w:val="00495BDE"/>
    <w:rsid w:val="00497186"/>
    <w:rsid w:val="004A24AC"/>
    <w:rsid w:val="004A2820"/>
    <w:rsid w:val="004A334F"/>
    <w:rsid w:val="004A3A4C"/>
    <w:rsid w:val="004A4AF2"/>
    <w:rsid w:val="004A5900"/>
    <w:rsid w:val="004A762E"/>
    <w:rsid w:val="004B2778"/>
    <w:rsid w:val="004B3FC8"/>
    <w:rsid w:val="004C0E9A"/>
    <w:rsid w:val="004C2460"/>
    <w:rsid w:val="004C3E57"/>
    <w:rsid w:val="004C3E5C"/>
    <w:rsid w:val="004C3E84"/>
    <w:rsid w:val="004C4E6C"/>
    <w:rsid w:val="004C574D"/>
    <w:rsid w:val="004C713A"/>
    <w:rsid w:val="004D008F"/>
    <w:rsid w:val="004D7CF8"/>
    <w:rsid w:val="004E0048"/>
    <w:rsid w:val="004E16FD"/>
    <w:rsid w:val="004E2466"/>
    <w:rsid w:val="004E24E2"/>
    <w:rsid w:val="004E3A5D"/>
    <w:rsid w:val="004E3AEA"/>
    <w:rsid w:val="004E4C08"/>
    <w:rsid w:val="004E7BF8"/>
    <w:rsid w:val="004F3395"/>
    <w:rsid w:val="004F3D79"/>
    <w:rsid w:val="00500299"/>
    <w:rsid w:val="0050055E"/>
    <w:rsid w:val="005011FC"/>
    <w:rsid w:val="00502403"/>
    <w:rsid w:val="00504963"/>
    <w:rsid w:val="00504DF7"/>
    <w:rsid w:val="00507804"/>
    <w:rsid w:val="0051036D"/>
    <w:rsid w:val="00515B97"/>
    <w:rsid w:val="00520746"/>
    <w:rsid w:val="00521176"/>
    <w:rsid w:val="0052144B"/>
    <w:rsid w:val="005226D1"/>
    <w:rsid w:val="00522C0C"/>
    <w:rsid w:val="00524FCF"/>
    <w:rsid w:val="00531A75"/>
    <w:rsid w:val="00534EC6"/>
    <w:rsid w:val="005368A3"/>
    <w:rsid w:val="00536902"/>
    <w:rsid w:val="00536A0A"/>
    <w:rsid w:val="00536C1B"/>
    <w:rsid w:val="00547F1F"/>
    <w:rsid w:val="0055152A"/>
    <w:rsid w:val="00556AB7"/>
    <w:rsid w:val="005610BF"/>
    <w:rsid w:val="00562A56"/>
    <w:rsid w:val="00564D69"/>
    <w:rsid w:val="00564FD2"/>
    <w:rsid w:val="0056666C"/>
    <w:rsid w:val="0056674E"/>
    <w:rsid w:val="0056681E"/>
    <w:rsid w:val="00570A7D"/>
    <w:rsid w:val="005718E1"/>
    <w:rsid w:val="005807C6"/>
    <w:rsid w:val="00583CCB"/>
    <w:rsid w:val="00590E8B"/>
    <w:rsid w:val="00591F68"/>
    <w:rsid w:val="005A31E6"/>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D5F13"/>
    <w:rsid w:val="005E2068"/>
    <w:rsid w:val="005E3952"/>
    <w:rsid w:val="005E51A6"/>
    <w:rsid w:val="005F05E6"/>
    <w:rsid w:val="005F2313"/>
    <w:rsid w:val="005F2BBE"/>
    <w:rsid w:val="005F3EC0"/>
    <w:rsid w:val="005F7044"/>
    <w:rsid w:val="0060209D"/>
    <w:rsid w:val="00603B05"/>
    <w:rsid w:val="00604C91"/>
    <w:rsid w:val="006050CC"/>
    <w:rsid w:val="006146AC"/>
    <w:rsid w:val="00615357"/>
    <w:rsid w:val="006201EB"/>
    <w:rsid w:val="0062079B"/>
    <w:rsid w:val="00622353"/>
    <w:rsid w:val="00625494"/>
    <w:rsid w:val="00630E6B"/>
    <w:rsid w:val="006313FB"/>
    <w:rsid w:val="00633456"/>
    <w:rsid w:val="00635001"/>
    <w:rsid w:val="00635820"/>
    <w:rsid w:val="00636471"/>
    <w:rsid w:val="00640853"/>
    <w:rsid w:val="00642C9C"/>
    <w:rsid w:val="00643D8B"/>
    <w:rsid w:val="006461DE"/>
    <w:rsid w:val="00646AA0"/>
    <w:rsid w:val="00647FE5"/>
    <w:rsid w:val="006517D3"/>
    <w:rsid w:val="006539B7"/>
    <w:rsid w:val="00655DE0"/>
    <w:rsid w:val="006563E5"/>
    <w:rsid w:val="006573D4"/>
    <w:rsid w:val="00667C0B"/>
    <w:rsid w:val="00680C7F"/>
    <w:rsid w:val="006814B2"/>
    <w:rsid w:val="00682AC4"/>
    <w:rsid w:val="006860BD"/>
    <w:rsid w:val="00687B62"/>
    <w:rsid w:val="00691776"/>
    <w:rsid w:val="00692E4F"/>
    <w:rsid w:val="00693E19"/>
    <w:rsid w:val="00695CD4"/>
    <w:rsid w:val="006A1816"/>
    <w:rsid w:val="006A42D1"/>
    <w:rsid w:val="006A7D62"/>
    <w:rsid w:val="006B3EE2"/>
    <w:rsid w:val="006B4221"/>
    <w:rsid w:val="006B4A65"/>
    <w:rsid w:val="006C1B65"/>
    <w:rsid w:val="006C22CB"/>
    <w:rsid w:val="006C4FAE"/>
    <w:rsid w:val="006C6A4F"/>
    <w:rsid w:val="006C7366"/>
    <w:rsid w:val="006D524F"/>
    <w:rsid w:val="006D6564"/>
    <w:rsid w:val="006D65BF"/>
    <w:rsid w:val="006E0D29"/>
    <w:rsid w:val="006E0F9A"/>
    <w:rsid w:val="006E3EA2"/>
    <w:rsid w:val="006E5F8D"/>
    <w:rsid w:val="006E69A8"/>
    <w:rsid w:val="006F133F"/>
    <w:rsid w:val="006F3377"/>
    <w:rsid w:val="006F4DCB"/>
    <w:rsid w:val="006F720F"/>
    <w:rsid w:val="007070E0"/>
    <w:rsid w:val="00710297"/>
    <w:rsid w:val="00712D16"/>
    <w:rsid w:val="007155E4"/>
    <w:rsid w:val="007200FB"/>
    <w:rsid w:val="00721509"/>
    <w:rsid w:val="007233E5"/>
    <w:rsid w:val="00723A0A"/>
    <w:rsid w:val="00724FDC"/>
    <w:rsid w:val="0072692A"/>
    <w:rsid w:val="00726BD2"/>
    <w:rsid w:val="0072728C"/>
    <w:rsid w:val="00732EFE"/>
    <w:rsid w:val="007330E9"/>
    <w:rsid w:val="00740067"/>
    <w:rsid w:val="00740AB0"/>
    <w:rsid w:val="00742A5D"/>
    <w:rsid w:val="007442DD"/>
    <w:rsid w:val="0075040C"/>
    <w:rsid w:val="007510C8"/>
    <w:rsid w:val="00753359"/>
    <w:rsid w:val="00754C6F"/>
    <w:rsid w:val="00755D63"/>
    <w:rsid w:val="007603F4"/>
    <w:rsid w:val="00762395"/>
    <w:rsid w:val="00765944"/>
    <w:rsid w:val="0077034D"/>
    <w:rsid w:val="00772D12"/>
    <w:rsid w:val="00780102"/>
    <w:rsid w:val="00785D24"/>
    <w:rsid w:val="007865B5"/>
    <w:rsid w:val="007935D2"/>
    <w:rsid w:val="00793607"/>
    <w:rsid w:val="007A5F4E"/>
    <w:rsid w:val="007B1D29"/>
    <w:rsid w:val="007B2F5C"/>
    <w:rsid w:val="007B52EA"/>
    <w:rsid w:val="007B7AF6"/>
    <w:rsid w:val="007D1502"/>
    <w:rsid w:val="007D3D85"/>
    <w:rsid w:val="007D4F0A"/>
    <w:rsid w:val="007D71AB"/>
    <w:rsid w:val="007D7ABE"/>
    <w:rsid w:val="007E0468"/>
    <w:rsid w:val="007E0621"/>
    <w:rsid w:val="007E12E4"/>
    <w:rsid w:val="007E2130"/>
    <w:rsid w:val="007F2B89"/>
    <w:rsid w:val="007F3450"/>
    <w:rsid w:val="007F5084"/>
    <w:rsid w:val="007F569D"/>
    <w:rsid w:val="007F6100"/>
    <w:rsid w:val="007F6554"/>
    <w:rsid w:val="007F7ABD"/>
    <w:rsid w:val="0080635A"/>
    <w:rsid w:val="00806373"/>
    <w:rsid w:val="008077F3"/>
    <w:rsid w:val="00814E3A"/>
    <w:rsid w:val="00814FE2"/>
    <w:rsid w:val="00815061"/>
    <w:rsid w:val="0081590F"/>
    <w:rsid w:val="008173A5"/>
    <w:rsid w:val="00822342"/>
    <w:rsid w:val="00823ED8"/>
    <w:rsid w:val="00824AE6"/>
    <w:rsid w:val="00824C4F"/>
    <w:rsid w:val="00834AA4"/>
    <w:rsid w:val="008358E8"/>
    <w:rsid w:val="00836131"/>
    <w:rsid w:val="00840FFD"/>
    <w:rsid w:val="008411B2"/>
    <w:rsid w:val="00844780"/>
    <w:rsid w:val="008507E5"/>
    <w:rsid w:val="00851776"/>
    <w:rsid w:val="00853524"/>
    <w:rsid w:val="008552C7"/>
    <w:rsid w:val="00862509"/>
    <w:rsid w:val="00862DBC"/>
    <w:rsid w:val="008665CF"/>
    <w:rsid w:val="00866EC4"/>
    <w:rsid w:val="00867D73"/>
    <w:rsid w:val="0087008D"/>
    <w:rsid w:val="0088248A"/>
    <w:rsid w:val="008844A5"/>
    <w:rsid w:val="00885655"/>
    <w:rsid w:val="0088723F"/>
    <w:rsid w:val="00892889"/>
    <w:rsid w:val="00893153"/>
    <w:rsid w:val="008939CB"/>
    <w:rsid w:val="008A1B50"/>
    <w:rsid w:val="008A443F"/>
    <w:rsid w:val="008A670E"/>
    <w:rsid w:val="008A7105"/>
    <w:rsid w:val="008B1118"/>
    <w:rsid w:val="008B1836"/>
    <w:rsid w:val="008B2C30"/>
    <w:rsid w:val="008B5984"/>
    <w:rsid w:val="008B61FB"/>
    <w:rsid w:val="008C3EE3"/>
    <w:rsid w:val="008C3F7C"/>
    <w:rsid w:val="008C724F"/>
    <w:rsid w:val="008D5327"/>
    <w:rsid w:val="008D7A77"/>
    <w:rsid w:val="008E1361"/>
    <w:rsid w:val="008E35C3"/>
    <w:rsid w:val="008E3D66"/>
    <w:rsid w:val="008E5D02"/>
    <w:rsid w:val="008E6309"/>
    <w:rsid w:val="008F29DB"/>
    <w:rsid w:val="008F549A"/>
    <w:rsid w:val="008F59B4"/>
    <w:rsid w:val="008F6648"/>
    <w:rsid w:val="008F70BF"/>
    <w:rsid w:val="00900D62"/>
    <w:rsid w:val="00900EFC"/>
    <w:rsid w:val="0090176D"/>
    <w:rsid w:val="00903C6E"/>
    <w:rsid w:val="00904FF4"/>
    <w:rsid w:val="00906BF4"/>
    <w:rsid w:val="00906D61"/>
    <w:rsid w:val="00913B34"/>
    <w:rsid w:val="00913E2F"/>
    <w:rsid w:val="00914691"/>
    <w:rsid w:val="00915DAC"/>
    <w:rsid w:val="0092066C"/>
    <w:rsid w:val="00920F28"/>
    <w:rsid w:val="0092115E"/>
    <w:rsid w:val="0092146F"/>
    <w:rsid w:val="009240AC"/>
    <w:rsid w:val="00925473"/>
    <w:rsid w:val="0093023C"/>
    <w:rsid w:val="00932E18"/>
    <w:rsid w:val="00934A94"/>
    <w:rsid w:val="009366F1"/>
    <w:rsid w:val="00937089"/>
    <w:rsid w:val="00942B5B"/>
    <w:rsid w:val="00942F45"/>
    <w:rsid w:val="009462CD"/>
    <w:rsid w:val="009462FC"/>
    <w:rsid w:val="00950943"/>
    <w:rsid w:val="00950B99"/>
    <w:rsid w:val="00952D40"/>
    <w:rsid w:val="00953461"/>
    <w:rsid w:val="00953FFC"/>
    <w:rsid w:val="009553A6"/>
    <w:rsid w:val="0096179E"/>
    <w:rsid w:val="00965051"/>
    <w:rsid w:val="0097405C"/>
    <w:rsid w:val="00976BDB"/>
    <w:rsid w:val="00980D52"/>
    <w:rsid w:val="009824E5"/>
    <w:rsid w:val="00986AC9"/>
    <w:rsid w:val="009930C3"/>
    <w:rsid w:val="009933FE"/>
    <w:rsid w:val="00993D08"/>
    <w:rsid w:val="009A4927"/>
    <w:rsid w:val="009A707B"/>
    <w:rsid w:val="009B026F"/>
    <w:rsid w:val="009B07B0"/>
    <w:rsid w:val="009B4960"/>
    <w:rsid w:val="009C0647"/>
    <w:rsid w:val="009C2458"/>
    <w:rsid w:val="009C43E4"/>
    <w:rsid w:val="009C45F1"/>
    <w:rsid w:val="009C4958"/>
    <w:rsid w:val="009D0A59"/>
    <w:rsid w:val="009D1158"/>
    <w:rsid w:val="009D2A5B"/>
    <w:rsid w:val="009D555E"/>
    <w:rsid w:val="009D6CC5"/>
    <w:rsid w:val="009E215A"/>
    <w:rsid w:val="009E6C5E"/>
    <w:rsid w:val="009F3851"/>
    <w:rsid w:val="009F40B4"/>
    <w:rsid w:val="009F531F"/>
    <w:rsid w:val="009F6AC2"/>
    <w:rsid w:val="009F7910"/>
    <w:rsid w:val="009F7B94"/>
    <w:rsid w:val="00A00520"/>
    <w:rsid w:val="00A00DBD"/>
    <w:rsid w:val="00A04557"/>
    <w:rsid w:val="00A04BAD"/>
    <w:rsid w:val="00A058CE"/>
    <w:rsid w:val="00A066DB"/>
    <w:rsid w:val="00A1072B"/>
    <w:rsid w:val="00A11A32"/>
    <w:rsid w:val="00A134C3"/>
    <w:rsid w:val="00A164F9"/>
    <w:rsid w:val="00A20919"/>
    <w:rsid w:val="00A26A4B"/>
    <w:rsid w:val="00A3136C"/>
    <w:rsid w:val="00A341ED"/>
    <w:rsid w:val="00A4258A"/>
    <w:rsid w:val="00A44195"/>
    <w:rsid w:val="00A4576E"/>
    <w:rsid w:val="00A46120"/>
    <w:rsid w:val="00A514A6"/>
    <w:rsid w:val="00A52125"/>
    <w:rsid w:val="00A55F19"/>
    <w:rsid w:val="00A57B46"/>
    <w:rsid w:val="00A57E84"/>
    <w:rsid w:val="00A6569C"/>
    <w:rsid w:val="00A65B85"/>
    <w:rsid w:val="00A66A69"/>
    <w:rsid w:val="00A67FA9"/>
    <w:rsid w:val="00A72A55"/>
    <w:rsid w:val="00A72E3E"/>
    <w:rsid w:val="00A7452A"/>
    <w:rsid w:val="00A8094D"/>
    <w:rsid w:val="00A824DB"/>
    <w:rsid w:val="00A83182"/>
    <w:rsid w:val="00A87EE2"/>
    <w:rsid w:val="00A9094A"/>
    <w:rsid w:val="00A92315"/>
    <w:rsid w:val="00A9317E"/>
    <w:rsid w:val="00A94D0B"/>
    <w:rsid w:val="00A973AE"/>
    <w:rsid w:val="00AA420E"/>
    <w:rsid w:val="00AA4837"/>
    <w:rsid w:val="00AA4D49"/>
    <w:rsid w:val="00AA58B7"/>
    <w:rsid w:val="00AA5C68"/>
    <w:rsid w:val="00AA73BA"/>
    <w:rsid w:val="00AA7A97"/>
    <w:rsid w:val="00AB2B3C"/>
    <w:rsid w:val="00AB56AC"/>
    <w:rsid w:val="00AB5D12"/>
    <w:rsid w:val="00AB6647"/>
    <w:rsid w:val="00AC6678"/>
    <w:rsid w:val="00AD1D1B"/>
    <w:rsid w:val="00AD4E77"/>
    <w:rsid w:val="00AD4FF1"/>
    <w:rsid w:val="00AD5017"/>
    <w:rsid w:val="00AE2106"/>
    <w:rsid w:val="00AE477D"/>
    <w:rsid w:val="00AF09D9"/>
    <w:rsid w:val="00B01433"/>
    <w:rsid w:val="00B023C5"/>
    <w:rsid w:val="00B05917"/>
    <w:rsid w:val="00B15B75"/>
    <w:rsid w:val="00B17B51"/>
    <w:rsid w:val="00B211D8"/>
    <w:rsid w:val="00B217A5"/>
    <w:rsid w:val="00B21F75"/>
    <w:rsid w:val="00B2259D"/>
    <w:rsid w:val="00B23222"/>
    <w:rsid w:val="00B234EC"/>
    <w:rsid w:val="00B263DA"/>
    <w:rsid w:val="00B308EF"/>
    <w:rsid w:val="00B322D3"/>
    <w:rsid w:val="00B32CC1"/>
    <w:rsid w:val="00B33DAF"/>
    <w:rsid w:val="00B4256E"/>
    <w:rsid w:val="00B43B5B"/>
    <w:rsid w:val="00B46439"/>
    <w:rsid w:val="00B50397"/>
    <w:rsid w:val="00B5074D"/>
    <w:rsid w:val="00B50EF2"/>
    <w:rsid w:val="00B51244"/>
    <w:rsid w:val="00B512B8"/>
    <w:rsid w:val="00B5234D"/>
    <w:rsid w:val="00B52869"/>
    <w:rsid w:val="00B57D38"/>
    <w:rsid w:val="00B630F5"/>
    <w:rsid w:val="00B6528F"/>
    <w:rsid w:val="00B662F2"/>
    <w:rsid w:val="00B70DB8"/>
    <w:rsid w:val="00B80D4B"/>
    <w:rsid w:val="00B80EF8"/>
    <w:rsid w:val="00B81E8B"/>
    <w:rsid w:val="00B8223D"/>
    <w:rsid w:val="00B8303E"/>
    <w:rsid w:val="00B83486"/>
    <w:rsid w:val="00B85363"/>
    <w:rsid w:val="00B85E7B"/>
    <w:rsid w:val="00B936E0"/>
    <w:rsid w:val="00B95662"/>
    <w:rsid w:val="00B973FC"/>
    <w:rsid w:val="00B97C49"/>
    <w:rsid w:val="00B97D48"/>
    <w:rsid w:val="00B97ECE"/>
    <w:rsid w:val="00BA17B4"/>
    <w:rsid w:val="00BA203B"/>
    <w:rsid w:val="00BA2BA0"/>
    <w:rsid w:val="00BA3661"/>
    <w:rsid w:val="00BA5707"/>
    <w:rsid w:val="00BA5F62"/>
    <w:rsid w:val="00BA62E3"/>
    <w:rsid w:val="00BA7207"/>
    <w:rsid w:val="00BB03B8"/>
    <w:rsid w:val="00BB2281"/>
    <w:rsid w:val="00BB540C"/>
    <w:rsid w:val="00BB7C52"/>
    <w:rsid w:val="00BC0919"/>
    <w:rsid w:val="00BC303B"/>
    <w:rsid w:val="00BC5027"/>
    <w:rsid w:val="00BD04DE"/>
    <w:rsid w:val="00BD09A7"/>
    <w:rsid w:val="00BD48E2"/>
    <w:rsid w:val="00BE0263"/>
    <w:rsid w:val="00BE6BAB"/>
    <w:rsid w:val="00BE72A7"/>
    <w:rsid w:val="00BF37FD"/>
    <w:rsid w:val="00BF4616"/>
    <w:rsid w:val="00BF5362"/>
    <w:rsid w:val="00C00517"/>
    <w:rsid w:val="00C02A42"/>
    <w:rsid w:val="00C036D4"/>
    <w:rsid w:val="00C03808"/>
    <w:rsid w:val="00C07101"/>
    <w:rsid w:val="00C077DA"/>
    <w:rsid w:val="00C148C6"/>
    <w:rsid w:val="00C15F41"/>
    <w:rsid w:val="00C2159C"/>
    <w:rsid w:val="00C22E73"/>
    <w:rsid w:val="00C30673"/>
    <w:rsid w:val="00C35AEF"/>
    <w:rsid w:val="00C4026A"/>
    <w:rsid w:val="00C44B26"/>
    <w:rsid w:val="00C45A81"/>
    <w:rsid w:val="00C522FD"/>
    <w:rsid w:val="00C53115"/>
    <w:rsid w:val="00C53E83"/>
    <w:rsid w:val="00C54B9D"/>
    <w:rsid w:val="00C5721E"/>
    <w:rsid w:val="00C64774"/>
    <w:rsid w:val="00C65F21"/>
    <w:rsid w:val="00C66999"/>
    <w:rsid w:val="00C66DC7"/>
    <w:rsid w:val="00C670F1"/>
    <w:rsid w:val="00C7534F"/>
    <w:rsid w:val="00C76811"/>
    <w:rsid w:val="00C8033C"/>
    <w:rsid w:val="00C81590"/>
    <w:rsid w:val="00C83803"/>
    <w:rsid w:val="00C860B6"/>
    <w:rsid w:val="00C87180"/>
    <w:rsid w:val="00C91BD0"/>
    <w:rsid w:val="00CA0000"/>
    <w:rsid w:val="00CA1F9F"/>
    <w:rsid w:val="00CA6F10"/>
    <w:rsid w:val="00CB37F9"/>
    <w:rsid w:val="00CB50B6"/>
    <w:rsid w:val="00CB73FA"/>
    <w:rsid w:val="00CC2442"/>
    <w:rsid w:val="00CD1079"/>
    <w:rsid w:val="00CD23C2"/>
    <w:rsid w:val="00CD266B"/>
    <w:rsid w:val="00CD2876"/>
    <w:rsid w:val="00CD6D81"/>
    <w:rsid w:val="00CE736A"/>
    <w:rsid w:val="00CE7F02"/>
    <w:rsid w:val="00CF196E"/>
    <w:rsid w:val="00CF3519"/>
    <w:rsid w:val="00CF4FDD"/>
    <w:rsid w:val="00CF68DF"/>
    <w:rsid w:val="00CF7085"/>
    <w:rsid w:val="00D01238"/>
    <w:rsid w:val="00D03261"/>
    <w:rsid w:val="00D03BE9"/>
    <w:rsid w:val="00D05290"/>
    <w:rsid w:val="00D06B02"/>
    <w:rsid w:val="00D07B8E"/>
    <w:rsid w:val="00D1074F"/>
    <w:rsid w:val="00D16257"/>
    <w:rsid w:val="00D2082C"/>
    <w:rsid w:val="00D22901"/>
    <w:rsid w:val="00D24E4F"/>
    <w:rsid w:val="00D25820"/>
    <w:rsid w:val="00D31624"/>
    <w:rsid w:val="00D316B5"/>
    <w:rsid w:val="00D32E28"/>
    <w:rsid w:val="00D35271"/>
    <w:rsid w:val="00D52ADD"/>
    <w:rsid w:val="00D56C6C"/>
    <w:rsid w:val="00D6339D"/>
    <w:rsid w:val="00D6476E"/>
    <w:rsid w:val="00D65318"/>
    <w:rsid w:val="00D6713E"/>
    <w:rsid w:val="00D70565"/>
    <w:rsid w:val="00D709D1"/>
    <w:rsid w:val="00D70F34"/>
    <w:rsid w:val="00D7245B"/>
    <w:rsid w:val="00D83A3C"/>
    <w:rsid w:val="00D846C8"/>
    <w:rsid w:val="00D84C43"/>
    <w:rsid w:val="00D85042"/>
    <w:rsid w:val="00D86343"/>
    <w:rsid w:val="00D877B1"/>
    <w:rsid w:val="00D920BA"/>
    <w:rsid w:val="00D92F77"/>
    <w:rsid w:val="00D9358D"/>
    <w:rsid w:val="00D944AE"/>
    <w:rsid w:val="00D96B8A"/>
    <w:rsid w:val="00DA04DF"/>
    <w:rsid w:val="00DA7497"/>
    <w:rsid w:val="00DB33AA"/>
    <w:rsid w:val="00DB4581"/>
    <w:rsid w:val="00DB5EC5"/>
    <w:rsid w:val="00DB652D"/>
    <w:rsid w:val="00DC0A0D"/>
    <w:rsid w:val="00DC2989"/>
    <w:rsid w:val="00DC52B4"/>
    <w:rsid w:val="00DC5B78"/>
    <w:rsid w:val="00DC620E"/>
    <w:rsid w:val="00DC6935"/>
    <w:rsid w:val="00DD04F8"/>
    <w:rsid w:val="00DD063D"/>
    <w:rsid w:val="00DD1A53"/>
    <w:rsid w:val="00DD3657"/>
    <w:rsid w:val="00DD410E"/>
    <w:rsid w:val="00DD69EF"/>
    <w:rsid w:val="00DD6AAE"/>
    <w:rsid w:val="00DD79D1"/>
    <w:rsid w:val="00DE21AA"/>
    <w:rsid w:val="00DE36E3"/>
    <w:rsid w:val="00DE4815"/>
    <w:rsid w:val="00DE4A11"/>
    <w:rsid w:val="00DE607E"/>
    <w:rsid w:val="00DE687F"/>
    <w:rsid w:val="00DE6AD4"/>
    <w:rsid w:val="00DE77EF"/>
    <w:rsid w:val="00DF2F71"/>
    <w:rsid w:val="00E05C98"/>
    <w:rsid w:val="00E06B6F"/>
    <w:rsid w:val="00E070CA"/>
    <w:rsid w:val="00E07289"/>
    <w:rsid w:val="00E121F1"/>
    <w:rsid w:val="00E13FE5"/>
    <w:rsid w:val="00E157C7"/>
    <w:rsid w:val="00E168BC"/>
    <w:rsid w:val="00E17D36"/>
    <w:rsid w:val="00E207D2"/>
    <w:rsid w:val="00E20D1F"/>
    <w:rsid w:val="00E2339A"/>
    <w:rsid w:val="00E251D5"/>
    <w:rsid w:val="00E30A24"/>
    <w:rsid w:val="00E335FF"/>
    <w:rsid w:val="00E37357"/>
    <w:rsid w:val="00E403C2"/>
    <w:rsid w:val="00E42669"/>
    <w:rsid w:val="00E432D1"/>
    <w:rsid w:val="00E539DE"/>
    <w:rsid w:val="00E54F9E"/>
    <w:rsid w:val="00E5618B"/>
    <w:rsid w:val="00E562FB"/>
    <w:rsid w:val="00E574E7"/>
    <w:rsid w:val="00E6075F"/>
    <w:rsid w:val="00E60D91"/>
    <w:rsid w:val="00E6196B"/>
    <w:rsid w:val="00E6327F"/>
    <w:rsid w:val="00E669F4"/>
    <w:rsid w:val="00E66A15"/>
    <w:rsid w:val="00E7645E"/>
    <w:rsid w:val="00E82B50"/>
    <w:rsid w:val="00E83597"/>
    <w:rsid w:val="00E84EC5"/>
    <w:rsid w:val="00E87B59"/>
    <w:rsid w:val="00E90C91"/>
    <w:rsid w:val="00E92B40"/>
    <w:rsid w:val="00E930A8"/>
    <w:rsid w:val="00E940F5"/>
    <w:rsid w:val="00E9475D"/>
    <w:rsid w:val="00E952DA"/>
    <w:rsid w:val="00E9744D"/>
    <w:rsid w:val="00E97F85"/>
    <w:rsid w:val="00EA1B5F"/>
    <w:rsid w:val="00EA2D24"/>
    <w:rsid w:val="00EA50DB"/>
    <w:rsid w:val="00EA6D85"/>
    <w:rsid w:val="00EA7AB5"/>
    <w:rsid w:val="00EB17AD"/>
    <w:rsid w:val="00EB4524"/>
    <w:rsid w:val="00EB60B6"/>
    <w:rsid w:val="00EB71C4"/>
    <w:rsid w:val="00EC1167"/>
    <w:rsid w:val="00EC1726"/>
    <w:rsid w:val="00EC3BEA"/>
    <w:rsid w:val="00EC40A6"/>
    <w:rsid w:val="00EC5429"/>
    <w:rsid w:val="00EC587D"/>
    <w:rsid w:val="00ED4799"/>
    <w:rsid w:val="00EE3A01"/>
    <w:rsid w:val="00EF1A8B"/>
    <w:rsid w:val="00EF4530"/>
    <w:rsid w:val="00EF46F6"/>
    <w:rsid w:val="00EF504B"/>
    <w:rsid w:val="00EF638E"/>
    <w:rsid w:val="00F0054C"/>
    <w:rsid w:val="00F03820"/>
    <w:rsid w:val="00F071D4"/>
    <w:rsid w:val="00F079AF"/>
    <w:rsid w:val="00F10AFE"/>
    <w:rsid w:val="00F12DCC"/>
    <w:rsid w:val="00F14228"/>
    <w:rsid w:val="00F14D6F"/>
    <w:rsid w:val="00F168F9"/>
    <w:rsid w:val="00F21787"/>
    <w:rsid w:val="00F24CC4"/>
    <w:rsid w:val="00F250FE"/>
    <w:rsid w:val="00F26BA3"/>
    <w:rsid w:val="00F27103"/>
    <w:rsid w:val="00F31D14"/>
    <w:rsid w:val="00F326C8"/>
    <w:rsid w:val="00F331DF"/>
    <w:rsid w:val="00F33C9C"/>
    <w:rsid w:val="00F35357"/>
    <w:rsid w:val="00F366C4"/>
    <w:rsid w:val="00F40092"/>
    <w:rsid w:val="00F40790"/>
    <w:rsid w:val="00F40E48"/>
    <w:rsid w:val="00F441D3"/>
    <w:rsid w:val="00F47FFB"/>
    <w:rsid w:val="00F50E6D"/>
    <w:rsid w:val="00F5326C"/>
    <w:rsid w:val="00F54433"/>
    <w:rsid w:val="00F54B07"/>
    <w:rsid w:val="00F54D3C"/>
    <w:rsid w:val="00F5636F"/>
    <w:rsid w:val="00F602D6"/>
    <w:rsid w:val="00F60487"/>
    <w:rsid w:val="00F6058D"/>
    <w:rsid w:val="00F6200D"/>
    <w:rsid w:val="00F62CE4"/>
    <w:rsid w:val="00F6330C"/>
    <w:rsid w:val="00F6471C"/>
    <w:rsid w:val="00F6608A"/>
    <w:rsid w:val="00F67B26"/>
    <w:rsid w:val="00F73040"/>
    <w:rsid w:val="00F7418D"/>
    <w:rsid w:val="00F75287"/>
    <w:rsid w:val="00F77FAE"/>
    <w:rsid w:val="00F82F17"/>
    <w:rsid w:val="00F84F29"/>
    <w:rsid w:val="00F85335"/>
    <w:rsid w:val="00F92D72"/>
    <w:rsid w:val="00F97355"/>
    <w:rsid w:val="00F97417"/>
    <w:rsid w:val="00F9779C"/>
    <w:rsid w:val="00F977CD"/>
    <w:rsid w:val="00F97D17"/>
    <w:rsid w:val="00FB1263"/>
    <w:rsid w:val="00FB2E23"/>
    <w:rsid w:val="00FB30C6"/>
    <w:rsid w:val="00FB3696"/>
    <w:rsid w:val="00FC2247"/>
    <w:rsid w:val="00FC2E89"/>
    <w:rsid w:val="00FC67C0"/>
    <w:rsid w:val="00FD07D9"/>
    <w:rsid w:val="00FD5F0D"/>
    <w:rsid w:val="00FE320D"/>
    <w:rsid w:val="00FE6385"/>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BC9A0E22-F90D-4F9B-A8D1-6505282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19"/>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qFormat/>
    <w:rsid w:val="00853524"/>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qFormat/>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aliases w:val="Bullet Main"/>
    <w:basedOn w:val="Normal"/>
    <w:link w:val="ListParagraphChar"/>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character" w:customStyle="1" w:styleId="ListParagraphChar">
    <w:name w:val="List Paragraph Char"/>
    <w:aliases w:val="Bullet Main Char"/>
    <w:link w:val="ListParagraph"/>
    <w:uiPriority w:val="34"/>
    <w:locked/>
    <w:rsid w:val="005610BF"/>
    <w:rPr>
      <w:rFonts w:ascii="Arial" w:hAnsi="Arial"/>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2023-07-25T18:30:00+00:00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4BB6-995A-48FB-870B-4CF3FEC3F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EF816-C1B1-45D4-BBBC-D9349E0D293A}">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595A7609-10E4-4244-85B6-FFA24F5F4C9A}">
  <ds:schemaRefs>
    <ds:schemaRef ds:uri="http://schemas.microsoft.com/sharepoint/v3/contenttype/forms"/>
  </ds:schemaRefs>
</ds:datastoreItem>
</file>

<file path=customXml/itemProps4.xml><?xml version="1.0" encoding="utf-8"?>
<ds:datastoreItem xmlns:ds="http://schemas.openxmlformats.org/officeDocument/2006/customXml" ds:itemID="{BA9F33DE-45BF-49C4-9E9D-7FDC4FD2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Affidavit</Template>
  <TotalTime>711</TotalTime>
  <Pages>6</Pages>
  <Words>1220</Words>
  <Characters>6224</Characters>
  <Application>Microsoft Office Word</Application>
  <DocSecurity>0</DocSecurity>
  <Lines>565</Lines>
  <Paragraphs>323</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Mutaleni v Minister of Home Affairs, Immigration, Safety and Security (HC-MD-CIV-ACT-DEL-2022/03820) [2023] NAHCMD 439 (26 July 2023)</dc:title>
  <dc:subject/>
  <dc:creator>Monica</dc:creator>
  <cp:keywords/>
  <dc:description/>
  <cp:lastModifiedBy>Mariana Anguelov</cp:lastModifiedBy>
  <cp:revision>28</cp:revision>
  <cp:lastPrinted>2023-07-26T14:51:00Z</cp:lastPrinted>
  <dcterms:created xsi:type="dcterms:W3CDTF">2023-01-22T13:10:00Z</dcterms:created>
  <dcterms:modified xsi:type="dcterms:W3CDTF">2023-08-19T16:23:00Z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