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7B2D88" w:rsidRDefault="008F189E" w:rsidP="007F0C90">
      <w:pPr>
        <w:spacing w:after="0" w:line="360" w:lineRule="auto"/>
        <w:jc w:val="center"/>
        <w:rPr>
          <w:rFonts w:ascii="Arial" w:hAnsi="Arial" w:cs="Arial"/>
          <w:b/>
          <w:sz w:val="24"/>
          <w:szCs w:val="24"/>
        </w:rPr>
      </w:pPr>
      <w:r w:rsidRPr="007B2D88">
        <w:rPr>
          <w:rFonts w:ascii="Arial" w:hAnsi="Arial" w:cs="Arial"/>
          <w:b/>
          <w:sz w:val="24"/>
          <w:szCs w:val="24"/>
        </w:rPr>
        <w:t>RULING IN TERMS OF PRACTICE DIRECTI</w:t>
      </w:r>
      <w:r w:rsidR="00127B6D" w:rsidRPr="007B2D88">
        <w:rPr>
          <w:rFonts w:ascii="Arial" w:hAnsi="Arial" w:cs="Arial"/>
          <w:b/>
          <w:sz w:val="24"/>
          <w:szCs w:val="24"/>
        </w:rPr>
        <w:t>ON</w:t>
      </w:r>
      <w:r w:rsidRPr="007B2D88">
        <w:rPr>
          <w:rFonts w:ascii="Arial" w:hAnsi="Arial" w:cs="Arial"/>
          <w:b/>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2E11ED" w:rsidRDefault="00311914" w:rsidP="007F0C90">
            <w:pPr>
              <w:spacing w:after="0" w:line="360" w:lineRule="auto"/>
              <w:jc w:val="both"/>
              <w:rPr>
                <w:rFonts w:ascii="Arial" w:hAnsi="Arial" w:cs="Arial"/>
                <w:sz w:val="24"/>
                <w:szCs w:val="24"/>
              </w:rPr>
            </w:pPr>
          </w:p>
          <w:p w:rsidR="00054921" w:rsidRPr="002E11ED" w:rsidRDefault="002E11ED" w:rsidP="004D5728">
            <w:pPr>
              <w:spacing w:after="160" w:line="259" w:lineRule="auto"/>
              <w:rPr>
                <w:rFonts w:ascii="Arial" w:eastAsia="Calibri" w:hAnsi="Arial" w:cs="Arial"/>
                <w:color w:val="000000"/>
                <w:sz w:val="24"/>
                <w:szCs w:val="24"/>
                <w:lang w:eastAsia="en-ZA"/>
              </w:rPr>
            </w:pPr>
            <w:proofErr w:type="spellStart"/>
            <w:r w:rsidRPr="002E11ED">
              <w:rPr>
                <w:rFonts w:ascii="Arial" w:hAnsi="Arial" w:cs="Arial"/>
                <w:sz w:val="24"/>
                <w:szCs w:val="24"/>
              </w:rPr>
              <w:t>Imafon</w:t>
            </w:r>
            <w:proofErr w:type="spellEnd"/>
            <w:r w:rsidRPr="002E11ED">
              <w:rPr>
                <w:rFonts w:ascii="Arial" w:hAnsi="Arial" w:cs="Arial"/>
                <w:sz w:val="24"/>
                <w:szCs w:val="24"/>
              </w:rPr>
              <w:t xml:space="preserve"> </w:t>
            </w:r>
            <w:proofErr w:type="spellStart"/>
            <w:r w:rsidRPr="002E11ED">
              <w:rPr>
                <w:rFonts w:ascii="Arial" w:hAnsi="Arial" w:cs="Arial"/>
                <w:sz w:val="24"/>
                <w:szCs w:val="24"/>
              </w:rPr>
              <w:t>Akpabio</w:t>
            </w:r>
            <w:proofErr w:type="spellEnd"/>
            <w:r w:rsidRPr="002E11ED">
              <w:rPr>
                <w:rFonts w:ascii="Arial" w:hAnsi="Arial" w:cs="Arial"/>
                <w:sz w:val="24"/>
                <w:szCs w:val="24"/>
              </w:rPr>
              <w:tab/>
            </w:r>
            <w:r w:rsidRPr="002E11ED">
              <w:rPr>
                <w:rFonts w:ascii="Arial" w:hAnsi="Arial" w:cs="Arial"/>
                <w:sz w:val="24"/>
                <w:szCs w:val="24"/>
              </w:rPr>
              <w:tab/>
            </w:r>
            <w:r w:rsidRPr="002E11ED">
              <w:rPr>
                <w:rFonts w:ascii="Arial" w:hAnsi="Arial" w:cs="Arial"/>
                <w:sz w:val="24"/>
                <w:szCs w:val="24"/>
              </w:rPr>
              <w:tab/>
            </w:r>
            <w:r w:rsidRPr="002E11ED">
              <w:rPr>
                <w:rFonts w:ascii="Arial" w:hAnsi="Arial" w:cs="Arial"/>
                <w:sz w:val="24"/>
                <w:szCs w:val="24"/>
              </w:rPr>
              <w:tab/>
            </w:r>
            <w:r w:rsidRPr="002E11ED">
              <w:rPr>
                <w:rFonts w:ascii="Arial" w:eastAsia="Arial Unicode MS" w:hAnsi="Arial" w:cs="Arial"/>
                <w:color w:val="000000"/>
                <w:sz w:val="24"/>
                <w:szCs w:val="24"/>
                <w:lang w:eastAsia="en-ZA"/>
              </w:rPr>
              <w:tab/>
              <w:t xml:space="preserve">  Applicant</w:t>
            </w:r>
          </w:p>
          <w:p w:rsidR="004D5728" w:rsidRPr="002E11ED" w:rsidRDefault="004D5728" w:rsidP="007F0C90">
            <w:pPr>
              <w:spacing w:after="0" w:line="360" w:lineRule="auto"/>
              <w:ind w:left="48" w:hanging="10"/>
              <w:jc w:val="both"/>
              <w:rPr>
                <w:rFonts w:ascii="Arial" w:eastAsia="Arial Unicode MS" w:hAnsi="Arial" w:cs="Arial"/>
                <w:color w:val="000000"/>
                <w:sz w:val="24"/>
                <w:szCs w:val="24"/>
                <w:lang w:eastAsia="en-ZA"/>
              </w:rPr>
            </w:pPr>
          </w:p>
          <w:p w:rsidR="00054921" w:rsidRPr="002E11ED" w:rsidRDefault="00054921" w:rsidP="007F0C90">
            <w:pPr>
              <w:spacing w:after="0" w:line="360" w:lineRule="auto"/>
              <w:ind w:left="48" w:hanging="10"/>
              <w:jc w:val="both"/>
              <w:rPr>
                <w:rFonts w:ascii="Arial" w:eastAsia="Calibri" w:hAnsi="Arial" w:cs="Arial"/>
                <w:color w:val="000000"/>
                <w:sz w:val="24"/>
                <w:szCs w:val="24"/>
                <w:lang w:eastAsia="en-ZA"/>
              </w:rPr>
            </w:pPr>
            <w:r w:rsidRPr="002E11ED">
              <w:rPr>
                <w:rFonts w:ascii="Arial" w:eastAsia="Arial Unicode MS" w:hAnsi="Arial" w:cs="Arial"/>
                <w:color w:val="000000"/>
                <w:sz w:val="24"/>
                <w:szCs w:val="24"/>
                <w:lang w:eastAsia="en-ZA"/>
              </w:rPr>
              <w:t>and</w:t>
            </w:r>
          </w:p>
          <w:p w:rsidR="004D5728" w:rsidRPr="002E11ED" w:rsidRDefault="004D5728" w:rsidP="007F0C90">
            <w:pPr>
              <w:tabs>
                <w:tab w:val="right" w:pos="10542"/>
              </w:tabs>
              <w:spacing w:after="0" w:line="360" w:lineRule="auto"/>
              <w:rPr>
                <w:rFonts w:ascii="Arial" w:hAnsi="Arial" w:cs="Arial"/>
                <w:sz w:val="24"/>
                <w:szCs w:val="24"/>
              </w:rPr>
            </w:pPr>
          </w:p>
          <w:p w:rsidR="00054921" w:rsidRPr="002E11ED" w:rsidRDefault="002E11ED" w:rsidP="002E11ED">
            <w:pPr>
              <w:tabs>
                <w:tab w:val="right" w:pos="10542"/>
              </w:tabs>
              <w:spacing w:after="0" w:line="360" w:lineRule="auto"/>
              <w:rPr>
                <w:rFonts w:ascii="Arial" w:eastAsia="Calibri" w:hAnsi="Arial" w:cs="Arial"/>
                <w:color w:val="000000"/>
                <w:sz w:val="24"/>
                <w:szCs w:val="24"/>
                <w:lang w:eastAsia="en-ZA"/>
              </w:rPr>
            </w:pPr>
            <w:r w:rsidRPr="002E11ED">
              <w:rPr>
                <w:rFonts w:ascii="Arial" w:hAnsi="Arial" w:cs="Arial"/>
                <w:sz w:val="24"/>
                <w:szCs w:val="24"/>
              </w:rPr>
              <w:t>The Minister of Justice</w:t>
            </w:r>
            <w:r w:rsidR="00054921" w:rsidRPr="002E11ED">
              <w:rPr>
                <w:rFonts w:ascii="Arial" w:eastAsia="Arial Unicode MS" w:hAnsi="Arial" w:cs="Arial"/>
                <w:color w:val="000000"/>
                <w:sz w:val="24"/>
                <w:szCs w:val="24"/>
                <w:lang w:eastAsia="en-ZA"/>
              </w:rPr>
              <w:tab/>
            </w:r>
            <w:r w:rsidR="004D5728" w:rsidRPr="002E11ED">
              <w:rPr>
                <w:rFonts w:ascii="Arial" w:eastAsia="Arial Unicode MS" w:hAnsi="Arial" w:cs="Arial"/>
                <w:color w:val="000000"/>
                <w:sz w:val="24"/>
                <w:szCs w:val="24"/>
                <w:lang w:eastAsia="en-ZA"/>
              </w:rPr>
              <w:t>1</w:t>
            </w:r>
            <w:r w:rsidR="004D5728" w:rsidRPr="002E11ED">
              <w:rPr>
                <w:rFonts w:ascii="Arial" w:eastAsia="Arial Unicode MS" w:hAnsi="Arial" w:cs="Arial"/>
                <w:color w:val="000000"/>
                <w:sz w:val="24"/>
                <w:szCs w:val="24"/>
                <w:vertAlign w:val="superscript"/>
                <w:lang w:eastAsia="en-ZA"/>
              </w:rPr>
              <w:t xml:space="preserve">st </w:t>
            </w:r>
            <w:r w:rsidRPr="002E11ED">
              <w:rPr>
                <w:rFonts w:ascii="Arial" w:eastAsia="Arial Unicode MS" w:hAnsi="Arial" w:cs="Arial"/>
                <w:color w:val="000000"/>
                <w:sz w:val="24"/>
                <w:szCs w:val="24"/>
                <w:lang w:eastAsia="en-ZA"/>
              </w:rPr>
              <w:t>R</w:t>
            </w:r>
            <w:r w:rsidR="00054921" w:rsidRPr="002E11ED">
              <w:rPr>
                <w:rFonts w:ascii="Arial" w:eastAsia="Arial Unicode MS" w:hAnsi="Arial" w:cs="Arial"/>
                <w:color w:val="000000"/>
                <w:sz w:val="24"/>
                <w:szCs w:val="24"/>
                <w:lang w:eastAsia="en-ZA"/>
              </w:rPr>
              <w:t>e</w:t>
            </w:r>
            <w:r w:rsidRPr="002E11ED">
              <w:rPr>
                <w:rFonts w:ascii="Arial" w:eastAsia="Arial Unicode MS" w:hAnsi="Arial" w:cs="Arial"/>
                <w:color w:val="000000"/>
                <w:sz w:val="24"/>
                <w:szCs w:val="24"/>
                <w:lang w:eastAsia="en-ZA"/>
              </w:rPr>
              <w:t>spo</w:t>
            </w:r>
            <w:r w:rsidR="00054921" w:rsidRPr="002E11ED">
              <w:rPr>
                <w:rFonts w:ascii="Arial" w:eastAsia="Arial Unicode MS" w:hAnsi="Arial" w:cs="Arial"/>
                <w:color w:val="000000"/>
                <w:sz w:val="24"/>
                <w:szCs w:val="24"/>
                <w:lang w:eastAsia="en-ZA"/>
              </w:rPr>
              <w:t>nd</w:t>
            </w:r>
            <w:r w:rsidRPr="002E11ED">
              <w:rPr>
                <w:rFonts w:ascii="Arial" w:eastAsia="Arial Unicode MS" w:hAnsi="Arial" w:cs="Arial"/>
                <w:color w:val="000000"/>
                <w:sz w:val="24"/>
                <w:szCs w:val="24"/>
                <w:lang w:eastAsia="en-ZA"/>
              </w:rPr>
              <w:t>e</w:t>
            </w:r>
            <w:r w:rsidR="00054921" w:rsidRPr="002E11ED">
              <w:rPr>
                <w:rFonts w:ascii="Arial" w:eastAsia="Arial Unicode MS" w:hAnsi="Arial" w:cs="Arial"/>
                <w:color w:val="000000"/>
                <w:sz w:val="24"/>
                <w:szCs w:val="24"/>
                <w:lang w:eastAsia="en-ZA"/>
              </w:rPr>
              <w:t>nt</w:t>
            </w:r>
          </w:p>
          <w:p w:rsidR="00244918" w:rsidRPr="007B2D88" w:rsidRDefault="002E11ED" w:rsidP="007B2D88">
            <w:pPr>
              <w:spacing w:after="160" w:line="259" w:lineRule="auto"/>
              <w:rPr>
                <w:rFonts w:ascii="Arial" w:eastAsia="Calibri" w:hAnsi="Arial" w:cs="Arial"/>
                <w:color w:val="000000"/>
                <w:sz w:val="24"/>
                <w:szCs w:val="24"/>
                <w:lang w:eastAsia="en-ZA"/>
              </w:rPr>
            </w:pPr>
            <w:r w:rsidRPr="002E11ED">
              <w:rPr>
                <w:rFonts w:ascii="Arial" w:hAnsi="Arial" w:cs="Arial"/>
                <w:sz w:val="24"/>
                <w:szCs w:val="24"/>
              </w:rPr>
              <w:t>The Board for Legal Education</w:t>
            </w:r>
            <w:r w:rsidRPr="002E11ED">
              <w:rPr>
                <w:rFonts w:ascii="Arial" w:hAnsi="Arial" w:cs="Arial"/>
                <w:sz w:val="24"/>
                <w:szCs w:val="24"/>
              </w:rPr>
              <w:tab/>
            </w:r>
            <w:r w:rsidRPr="002E11ED">
              <w:rPr>
                <w:rFonts w:ascii="Arial" w:hAnsi="Arial" w:cs="Arial"/>
                <w:sz w:val="24"/>
                <w:szCs w:val="24"/>
              </w:rPr>
              <w:tab/>
              <w:t xml:space="preserve"> </w:t>
            </w:r>
            <w:r w:rsidR="004D5728" w:rsidRPr="002E11ED">
              <w:rPr>
                <w:rFonts w:ascii="Arial" w:hAnsi="Arial" w:cs="Arial"/>
                <w:sz w:val="24"/>
                <w:szCs w:val="24"/>
              </w:rPr>
              <w:t xml:space="preserve"> 2</w:t>
            </w:r>
            <w:r w:rsidR="004D5728" w:rsidRPr="002E11ED">
              <w:rPr>
                <w:rFonts w:ascii="Arial" w:hAnsi="Arial" w:cs="Arial"/>
                <w:sz w:val="24"/>
                <w:szCs w:val="24"/>
                <w:vertAlign w:val="superscript"/>
              </w:rPr>
              <w:t>nd</w:t>
            </w:r>
            <w:r w:rsidR="004D5728" w:rsidRPr="002E11ED">
              <w:rPr>
                <w:rFonts w:ascii="Arial" w:hAnsi="Arial" w:cs="Arial"/>
                <w:sz w:val="24"/>
                <w:szCs w:val="24"/>
              </w:rPr>
              <w:t xml:space="preserve"> </w:t>
            </w:r>
            <w:r w:rsidRPr="002E11ED">
              <w:rPr>
                <w:rFonts w:ascii="Arial" w:eastAsia="Arial Unicode MS" w:hAnsi="Arial" w:cs="Arial"/>
                <w:color w:val="000000"/>
                <w:sz w:val="24"/>
                <w:szCs w:val="24"/>
                <w:lang w:eastAsia="en-ZA"/>
              </w:rPr>
              <w:t>R</w:t>
            </w:r>
            <w:r w:rsidR="004D5728" w:rsidRPr="002E11ED">
              <w:rPr>
                <w:rFonts w:ascii="Arial" w:eastAsia="Arial Unicode MS" w:hAnsi="Arial" w:cs="Arial"/>
                <w:color w:val="000000"/>
                <w:sz w:val="24"/>
                <w:szCs w:val="24"/>
                <w:lang w:eastAsia="en-ZA"/>
              </w:rPr>
              <w:t>e</w:t>
            </w:r>
            <w:r w:rsidRPr="002E11ED">
              <w:rPr>
                <w:rFonts w:ascii="Arial" w:eastAsia="Arial Unicode MS" w:hAnsi="Arial" w:cs="Arial"/>
                <w:color w:val="000000"/>
                <w:sz w:val="24"/>
                <w:szCs w:val="24"/>
                <w:lang w:eastAsia="en-ZA"/>
              </w:rPr>
              <w:t>spo</w:t>
            </w:r>
            <w:r w:rsidR="004D5728" w:rsidRPr="002E11ED">
              <w:rPr>
                <w:rFonts w:ascii="Arial" w:eastAsia="Arial Unicode MS" w:hAnsi="Arial" w:cs="Arial"/>
                <w:color w:val="000000"/>
                <w:sz w:val="24"/>
                <w:szCs w:val="24"/>
                <w:lang w:eastAsia="en-ZA"/>
              </w:rPr>
              <w:t>nd</w:t>
            </w:r>
            <w:r w:rsidRPr="002E11ED">
              <w:rPr>
                <w:rFonts w:ascii="Arial" w:eastAsia="Arial Unicode MS" w:hAnsi="Arial" w:cs="Arial"/>
                <w:color w:val="000000"/>
                <w:sz w:val="24"/>
                <w:szCs w:val="24"/>
                <w:lang w:eastAsia="en-ZA"/>
              </w:rPr>
              <w:t>e</w:t>
            </w:r>
            <w:r w:rsidR="004D5728" w:rsidRPr="002E11ED">
              <w:rPr>
                <w:rFonts w:ascii="Arial" w:eastAsia="Arial Unicode MS" w:hAnsi="Arial" w:cs="Arial"/>
                <w:color w:val="000000"/>
                <w:sz w:val="24"/>
                <w:szCs w:val="24"/>
                <w:lang w:eastAsia="en-ZA"/>
              </w:rPr>
              <w:t>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4D5728" w:rsidRDefault="002E11ED" w:rsidP="004D5728">
            <w:pPr>
              <w:spacing w:after="160" w:line="259" w:lineRule="auto"/>
              <w:rPr>
                <w:rFonts w:ascii="Arial" w:hAnsi="Arial" w:cs="Arial"/>
              </w:rPr>
            </w:pPr>
            <w:r w:rsidRPr="002E11ED">
              <w:rPr>
                <w:rFonts w:ascii="Arial" w:hAnsi="Arial" w:cs="Arial"/>
              </w:rPr>
              <w:t>HC-MD-CIV-MOT-GEN-2023/00326</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2E11ED" w:rsidP="002E11ED">
            <w:pPr>
              <w:spacing w:after="0" w:line="360" w:lineRule="auto"/>
              <w:jc w:val="both"/>
              <w:rPr>
                <w:rFonts w:ascii="Arial" w:hAnsi="Arial" w:cs="Arial"/>
                <w:b/>
                <w:sz w:val="24"/>
                <w:szCs w:val="24"/>
              </w:rPr>
            </w:pPr>
            <w:r>
              <w:rPr>
                <w:rFonts w:ascii="Arial" w:hAnsi="Arial" w:cs="Arial"/>
                <w:sz w:val="24"/>
                <w:szCs w:val="24"/>
              </w:rPr>
              <w:t>26 July</w:t>
            </w:r>
            <w:r w:rsidR="00C35416">
              <w:rPr>
                <w:rFonts w:ascii="Arial" w:hAnsi="Arial" w:cs="Arial"/>
                <w:sz w:val="24"/>
                <w:szCs w:val="24"/>
              </w:rPr>
              <w:t xml:space="preserve"> 202</w:t>
            </w:r>
            <w:r w:rsidR="003A0130">
              <w:rPr>
                <w:rFonts w:ascii="Arial" w:hAnsi="Arial" w:cs="Arial"/>
                <w:sz w:val="24"/>
                <w:szCs w:val="24"/>
              </w:rPr>
              <w:t>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2E11ED" w:rsidP="002E11ED">
            <w:pPr>
              <w:spacing w:after="0" w:line="360" w:lineRule="auto"/>
              <w:jc w:val="both"/>
              <w:rPr>
                <w:rFonts w:ascii="Arial" w:hAnsi="Arial" w:cs="Arial"/>
                <w:sz w:val="24"/>
                <w:szCs w:val="24"/>
              </w:rPr>
            </w:pPr>
            <w:r>
              <w:rPr>
                <w:rFonts w:ascii="Arial" w:hAnsi="Arial" w:cs="Arial"/>
                <w:sz w:val="24"/>
                <w:szCs w:val="24"/>
              </w:rPr>
              <w:t>27 July</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7F0C90">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proofErr w:type="spellStart"/>
            <w:r w:rsidR="002E11ED">
              <w:rPr>
                <w:rFonts w:ascii="Arial" w:hAnsi="Arial" w:cs="Arial"/>
                <w:i/>
                <w:sz w:val="24"/>
                <w:szCs w:val="24"/>
              </w:rPr>
              <w:t>Akpabio</w:t>
            </w:r>
            <w:proofErr w:type="spellEnd"/>
            <w:r w:rsidR="004D5728" w:rsidRPr="004D5728">
              <w:rPr>
                <w:rFonts w:ascii="Arial" w:hAnsi="Arial" w:cs="Arial"/>
                <w:i/>
                <w:sz w:val="24"/>
                <w:szCs w:val="24"/>
              </w:rPr>
              <w:t xml:space="preserve"> </w:t>
            </w:r>
            <w:r w:rsidR="00311914">
              <w:rPr>
                <w:rFonts w:ascii="Arial" w:hAnsi="Arial" w:cs="Arial"/>
                <w:i/>
                <w:sz w:val="24"/>
                <w:szCs w:val="24"/>
              </w:rPr>
              <w:t>v</w:t>
            </w:r>
            <w:r w:rsidR="002E11ED">
              <w:t xml:space="preserve"> </w:t>
            </w:r>
            <w:r w:rsidR="002E11ED" w:rsidRPr="002E11ED">
              <w:rPr>
                <w:rFonts w:ascii="Arial" w:hAnsi="Arial" w:cs="Arial"/>
                <w:i/>
                <w:sz w:val="24"/>
                <w:szCs w:val="24"/>
              </w:rPr>
              <w:t xml:space="preserve">The Minister of Justice </w:t>
            </w:r>
            <w:r w:rsidRPr="00A81F7C">
              <w:rPr>
                <w:rFonts w:ascii="Arial" w:hAnsi="Arial" w:cs="Arial"/>
                <w:i/>
                <w:sz w:val="24"/>
                <w:szCs w:val="24"/>
              </w:rPr>
              <w:t>(</w:t>
            </w:r>
            <w:r w:rsidR="002E11ED" w:rsidRPr="002E11ED">
              <w:rPr>
                <w:rFonts w:ascii="Arial" w:hAnsi="Arial" w:cs="Arial"/>
                <w:sz w:val="24"/>
                <w:szCs w:val="24"/>
              </w:rPr>
              <w:t>HC-MD-CIV-MOT-GEN-2023/00326</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E56A9A">
              <w:rPr>
                <w:rFonts w:ascii="Arial" w:hAnsi="Arial" w:cs="Arial"/>
                <w:sz w:val="24"/>
                <w:szCs w:val="24"/>
              </w:rPr>
              <w:t>441</w:t>
            </w:r>
            <w:r w:rsidR="000D0F54">
              <w:rPr>
                <w:rFonts w:ascii="Arial" w:hAnsi="Arial" w:cs="Arial"/>
                <w:sz w:val="24"/>
                <w:szCs w:val="24"/>
              </w:rPr>
              <w:t xml:space="preserve"> </w:t>
            </w:r>
            <w:r w:rsidR="00E21A68" w:rsidRPr="00A81F7C">
              <w:rPr>
                <w:rFonts w:ascii="Arial" w:hAnsi="Arial" w:cs="Arial"/>
                <w:sz w:val="24"/>
                <w:szCs w:val="24"/>
              </w:rPr>
              <w:t>(</w:t>
            </w:r>
            <w:r w:rsidR="002E11ED">
              <w:rPr>
                <w:rFonts w:ascii="Arial" w:hAnsi="Arial" w:cs="Arial"/>
                <w:sz w:val="24"/>
                <w:szCs w:val="24"/>
              </w:rPr>
              <w:t>27 July</w:t>
            </w:r>
            <w:r w:rsidRPr="00A81F7C">
              <w:rPr>
                <w:rFonts w:ascii="Arial" w:hAnsi="Arial" w:cs="Arial"/>
                <w:sz w:val="24"/>
                <w:szCs w:val="24"/>
              </w:rPr>
              <w:t xml:space="preserve"> 202</w:t>
            </w:r>
            <w:r w:rsidR="003A0130">
              <w:rPr>
                <w:rFonts w:ascii="Arial" w:hAnsi="Arial" w:cs="Arial"/>
                <w:sz w:val="24"/>
                <w:szCs w:val="24"/>
              </w:rPr>
              <w:t>3</w:t>
            </w:r>
            <w:r w:rsidRPr="00A81F7C">
              <w:rPr>
                <w:rFonts w:ascii="Arial" w:hAnsi="Arial" w:cs="Arial"/>
                <w:sz w:val="24"/>
                <w:szCs w:val="24"/>
              </w:rPr>
              <w:t>)</w:t>
            </w:r>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525402" w:rsidRPr="00525402" w:rsidRDefault="00525402" w:rsidP="007B2D88">
            <w:pPr>
              <w:pStyle w:val="ListParagraph"/>
              <w:numPr>
                <w:ilvl w:val="0"/>
                <w:numId w:val="47"/>
              </w:numPr>
              <w:spacing w:after="0" w:line="360" w:lineRule="auto"/>
              <w:jc w:val="both"/>
              <w:rPr>
                <w:rFonts w:ascii="Arial" w:hAnsi="Arial" w:cs="Arial"/>
                <w:sz w:val="24"/>
                <w:szCs w:val="24"/>
              </w:rPr>
            </w:pPr>
            <w:r w:rsidRPr="00525402">
              <w:rPr>
                <w:rFonts w:ascii="Arial" w:hAnsi="Arial" w:cs="Arial"/>
                <w:sz w:val="24"/>
                <w:szCs w:val="24"/>
              </w:rPr>
              <w:t>The urgent application is struck from the roll for a lack of urgency</w:t>
            </w:r>
          </w:p>
          <w:p w:rsidR="00B131EA" w:rsidRPr="00A91522" w:rsidRDefault="00525402" w:rsidP="004F1145">
            <w:pPr>
              <w:pStyle w:val="ListParagraph"/>
              <w:numPr>
                <w:ilvl w:val="0"/>
                <w:numId w:val="47"/>
              </w:numPr>
              <w:spacing w:after="0" w:line="360" w:lineRule="auto"/>
              <w:jc w:val="both"/>
              <w:rPr>
                <w:rFonts w:ascii="Arial" w:hAnsi="Arial" w:cs="Arial"/>
                <w:b/>
                <w:sz w:val="24"/>
                <w:szCs w:val="24"/>
              </w:rPr>
            </w:pPr>
            <w:r>
              <w:rPr>
                <w:rFonts w:ascii="Arial" w:hAnsi="Arial" w:cs="Arial"/>
                <w:sz w:val="24"/>
                <w:szCs w:val="24"/>
              </w:rPr>
              <w:t>The costs of the application is awarded to the respondents, to include the costs of one instructed and one instructing legal practitioner.</w:t>
            </w:r>
            <w:r w:rsidR="00B131EA">
              <w:rPr>
                <w:rFonts w:ascii="Arial" w:hAnsi="Arial" w:cs="Arial"/>
                <w:sz w:val="24"/>
                <w:szCs w:val="24"/>
              </w:rPr>
              <w:tab/>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054921" w:rsidRDefault="00054921" w:rsidP="007F0C90">
            <w:pPr>
              <w:spacing w:after="0" w:line="360" w:lineRule="auto"/>
              <w:jc w:val="both"/>
              <w:rPr>
                <w:rFonts w:ascii="Arial" w:hAnsi="Arial" w:cs="Arial"/>
                <w:sz w:val="24"/>
                <w:szCs w:val="24"/>
              </w:rPr>
            </w:pPr>
          </w:p>
          <w:p w:rsidR="001E32E7" w:rsidRDefault="003F0FDD" w:rsidP="007F0C90">
            <w:pPr>
              <w:spacing w:after="0" w:line="360" w:lineRule="auto"/>
              <w:jc w:val="both"/>
              <w:rPr>
                <w:rFonts w:ascii="Arial" w:hAnsi="Arial" w:cs="Arial"/>
                <w:sz w:val="24"/>
                <w:szCs w:val="24"/>
              </w:rPr>
            </w:pPr>
            <w:r>
              <w:rPr>
                <w:rFonts w:ascii="Arial" w:hAnsi="Arial" w:cs="Arial"/>
                <w:sz w:val="24"/>
                <w:szCs w:val="24"/>
              </w:rPr>
              <w:t>RAKOW</w:t>
            </w:r>
            <w:r w:rsidR="00525402">
              <w:rPr>
                <w:rFonts w:ascii="Arial" w:hAnsi="Arial" w:cs="Arial"/>
                <w:sz w:val="24"/>
                <w:szCs w:val="24"/>
              </w:rPr>
              <w:t xml:space="preserve"> </w:t>
            </w:r>
            <w:r w:rsidR="00AB7AEF">
              <w:rPr>
                <w:rFonts w:ascii="Arial" w:hAnsi="Arial" w:cs="Arial"/>
                <w:sz w:val="24"/>
                <w:szCs w:val="24"/>
              </w:rPr>
              <w:t>J</w:t>
            </w:r>
            <w:r w:rsidR="00A91522" w:rsidRPr="00A91522">
              <w:rPr>
                <w:rFonts w:ascii="Arial" w:hAnsi="Arial" w:cs="Arial"/>
                <w:sz w:val="24"/>
                <w:szCs w:val="24"/>
              </w:rPr>
              <w:t>:</w:t>
            </w:r>
          </w:p>
          <w:p w:rsidR="00525402" w:rsidRDefault="00525402" w:rsidP="007F0C90">
            <w:pPr>
              <w:spacing w:after="0" w:line="360" w:lineRule="auto"/>
              <w:jc w:val="both"/>
              <w:rPr>
                <w:rFonts w:ascii="Arial" w:hAnsi="Arial" w:cs="Arial"/>
                <w:sz w:val="24"/>
                <w:szCs w:val="24"/>
              </w:rPr>
            </w:pPr>
          </w:p>
          <w:p w:rsidR="003F0FDD" w:rsidRDefault="00C04890" w:rsidP="007F0C90">
            <w:pPr>
              <w:spacing w:after="0" w:line="360" w:lineRule="auto"/>
              <w:jc w:val="both"/>
              <w:rPr>
                <w:rFonts w:ascii="Arial" w:hAnsi="Arial" w:cs="Arial"/>
                <w:sz w:val="24"/>
                <w:szCs w:val="24"/>
                <w:u w:val="single"/>
              </w:rPr>
            </w:pPr>
            <w:r w:rsidRPr="00C04890">
              <w:rPr>
                <w:rFonts w:ascii="Arial" w:hAnsi="Arial" w:cs="Arial"/>
                <w:sz w:val="24"/>
                <w:szCs w:val="24"/>
                <w:u w:val="single"/>
              </w:rPr>
              <w:t>Introduction</w:t>
            </w:r>
          </w:p>
          <w:p w:rsidR="00525402" w:rsidRPr="00C04890" w:rsidRDefault="00525402" w:rsidP="007F0C90">
            <w:pPr>
              <w:spacing w:after="0" w:line="360" w:lineRule="auto"/>
              <w:jc w:val="both"/>
              <w:rPr>
                <w:rFonts w:ascii="Arial" w:hAnsi="Arial" w:cs="Arial"/>
                <w:sz w:val="24"/>
                <w:szCs w:val="24"/>
                <w:u w:val="single"/>
              </w:rPr>
            </w:pPr>
          </w:p>
          <w:p w:rsidR="000D0F54" w:rsidRPr="007B2D88" w:rsidRDefault="00C04890" w:rsidP="007B2D88">
            <w:pPr>
              <w:pStyle w:val="ListParagraph"/>
              <w:numPr>
                <w:ilvl w:val="0"/>
                <w:numId w:val="49"/>
              </w:numPr>
              <w:spacing w:after="0" w:line="360" w:lineRule="auto"/>
              <w:ind w:left="0" w:firstLine="0"/>
              <w:jc w:val="both"/>
              <w:rPr>
                <w:rFonts w:ascii="Arial" w:hAnsi="Arial" w:cs="Arial"/>
                <w:sz w:val="24"/>
                <w:szCs w:val="24"/>
              </w:rPr>
            </w:pPr>
            <w:r w:rsidRPr="007B2D88">
              <w:rPr>
                <w:rFonts w:ascii="Arial" w:hAnsi="Arial" w:cs="Arial"/>
                <w:sz w:val="24"/>
                <w:szCs w:val="24"/>
              </w:rPr>
              <w:t>The applicant</w:t>
            </w:r>
            <w:r w:rsidR="007B2D88" w:rsidRPr="007B2D88">
              <w:rPr>
                <w:rFonts w:ascii="Arial" w:hAnsi="Arial" w:cs="Arial"/>
                <w:sz w:val="24"/>
                <w:szCs w:val="24"/>
              </w:rPr>
              <w:t>,</w:t>
            </w:r>
            <w:r w:rsidRPr="007B2D88">
              <w:rPr>
                <w:rFonts w:ascii="Arial" w:hAnsi="Arial" w:cs="Arial"/>
                <w:sz w:val="24"/>
                <w:szCs w:val="24"/>
              </w:rPr>
              <w:t xml:space="preserve"> in the current matter, </w:t>
            </w:r>
            <w:proofErr w:type="spellStart"/>
            <w:r w:rsidRPr="007B2D88">
              <w:rPr>
                <w:rFonts w:ascii="Arial" w:hAnsi="Arial" w:cs="Arial"/>
                <w:sz w:val="24"/>
                <w:szCs w:val="24"/>
              </w:rPr>
              <w:t>Ms</w:t>
            </w:r>
            <w:proofErr w:type="spellEnd"/>
            <w:r w:rsidRPr="007B2D88">
              <w:rPr>
                <w:rFonts w:ascii="Arial" w:hAnsi="Arial" w:cs="Arial"/>
                <w:sz w:val="24"/>
                <w:szCs w:val="24"/>
              </w:rPr>
              <w:t xml:space="preserve"> </w:t>
            </w:r>
            <w:proofErr w:type="spellStart"/>
            <w:r w:rsidRPr="007B2D88">
              <w:rPr>
                <w:rFonts w:ascii="Arial" w:hAnsi="Arial" w:cs="Arial"/>
                <w:sz w:val="24"/>
                <w:szCs w:val="24"/>
              </w:rPr>
              <w:t>Apabio</w:t>
            </w:r>
            <w:proofErr w:type="spellEnd"/>
            <w:r w:rsidR="007B2D88" w:rsidRPr="007B2D88">
              <w:rPr>
                <w:rFonts w:ascii="Arial" w:hAnsi="Arial" w:cs="Arial"/>
                <w:sz w:val="24"/>
                <w:szCs w:val="24"/>
              </w:rPr>
              <w:t>,</w:t>
            </w:r>
            <w:r w:rsidRPr="007B2D88">
              <w:rPr>
                <w:rFonts w:ascii="Arial" w:hAnsi="Arial" w:cs="Arial"/>
                <w:sz w:val="24"/>
                <w:szCs w:val="24"/>
              </w:rPr>
              <w:t xml:space="preserve"> has been embroiled with the Board of Legal Education for some time regarding her admission as a legal practitioner.  The matter has been heard by this court on a previous occasion, against which order she appealed and the appeal has </w:t>
            </w:r>
            <w:r w:rsidRPr="007B2D88">
              <w:rPr>
                <w:rFonts w:ascii="Arial" w:hAnsi="Arial" w:cs="Arial"/>
                <w:sz w:val="24"/>
                <w:szCs w:val="24"/>
              </w:rPr>
              <w:lastRenderedPageBreak/>
              <w:t xml:space="preserve">been upheld by the Supreme Court and referred back to this court to hear evidence regarding her claim.  This hearing before my brother </w:t>
            </w:r>
            <w:proofErr w:type="spellStart"/>
            <w:r w:rsidRPr="007B2D88">
              <w:rPr>
                <w:rFonts w:ascii="Arial" w:hAnsi="Arial" w:cs="Arial"/>
                <w:sz w:val="24"/>
                <w:szCs w:val="24"/>
              </w:rPr>
              <w:t>Sibeya</w:t>
            </w:r>
            <w:proofErr w:type="spellEnd"/>
            <w:r w:rsidRPr="007B2D88">
              <w:rPr>
                <w:rFonts w:ascii="Arial" w:hAnsi="Arial" w:cs="Arial"/>
                <w:sz w:val="24"/>
                <w:szCs w:val="24"/>
              </w:rPr>
              <w:t xml:space="preserve"> </w:t>
            </w:r>
            <w:r w:rsidR="007B2D88" w:rsidRPr="007B2D88">
              <w:rPr>
                <w:rFonts w:ascii="Arial" w:hAnsi="Arial" w:cs="Arial"/>
                <w:sz w:val="24"/>
                <w:szCs w:val="24"/>
              </w:rPr>
              <w:t xml:space="preserve">J </w:t>
            </w:r>
            <w:r w:rsidRPr="007B2D88">
              <w:rPr>
                <w:rFonts w:ascii="Arial" w:hAnsi="Arial" w:cs="Arial"/>
                <w:sz w:val="24"/>
                <w:szCs w:val="24"/>
              </w:rPr>
              <w:t>is set to take place on 2 August 2023.</w:t>
            </w:r>
          </w:p>
          <w:p w:rsidR="00C04890" w:rsidRDefault="00C04890" w:rsidP="007F0C90">
            <w:pPr>
              <w:spacing w:after="0" w:line="360" w:lineRule="auto"/>
              <w:jc w:val="both"/>
              <w:rPr>
                <w:rFonts w:ascii="Arial" w:hAnsi="Arial" w:cs="Arial"/>
                <w:sz w:val="24"/>
                <w:szCs w:val="24"/>
              </w:rPr>
            </w:pPr>
          </w:p>
          <w:p w:rsidR="003F0FDD" w:rsidRDefault="00C04890" w:rsidP="007F0C90">
            <w:pPr>
              <w:spacing w:after="0" w:line="360" w:lineRule="auto"/>
              <w:jc w:val="both"/>
              <w:rPr>
                <w:rFonts w:ascii="Arial" w:hAnsi="Arial" w:cs="Arial"/>
                <w:sz w:val="24"/>
                <w:szCs w:val="24"/>
                <w:u w:val="single"/>
              </w:rPr>
            </w:pPr>
            <w:r w:rsidRPr="00C04890">
              <w:rPr>
                <w:rFonts w:ascii="Arial" w:hAnsi="Arial" w:cs="Arial"/>
                <w:sz w:val="24"/>
                <w:szCs w:val="24"/>
                <w:u w:val="single"/>
              </w:rPr>
              <w:t>Background</w:t>
            </w:r>
          </w:p>
          <w:p w:rsidR="00525402" w:rsidRPr="00C04890" w:rsidRDefault="00525402" w:rsidP="007F0C90">
            <w:pPr>
              <w:spacing w:after="0" w:line="360" w:lineRule="auto"/>
              <w:jc w:val="both"/>
              <w:rPr>
                <w:rFonts w:ascii="Arial" w:hAnsi="Arial" w:cs="Arial"/>
                <w:sz w:val="24"/>
                <w:szCs w:val="24"/>
                <w:u w:val="single"/>
              </w:rPr>
            </w:pPr>
          </w:p>
          <w:p w:rsidR="007B2D88" w:rsidRDefault="00C04890" w:rsidP="007F0C90">
            <w:pPr>
              <w:pStyle w:val="ListParagraph"/>
              <w:numPr>
                <w:ilvl w:val="0"/>
                <w:numId w:val="49"/>
              </w:numPr>
              <w:spacing w:after="0" w:line="360" w:lineRule="auto"/>
              <w:ind w:left="0" w:firstLine="0"/>
              <w:jc w:val="both"/>
              <w:rPr>
                <w:rFonts w:ascii="Arial" w:hAnsi="Arial" w:cs="Arial"/>
                <w:sz w:val="24"/>
                <w:szCs w:val="24"/>
              </w:rPr>
            </w:pPr>
            <w:r w:rsidRPr="007B2D88">
              <w:rPr>
                <w:rFonts w:ascii="Arial" w:hAnsi="Arial" w:cs="Arial"/>
                <w:sz w:val="24"/>
                <w:szCs w:val="24"/>
              </w:rPr>
              <w:t xml:space="preserve">When the matter returned from the Supreme Court, it was subjected to case management and the parties </w:t>
            </w:r>
            <w:r w:rsidR="001B0146" w:rsidRPr="007B2D88">
              <w:rPr>
                <w:rFonts w:ascii="Arial" w:hAnsi="Arial" w:cs="Arial"/>
                <w:sz w:val="24"/>
                <w:szCs w:val="24"/>
              </w:rPr>
              <w:t xml:space="preserve">filed a substantial status report setting out the issues that should be addressed during the hearing of evidence with the applicant including as part of the status report a section dealing with the specific evidence and witness statement of </w:t>
            </w:r>
            <w:proofErr w:type="spellStart"/>
            <w:r w:rsidR="001B0146" w:rsidRPr="007B2D88">
              <w:rPr>
                <w:rFonts w:ascii="Arial" w:hAnsi="Arial" w:cs="Arial"/>
                <w:sz w:val="24"/>
                <w:szCs w:val="24"/>
              </w:rPr>
              <w:t>Ms</w:t>
            </w:r>
            <w:proofErr w:type="spellEnd"/>
            <w:r w:rsidR="001B0146" w:rsidRPr="007B2D88">
              <w:rPr>
                <w:rFonts w:ascii="Arial" w:hAnsi="Arial" w:cs="Arial"/>
                <w:sz w:val="24"/>
                <w:szCs w:val="24"/>
              </w:rPr>
              <w:t xml:space="preserve"> Amber Coerecius.  It seems from the status report that it was always the applicant’s intention to have a witness statement from </w:t>
            </w:r>
            <w:proofErr w:type="spellStart"/>
            <w:r w:rsidR="001B0146" w:rsidRPr="007B2D88">
              <w:rPr>
                <w:rFonts w:ascii="Arial" w:hAnsi="Arial" w:cs="Arial"/>
                <w:sz w:val="24"/>
                <w:szCs w:val="24"/>
              </w:rPr>
              <w:t>Ms</w:t>
            </w:r>
            <w:proofErr w:type="spellEnd"/>
            <w:r w:rsidR="001B0146" w:rsidRPr="007B2D88">
              <w:rPr>
                <w:rFonts w:ascii="Arial" w:hAnsi="Arial" w:cs="Arial"/>
                <w:sz w:val="24"/>
                <w:szCs w:val="24"/>
              </w:rPr>
              <w:t xml:space="preserve"> Amber Coerecius as well as subpoenaing her as a witness.</w:t>
            </w:r>
          </w:p>
          <w:p w:rsidR="007B2D88" w:rsidRDefault="007B2D88" w:rsidP="007B2D88">
            <w:pPr>
              <w:pStyle w:val="ListParagraph"/>
              <w:spacing w:after="0" w:line="360" w:lineRule="auto"/>
              <w:ind w:left="0"/>
              <w:jc w:val="both"/>
              <w:rPr>
                <w:rFonts w:ascii="Arial" w:hAnsi="Arial" w:cs="Arial"/>
                <w:sz w:val="24"/>
                <w:szCs w:val="24"/>
              </w:rPr>
            </w:pPr>
          </w:p>
          <w:p w:rsidR="00601E8D" w:rsidRPr="007B2D88" w:rsidRDefault="001B0146" w:rsidP="007F0C90">
            <w:pPr>
              <w:pStyle w:val="ListParagraph"/>
              <w:numPr>
                <w:ilvl w:val="0"/>
                <w:numId w:val="49"/>
              </w:numPr>
              <w:spacing w:after="0" w:line="360" w:lineRule="auto"/>
              <w:ind w:left="0" w:firstLine="0"/>
              <w:jc w:val="both"/>
              <w:rPr>
                <w:rFonts w:ascii="Arial" w:hAnsi="Arial" w:cs="Arial"/>
                <w:sz w:val="24"/>
                <w:szCs w:val="24"/>
              </w:rPr>
            </w:pPr>
            <w:r w:rsidRPr="007B2D88">
              <w:rPr>
                <w:rFonts w:ascii="Arial" w:hAnsi="Arial" w:cs="Arial"/>
                <w:sz w:val="24"/>
                <w:szCs w:val="24"/>
              </w:rPr>
              <w:t>After hearing the parties, the court made the following order:</w:t>
            </w:r>
          </w:p>
          <w:p w:rsidR="00525402" w:rsidRDefault="00525402" w:rsidP="007F0C90">
            <w:pPr>
              <w:spacing w:after="0" w:line="360" w:lineRule="auto"/>
              <w:jc w:val="both"/>
              <w:rPr>
                <w:rFonts w:ascii="Arial" w:hAnsi="Arial" w:cs="Arial"/>
                <w:sz w:val="24"/>
                <w:szCs w:val="24"/>
              </w:rPr>
            </w:pPr>
          </w:p>
          <w:p w:rsidR="001B0146" w:rsidRPr="00525402" w:rsidRDefault="00525402" w:rsidP="007F0C90">
            <w:pPr>
              <w:spacing w:after="0" w:line="360" w:lineRule="auto"/>
              <w:jc w:val="both"/>
              <w:rPr>
                <w:rFonts w:ascii="Arial" w:hAnsi="Arial" w:cs="Arial"/>
                <w:lang w:val="en-ZA"/>
              </w:rPr>
            </w:pPr>
            <w:r>
              <w:rPr>
                <w:rFonts w:ascii="Arial" w:hAnsi="Arial" w:cs="Arial"/>
                <w:sz w:val="24"/>
                <w:szCs w:val="24"/>
                <w:lang w:val="en-ZA"/>
              </w:rPr>
              <w:t xml:space="preserve">           ‘</w:t>
            </w:r>
            <w:r w:rsidR="001B0146" w:rsidRPr="00525402">
              <w:rPr>
                <w:rFonts w:ascii="Arial" w:hAnsi="Arial" w:cs="Arial"/>
                <w:lang w:val="en-ZA"/>
              </w:rPr>
              <w:t>1</w:t>
            </w:r>
            <w:r w:rsidRPr="00525402">
              <w:rPr>
                <w:rFonts w:ascii="Arial" w:hAnsi="Arial" w:cs="Arial"/>
                <w:lang w:val="en-ZA"/>
              </w:rPr>
              <w:t>.</w:t>
            </w:r>
            <w:r w:rsidR="001B0146" w:rsidRPr="00525402">
              <w:rPr>
                <w:rFonts w:ascii="Arial" w:hAnsi="Arial" w:cs="Arial"/>
                <w:lang w:val="en-ZA"/>
              </w:rPr>
              <w:tab/>
              <w:t xml:space="preserve">The respondents and any other person acting on their behalf as well as any witnesses subpoenaed and any other person with knowledge of this order is </w:t>
            </w:r>
            <w:proofErr w:type="spellStart"/>
            <w:r w:rsidR="001B0146" w:rsidRPr="00525402">
              <w:rPr>
                <w:rFonts w:ascii="Arial" w:hAnsi="Arial" w:cs="Arial"/>
                <w:lang w:val="en-ZA"/>
              </w:rPr>
              <w:t>procluded</w:t>
            </w:r>
            <w:proofErr w:type="spellEnd"/>
            <w:r w:rsidR="001B0146" w:rsidRPr="00525402">
              <w:rPr>
                <w:rFonts w:ascii="Arial" w:hAnsi="Arial" w:cs="Arial"/>
                <w:lang w:val="en-ZA"/>
              </w:rPr>
              <w:t xml:space="preserve"> from uploading the applicant's </w:t>
            </w:r>
            <w:proofErr w:type="spellStart"/>
            <w:r w:rsidR="001B0146" w:rsidRPr="00525402">
              <w:rPr>
                <w:rFonts w:ascii="Arial" w:hAnsi="Arial" w:cs="Arial"/>
                <w:lang w:val="en-ZA"/>
              </w:rPr>
              <w:t>Bachelor's</w:t>
            </w:r>
            <w:proofErr w:type="spellEnd"/>
            <w:r w:rsidR="001B0146" w:rsidRPr="00525402">
              <w:rPr>
                <w:rFonts w:ascii="Arial" w:hAnsi="Arial" w:cs="Arial"/>
                <w:lang w:val="en-ZA"/>
              </w:rPr>
              <w:t xml:space="preserve"> of Laws (LLB) transcript on the e-justice system. </w:t>
            </w:r>
          </w:p>
          <w:p w:rsidR="001B0146" w:rsidRPr="00525402" w:rsidRDefault="001B0146" w:rsidP="007F0C90">
            <w:pPr>
              <w:spacing w:after="0" w:line="360" w:lineRule="auto"/>
              <w:jc w:val="both"/>
              <w:rPr>
                <w:rFonts w:ascii="Arial" w:hAnsi="Arial" w:cs="Arial"/>
                <w:lang w:val="en-ZA"/>
              </w:rPr>
            </w:pPr>
          </w:p>
          <w:p w:rsidR="001B0146" w:rsidRPr="00525402" w:rsidRDefault="001B0146" w:rsidP="007F0C90">
            <w:pPr>
              <w:spacing w:after="0" w:line="360" w:lineRule="auto"/>
              <w:jc w:val="both"/>
              <w:rPr>
                <w:rFonts w:ascii="Arial" w:hAnsi="Arial" w:cs="Arial"/>
                <w:lang w:val="en-ZA"/>
              </w:rPr>
            </w:pPr>
            <w:r w:rsidRPr="00525402">
              <w:rPr>
                <w:rFonts w:ascii="Arial" w:hAnsi="Arial" w:cs="Arial"/>
                <w:lang w:val="en-ZA"/>
              </w:rPr>
              <w:t>2</w:t>
            </w:r>
            <w:r w:rsidR="00525402">
              <w:rPr>
                <w:rFonts w:ascii="Arial" w:hAnsi="Arial" w:cs="Arial"/>
                <w:lang w:val="en-ZA"/>
              </w:rPr>
              <w:t>.</w:t>
            </w:r>
            <w:r w:rsidRPr="00525402">
              <w:rPr>
                <w:rFonts w:ascii="Arial" w:hAnsi="Arial" w:cs="Arial"/>
                <w:lang w:val="en-ZA"/>
              </w:rPr>
              <w:t xml:space="preserve"> </w:t>
            </w:r>
            <w:r w:rsidRPr="00525402">
              <w:rPr>
                <w:rFonts w:ascii="Arial" w:hAnsi="Arial" w:cs="Arial"/>
                <w:lang w:val="en-ZA"/>
              </w:rPr>
              <w:tab/>
              <w:t xml:space="preserve">The applicant must subpoena the following witnesses:  </w:t>
            </w:r>
          </w:p>
          <w:p w:rsidR="001B0146" w:rsidRPr="00525402" w:rsidRDefault="001B0146" w:rsidP="007F0C90">
            <w:pPr>
              <w:spacing w:after="0" w:line="360" w:lineRule="auto"/>
              <w:jc w:val="both"/>
              <w:rPr>
                <w:rFonts w:ascii="Arial" w:hAnsi="Arial" w:cs="Arial"/>
                <w:lang w:val="en-ZA"/>
              </w:rPr>
            </w:pPr>
            <w:r w:rsidRPr="00525402">
              <w:rPr>
                <w:rFonts w:ascii="Arial" w:hAnsi="Arial" w:cs="Arial"/>
                <w:lang w:val="en-ZA"/>
              </w:rPr>
              <w:t xml:space="preserve">2.1 </w:t>
            </w:r>
            <w:r w:rsidRPr="00525402">
              <w:rPr>
                <w:rFonts w:ascii="Arial" w:hAnsi="Arial" w:cs="Arial"/>
                <w:lang w:val="en-ZA"/>
              </w:rPr>
              <w:tab/>
              <w:t xml:space="preserve">Ms Amber </w:t>
            </w:r>
            <w:proofErr w:type="spellStart"/>
            <w:r w:rsidRPr="00525402">
              <w:rPr>
                <w:rFonts w:ascii="Arial" w:hAnsi="Arial" w:cs="Arial"/>
                <w:lang w:val="en-ZA"/>
              </w:rPr>
              <w:t>Coerecius</w:t>
            </w:r>
            <w:proofErr w:type="spellEnd"/>
            <w:r w:rsidRPr="00525402">
              <w:rPr>
                <w:rFonts w:ascii="Arial" w:hAnsi="Arial" w:cs="Arial"/>
                <w:lang w:val="en-ZA"/>
              </w:rPr>
              <w:t xml:space="preserve"> </w:t>
            </w:r>
          </w:p>
          <w:p w:rsidR="001B0146" w:rsidRPr="00525402" w:rsidRDefault="001B0146" w:rsidP="007F0C90">
            <w:pPr>
              <w:spacing w:after="0" w:line="360" w:lineRule="auto"/>
              <w:jc w:val="both"/>
              <w:rPr>
                <w:rFonts w:ascii="Arial" w:hAnsi="Arial" w:cs="Arial"/>
                <w:lang w:val="en-ZA"/>
              </w:rPr>
            </w:pPr>
            <w:r w:rsidRPr="00525402">
              <w:rPr>
                <w:rFonts w:ascii="Arial" w:hAnsi="Arial" w:cs="Arial"/>
                <w:lang w:val="en-ZA"/>
              </w:rPr>
              <w:t xml:space="preserve">2.2 </w:t>
            </w:r>
            <w:r w:rsidRPr="00525402">
              <w:rPr>
                <w:rFonts w:ascii="Arial" w:hAnsi="Arial" w:cs="Arial"/>
                <w:lang w:val="en-ZA"/>
              </w:rPr>
              <w:tab/>
              <w:t xml:space="preserve">Mr </w:t>
            </w:r>
            <w:proofErr w:type="spellStart"/>
            <w:r w:rsidRPr="00525402">
              <w:rPr>
                <w:rFonts w:ascii="Arial" w:hAnsi="Arial" w:cs="Arial"/>
                <w:lang w:val="en-ZA"/>
              </w:rPr>
              <w:t>Eliaser</w:t>
            </w:r>
            <w:proofErr w:type="spellEnd"/>
            <w:r w:rsidRPr="00525402">
              <w:rPr>
                <w:rFonts w:ascii="Arial" w:hAnsi="Arial" w:cs="Arial"/>
                <w:lang w:val="en-ZA"/>
              </w:rPr>
              <w:t xml:space="preserve"> </w:t>
            </w:r>
            <w:proofErr w:type="spellStart"/>
            <w:r w:rsidRPr="00525402">
              <w:rPr>
                <w:rFonts w:ascii="Arial" w:hAnsi="Arial" w:cs="Arial"/>
                <w:lang w:val="en-ZA"/>
              </w:rPr>
              <w:t>Nekwaya</w:t>
            </w:r>
            <w:proofErr w:type="spellEnd"/>
            <w:r w:rsidRPr="00525402">
              <w:rPr>
                <w:rFonts w:ascii="Arial" w:hAnsi="Arial" w:cs="Arial"/>
                <w:lang w:val="en-ZA"/>
              </w:rPr>
              <w:t xml:space="preserve"> </w:t>
            </w:r>
          </w:p>
          <w:p w:rsidR="001B0146" w:rsidRPr="00525402" w:rsidRDefault="001B0146" w:rsidP="007F0C90">
            <w:pPr>
              <w:spacing w:after="0" w:line="360" w:lineRule="auto"/>
              <w:jc w:val="both"/>
              <w:rPr>
                <w:rFonts w:ascii="Arial" w:hAnsi="Arial" w:cs="Arial"/>
                <w:lang w:val="en-ZA"/>
              </w:rPr>
            </w:pPr>
          </w:p>
          <w:p w:rsidR="001B0146" w:rsidRPr="00525402" w:rsidRDefault="001B0146" w:rsidP="007F0C90">
            <w:pPr>
              <w:spacing w:after="0" w:line="360" w:lineRule="auto"/>
              <w:jc w:val="both"/>
              <w:rPr>
                <w:rFonts w:ascii="Arial" w:hAnsi="Arial" w:cs="Arial"/>
                <w:lang w:val="en-ZA"/>
              </w:rPr>
            </w:pPr>
            <w:r w:rsidRPr="00525402">
              <w:rPr>
                <w:rFonts w:ascii="Arial" w:hAnsi="Arial" w:cs="Arial"/>
                <w:lang w:val="en-ZA"/>
              </w:rPr>
              <w:t>3</w:t>
            </w:r>
            <w:r w:rsidR="00525402">
              <w:rPr>
                <w:rFonts w:ascii="Arial" w:hAnsi="Arial" w:cs="Arial"/>
                <w:lang w:val="en-ZA"/>
              </w:rPr>
              <w:t>.</w:t>
            </w:r>
            <w:r w:rsidRPr="00525402">
              <w:rPr>
                <w:rFonts w:ascii="Arial" w:hAnsi="Arial" w:cs="Arial"/>
                <w:lang w:val="en-ZA"/>
              </w:rPr>
              <w:t xml:space="preserve"> </w:t>
            </w:r>
            <w:r w:rsidRPr="00525402">
              <w:rPr>
                <w:rFonts w:ascii="Arial" w:hAnsi="Arial" w:cs="Arial"/>
                <w:lang w:val="en-ZA"/>
              </w:rPr>
              <w:tab/>
              <w:t xml:space="preserve">The respondents must subpoena the following witness: </w:t>
            </w:r>
          </w:p>
          <w:p w:rsidR="001B0146" w:rsidRPr="00525402" w:rsidRDefault="001B0146" w:rsidP="007F0C90">
            <w:pPr>
              <w:spacing w:after="0" w:line="360" w:lineRule="auto"/>
              <w:jc w:val="both"/>
              <w:rPr>
                <w:rFonts w:ascii="Arial" w:hAnsi="Arial" w:cs="Arial"/>
                <w:lang w:val="en-ZA"/>
              </w:rPr>
            </w:pPr>
            <w:r w:rsidRPr="00525402">
              <w:rPr>
                <w:rFonts w:ascii="Arial" w:hAnsi="Arial" w:cs="Arial"/>
                <w:lang w:val="en-ZA"/>
              </w:rPr>
              <w:t>3.1</w:t>
            </w:r>
            <w:r w:rsidRPr="00525402">
              <w:rPr>
                <w:rFonts w:ascii="Arial" w:hAnsi="Arial" w:cs="Arial"/>
                <w:lang w:val="en-ZA"/>
              </w:rPr>
              <w:tab/>
              <w:t xml:space="preserve"> Ms Victoria </w:t>
            </w:r>
            <w:proofErr w:type="spellStart"/>
            <w:r w:rsidRPr="00525402">
              <w:rPr>
                <w:rFonts w:ascii="Arial" w:hAnsi="Arial" w:cs="Arial"/>
                <w:lang w:val="en-ZA"/>
              </w:rPr>
              <w:t>Likius</w:t>
            </w:r>
            <w:proofErr w:type="spellEnd"/>
            <w:r w:rsidRPr="00525402">
              <w:rPr>
                <w:rFonts w:ascii="Arial" w:hAnsi="Arial" w:cs="Arial"/>
                <w:lang w:val="en-ZA"/>
              </w:rPr>
              <w:t xml:space="preserve"> </w:t>
            </w:r>
          </w:p>
          <w:p w:rsidR="001B0146" w:rsidRPr="00525402" w:rsidRDefault="001B0146" w:rsidP="007F0C90">
            <w:pPr>
              <w:spacing w:after="0" w:line="360" w:lineRule="auto"/>
              <w:jc w:val="both"/>
              <w:rPr>
                <w:rFonts w:ascii="Arial" w:hAnsi="Arial" w:cs="Arial"/>
                <w:lang w:val="en-ZA"/>
              </w:rPr>
            </w:pPr>
          </w:p>
          <w:p w:rsidR="001B0146" w:rsidRPr="00525402" w:rsidRDefault="00525402" w:rsidP="007F0C90">
            <w:pPr>
              <w:spacing w:after="0" w:line="360" w:lineRule="auto"/>
              <w:jc w:val="both"/>
              <w:rPr>
                <w:rFonts w:ascii="Arial" w:hAnsi="Arial" w:cs="Arial"/>
                <w:lang w:val="en-ZA"/>
              </w:rPr>
            </w:pPr>
            <w:r>
              <w:rPr>
                <w:rFonts w:ascii="Arial" w:hAnsi="Arial" w:cs="Arial"/>
                <w:lang w:val="en-ZA"/>
              </w:rPr>
              <w:t>4.</w:t>
            </w:r>
            <w:r w:rsidR="001B0146" w:rsidRPr="00525402">
              <w:rPr>
                <w:rFonts w:ascii="Arial" w:hAnsi="Arial" w:cs="Arial"/>
                <w:lang w:val="en-ZA"/>
              </w:rPr>
              <w:tab/>
              <w:t xml:space="preserve">The parties must file their witness statements on or before 27 July 2023 at 15:00 </w:t>
            </w:r>
          </w:p>
          <w:p w:rsidR="001B0146" w:rsidRPr="00525402" w:rsidRDefault="001B0146" w:rsidP="007F0C90">
            <w:pPr>
              <w:spacing w:after="0" w:line="360" w:lineRule="auto"/>
              <w:jc w:val="both"/>
              <w:rPr>
                <w:rFonts w:ascii="Arial" w:hAnsi="Arial" w:cs="Arial"/>
                <w:lang w:val="en-ZA"/>
              </w:rPr>
            </w:pPr>
          </w:p>
          <w:p w:rsidR="001B0146" w:rsidRPr="00525402" w:rsidRDefault="001B0146" w:rsidP="007F0C90">
            <w:pPr>
              <w:spacing w:after="0" w:line="360" w:lineRule="auto"/>
              <w:jc w:val="both"/>
              <w:rPr>
                <w:rFonts w:ascii="Arial" w:hAnsi="Arial" w:cs="Arial"/>
              </w:rPr>
            </w:pPr>
            <w:r w:rsidRPr="00525402">
              <w:rPr>
                <w:rFonts w:ascii="Arial" w:hAnsi="Arial" w:cs="Arial"/>
                <w:lang w:val="en-ZA"/>
              </w:rPr>
              <w:t>5</w:t>
            </w:r>
            <w:r w:rsidR="00525402">
              <w:rPr>
                <w:rFonts w:ascii="Arial" w:hAnsi="Arial" w:cs="Arial"/>
                <w:lang w:val="en-ZA"/>
              </w:rPr>
              <w:t>.</w:t>
            </w:r>
            <w:r w:rsidRPr="00525402">
              <w:rPr>
                <w:rFonts w:ascii="Arial" w:hAnsi="Arial" w:cs="Arial"/>
                <w:lang w:val="en-ZA"/>
              </w:rPr>
              <w:t xml:space="preserve"> </w:t>
            </w:r>
            <w:r w:rsidRPr="00525402">
              <w:rPr>
                <w:rFonts w:ascii="Arial" w:hAnsi="Arial" w:cs="Arial"/>
                <w:lang w:val="en-ZA"/>
              </w:rPr>
              <w:tab/>
              <w:t xml:space="preserve">The case is postponed to 02 August 2023 at 09:00 for Opposed Motion hearing (Reason: Hearing of Oral evidence on the </w:t>
            </w:r>
            <w:proofErr w:type="spellStart"/>
            <w:r w:rsidRPr="00525402">
              <w:rPr>
                <w:rFonts w:ascii="Arial" w:hAnsi="Arial" w:cs="Arial"/>
                <w:lang w:val="en-ZA"/>
              </w:rPr>
              <w:t>specificied</w:t>
            </w:r>
            <w:proofErr w:type="spellEnd"/>
            <w:r w:rsidRPr="00525402">
              <w:rPr>
                <w:rFonts w:ascii="Arial" w:hAnsi="Arial" w:cs="Arial"/>
                <w:lang w:val="en-ZA"/>
              </w:rPr>
              <w:t xml:space="preserve"> issue of whether the applicant as part of her application for the </w:t>
            </w:r>
            <w:proofErr w:type="spellStart"/>
            <w:r w:rsidRPr="00525402">
              <w:rPr>
                <w:rFonts w:ascii="Arial" w:hAnsi="Arial" w:cs="Arial"/>
                <w:lang w:val="en-ZA"/>
              </w:rPr>
              <w:t>presciption</w:t>
            </w:r>
            <w:proofErr w:type="spellEnd"/>
            <w:r w:rsidRPr="00525402">
              <w:rPr>
                <w:rFonts w:ascii="Arial" w:hAnsi="Arial" w:cs="Arial"/>
                <w:lang w:val="en-ZA"/>
              </w:rPr>
              <w:t xml:space="preserve"> of her LLB degree in terms of s 5(4) o</w:t>
            </w:r>
            <w:r w:rsidR="007B2D88">
              <w:rPr>
                <w:rFonts w:ascii="Arial" w:hAnsi="Arial" w:cs="Arial"/>
                <w:lang w:val="en-ZA"/>
              </w:rPr>
              <w:t>f</w:t>
            </w:r>
            <w:r w:rsidRPr="00525402">
              <w:rPr>
                <w:rFonts w:ascii="Arial" w:hAnsi="Arial" w:cs="Arial"/>
                <w:lang w:val="en-ZA"/>
              </w:rPr>
              <w:t xml:space="preserve"> the Legal Practitioner's Act 15 of 1995 (the LPA), submitted to the Board of Legal Education the original or </w:t>
            </w:r>
            <w:proofErr w:type="spellStart"/>
            <w:r w:rsidRPr="00525402">
              <w:rPr>
                <w:rFonts w:ascii="Arial" w:hAnsi="Arial" w:cs="Arial"/>
                <w:lang w:val="en-ZA"/>
              </w:rPr>
              <w:t>autheticated</w:t>
            </w:r>
            <w:proofErr w:type="spellEnd"/>
            <w:r w:rsidRPr="00525402">
              <w:rPr>
                <w:rFonts w:ascii="Arial" w:hAnsi="Arial" w:cs="Arial"/>
                <w:lang w:val="en-ZA"/>
              </w:rPr>
              <w:t xml:space="preserve"> copies of her LLB certificate and the transcript issued by the Obafemi </w:t>
            </w:r>
            <w:proofErr w:type="spellStart"/>
            <w:r w:rsidRPr="00525402">
              <w:rPr>
                <w:rFonts w:ascii="Arial" w:hAnsi="Arial" w:cs="Arial"/>
                <w:lang w:val="en-ZA"/>
              </w:rPr>
              <w:t>Awolowo</w:t>
            </w:r>
            <w:proofErr w:type="spellEnd"/>
            <w:r w:rsidRPr="00525402">
              <w:rPr>
                <w:rFonts w:ascii="Arial" w:hAnsi="Arial" w:cs="Arial"/>
                <w:lang w:val="en-ZA"/>
              </w:rPr>
              <w:t xml:space="preserve"> University in 1991, in terms of s 11(2) of the LPA.</w:t>
            </w:r>
            <w:r w:rsidR="00525402">
              <w:rPr>
                <w:rFonts w:ascii="Arial" w:hAnsi="Arial" w:cs="Arial"/>
                <w:lang w:val="en-ZA"/>
              </w:rPr>
              <w:t>’</w:t>
            </w:r>
          </w:p>
          <w:p w:rsidR="000D0F54" w:rsidRDefault="000D0F54" w:rsidP="007F0C90">
            <w:pPr>
              <w:spacing w:after="0" w:line="360" w:lineRule="auto"/>
              <w:jc w:val="both"/>
              <w:rPr>
                <w:rFonts w:ascii="Arial" w:hAnsi="Arial" w:cs="Arial"/>
                <w:sz w:val="24"/>
                <w:szCs w:val="24"/>
              </w:rPr>
            </w:pPr>
          </w:p>
          <w:p w:rsidR="00923BA4" w:rsidRPr="007B2D88" w:rsidRDefault="00E3225D" w:rsidP="007B2D88">
            <w:pPr>
              <w:pStyle w:val="ListParagraph"/>
              <w:numPr>
                <w:ilvl w:val="0"/>
                <w:numId w:val="49"/>
              </w:numPr>
              <w:spacing w:after="0" w:line="360" w:lineRule="auto"/>
              <w:ind w:left="0" w:firstLine="0"/>
              <w:jc w:val="both"/>
              <w:rPr>
                <w:rFonts w:ascii="Arial" w:hAnsi="Arial" w:cs="Arial"/>
                <w:sz w:val="24"/>
                <w:szCs w:val="24"/>
              </w:rPr>
            </w:pPr>
            <w:r w:rsidRPr="007B2D88">
              <w:rPr>
                <w:rFonts w:ascii="Arial" w:hAnsi="Arial" w:cs="Arial"/>
                <w:sz w:val="24"/>
                <w:szCs w:val="24"/>
              </w:rPr>
              <w:t xml:space="preserve">It then seems that the applicant approached </w:t>
            </w:r>
            <w:proofErr w:type="spellStart"/>
            <w:r w:rsidRPr="007B2D88">
              <w:rPr>
                <w:rFonts w:ascii="Arial" w:hAnsi="Arial" w:cs="Arial"/>
                <w:sz w:val="24"/>
                <w:szCs w:val="24"/>
              </w:rPr>
              <w:t>Ms</w:t>
            </w:r>
            <w:proofErr w:type="spellEnd"/>
            <w:r w:rsidRPr="007B2D88">
              <w:rPr>
                <w:rFonts w:ascii="Arial" w:hAnsi="Arial" w:cs="Arial"/>
                <w:sz w:val="24"/>
                <w:szCs w:val="24"/>
              </w:rPr>
              <w:t xml:space="preserve"> Amber Coerecius to provide her with a witness statement, which request was apparently forwarded to the Board of Legal Education.  In a letter</w:t>
            </w:r>
            <w:r w:rsidR="007B2D88" w:rsidRPr="007B2D88">
              <w:rPr>
                <w:rFonts w:ascii="Arial" w:hAnsi="Arial" w:cs="Arial"/>
                <w:sz w:val="24"/>
                <w:szCs w:val="24"/>
              </w:rPr>
              <w:t>,</w:t>
            </w:r>
            <w:r w:rsidRPr="007B2D88">
              <w:rPr>
                <w:rFonts w:ascii="Arial" w:hAnsi="Arial" w:cs="Arial"/>
                <w:sz w:val="24"/>
                <w:szCs w:val="24"/>
              </w:rPr>
              <w:t xml:space="preserve"> </w:t>
            </w:r>
            <w:proofErr w:type="spellStart"/>
            <w:r w:rsidRPr="007B2D88">
              <w:rPr>
                <w:rFonts w:ascii="Arial" w:hAnsi="Arial" w:cs="Arial"/>
                <w:sz w:val="24"/>
                <w:szCs w:val="24"/>
              </w:rPr>
              <w:t>Ms</w:t>
            </w:r>
            <w:proofErr w:type="spellEnd"/>
            <w:r w:rsidRPr="007B2D88">
              <w:rPr>
                <w:rFonts w:ascii="Arial" w:hAnsi="Arial" w:cs="Arial"/>
                <w:sz w:val="24"/>
                <w:szCs w:val="24"/>
              </w:rPr>
              <w:t xml:space="preserve"> Amber Coerecius was instructed that she is to testify on behalf of the Board of Legal Education and that she is not to consult with the applicant for the purposes of drafting a witness </w:t>
            </w:r>
            <w:r w:rsidRPr="007B2D88">
              <w:rPr>
                <w:rFonts w:ascii="Arial" w:hAnsi="Arial" w:cs="Arial"/>
                <w:sz w:val="24"/>
                <w:szCs w:val="24"/>
              </w:rPr>
              <w:lastRenderedPageBreak/>
              <w:t>statement.  A copy of this letter was attached to the found</w:t>
            </w:r>
            <w:r w:rsidR="00525402" w:rsidRPr="007B2D88">
              <w:rPr>
                <w:rFonts w:ascii="Arial" w:hAnsi="Arial" w:cs="Arial"/>
                <w:sz w:val="24"/>
                <w:szCs w:val="24"/>
              </w:rPr>
              <w:t>ing affidavit of the applicant.</w:t>
            </w:r>
            <w:r w:rsidRPr="007B2D88">
              <w:rPr>
                <w:rFonts w:ascii="Arial" w:hAnsi="Arial" w:cs="Arial"/>
                <w:sz w:val="24"/>
                <w:szCs w:val="24"/>
              </w:rPr>
              <w:t xml:space="preserve"> She then proceeds and narrate in her founding affidavit what she was told by </w:t>
            </w:r>
            <w:proofErr w:type="spellStart"/>
            <w:r w:rsidRPr="007B2D88">
              <w:rPr>
                <w:rFonts w:ascii="Arial" w:hAnsi="Arial" w:cs="Arial"/>
                <w:sz w:val="24"/>
                <w:szCs w:val="24"/>
              </w:rPr>
              <w:t>Ms</w:t>
            </w:r>
            <w:proofErr w:type="spellEnd"/>
            <w:r w:rsidRPr="007B2D88">
              <w:rPr>
                <w:rFonts w:ascii="Arial" w:hAnsi="Arial" w:cs="Arial"/>
                <w:sz w:val="24"/>
                <w:szCs w:val="24"/>
              </w:rPr>
              <w:t xml:space="preserve"> Amber Coerecius regarding a meeting she had w</w:t>
            </w:r>
            <w:r w:rsidR="007B2D88" w:rsidRPr="007B2D88">
              <w:rPr>
                <w:rFonts w:ascii="Arial" w:hAnsi="Arial" w:cs="Arial"/>
                <w:sz w:val="24"/>
                <w:szCs w:val="24"/>
              </w:rPr>
              <w:t>ith the respondents legal counse</w:t>
            </w:r>
            <w:r w:rsidRPr="007B2D88">
              <w:rPr>
                <w:rFonts w:ascii="Arial" w:hAnsi="Arial" w:cs="Arial"/>
                <w:sz w:val="24"/>
                <w:szCs w:val="24"/>
              </w:rPr>
              <w:t>l but this is not supported by a confirmatory affi</w:t>
            </w:r>
            <w:r w:rsidR="00525402" w:rsidRPr="007B2D88">
              <w:rPr>
                <w:rFonts w:ascii="Arial" w:hAnsi="Arial" w:cs="Arial"/>
                <w:sz w:val="24"/>
                <w:szCs w:val="24"/>
              </w:rPr>
              <w:t xml:space="preserve">davit and is at most hear say. </w:t>
            </w:r>
            <w:proofErr w:type="spellStart"/>
            <w:r w:rsidRPr="007B2D88">
              <w:rPr>
                <w:rFonts w:ascii="Arial" w:hAnsi="Arial" w:cs="Arial"/>
                <w:sz w:val="24"/>
                <w:szCs w:val="24"/>
              </w:rPr>
              <w:t>Ms</w:t>
            </w:r>
            <w:proofErr w:type="spellEnd"/>
            <w:r w:rsidRPr="007B2D88">
              <w:rPr>
                <w:rFonts w:ascii="Arial" w:hAnsi="Arial" w:cs="Arial"/>
                <w:sz w:val="24"/>
                <w:szCs w:val="24"/>
              </w:rPr>
              <w:t xml:space="preserve"> Amber Coerecius </w:t>
            </w:r>
            <w:r w:rsidR="00BC31CE" w:rsidRPr="007B2D88">
              <w:rPr>
                <w:rFonts w:ascii="Arial" w:hAnsi="Arial" w:cs="Arial"/>
                <w:sz w:val="24"/>
                <w:szCs w:val="24"/>
              </w:rPr>
              <w:t>however did indicate to the applicant on 20 July 2023 that she is not prepared to provide a witness statement to the applicant but that she would attend the court session of 2 August 2023 as she was a subpoenaed witness.  The applicant conceded that she had very li</w:t>
            </w:r>
            <w:r w:rsidR="007B2D88" w:rsidRPr="007B2D88">
              <w:rPr>
                <w:rFonts w:ascii="Arial" w:hAnsi="Arial" w:cs="Arial"/>
                <w:sz w:val="24"/>
                <w:szCs w:val="24"/>
              </w:rPr>
              <w:t xml:space="preserve">ttle to no engagement with Adv. </w:t>
            </w:r>
            <w:proofErr w:type="spellStart"/>
            <w:r w:rsidR="00BC31CE" w:rsidRPr="007B2D88">
              <w:rPr>
                <w:rFonts w:ascii="Arial" w:hAnsi="Arial" w:cs="Arial"/>
                <w:sz w:val="24"/>
                <w:szCs w:val="24"/>
              </w:rPr>
              <w:t>Nekw</w:t>
            </w:r>
            <w:r w:rsidR="007B2D88" w:rsidRPr="007B2D88">
              <w:rPr>
                <w:rFonts w:ascii="Arial" w:hAnsi="Arial" w:cs="Arial"/>
                <w:sz w:val="24"/>
                <w:szCs w:val="24"/>
              </w:rPr>
              <w:t>a</w:t>
            </w:r>
            <w:r w:rsidR="00BC31CE" w:rsidRPr="007B2D88">
              <w:rPr>
                <w:rFonts w:ascii="Arial" w:hAnsi="Arial" w:cs="Arial"/>
                <w:sz w:val="24"/>
                <w:szCs w:val="24"/>
              </w:rPr>
              <w:t>ya</w:t>
            </w:r>
            <w:proofErr w:type="spellEnd"/>
            <w:r w:rsidR="00BC31CE" w:rsidRPr="007B2D88">
              <w:rPr>
                <w:rFonts w:ascii="Arial" w:hAnsi="Arial" w:cs="Arial"/>
                <w:sz w:val="24"/>
                <w:szCs w:val="24"/>
              </w:rPr>
              <w:t xml:space="preserve"> and therefore does not know what his position is.</w:t>
            </w:r>
          </w:p>
          <w:p w:rsidR="003F0FDD" w:rsidRDefault="003F0FDD" w:rsidP="007F0C90">
            <w:pPr>
              <w:spacing w:after="0" w:line="360" w:lineRule="auto"/>
              <w:jc w:val="both"/>
              <w:rPr>
                <w:rFonts w:ascii="Arial" w:hAnsi="Arial" w:cs="Arial"/>
                <w:sz w:val="24"/>
                <w:szCs w:val="24"/>
              </w:rPr>
            </w:pPr>
          </w:p>
          <w:p w:rsidR="00BC31CE" w:rsidRDefault="00BC31CE" w:rsidP="007F0C90">
            <w:pPr>
              <w:spacing w:after="0" w:line="360" w:lineRule="auto"/>
              <w:jc w:val="both"/>
              <w:rPr>
                <w:rFonts w:ascii="Arial" w:hAnsi="Arial" w:cs="Arial"/>
                <w:sz w:val="24"/>
                <w:szCs w:val="24"/>
                <w:u w:val="single"/>
              </w:rPr>
            </w:pPr>
            <w:r w:rsidRPr="00BC31CE">
              <w:rPr>
                <w:rFonts w:ascii="Arial" w:hAnsi="Arial" w:cs="Arial"/>
                <w:sz w:val="24"/>
                <w:szCs w:val="24"/>
                <w:u w:val="single"/>
              </w:rPr>
              <w:t>Relief</w:t>
            </w:r>
          </w:p>
          <w:p w:rsidR="00525402" w:rsidRPr="00BC31CE" w:rsidRDefault="00525402" w:rsidP="007F0C90">
            <w:pPr>
              <w:spacing w:after="0" w:line="360" w:lineRule="auto"/>
              <w:jc w:val="both"/>
              <w:rPr>
                <w:rFonts w:ascii="Arial" w:hAnsi="Arial" w:cs="Arial"/>
                <w:sz w:val="24"/>
                <w:szCs w:val="24"/>
                <w:u w:val="single"/>
              </w:rPr>
            </w:pPr>
          </w:p>
          <w:p w:rsidR="00BC31CE" w:rsidRPr="007B2D88" w:rsidRDefault="00BC31CE" w:rsidP="005D7D4F">
            <w:pPr>
              <w:pStyle w:val="ListParagraph"/>
              <w:numPr>
                <w:ilvl w:val="0"/>
                <w:numId w:val="49"/>
              </w:numPr>
              <w:spacing w:after="0" w:line="360" w:lineRule="auto"/>
              <w:ind w:left="0" w:firstLine="0"/>
              <w:jc w:val="both"/>
              <w:rPr>
                <w:rFonts w:ascii="Arial" w:hAnsi="Arial" w:cs="Arial"/>
                <w:sz w:val="24"/>
                <w:szCs w:val="24"/>
              </w:rPr>
            </w:pPr>
            <w:r w:rsidRPr="007B2D88">
              <w:rPr>
                <w:rFonts w:ascii="Arial" w:hAnsi="Arial" w:cs="Arial"/>
                <w:sz w:val="24"/>
                <w:szCs w:val="24"/>
              </w:rPr>
              <w:t xml:space="preserve">The following relief was requested by the applicant:  </w:t>
            </w:r>
          </w:p>
          <w:p w:rsidR="00525402" w:rsidRDefault="00525402" w:rsidP="00BC31CE">
            <w:pPr>
              <w:spacing w:after="0" w:line="360" w:lineRule="auto"/>
              <w:jc w:val="both"/>
              <w:rPr>
                <w:rFonts w:ascii="Arial" w:hAnsi="Arial" w:cs="Arial"/>
                <w:sz w:val="24"/>
                <w:szCs w:val="24"/>
              </w:rPr>
            </w:pPr>
          </w:p>
          <w:p w:rsidR="00BC31CE" w:rsidRPr="00525402" w:rsidRDefault="007B2D88" w:rsidP="007B2D88">
            <w:pPr>
              <w:spacing w:after="0" w:line="360" w:lineRule="auto"/>
              <w:ind w:left="360"/>
              <w:jc w:val="both"/>
              <w:rPr>
                <w:rFonts w:ascii="Arial" w:hAnsi="Arial" w:cs="Arial"/>
              </w:rPr>
            </w:pPr>
            <w:r>
              <w:rPr>
                <w:rFonts w:ascii="Arial" w:hAnsi="Arial" w:cs="Arial"/>
              </w:rPr>
              <w:t xml:space="preserve">        </w:t>
            </w:r>
            <w:r w:rsidR="00525402" w:rsidRPr="00525402">
              <w:rPr>
                <w:rFonts w:ascii="Arial" w:hAnsi="Arial" w:cs="Arial"/>
              </w:rPr>
              <w:t xml:space="preserve">‘1. </w:t>
            </w:r>
            <w:r w:rsidR="00BC31CE" w:rsidRPr="00525402">
              <w:rPr>
                <w:rFonts w:ascii="Arial" w:hAnsi="Arial" w:cs="Arial"/>
              </w:rPr>
              <w:t>The applicant’s non-compliance with the Rules of Court relating to form, service and the time periods for the exchange of papers is hereby condoned and the application is heard as one of urgency in terms of Rule 73.</w:t>
            </w:r>
          </w:p>
          <w:p w:rsidR="00BC31CE" w:rsidRPr="00525402" w:rsidRDefault="00BC31CE" w:rsidP="007B2D88">
            <w:pPr>
              <w:numPr>
                <w:ilvl w:val="0"/>
                <w:numId w:val="46"/>
              </w:numPr>
              <w:spacing w:after="0" w:line="360" w:lineRule="auto"/>
              <w:ind w:left="360"/>
              <w:jc w:val="both"/>
              <w:rPr>
                <w:rFonts w:ascii="Arial" w:hAnsi="Arial" w:cs="Arial"/>
              </w:rPr>
            </w:pPr>
            <w:r w:rsidRPr="00525402">
              <w:rPr>
                <w:rFonts w:ascii="Arial" w:hAnsi="Arial" w:cs="Arial"/>
              </w:rPr>
              <w:t xml:space="preserve">The respondents and their attorneys are restrained from engaging in any harassing conduct resulting in the intimidation of the applicants’ witnesses and the suppression of evidence for the hearing of oral evidence from </w:t>
            </w:r>
            <w:proofErr w:type="spellStart"/>
            <w:r w:rsidRPr="00525402">
              <w:rPr>
                <w:rFonts w:ascii="Arial" w:hAnsi="Arial" w:cs="Arial"/>
              </w:rPr>
              <w:t>Ms</w:t>
            </w:r>
            <w:proofErr w:type="spellEnd"/>
            <w:r w:rsidRPr="00525402">
              <w:rPr>
                <w:rFonts w:ascii="Arial" w:hAnsi="Arial" w:cs="Arial"/>
              </w:rPr>
              <w:t xml:space="preserve"> Amber Coerecius and Advocate </w:t>
            </w:r>
            <w:proofErr w:type="spellStart"/>
            <w:r w:rsidRPr="00525402">
              <w:rPr>
                <w:rFonts w:ascii="Arial" w:hAnsi="Arial" w:cs="Arial"/>
              </w:rPr>
              <w:t>Eliaser</w:t>
            </w:r>
            <w:proofErr w:type="spellEnd"/>
            <w:r w:rsidRPr="00525402">
              <w:rPr>
                <w:rFonts w:ascii="Arial" w:hAnsi="Arial" w:cs="Arial"/>
              </w:rPr>
              <w:t xml:space="preserve"> </w:t>
            </w:r>
            <w:proofErr w:type="spellStart"/>
            <w:r w:rsidRPr="00525402">
              <w:rPr>
                <w:rFonts w:ascii="Arial" w:hAnsi="Arial" w:cs="Arial"/>
              </w:rPr>
              <w:t>Nekwaya</w:t>
            </w:r>
            <w:proofErr w:type="spellEnd"/>
            <w:r w:rsidRPr="00525402">
              <w:rPr>
                <w:rFonts w:ascii="Arial" w:hAnsi="Arial" w:cs="Arial"/>
              </w:rPr>
              <w:t>.</w:t>
            </w:r>
          </w:p>
          <w:p w:rsidR="00BC31CE" w:rsidRPr="00525402" w:rsidRDefault="00BC31CE" w:rsidP="007B2D88">
            <w:pPr>
              <w:numPr>
                <w:ilvl w:val="0"/>
                <w:numId w:val="46"/>
              </w:numPr>
              <w:spacing w:after="0" w:line="360" w:lineRule="auto"/>
              <w:ind w:left="360"/>
              <w:jc w:val="both"/>
              <w:rPr>
                <w:rFonts w:ascii="Arial" w:hAnsi="Arial" w:cs="Arial"/>
              </w:rPr>
            </w:pPr>
            <w:r w:rsidRPr="00525402">
              <w:rPr>
                <w:rFonts w:ascii="Arial" w:hAnsi="Arial" w:cs="Arial"/>
              </w:rPr>
              <w:t xml:space="preserve">An order is issued prohibiting any direct contact with the applicant’s witnesses for the purpose of discussing the case until after the date of the hearing of oral evidence in the matter. In the instances where the respondents have to contact </w:t>
            </w:r>
            <w:proofErr w:type="spellStart"/>
            <w:r w:rsidRPr="00525402">
              <w:rPr>
                <w:rFonts w:ascii="Arial" w:hAnsi="Arial" w:cs="Arial"/>
              </w:rPr>
              <w:t>Ms</w:t>
            </w:r>
            <w:proofErr w:type="spellEnd"/>
            <w:r w:rsidRPr="00525402">
              <w:rPr>
                <w:rFonts w:ascii="Arial" w:hAnsi="Arial" w:cs="Arial"/>
              </w:rPr>
              <w:t xml:space="preserve"> Amber Coerecius for the purpose of obtaining any document relevant to the case during this period, or for the purpose of her official duties in the Ministry of Justice, communication and engagement with her for that purpose shall where possible, be through other members of staff of the Ministry of Justice.</w:t>
            </w:r>
          </w:p>
          <w:p w:rsidR="00BC31CE" w:rsidRPr="00525402" w:rsidRDefault="00BC31CE" w:rsidP="007B2D88">
            <w:pPr>
              <w:numPr>
                <w:ilvl w:val="0"/>
                <w:numId w:val="46"/>
              </w:numPr>
              <w:spacing w:after="0" w:line="360" w:lineRule="auto"/>
              <w:ind w:left="360"/>
              <w:jc w:val="both"/>
              <w:rPr>
                <w:rFonts w:ascii="Arial" w:hAnsi="Arial" w:cs="Arial"/>
              </w:rPr>
            </w:pPr>
            <w:r w:rsidRPr="00525402">
              <w:rPr>
                <w:rFonts w:ascii="Arial" w:hAnsi="Arial" w:cs="Arial"/>
              </w:rPr>
              <w:t>The applicant’s witnesses are mandated to comply fully with the court order of 14 July 2023 including the preparation of witness statements, attendance at Court for the giving of oral evidence and to consult with the applicant as deemed necessary without any inhibition.</w:t>
            </w:r>
          </w:p>
          <w:p w:rsidR="00BC31CE" w:rsidRPr="00525402" w:rsidRDefault="00BC31CE" w:rsidP="007B2D88">
            <w:pPr>
              <w:numPr>
                <w:ilvl w:val="0"/>
                <w:numId w:val="46"/>
              </w:numPr>
              <w:spacing w:after="0" w:line="360" w:lineRule="auto"/>
              <w:ind w:left="360"/>
              <w:jc w:val="both"/>
              <w:rPr>
                <w:rFonts w:ascii="Arial" w:hAnsi="Arial" w:cs="Arial"/>
              </w:rPr>
            </w:pPr>
            <w:r w:rsidRPr="00525402">
              <w:rPr>
                <w:rFonts w:ascii="Arial" w:hAnsi="Arial" w:cs="Arial"/>
              </w:rPr>
              <w:t>The respondents opposing this application are directed to pay the applicant’s expenses.</w:t>
            </w:r>
          </w:p>
          <w:p w:rsidR="00BC31CE" w:rsidRPr="00525402" w:rsidRDefault="00BC31CE" w:rsidP="007B2D88">
            <w:pPr>
              <w:numPr>
                <w:ilvl w:val="0"/>
                <w:numId w:val="46"/>
              </w:numPr>
              <w:spacing w:after="0" w:line="360" w:lineRule="auto"/>
              <w:ind w:left="360"/>
              <w:jc w:val="both"/>
              <w:rPr>
                <w:rFonts w:ascii="Arial" w:hAnsi="Arial" w:cs="Arial"/>
              </w:rPr>
            </w:pPr>
            <w:r w:rsidRPr="00525402">
              <w:rPr>
                <w:rFonts w:ascii="Arial" w:hAnsi="Arial" w:cs="Arial"/>
              </w:rPr>
              <w:t>Further and/or alternative relief.</w:t>
            </w:r>
            <w:r w:rsidR="00525402">
              <w:rPr>
                <w:rFonts w:ascii="Arial" w:hAnsi="Arial" w:cs="Arial"/>
              </w:rPr>
              <w:t>’</w:t>
            </w:r>
          </w:p>
          <w:p w:rsidR="007B2D88" w:rsidRDefault="007B2D88" w:rsidP="007F0C90">
            <w:pPr>
              <w:spacing w:after="0" w:line="360" w:lineRule="auto"/>
              <w:jc w:val="both"/>
              <w:rPr>
                <w:rFonts w:ascii="Arial" w:hAnsi="Arial" w:cs="Arial"/>
                <w:sz w:val="24"/>
                <w:szCs w:val="24"/>
              </w:rPr>
            </w:pPr>
          </w:p>
          <w:p w:rsidR="00BC31CE" w:rsidRPr="00BC31CE" w:rsidRDefault="00BC31CE" w:rsidP="007F0C90">
            <w:pPr>
              <w:spacing w:after="0" w:line="360" w:lineRule="auto"/>
              <w:jc w:val="both"/>
              <w:rPr>
                <w:rFonts w:ascii="Arial" w:hAnsi="Arial" w:cs="Arial"/>
                <w:sz w:val="24"/>
                <w:szCs w:val="24"/>
                <w:u w:val="single"/>
              </w:rPr>
            </w:pPr>
            <w:r w:rsidRPr="00BC31CE">
              <w:rPr>
                <w:rFonts w:ascii="Arial" w:hAnsi="Arial" w:cs="Arial"/>
                <w:sz w:val="24"/>
                <w:szCs w:val="24"/>
                <w:u w:val="single"/>
              </w:rPr>
              <w:t>The stance of the respondent</w:t>
            </w:r>
          </w:p>
          <w:p w:rsidR="00923BA4" w:rsidRDefault="00923BA4" w:rsidP="007F0C90">
            <w:pPr>
              <w:spacing w:after="0" w:line="360" w:lineRule="auto"/>
              <w:jc w:val="both"/>
              <w:rPr>
                <w:rFonts w:ascii="Arial" w:hAnsi="Arial" w:cs="Arial"/>
                <w:sz w:val="24"/>
                <w:szCs w:val="24"/>
              </w:rPr>
            </w:pPr>
          </w:p>
          <w:p w:rsidR="005D7D4F" w:rsidRPr="005D7D4F" w:rsidRDefault="00BC31CE" w:rsidP="007F0C90">
            <w:pPr>
              <w:pStyle w:val="ListParagraph"/>
              <w:numPr>
                <w:ilvl w:val="0"/>
                <w:numId w:val="49"/>
              </w:numPr>
              <w:spacing w:after="0" w:line="360" w:lineRule="auto"/>
              <w:ind w:left="0" w:firstLine="0"/>
              <w:jc w:val="both"/>
              <w:rPr>
                <w:rFonts w:ascii="Arial" w:hAnsi="Arial" w:cs="Arial"/>
              </w:rPr>
            </w:pPr>
            <w:r w:rsidRPr="005D7D4F">
              <w:rPr>
                <w:rFonts w:ascii="Arial" w:hAnsi="Arial" w:cs="Arial"/>
                <w:sz w:val="24"/>
                <w:szCs w:val="24"/>
              </w:rPr>
              <w:t>The second respondent in their reply indicated that they at no time hara</w:t>
            </w:r>
            <w:r w:rsidR="00525402" w:rsidRPr="005D7D4F">
              <w:rPr>
                <w:rFonts w:ascii="Arial" w:hAnsi="Arial" w:cs="Arial"/>
                <w:sz w:val="24"/>
                <w:szCs w:val="24"/>
              </w:rPr>
              <w:t xml:space="preserve">ssed </w:t>
            </w:r>
            <w:proofErr w:type="spellStart"/>
            <w:r w:rsidR="00525402" w:rsidRPr="005D7D4F">
              <w:rPr>
                <w:rFonts w:ascii="Arial" w:hAnsi="Arial" w:cs="Arial"/>
                <w:sz w:val="24"/>
                <w:szCs w:val="24"/>
              </w:rPr>
              <w:t>Ms</w:t>
            </w:r>
            <w:proofErr w:type="spellEnd"/>
            <w:r w:rsidR="00525402" w:rsidRPr="005D7D4F">
              <w:rPr>
                <w:rFonts w:ascii="Arial" w:hAnsi="Arial" w:cs="Arial"/>
                <w:sz w:val="24"/>
                <w:szCs w:val="24"/>
              </w:rPr>
              <w:t xml:space="preserve"> Amber Coerecius and Adv</w:t>
            </w:r>
            <w:r w:rsidR="007B2D88" w:rsidRPr="005D7D4F">
              <w:rPr>
                <w:rFonts w:ascii="Arial" w:hAnsi="Arial" w:cs="Arial"/>
                <w:sz w:val="24"/>
                <w:szCs w:val="24"/>
              </w:rPr>
              <w:t>.</w:t>
            </w:r>
            <w:r w:rsidRPr="005D7D4F">
              <w:rPr>
                <w:rFonts w:ascii="Arial" w:hAnsi="Arial" w:cs="Arial"/>
                <w:sz w:val="24"/>
                <w:szCs w:val="24"/>
              </w:rPr>
              <w:t xml:space="preserve"> </w:t>
            </w:r>
            <w:proofErr w:type="spellStart"/>
            <w:r w:rsidRPr="005D7D4F">
              <w:rPr>
                <w:rFonts w:ascii="Arial" w:hAnsi="Arial" w:cs="Arial"/>
                <w:sz w:val="24"/>
                <w:szCs w:val="24"/>
              </w:rPr>
              <w:t>Nekwaya</w:t>
            </w:r>
            <w:proofErr w:type="spellEnd"/>
            <w:r w:rsidRPr="005D7D4F">
              <w:rPr>
                <w:rFonts w:ascii="Arial" w:hAnsi="Arial" w:cs="Arial"/>
                <w:sz w:val="24"/>
                <w:szCs w:val="24"/>
              </w:rPr>
              <w:t xml:space="preserve">.  It </w:t>
            </w:r>
            <w:r w:rsidR="007B2D88" w:rsidRPr="005D7D4F">
              <w:rPr>
                <w:rFonts w:ascii="Arial" w:hAnsi="Arial" w:cs="Arial"/>
                <w:sz w:val="24"/>
                <w:szCs w:val="24"/>
              </w:rPr>
              <w:t xml:space="preserve">was further pointed out that </w:t>
            </w:r>
            <w:proofErr w:type="spellStart"/>
            <w:r w:rsidR="007B2D88" w:rsidRPr="005D7D4F">
              <w:rPr>
                <w:rFonts w:ascii="Arial" w:hAnsi="Arial" w:cs="Arial"/>
                <w:sz w:val="24"/>
                <w:szCs w:val="24"/>
              </w:rPr>
              <w:t>Ms</w:t>
            </w:r>
            <w:proofErr w:type="spellEnd"/>
            <w:r w:rsidRPr="005D7D4F">
              <w:rPr>
                <w:rFonts w:ascii="Arial" w:hAnsi="Arial" w:cs="Arial"/>
                <w:sz w:val="24"/>
                <w:szCs w:val="24"/>
              </w:rPr>
              <w:t xml:space="preserve"> Amber Coerecius is an employee of the first respondent and as such is assi</w:t>
            </w:r>
            <w:r w:rsidR="00525402" w:rsidRPr="005D7D4F">
              <w:rPr>
                <w:rFonts w:ascii="Arial" w:hAnsi="Arial" w:cs="Arial"/>
                <w:sz w:val="24"/>
                <w:szCs w:val="24"/>
              </w:rPr>
              <w:t xml:space="preserve">gned to the second respondent. </w:t>
            </w:r>
            <w:r w:rsidRPr="005D7D4F">
              <w:rPr>
                <w:rFonts w:ascii="Arial" w:hAnsi="Arial" w:cs="Arial"/>
                <w:sz w:val="24"/>
                <w:szCs w:val="24"/>
              </w:rPr>
              <w:t xml:space="preserve">When the legal representative of the respondents, </w:t>
            </w:r>
            <w:proofErr w:type="spellStart"/>
            <w:r w:rsidRPr="005D7D4F">
              <w:rPr>
                <w:rFonts w:ascii="Arial" w:hAnsi="Arial" w:cs="Arial"/>
                <w:sz w:val="24"/>
                <w:szCs w:val="24"/>
              </w:rPr>
              <w:t>Ms</w:t>
            </w:r>
            <w:proofErr w:type="spellEnd"/>
            <w:r w:rsidRPr="005D7D4F">
              <w:rPr>
                <w:rFonts w:ascii="Arial" w:hAnsi="Arial" w:cs="Arial"/>
                <w:sz w:val="24"/>
                <w:szCs w:val="24"/>
              </w:rPr>
              <w:t xml:space="preserve"> Frieda da Silva of the Government Attorney’s office</w:t>
            </w:r>
            <w:r w:rsidR="007B2D88" w:rsidRPr="005D7D4F">
              <w:rPr>
                <w:rFonts w:ascii="Arial" w:hAnsi="Arial" w:cs="Arial"/>
                <w:sz w:val="24"/>
                <w:szCs w:val="24"/>
              </w:rPr>
              <w:t>,</w:t>
            </w:r>
            <w:r w:rsidRPr="005D7D4F">
              <w:rPr>
                <w:rFonts w:ascii="Arial" w:hAnsi="Arial" w:cs="Arial"/>
                <w:sz w:val="24"/>
                <w:szCs w:val="24"/>
              </w:rPr>
              <w:t xml:space="preserve"> </w:t>
            </w:r>
            <w:r w:rsidRPr="005D7D4F">
              <w:rPr>
                <w:rFonts w:ascii="Arial" w:hAnsi="Arial" w:cs="Arial"/>
                <w:sz w:val="24"/>
                <w:szCs w:val="24"/>
              </w:rPr>
              <w:lastRenderedPageBreak/>
              <w:t>attended a consultation with their witness</w:t>
            </w:r>
            <w:r w:rsidR="007B2D88" w:rsidRPr="005D7D4F">
              <w:rPr>
                <w:rFonts w:ascii="Arial" w:hAnsi="Arial" w:cs="Arial"/>
                <w:sz w:val="24"/>
                <w:szCs w:val="24"/>
              </w:rPr>
              <w:t>,</w:t>
            </w:r>
            <w:r w:rsidRPr="005D7D4F">
              <w:rPr>
                <w:rFonts w:ascii="Arial" w:hAnsi="Arial" w:cs="Arial"/>
                <w:sz w:val="24"/>
                <w:szCs w:val="24"/>
              </w:rPr>
              <w:t xml:space="preserve"> </w:t>
            </w:r>
            <w:proofErr w:type="spellStart"/>
            <w:r w:rsidRPr="005D7D4F">
              <w:rPr>
                <w:rFonts w:ascii="Arial" w:hAnsi="Arial" w:cs="Arial"/>
                <w:sz w:val="24"/>
                <w:szCs w:val="24"/>
              </w:rPr>
              <w:t>Ms</w:t>
            </w:r>
            <w:proofErr w:type="spellEnd"/>
            <w:r w:rsidRPr="005D7D4F">
              <w:rPr>
                <w:rFonts w:ascii="Arial" w:hAnsi="Arial" w:cs="Arial"/>
                <w:sz w:val="24"/>
                <w:szCs w:val="24"/>
              </w:rPr>
              <w:t xml:space="preserve"> Victoria </w:t>
            </w:r>
            <w:proofErr w:type="spellStart"/>
            <w:r w:rsidRPr="005D7D4F">
              <w:rPr>
                <w:rFonts w:ascii="Arial" w:hAnsi="Arial" w:cs="Arial"/>
                <w:sz w:val="24"/>
                <w:szCs w:val="24"/>
              </w:rPr>
              <w:t>Likius</w:t>
            </w:r>
            <w:proofErr w:type="spellEnd"/>
            <w:r w:rsidR="007B2D88" w:rsidRPr="005D7D4F">
              <w:rPr>
                <w:rFonts w:ascii="Arial" w:hAnsi="Arial" w:cs="Arial"/>
                <w:sz w:val="24"/>
                <w:szCs w:val="24"/>
              </w:rPr>
              <w:t>,</w:t>
            </w:r>
            <w:r w:rsidRPr="005D7D4F">
              <w:rPr>
                <w:rFonts w:ascii="Arial" w:hAnsi="Arial" w:cs="Arial"/>
                <w:sz w:val="24"/>
                <w:szCs w:val="24"/>
              </w:rPr>
              <w:t xml:space="preserve"> on 20 July 2023, </w:t>
            </w:r>
            <w:proofErr w:type="spellStart"/>
            <w:r w:rsidRPr="005D7D4F">
              <w:rPr>
                <w:rFonts w:ascii="Arial" w:hAnsi="Arial" w:cs="Arial"/>
                <w:sz w:val="24"/>
                <w:szCs w:val="24"/>
              </w:rPr>
              <w:t>Ms</w:t>
            </w:r>
            <w:proofErr w:type="spellEnd"/>
            <w:r w:rsidRPr="005D7D4F">
              <w:rPr>
                <w:rFonts w:ascii="Arial" w:hAnsi="Arial" w:cs="Arial"/>
                <w:sz w:val="24"/>
                <w:szCs w:val="24"/>
              </w:rPr>
              <w:t xml:space="preserve"> Amber Coerecius was also present.  </w:t>
            </w:r>
            <w:proofErr w:type="spellStart"/>
            <w:r w:rsidRPr="005D7D4F">
              <w:rPr>
                <w:rFonts w:ascii="Arial" w:hAnsi="Arial" w:cs="Arial"/>
                <w:sz w:val="24"/>
                <w:szCs w:val="24"/>
              </w:rPr>
              <w:t>Ms</w:t>
            </w:r>
            <w:proofErr w:type="spellEnd"/>
            <w:r w:rsidRPr="005D7D4F">
              <w:rPr>
                <w:rFonts w:ascii="Arial" w:hAnsi="Arial" w:cs="Arial"/>
                <w:sz w:val="24"/>
                <w:szCs w:val="24"/>
              </w:rPr>
              <w:t xml:space="preserve"> Victoria </w:t>
            </w:r>
            <w:proofErr w:type="spellStart"/>
            <w:r w:rsidRPr="005D7D4F">
              <w:rPr>
                <w:rFonts w:ascii="Arial" w:hAnsi="Arial" w:cs="Arial"/>
                <w:sz w:val="24"/>
                <w:szCs w:val="24"/>
              </w:rPr>
              <w:t>Likius</w:t>
            </w:r>
            <w:proofErr w:type="spellEnd"/>
            <w:r w:rsidRPr="005D7D4F">
              <w:rPr>
                <w:rFonts w:ascii="Arial" w:hAnsi="Arial" w:cs="Arial"/>
                <w:sz w:val="24"/>
                <w:szCs w:val="24"/>
              </w:rPr>
              <w:t xml:space="preserve"> is the current secretary of the second respondent whilst </w:t>
            </w:r>
            <w:proofErr w:type="spellStart"/>
            <w:r w:rsidRPr="005D7D4F">
              <w:rPr>
                <w:rFonts w:ascii="Arial" w:hAnsi="Arial" w:cs="Arial"/>
                <w:sz w:val="24"/>
                <w:szCs w:val="24"/>
              </w:rPr>
              <w:t>Ms</w:t>
            </w:r>
            <w:proofErr w:type="spellEnd"/>
            <w:r w:rsidRPr="005D7D4F">
              <w:rPr>
                <w:rFonts w:ascii="Arial" w:hAnsi="Arial" w:cs="Arial"/>
                <w:sz w:val="24"/>
                <w:szCs w:val="24"/>
              </w:rPr>
              <w:t xml:space="preserve"> Amber Coerecius was the previous secretary of the second respondent.</w:t>
            </w:r>
          </w:p>
          <w:p w:rsidR="005D7D4F" w:rsidRPr="005D7D4F" w:rsidRDefault="005D7D4F" w:rsidP="005D7D4F">
            <w:pPr>
              <w:pStyle w:val="ListParagraph"/>
              <w:spacing w:after="0" w:line="360" w:lineRule="auto"/>
              <w:ind w:left="0"/>
              <w:jc w:val="both"/>
              <w:rPr>
                <w:rFonts w:ascii="Arial" w:hAnsi="Arial" w:cs="Arial"/>
              </w:rPr>
            </w:pPr>
          </w:p>
          <w:p w:rsidR="005D7D4F" w:rsidRPr="005D7D4F" w:rsidRDefault="00BC31CE" w:rsidP="007F0C90">
            <w:pPr>
              <w:pStyle w:val="ListParagraph"/>
              <w:numPr>
                <w:ilvl w:val="0"/>
                <w:numId w:val="49"/>
              </w:numPr>
              <w:spacing w:after="0" w:line="360" w:lineRule="auto"/>
              <w:ind w:left="0" w:firstLine="0"/>
              <w:jc w:val="both"/>
              <w:rPr>
                <w:rFonts w:ascii="Arial" w:hAnsi="Arial" w:cs="Arial"/>
              </w:rPr>
            </w:pPr>
            <w:r w:rsidRPr="005D7D4F">
              <w:rPr>
                <w:rFonts w:ascii="Arial" w:hAnsi="Arial" w:cs="Arial"/>
                <w:sz w:val="24"/>
                <w:szCs w:val="24"/>
              </w:rPr>
              <w:t xml:space="preserve">It is correct that </w:t>
            </w:r>
            <w:proofErr w:type="spellStart"/>
            <w:r w:rsidRPr="005D7D4F">
              <w:rPr>
                <w:rFonts w:ascii="Arial" w:hAnsi="Arial" w:cs="Arial"/>
                <w:sz w:val="24"/>
                <w:szCs w:val="24"/>
              </w:rPr>
              <w:t>Ms</w:t>
            </w:r>
            <w:proofErr w:type="spellEnd"/>
            <w:r w:rsidRPr="005D7D4F">
              <w:rPr>
                <w:rFonts w:ascii="Arial" w:hAnsi="Arial" w:cs="Arial"/>
                <w:sz w:val="24"/>
                <w:szCs w:val="24"/>
              </w:rPr>
              <w:t xml:space="preserve"> Amber Coerecius refused to provide the applicant with a witness statement </w:t>
            </w:r>
            <w:r w:rsidR="007B2D88" w:rsidRPr="005D7D4F">
              <w:rPr>
                <w:rFonts w:ascii="Arial" w:hAnsi="Arial" w:cs="Arial"/>
                <w:sz w:val="24"/>
                <w:szCs w:val="24"/>
              </w:rPr>
              <w:t>and it</w:t>
            </w:r>
            <w:r w:rsidR="00DB3A02" w:rsidRPr="005D7D4F">
              <w:rPr>
                <w:rFonts w:ascii="Arial" w:hAnsi="Arial" w:cs="Arial"/>
                <w:sz w:val="24"/>
                <w:szCs w:val="24"/>
              </w:rPr>
              <w:t xml:space="preserve"> seems that that now left the applicant with an apparent misconceived notion that the respondents are harassing witnesses and/or suppressing evidence, which allegations are denied in the strongest terms.  Together with their answering affidavit, the respondents also filed a confirmatory affidavit of </w:t>
            </w:r>
            <w:proofErr w:type="spellStart"/>
            <w:r w:rsidR="00DB3A02" w:rsidRPr="005D7D4F">
              <w:rPr>
                <w:rFonts w:ascii="Arial" w:hAnsi="Arial" w:cs="Arial"/>
                <w:sz w:val="24"/>
                <w:szCs w:val="24"/>
              </w:rPr>
              <w:t>Ms</w:t>
            </w:r>
            <w:proofErr w:type="spellEnd"/>
            <w:r w:rsidR="00DB3A02" w:rsidRPr="005D7D4F">
              <w:rPr>
                <w:rFonts w:ascii="Arial" w:hAnsi="Arial" w:cs="Arial"/>
                <w:sz w:val="24"/>
                <w:szCs w:val="24"/>
              </w:rPr>
              <w:t xml:space="preserve"> Amber Coerecius</w:t>
            </w:r>
            <w:bookmarkStart w:id="0" w:name="_GoBack"/>
            <w:bookmarkEnd w:id="0"/>
            <w:r w:rsidR="00DB3A02" w:rsidRPr="005D7D4F">
              <w:rPr>
                <w:rFonts w:ascii="Arial" w:hAnsi="Arial" w:cs="Arial"/>
                <w:sz w:val="24"/>
                <w:szCs w:val="24"/>
              </w:rPr>
              <w:t xml:space="preserve"> indicating that she read the answering affidavit of the second respondent and the content of the answering affidavit is true and correct.</w:t>
            </w:r>
          </w:p>
          <w:p w:rsidR="005D7D4F" w:rsidRPr="005D7D4F" w:rsidRDefault="005D7D4F" w:rsidP="005D7D4F">
            <w:pPr>
              <w:pStyle w:val="ListParagraph"/>
              <w:rPr>
                <w:rFonts w:ascii="Arial" w:hAnsi="Arial" w:cs="Arial"/>
                <w:sz w:val="24"/>
                <w:szCs w:val="24"/>
              </w:rPr>
            </w:pPr>
          </w:p>
          <w:p w:rsidR="00601E8D" w:rsidRPr="005D7D4F" w:rsidRDefault="00DB3A02" w:rsidP="007F0C90">
            <w:pPr>
              <w:pStyle w:val="ListParagraph"/>
              <w:numPr>
                <w:ilvl w:val="0"/>
                <w:numId w:val="49"/>
              </w:numPr>
              <w:spacing w:after="0" w:line="360" w:lineRule="auto"/>
              <w:ind w:left="0" w:firstLine="0"/>
              <w:jc w:val="both"/>
              <w:rPr>
                <w:rFonts w:ascii="Arial" w:hAnsi="Arial" w:cs="Arial"/>
              </w:rPr>
            </w:pPr>
            <w:r w:rsidRPr="005D7D4F">
              <w:rPr>
                <w:rFonts w:ascii="Arial" w:hAnsi="Arial" w:cs="Arial"/>
                <w:sz w:val="24"/>
                <w:szCs w:val="24"/>
              </w:rPr>
              <w:t>It is indicated that the respondents oppose the application on the applicant’s misconceived basis for bringing this application and further, that the application lacks urgency.</w:t>
            </w:r>
          </w:p>
          <w:p w:rsidR="00DB3A02" w:rsidRDefault="00DB3A02" w:rsidP="007F0C90">
            <w:pPr>
              <w:spacing w:after="0" w:line="360" w:lineRule="auto"/>
              <w:jc w:val="both"/>
              <w:rPr>
                <w:rFonts w:ascii="Arial" w:hAnsi="Arial" w:cs="Arial"/>
                <w:sz w:val="24"/>
                <w:szCs w:val="24"/>
              </w:rPr>
            </w:pPr>
          </w:p>
          <w:p w:rsidR="00DB3A02" w:rsidRPr="00DB3A02" w:rsidRDefault="00DB3A02" w:rsidP="007F0C90">
            <w:pPr>
              <w:spacing w:after="0" w:line="360" w:lineRule="auto"/>
              <w:jc w:val="both"/>
              <w:rPr>
                <w:rFonts w:ascii="Arial" w:hAnsi="Arial" w:cs="Arial"/>
                <w:sz w:val="24"/>
                <w:szCs w:val="24"/>
                <w:u w:val="single"/>
              </w:rPr>
            </w:pPr>
            <w:r w:rsidRPr="00DB3A02">
              <w:rPr>
                <w:rFonts w:ascii="Arial" w:hAnsi="Arial" w:cs="Arial"/>
                <w:sz w:val="24"/>
                <w:szCs w:val="24"/>
                <w:u w:val="single"/>
              </w:rPr>
              <w:t>Legal position</w:t>
            </w:r>
            <w:r w:rsidR="00676679">
              <w:rPr>
                <w:rFonts w:ascii="Arial" w:hAnsi="Arial" w:cs="Arial"/>
                <w:sz w:val="24"/>
                <w:szCs w:val="24"/>
                <w:u w:val="single"/>
              </w:rPr>
              <w:t xml:space="preserve"> regarding urgency</w:t>
            </w:r>
          </w:p>
          <w:p w:rsidR="00601E8D" w:rsidRDefault="00601E8D" w:rsidP="007F0C90">
            <w:pPr>
              <w:spacing w:after="0" w:line="360" w:lineRule="auto"/>
              <w:jc w:val="both"/>
              <w:rPr>
                <w:rFonts w:ascii="Arial" w:hAnsi="Arial" w:cs="Arial"/>
                <w:sz w:val="24"/>
                <w:szCs w:val="24"/>
              </w:rPr>
            </w:pPr>
          </w:p>
          <w:p w:rsidR="00DB3A02" w:rsidRPr="005D7D4F" w:rsidRDefault="00DB3A02" w:rsidP="005D7D4F">
            <w:pPr>
              <w:pStyle w:val="ListParagraph"/>
              <w:numPr>
                <w:ilvl w:val="0"/>
                <w:numId w:val="49"/>
              </w:numPr>
              <w:spacing w:after="0" w:line="360" w:lineRule="auto"/>
              <w:ind w:left="0" w:firstLine="0"/>
              <w:jc w:val="both"/>
              <w:rPr>
                <w:rFonts w:ascii="Arial" w:hAnsi="Arial" w:cs="Arial"/>
                <w:sz w:val="24"/>
                <w:szCs w:val="24"/>
              </w:rPr>
            </w:pPr>
            <w:r w:rsidRPr="005D7D4F">
              <w:rPr>
                <w:rFonts w:ascii="Arial" w:hAnsi="Arial" w:cs="Arial"/>
                <w:sz w:val="24"/>
                <w:szCs w:val="24"/>
              </w:rPr>
              <w:t xml:space="preserve">Regarding the urgency of the application, the applicant must make out a case that the application is urgent and that no redress is available in due course. In </w:t>
            </w:r>
            <w:proofErr w:type="spellStart"/>
            <w:r w:rsidRPr="005D7D4F">
              <w:rPr>
                <w:rFonts w:ascii="Arial" w:hAnsi="Arial" w:cs="Arial"/>
                <w:i/>
                <w:sz w:val="24"/>
                <w:szCs w:val="24"/>
              </w:rPr>
              <w:t>Nghiimbwasha</w:t>
            </w:r>
            <w:proofErr w:type="spellEnd"/>
            <w:r w:rsidRPr="005D7D4F">
              <w:rPr>
                <w:rFonts w:ascii="Arial" w:hAnsi="Arial" w:cs="Arial"/>
                <w:i/>
                <w:sz w:val="24"/>
                <w:szCs w:val="24"/>
              </w:rPr>
              <w:t xml:space="preserve"> and Another v Minister of Justice and Others</w:t>
            </w:r>
            <w:r w:rsidRPr="00DB3A02">
              <w:rPr>
                <w:i/>
                <w:vertAlign w:val="superscript"/>
              </w:rPr>
              <w:footnoteReference w:id="1"/>
            </w:r>
            <w:r w:rsidRPr="005D7D4F">
              <w:rPr>
                <w:rFonts w:ascii="Arial" w:hAnsi="Arial" w:cs="Arial"/>
                <w:sz w:val="24"/>
                <w:szCs w:val="24"/>
              </w:rPr>
              <w:t xml:space="preserve"> the court dealt with the interpretation of the word ‘must’ contained in rule 73(4) as well as the responsibility of an applicant in a matter alleged to be urgent.  </w:t>
            </w:r>
            <w:proofErr w:type="spellStart"/>
            <w:r w:rsidRPr="005D7D4F">
              <w:rPr>
                <w:rFonts w:ascii="Arial" w:hAnsi="Arial" w:cs="Arial"/>
                <w:sz w:val="24"/>
                <w:szCs w:val="24"/>
              </w:rPr>
              <w:t>Masuku</w:t>
            </w:r>
            <w:proofErr w:type="spellEnd"/>
            <w:r w:rsidR="00525402" w:rsidRPr="005D7D4F">
              <w:rPr>
                <w:rFonts w:ascii="Arial" w:hAnsi="Arial" w:cs="Arial"/>
                <w:sz w:val="24"/>
                <w:szCs w:val="24"/>
              </w:rPr>
              <w:t xml:space="preserve"> </w:t>
            </w:r>
            <w:r w:rsidRPr="005D7D4F">
              <w:rPr>
                <w:rFonts w:ascii="Arial" w:hAnsi="Arial" w:cs="Arial"/>
                <w:sz w:val="24"/>
                <w:szCs w:val="24"/>
              </w:rPr>
              <w:t xml:space="preserve"> J states at (11) and further:</w:t>
            </w:r>
          </w:p>
          <w:p w:rsidR="00525402" w:rsidRPr="00DB3A02" w:rsidRDefault="00525402" w:rsidP="00DB3A02">
            <w:pPr>
              <w:spacing w:after="0" w:line="360" w:lineRule="auto"/>
              <w:jc w:val="both"/>
              <w:rPr>
                <w:rFonts w:ascii="Arial" w:hAnsi="Arial" w:cs="Arial"/>
                <w:sz w:val="24"/>
                <w:szCs w:val="24"/>
              </w:rPr>
            </w:pPr>
          </w:p>
          <w:p w:rsidR="00DB3A02" w:rsidRPr="00DB3A02" w:rsidRDefault="00DB3A02" w:rsidP="00DB3A02">
            <w:pPr>
              <w:spacing w:after="0" w:line="360" w:lineRule="auto"/>
              <w:jc w:val="both"/>
              <w:rPr>
                <w:rFonts w:ascii="Arial" w:hAnsi="Arial" w:cs="Arial"/>
              </w:rPr>
            </w:pPr>
            <w:r>
              <w:rPr>
                <w:rFonts w:ascii="Arial" w:hAnsi="Arial" w:cs="Arial"/>
                <w:sz w:val="24"/>
                <w:szCs w:val="24"/>
              </w:rPr>
              <w:tab/>
            </w:r>
            <w:r w:rsidR="00F33802">
              <w:rPr>
                <w:rFonts w:ascii="Arial" w:hAnsi="Arial" w:cs="Arial"/>
              </w:rPr>
              <w:t>‘</w:t>
            </w:r>
            <w:r w:rsidRPr="00DB3A02">
              <w:rPr>
                <w:rFonts w:ascii="Arial" w:hAnsi="Arial" w:cs="Arial"/>
              </w:rPr>
              <w:t>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p>
          <w:p w:rsidR="00DB3A02" w:rsidRPr="00DB3A02" w:rsidRDefault="00DB3A02" w:rsidP="00DB3A02">
            <w:pPr>
              <w:spacing w:after="0" w:line="360" w:lineRule="auto"/>
              <w:jc w:val="both"/>
              <w:rPr>
                <w:rFonts w:ascii="Arial" w:hAnsi="Arial" w:cs="Arial"/>
              </w:rPr>
            </w:pPr>
          </w:p>
          <w:p w:rsidR="00DB3A02" w:rsidRPr="00DB3A02" w:rsidRDefault="00DB3A02" w:rsidP="00DB3A02">
            <w:pPr>
              <w:spacing w:after="0" w:line="360" w:lineRule="auto"/>
              <w:jc w:val="both"/>
              <w:rPr>
                <w:rFonts w:ascii="Arial" w:hAnsi="Arial" w:cs="Arial"/>
              </w:rPr>
            </w:pPr>
            <w:r w:rsidRPr="00DB3A02">
              <w:rPr>
                <w:rFonts w:ascii="Arial" w:hAnsi="Arial" w:cs="Arial"/>
              </w:rPr>
              <w:t xml:space="preserve">            [12] 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w:t>
            </w:r>
          </w:p>
          <w:p w:rsidR="00DB3A02" w:rsidRPr="00DB3A02" w:rsidRDefault="00DB3A02" w:rsidP="00DB3A02">
            <w:pPr>
              <w:spacing w:after="0" w:line="360" w:lineRule="auto"/>
              <w:jc w:val="both"/>
              <w:rPr>
                <w:rFonts w:ascii="Arial" w:hAnsi="Arial" w:cs="Arial"/>
              </w:rPr>
            </w:pPr>
            <w:r w:rsidRPr="00DB3A02">
              <w:rPr>
                <w:rFonts w:ascii="Arial" w:hAnsi="Arial" w:cs="Arial"/>
              </w:rPr>
              <w:lastRenderedPageBreak/>
              <w:t xml:space="preserve">             [13] In the English dictionary, the word “explicit” connotes something “stated clearly and in detail, leaving no room for confusion or doubt</w:t>
            </w:r>
            <w:r w:rsidRPr="00DB3A02">
              <w:rPr>
                <w:rFonts w:ascii="Arial" w:hAnsi="Arial" w:cs="Arial"/>
                <w:u w:val="single"/>
              </w:rPr>
              <w:t>.</w:t>
            </w:r>
            <w:r w:rsidRPr="00DB3A02">
              <w:rPr>
                <w:rFonts w:ascii="Arial" w:hAnsi="Arial" w:cs="Arial"/>
              </w:rPr>
              <w:t>” This therefore means that a deponent to an affidavit in which urgency is claimed or alleged, must state the reasons alleged for the urgency “clearly and in detail, leaving no room for confusion or doubt”. This, to my mind, denotes a very high, honest and comprehensive standard of disclosure, which in a sense results in the deponent taking the court fully in his or her confidence; neither hiding nor hoarding any relevant and necessary information relevant to the issue of urgency.’</w:t>
            </w:r>
          </w:p>
          <w:p w:rsidR="00601E8D" w:rsidRDefault="00601E8D" w:rsidP="007F0C90">
            <w:pPr>
              <w:spacing w:after="0" w:line="360" w:lineRule="auto"/>
              <w:jc w:val="both"/>
              <w:rPr>
                <w:rFonts w:ascii="Arial" w:hAnsi="Arial" w:cs="Arial"/>
                <w:sz w:val="24"/>
                <w:szCs w:val="24"/>
              </w:rPr>
            </w:pPr>
          </w:p>
          <w:p w:rsidR="00676679" w:rsidRPr="00676679" w:rsidRDefault="00676679" w:rsidP="007F0C90">
            <w:pPr>
              <w:spacing w:after="0" w:line="360" w:lineRule="auto"/>
              <w:jc w:val="both"/>
              <w:rPr>
                <w:rFonts w:ascii="Arial" w:hAnsi="Arial" w:cs="Arial"/>
                <w:sz w:val="24"/>
                <w:szCs w:val="24"/>
                <w:u w:val="single"/>
              </w:rPr>
            </w:pPr>
            <w:r w:rsidRPr="00676679">
              <w:rPr>
                <w:rFonts w:ascii="Arial" w:hAnsi="Arial" w:cs="Arial"/>
                <w:sz w:val="24"/>
                <w:szCs w:val="24"/>
                <w:u w:val="single"/>
              </w:rPr>
              <w:t>Conclusion</w:t>
            </w:r>
          </w:p>
          <w:p w:rsidR="000D0F54" w:rsidRDefault="000D0F54" w:rsidP="007F0C90">
            <w:pPr>
              <w:spacing w:after="0" w:line="360" w:lineRule="auto"/>
              <w:jc w:val="both"/>
              <w:rPr>
                <w:rFonts w:ascii="Arial" w:hAnsi="Arial" w:cs="Arial"/>
                <w:sz w:val="24"/>
                <w:szCs w:val="24"/>
              </w:rPr>
            </w:pPr>
          </w:p>
          <w:p w:rsidR="005D7D4F" w:rsidRDefault="00676679" w:rsidP="007F0C90">
            <w:pPr>
              <w:pStyle w:val="ListParagraph"/>
              <w:numPr>
                <w:ilvl w:val="0"/>
                <w:numId w:val="49"/>
              </w:numPr>
              <w:spacing w:after="0" w:line="360" w:lineRule="auto"/>
              <w:ind w:left="0" w:firstLine="0"/>
              <w:jc w:val="both"/>
              <w:rPr>
                <w:rFonts w:ascii="Arial" w:hAnsi="Arial" w:cs="Arial"/>
                <w:sz w:val="24"/>
                <w:szCs w:val="24"/>
              </w:rPr>
            </w:pPr>
            <w:r w:rsidRPr="005D7D4F">
              <w:rPr>
                <w:rFonts w:ascii="Arial" w:hAnsi="Arial" w:cs="Arial"/>
                <w:sz w:val="24"/>
                <w:szCs w:val="24"/>
              </w:rPr>
              <w:t>It is therefore necessary that any founding affidavit in support of an urgent application must contain averments regarding the urgency and why the matter is urgent and also deals with the requirement that no redress is possible in due course.  An applicant must explicitly deal with both these requirements in order to pass the first hurdle in bringing an urgent application.  The current applicant does not deal with any of these requirements in her founding affidavit save for mentioning that it is an urgent matter brought about by the con</w:t>
            </w:r>
            <w:r w:rsidR="005D7D4F">
              <w:rPr>
                <w:rFonts w:ascii="Arial" w:hAnsi="Arial" w:cs="Arial"/>
                <w:sz w:val="24"/>
                <w:szCs w:val="24"/>
              </w:rPr>
              <w:t xml:space="preserve">duct of the second respondent. </w:t>
            </w:r>
          </w:p>
          <w:p w:rsidR="005D7D4F" w:rsidRDefault="005D7D4F" w:rsidP="005D7D4F">
            <w:pPr>
              <w:pStyle w:val="ListParagraph"/>
              <w:spacing w:after="0" w:line="360" w:lineRule="auto"/>
              <w:ind w:left="0"/>
              <w:jc w:val="both"/>
              <w:rPr>
                <w:rFonts w:ascii="Arial" w:hAnsi="Arial" w:cs="Arial"/>
                <w:sz w:val="24"/>
                <w:szCs w:val="24"/>
              </w:rPr>
            </w:pPr>
          </w:p>
          <w:p w:rsidR="005D7D4F" w:rsidRDefault="00676679" w:rsidP="007F0C90">
            <w:pPr>
              <w:pStyle w:val="ListParagraph"/>
              <w:numPr>
                <w:ilvl w:val="0"/>
                <w:numId w:val="49"/>
              </w:numPr>
              <w:spacing w:after="0" w:line="360" w:lineRule="auto"/>
              <w:ind w:left="0" w:firstLine="0"/>
              <w:jc w:val="both"/>
              <w:rPr>
                <w:rFonts w:ascii="Arial" w:hAnsi="Arial" w:cs="Arial"/>
                <w:sz w:val="24"/>
                <w:szCs w:val="24"/>
              </w:rPr>
            </w:pPr>
            <w:r w:rsidRPr="005D7D4F">
              <w:rPr>
                <w:rFonts w:ascii="Arial" w:hAnsi="Arial" w:cs="Arial"/>
                <w:sz w:val="24"/>
                <w:szCs w:val="24"/>
              </w:rPr>
              <w:t xml:space="preserve">The above reason is sufficient for striking the urgent application from the roll but I would like to comment on another issue in passing.  It is also concerning that the applicant seeks relief against </w:t>
            </w:r>
            <w:proofErr w:type="spellStart"/>
            <w:r w:rsidRPr="005D7D4F">
              <w:rPr>
                <w:rFonts w:ascii="Arial" w:hAnsi="Arial" w:cs="Arial"/>
                <w:sz w:val="24"/>
                <w:szCs w:val="24"/>
              </w:rPr>
              <w:t>Ms</w:t>
            </w:r>
            <w:proofErr w:type="spellEnd"/>
            <w:r w:rsidRPr="005D7D4F">
              <w:rPr>
                <w:rFonts w:ascii="Arial" w:hAnsi="Arial" w:cs="Arial"/>
                <w:sz w:val="24"/>
                <w:szCs w:val="24"/>
              </w:rPr>
              <w:t xml:space="preserve"> Amber </w:t>
            </w:r>
            <w:r w:rsidR="00525402" w:rsidRPr="005D7D4F">
              <w:rPr>
                <w:rFonts w:ascii="Arial" w:hAnsi="Arial" w:cs="Arial"/>
                <w:sz w:val="24"/>
                <w:szCs w:val="24"/>
              </w:rPr>
              <w:t>Coerecius and Adv</w:t>
            </w:r>
            <w:r w:rsidR="005D7D4F">
              <w:rPr>
                <w:rFonts w:ascii="Arial" w:hAnsi="Arial" w:cs="Arial"/>
                <w:sz w:val="24"/>
                <w:szCs w:val="24"/>
              </w:rPr>
              <w:t>.</w:t>
            </w:r>
            <w:r w:rsidRPr="005D7D4F">
              <w:rPr>
                <w:rFonts w:ascii="Arial" w:hAnsi="Arial" w:cs="Arial"/>
                <w:sz w:val="24"/>
                <w:szCs w:val="24"/>
              </w:rPr>
              <w:t xml:space="preserve"> </w:t>
            </w:r>
            <w:proofErr w:type="spellStart"/>
            <w:r w:rsidRPr="005D7D4F">
              <w:rPr>
                <w:rFonts w:ascii="Arial" w:hAnsi="Arial" w:cs="Arial"/>
                <w:sz w:val="24"/>
                <w:szCs w:val="24"/>
              </w:rPr>
              <w:t>Nekwaya</w:t>
            </w:r>
            <w:proofErr w:type="spellEnd"/>
            <w:r w:rsidRPr="005D7D4F">
              <w:rPr>
                <w:rFonts w:ascii="Arial" w:hAnsi="Arial" w:cs="Arial"/>
                <w:sz w:val="24"/>
                <w:szCs w:val="24"/>
              </w:rPr>
              <w:t xml:space="preserve"> under point 4 of the relief but they were not sited as parties and are therefore not parties of this proceeding and the court cannot make any orders against them.  It is further safe to say that </w:t>
            </w:r>
            <w:proofErr w:type="spellStart"/>
            <w:r w:rsidRPr="005D7D4F">
              <w:rPr>
                <w:rFonts w:ascii="Arial" w:hAnsi="Arial" w:cs="Arial"/>
                <w:sz w:val="24"/>
                <w:szCs w:val="24"/>
              </w:rPr>
              <w:t>Ms</w:t>
            </w:r>
            <w:proofErr w:type="spellEnd"/>
            <w:r w:rsidRPr="005D7D4F">
              <w:rPr>
                <w:rFonts w:ascii="Arial" w:hAnsi="Arial" w:cs="Arial"/>
                <w:sz w:val="24"/>
                <w:szCs w:val="24"/>
              </w:rPr>
              <w:t xml:space="preserve"> Amber Coerecius confirmed that she is not harassed nor is the respondents repressing evidence in her confirmatory affidavit.  No affidavit was filed by the applicant from </w:t>
            </w:r>
            <w:proofErr w:type="spellStart"/>
            <w:r w:rsidRPr="005D7D4F">
              <w:rPr>
                <w:rFonts w:ascii="Arial" w:hAnsi="Arial" w:cs="Arial"/>
                <w:sz w:val="24"/>
                <w:szCs w:val="24"/>
              </w:rPr>
              <w:t>Ms</w:t>
            </w:r>
            <w:proofErr w:type="spellEnd"/>
            <w:r w:rsidRPr="005D7D4F">
              <w:rPr>
                <w:rFonts w:ascii="Arial" w:hAnsi="Arial" w:cs="Arial"/>
                <w:sz w:val="24"/>
                <w:szCs w:val="24"/>
              </w:rPr>
              <w:t xml:space="preserve"> Amber Coerecius confirming the allegations made by her in her founding affidavit.</w:t>
            </w:r>
          </w:p>
          <w:p w:rsidR="005D7D4F" w:rsidRPr="005D7D4F" w:rsidRDefault="005D7D4F" w:rsidP="005D7D4F">
            <w:pPr>
              <w:pStyle w:val="ListParagraph"/>
              <w:rPr>
                <w:rFonts w:ascii="Arial" w:hAnsi="Arial" w:cs="Arial"/>
                <w:sz w:val="24"/>
                <w:szCs w:val="24"/>
              </w:rPr>
            </w:pPr>
          </w:p>
          <w:p w:rsidR="00676679" w:rsidRPr="005D7D4F" w:rsidRDefault="00525402" w:rsidP="007F0C90">
            <w:pPr>
              <w:pStyle w:val="ListParagraph"/>
              <w:numPr>
                <w:ilvl w:val="0"/>
                <w:numId w:val="49"/>
              </w:numPr>
              <w:spacing w:after="0" w:line="360" w:lineRule="auto"/>
              <w:ind w:left="0" w:firstLine="0"/>
              <w:jc w:val="both"/>
              <w:rPr>
                <w:rFonts w:ascii="Arial" w:hAnsi="Arial" w:cs="Arial"/>
                <w:sz w:val="24"/>
                <w:szCs w:val="24"/>
              </w:rPr>
            </w:pPr>
            <w:r w:rsidRPr="005D7D4F">
              <w:rPr>
                <w:rFonts w:ascii="Arial" w:hAnsi="Arial" w:cs="Arial"/>
                <w:sz w:val="24"/>
                <w:szCs w:val="24"/>
              </w:rPr>
              <w:t xml:space="preserve">I </w:t>
            </w:r>
            <w:r w:rsidR="00676679" w:rsidRPr="005D7D4F">
              <w:rPr>
                <w:rFonts w:ascii="Arial" w:hAnsi="Arial" w:cs="Arial"/>
                <w:sz w:val="24"/>
                <w:szCs w:val="24"/>
              </w:rPr>
              <w:t>therefore make the following order</w:t>
            </w:r>
            <w:r w:rsidRPr="005D7D4F">
              <w:rPr>
                <w:rFonts w:ascii="Arial" w:hAnsi="Arial" w:cs="Arial"/>
                <w:sz w:val="24"/>
                <w:szCs w:val="24"/>
              </w:rPr>
              <w:t>:</w:t>
            </w:r>
          </w:p>
          <w:p w:rsidR="00525402" w:rsidRDefault="00525402" w:rsidP="007F0C90">
            <w:pPr>
              <w:spacing w:after="0" w:line="360" w:lineRule="auto"/>
              <w:jc w:val="both"/>
              <w:rPr>
                <w:rFonts w:ascii="Arial" w:hAnsi="Arial" w:cs="Arial"/>
                <w:sz w:val="24"/>
                <w:szCs w:val="24"/>
              </w:rPr>
            </w:pPr>
          </w:p>
          <w:p w:rsidR="00676679" w:rsidRDefault="00676679" w:rsidP="007B2D88">
            <w:pPr>
              <w:pStyle w:val="ListParagraph"/>
              <w:numPr>
                <w:ilvl w:val="0"/>
                <w:numId w:val="48"/>
              </w:numPr>
              <w:spacing w:after="0" w:line="360" w:lineRule="auto"/>
              <w:jc w:val="both"/>
              <w:rPr>
                <w:rFonts w:ascii="Arial" w:hAnsi="Arial" w:cs="Arial"/>
                <w:sz w:val="24"/>
                <w:szCs w:val="24"/>
              </w:rPr>
            </w:pPr>
            <w:r>
              <w:rPr>
                <w:rFonts w:ascii="Arial" w:hAnsi="Arial" w:cs="Arial"/>
                <w:sz w:val="24"/>
                <w:szCs w:val="24"/>
              </w:rPr>
              <w:t>The urgent application is struck from the roll for a lack of urgency</w:t>
            </w:r>
            <w:r w:rsidR="00F33802">
              <w:rPr>
                <w:rFonts w:ascii="Arial" w:hAnsi="Arial" w:cs="Arial"/>
                <w:sz w:val="24"/>
                <w:szCs w:val="24"/>
              </w:rPr>
              <w:t>.</w:t>
            </w:r>
          </w:p>
          <w:p w:rsidR="00626D05" w:rsidRPr="00A91522" w:rsidRDefault="00676679" w:rsidP="004F1145">
            <w:pPr>
              <w:pStyle w:val="ListParagraph"/>
              <w:numPr>
                <w:ilvl w:val="0"/>
                <w:numId w:val="48"/>
              </w:numPr>
              <w:spacing w:after="0" w:line="360" w:lineRule="auto"/>
              <w:jc w:val="both"/>
              <w:rPr>
                <w:rFonts w:ascii="Arial" w:hAnsi="Arial" w:cs="Arial"/>
                <w:sz w:val="24"/>
                <w:szCs w:val="24"/>
              </w:rPr>
            </w:pPr>
            <w:r>
              <w:rPr>
                <w:rFonts w:ascii="Arial" w:hAnsi="Arial" w:cs="Arial"/>
                <w:sz w:val="24"/>
                <w:szCs w:val="24"/>
              </w:rPr>
              <w:t>The costs of the application is awarded to the respondents, to include the costs of one instructed and one instructing legal practitioner.</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Default="002C66E4" w:rsidP="007F0C90">
            <w:pPr>
              <w:spacing w:after="0" w:line="360" w:lineRule="auto"/>
              <w:jc w:val="center"/>
              <w:rPr>
                <w:rFonts w:ascii="Arial" w:hAnsi="Arial" w:cs="Arial"/>
                <w:sz w:val="24"/>
                <w:szCs w:val="24"/>
              </w:rPr>
            </w:pPr>
          </w:p>
          <w:p w:rsidR="004F1145" w:rsidRPr="004F1145" w:rsidRDefault="004F1145" w:rsidP="007F0C90">
            <w:pPr>
              <w:spacing w:after="0" w:line="360" w:lineRule="auto"/>
              <w:jc w:val="center"/>
              <w:rPr>
                <w:rFonts w:ascii="Arial" w:hAnsi="Arial" w:cs="Arial"/>
                <w:sz w:val="16"/>
                <w:szCs w:val="16"/>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CD1C9C" w:rsidP="007F0C90">
            <w:pPr>
              <w:spacing w:after="0" w:line="360" w:lineRule="auto"/>
              <w:jc w:val="center"/>
              <w:rPr>
                <w:rFonts w:ascii="Arial" w:hAnsi="Arial" w:cs="Arial"/>
                <w:b/>
                <w:sz w:val="24"/>
                <w:szCs w:val="24"/>
              </w:rPr>
            </w:pPr>
            <w:r>
              <w:rPr>
                <w:rFonts w:ascii="Arial" w:hAnsi="Arial" w:cs="Arial"/>
                <w:b/>
                <w:sz w:val="24"/>
                <w:szCs w:val="24"/>
              </w:rPr>
              <w:t>Applicant</w:t>
            </w:r>
            <w:r w:rsidR="005B7BF9"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CD1C9C" w:rsidP="00CD1C9C">
            <w:pPr>
              <w:spacing w:after="0" w:line="360" w:lineRule="auto"/>
              <w:jc w:val="center"/>
              <w:rPr>
                <w:rFonts w:ascii="Arial" w:hAnsi="Arial" w:cs="Arial"/>
                <w:b/>
                <w:sz w:val="24"/>
                <w:szCs w:val="24"/>
              </w:rPr>
            </w:pPr>
            <w:r>
              <w:rPr>
                <w:rFonts w:ascii="Arial" w:eastAsia="Times New Roman" w:hAnsi="Arial" w:cs="Arial"/>
                <w:b/>
                <w:sz w:val="24"/>
                <w:szCs w:val="24"/>
                <w:lang w:eastAsia="en-GB"/>
              </w:rPr>
              <w:t>1 &amp; 2 Respondent</w:t>
            </w:r>
            <w:r w:rsidR="00C9470C">
              <w:rPr>
                <w:rFonts w:ascii="Arial" w:eastAsia="Times New Roman" w:hAnsi="Arial" w:cs="Arial"/>
                <w:b/>
                <w:sz w:val="24"/>
                <w:szCs w:val="24"/>
                <w:lang w:eastAsia="en-GB"/>
              </w:rPr>
              <w:t>s</w:t>
            </w:r>
            <w:r w:rsidR="004378DA" w:rsidRPr="000D0F5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CD1C9C" w:rsidRPr="00CD1C9C" w:rsidRDefault="00CD1C9C" w:rsidP="00525402">
            <w:pPr>
              <w:spacing w:after="0" w:line="360" w:lineRule="auto"/>
              <w:jc w:val="center"/>
              <w:rPr>
                <w:rFonts w:ascii="Arial" w:hAnsi="Arial" w:cs="Arial"/>
                <w:sz w:val="24"/>
                <w:szCs w:val="24"/>
                <w:shd w:val="clear" w:color="auto" w:fill="FFFFFF"/>
              </w:rPr>
            </w:pPr>
            <w:r w:rsidRPr="00CD1C9C">
              <w:rPr>
                <w:rFonts w:ascii="Arial" w:hAnsi="Arial" w:cs="Arial"/>
                <w:sz w:val="24"/>
                <w:szCs w:val="24"/>
                <w:shd w:val="clear" w:color="auto" w:fill="FFFFFF"/>
              </w:rPr>
              <w:t xml:space="preserve">I </w:t>
            </w:r>
            <w:proofErr w:type="spellStart"/>
            <w:r w:rsidRPr="00CD1C9C">
              <w:rPr>
                <w:rFonts w:ascii="Arial" w:hAnsi="Arial" w:cs="Arial"/>
                <w:sz w:val="24"/>
                <w:szCs w:val="24"/>
                <w:shd w:val="clear" w:color="auto" w:fill="FFFFFF"/>
              </w:rPr>
              <w:t>Akpabio</w:t>
            </w:r>
            <w:proofErr w:type="spellEnd"/>
            <w:r w:rsidRPr="00CD1C9C">
              <w:rPr>
                <w:rFonts w:ascii="Arial" w:hAnsi="Arial" w:cs="Arial"/>
                <w:sz w:val="24"/>
                <w:szCs w:val="24"/>
                <w:shd w:val="clear" w:color="auto" w:fill="FFFFFF"/>
              </w:rPr>
              <w:t xml:space="preserve"> (In-Person)</w:t>
            </w:r>
          </w:p>
          <w:p w:rsidR="00C9470C" w:rsidRPr="00CD1C9C" w:rsidRDefault="00C9470C" w:rsidP="00525402">
            <w:pPr>
              <w:spacing w:after="0" w:line="360" w:lineRule="auto"/>
              <w:jc w:val="center"/>
              <w:rPr>
                <w:rFonts w:ascii="Arial" w:hAnsi="Arial" w:cs="Arial"/>
                <w:sz w:val="24"/>
                <w:szCs w:val="24"/>
                <w:shd w:val="clear" w:color="auto" w:fill="FFFFFF"/>
              </w:rPr>
            </w:pPr>
            <w:r w:rsidRPr="00CD1C9C">
              <w:rPr>
                <w:rFonts w:ascii="Arial" w:hAnsi="Arial" w:cs="Arial"/>
                <w:sz w:val="24"/>
                <w:szCs w:val="24"/>
                <w:shd w:val="clear" w:color="auto" w:fill="FFFFFF"/>
              </w:rPr>
              <w:t>Windhoek</w:t>
            </w:r>
          </w:p>
          <w:p w:rsidR="005B7BF9" w:rsidRPr="00CD1C9C" w:rsidRDefault="005B7BF9" w:rsidP="007F0C90">
            <w:pPr>
              <w:spacing w:after="0" w:line="360" w:lineRule="auto"/>
              <w:jc w:val="both"/>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rsidR="00C9470C" w:rsidRPr="00CD1C9C" w:rsidRDefault="00CD1C9C" w:rsidP="00525402">
            <w:pPr>
              <w:spacing w:after="0" w:line="360" w:lineRule="auto"/>
              <w:jc w:val="center"/>
              <w:rPr>
                <w:rFonts w:ascii="Arial" w:hAnsi="Arial" w:cs="Arial"/>
                <w:sz w:val="24"/>
                <w:szCs w:val="24"/>
                <w:shd w:val="clear" w:color="auto" w:fill="FFFFFF"/>
              </w:rPr>
            </w:pPr>
            <w:r w:rsidRPr="00CD1C9C">
              <w:rPr>
                <w:rFonts w:ascii="Arial" w:hAnsi="Arial" w:cs="Arial"/>
                <w:sz w:val="24"/>
                <w:szCs w:val="24"/>
                <w:shd w:val="clear" w:color="auto" w:fill="FFFFFF"/>
              </w:rPr>
              <w:t>A Small (with him F Da Silva)</w:t>
            </w:r>
          </w:p>
          <w:p w:rsidR="005B7BF9" w:rsidRPr="00CD1C9C" w:rsidRDefault="00CD1C9C" w:rsidP="00525402">
            <w:pPr>
              <w:spacing w:after="0" w:line="360" w:lineRule="auto"/>
              <w:jc w:val="center"/>
              <w:rPr>
                <w:rFonts w:ascii="Arial" w:eastAsia="Times New Roman" w:hAnsi="Arial" w:cs="Arial"/>
                <w:sz w:val="24"/>
                <w:szCs w:val="24"/>
                <w:lang w:eastAsia="en-GB"/>
              </w:rPr>
            </w:pPr>
            <w:r w:rsidRPr="00CD1C9C">
              <w:rPr>
                <w:rFonts w:ascii="Arial" w:hAnsi="Arial" w:cs="Arial"/>
                <w:sz w:val="24"/>
                <w:szCs w:val="24"/>
                <w:shd w:val="clear" w:color="auto" w:fill="FFFFFF"/>
              </w:rPr>
              <w:t>Instructed by Office of the Government Attorney</w:t>
            </w:r>
            <w:r w:rsidR="00C9470C" w:rsidRPr="00CD1C9C">
              <w:rPr>
                <w:rFonts w:ascii="Arial" w:hAnsi="Arial" w:cs="Arial"/>
                <w:sz w:val="24"/>
                <w:szCs w:val="24"/>
                <w:shd w:val="clear" w:color="auto" w:fill="FFFFFF"/>
              </w:rPr>
              <w:t>, Windhoek</w:t>
            </w:r>
          </w:p>
        </w:tc>
      </w:tr>
    </w:tbl>
    <w:p w:rsidR="007D437D" w:rsidRDefault="007D437D" w:rsidP="007F0C90">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3B" w:rsidRDefault="007E5F3B" w:rsidP="001B7253">
      <w:pPr>
        <w:spacing w:after="0" w:line="240" w:lineRule="auto"/>
      </w:pPr>
      <w:r>
        <w:separator/>
      </w:r>
    </w:p>
  </w:endnote>
  <w:endnote w:type="continuationSeparator" w:id="0">
    <w:p w:rsidR="007E5F3B" w:rsidRDefault="007E5F3B"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3B" w:rsidRDefault="007E5F3B" w:rsidP="001B7253">
      <w:pPr>
        <w:spacing w:after="0" w:line="240" w:lineRule="auto"/>
      </w:pPr>
      <w:r>
        <w:separator/>
      </w:r>
    </w:p>
  </w:footnote>
  <w:footnote w:type="continuationSeparator" w:id="0">
    <w:p w:rsidR="007E5F3B" w:rsidRDefault="007E5F3B" w:rsidP="001B7253">
      <w:pPr>
        <w:spacing w:after="0" w:line="240" w:lineRule="auto"/>
      </w:pPr>
      <w:r>
        <w:continuationSeparator/>
      </w:r>
    </w:p>
  </w:footnote>
  <w:footnote w:id="1">
    <w:p w:rsidR="00DB3A02" w:rsidRPr="00525402" w:rsidRDefault="00DB3A02" w:rsidP="00DB3A02">
      <w:pPr>
        <w:pStyle w:val="FootnoteText"/>
        <w:rPr>
          <w:rFonts w:ascii="Arial" w:hAnsi="Arial" w:cs="Arial"/>
        </w:rPr>
      </w:pPr>
      <w:r>
        <w:rPr>
          <w:rStyle w:val="FootnoteReference"/>
        </w:rPr>
        <w:footnoteRef/>
      </w:r>
      <w:r>
        <w:t xml:space="preserve"> </w:t>
      </w:r>
      <w:proofErr w:type="spellStart"/>
      <w:r w:rsidR="00525402" w:rsidRPr="00525402">
        <w:rPr>
          <w:rFonts w:ascii="Arial" w:hAnsi="Arial" w:cs="Arial"/>
          <w:i/>
        </w:rPr>
        <w:t>Nghiimbwasha</w:t>
      </w:r>
      <w:proofErr w:type="spellEnd"/>
      <w:r w:rsidR="00525402" w:rsidRPr="00525402">
        <w:rPr>
          <w:rFonts w:ascii="Arial" w:hAnsi="Arial" w:cs="Arial"/>
          <w:i/>
        </w:rPr>
        <w:t xml:space="preserve"> and Another v Minister of Justice and Others</w:t>
      </w:r>
      <w:r w:rsidR="00525402" w:rsidRPr="00525402">
        <w:rPr>
          <w:rFonts w:ascii="Arial" w:hAnsi="Arial" w:cs="Arial"/>
        </w:rPr>
        <w:t xml:space="preserve"> </w:t>
      </w:r>
      <w:r w:rsidRPr="00525402">
        <w:rPr>
          <w:rFonts w:ascii="Arial" w:hAnsi="Arial" w:cs="Arial"/>
        </w:rPr>
        <w:t>[2015] NAHCMD 67 (A 38/2015; 20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943AA5">
          <w:rPr>
            <w:noProof/>
          </w:rPr>
          <w:t>6</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466AA2"/>
    <w:multiLevelType w:val="hybridMultilevel"/>
    <w:tmpl w:val="A170C912"/>
    <w:lvl w:ilvl="0" w:tplc="3BFCC32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0B14E6F"/>
    <w:multiLevelType w:val="hybridMultilevel"/>
    <w:tmpl w:val="BDBEC324"/>
    <w:lvl w:ilvl="0" w:tplc="101A053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0"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69647AB8"/>
    <w:multiLevelType w:val="multilevel"/>
    <w:tmpl w:val="9FD40DB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8"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4"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8" w15:restartNumberingAfterBreak="0">
    <w:nsid w:val="7DFA3804"/>
    <w:multiLevelType w:val="hybridMultilevel"/>
    <w:tmpl w:val="A170C912"/>
    <w:lvl w:ilvl="0" w:tplc="3BFCC32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
  </w:num>
  <w:num w:numId="3">
    <w:abstractNumId w:val="20"/>
  </w:num>
  <w:num w:numId="4">
    <w:abstractNumId w:val="10"/>
  </w:num>
  <w:num w:numId="5">
    <w:abstractNumId w:val="41"/>
  </w:num>
  <w:num w:numId="6">
    <w:abstractNumId w:val="43"/>
  </w:num>
  <w:num w:numId="7">
    <w:abstractNumId w:val="26"/>
  </w:num>
  <w:num w:numId="8">
    <w:abstractNumId w:val="40"/>
  </w:num>
  <w:num w:numId="9">
    <w:abstractNumId w:val="37"/>
  </w:num>
  <w:num w:numId="10">
    <w:abstractNumId w:val="17"/>
  </w:num>
  <w:num w:numId="11">
    <w:abstractNumId w:val="29"/>
  </w:num>
  <w:num w:numId="12">
    <w:abstractNumId w:val="45"/>
  </w:num>
  <w:num w:numId="13">
    <w:abstractNumId w:val="5"/>
  </w:num>
  <w:num w:numId="14">
    <w:abstractNumId w:val="24"/>
  </w:num>
  <w:num w:numId="15">
    <w:abstractNumId w:val="33"/>
  </w:num>
  <w:num w:numId="16">
    <w:abstractNumId w:val="8"/>
  </w:num>
  <w:num w:numId="17">
    <w:abstractNumId w:val="32"/>
  </w:num>
  <w:num w:numId="18">
    <w:abstractNumId w:val="7"/>
  </w:num>
  <w:num w:numId="19">
    <w:abstractNumId w:val="22"/>
  </w:num>
  <w:num w:numId="20">
    <w:abstractNumId w:val="28"/>
  </w:num>
  <w:num w:numId="21">
    <w:abstractNumId w:val="11"/>
  </w:num>
  <w:num w:numId="22">
    <w:abstractNumId w:val="23"/>
  </w:num>
  <w:num w:numId="23">
    <w:abstractNumId w:val="15"/>
  </w:num>
  <w:num w:numId="24">
    <w:abstractNumId w:val="18"/>
  </w:num>
  <w:num w:numId="25">
    <w:abstractNumId w:val="27"/>
  </w:num>
  <w:num w:numId="26">
    <w:abstractNumId w:val="42"/>
  </w:num>
  <w:num w:numId="27">
    <w:abstractNumId w:val="47"/>
  </w:num>
  <w:num w:numId="28">
    <w:abstractNumId w:val="16"/>
  </w:num>
  <w:num w:numId="29">
    <w:abstractNumId w:val="31"/>
  </w:num>
  <w:num w:numId="30">
    <w:abstractNumId w:val="25"/>
  </w:num>
  <w:num w:numId="31">
    <w:abstractNumId w:val="34"/>
  </w:num>
  <w:num w:numId="32">
    <w:abstractNumId w:val="39"/>
  </w:num>
  <w:num w:numId="33">
    <w:abstractNumId w:val="36"/>
  </w:num>
  <w:num w:numId="34">
    <w:abstractNumId w:val="0"/>
  </w:num>
  <w:num w:numId="35">
    <w:abstractNumId w:val="21"/>
  </w:num>
  <w:num w:numId="36">
    <w:abstractNumId w:val="38"/>
  </w:num>
  <w:num w:numId="37">
    <w:abstractNumId w:val="13"/>
  </w:num>
  <w:num w:numId="38">
    <w:abstractNumId w:val="9"/>
  </w:num>
  <w:num w:numId="39">
    <w:abstractNumId w:val="14"/>
  </w:num>
  <w:num w:numId="40">
    <w:abstractNumId w:val="1"/>
  </w:num>
  <w:num w:numId="41">
    <w:abstractNumId w:val="3"/>
  </w:num>
  <w:num w:numId="42">
    <w:abstractNumId w:val="44"/>
  </w:num>
  <w:num w:numId="43">
    <w:abstractNumId w:val="19"/>
  </w:num>
  <w:num w:numId="44">
    <w:abstractNumId w:val="30"/>
  </w:num>
  <w:num w:numId="45">
    <w:abstractNumId w:val="6"/>
  </w:num>
  <w:num w:numId="46">
    <w:abstractNumId w:val="35"/>
  </w:num>
  <w:num w:numId="47">
    <w:abstractNumId w:val="2"/>
  </w:num>
  <w:num w:numId="48">
    <w:abstractNumId w:val="4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14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11ED"/>
    <w:rsid w:val="002E26EB"/>
    <w:rsid w:val="002E386B"/>
    <w:rsid w:val="002E3FF2"/>
    <w:rsid w:val="002E75E4"/>
    <w:rsid w:val="002F1008"/>
    <w:rsid w:val="002F3497"/>
    <w:rsid w:val="002F5DB0"/>
    <w:rsid w:val="00302CA5"/>
    <w:rsid w:val="00306FA8"/>
    <w:rsid w:val="00307087"/>
    <w:rsid w:val="0030734D"/>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38A"/>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B13"/>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E7DA9"/>
    <w:rsid w:val="004F1145"/>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402"/>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D7D4F"/>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76679"/>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4186"/>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2D88"/>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E5F3B"/>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AA5"/>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49AF"/>
    <w:rsid w:val="00B6778E"/>
    <w:rsid w:val="00B6783E"/>
    <w:rsid w:val="00B67C00"/>
    <w:rsid w:val="00B70B3C"/>
    <w:rsid w:val="00B70B85"/>
    <w:rsid w:val="00B714D8"/>
    <w:rsid w:val="00B82F26"/>
    <w:rsid w:val="00B832CD"/>
    <w:rsid w:val="00B85D79"/>
    <w:rsid w:val="00B8718F"/>
    <w:rsid w:val="00B90E69"/>
    <w:rsid w:val="00B91387"/>
    <w:rsid w:val="00B91D09"/>
    <w:rsid w:val="00B9241A"/>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31CE"/>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4890"/>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1C9C"/>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3A02"/>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25D"/>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A9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802"/>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244949974">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2023-07-26T18:30:00+00:00</Judgment_x0020_Date>
    <Year xmlns="c1afb1bd-f2fb-40fd-9abb-aea55b4d7662">2023</Year>
  </documentManagement>
</p:properties>
</file>

<file path=customXml/itemProps1.xml><?xml version="1.0" encoding="utf-8"?>
<ds:datastoreItem xmlns:ds="http://schemas.openxmlformats.org/officeDocument/2006/customXml" ds:itemID="{FCF4E574-1367-4F0D-8F56-A930DD072235}"/>
</file>

<file path=customXml/itemProps2.xml><?xml version="1.0" encoding="utf-8"?>
<ds:datastoreItem xmlns:ds="http://schemas.openxmlformats.org/officeDocument/2006/customXml" ds:itemID="{198A8551-484C-45D6-8EDE-450ADFF91188}"/>
</file>

<file path=customXml/itemProps3.xml><?xml version="1.0" encoding="utf-8"?>
<ds:datastoreItem xmlns:ds="http://schemas.openxmlformats.org/officeDocument/2006/customXml" ds:itemID="{ECA6B32D-C5FA-4AE3-9736-56B7907CCFBA}"/>
</file>

<file path=customXml/itemProps4.xml><?xml version="1.0" encoding="utf-8"?>
<ds:datastoreItem xmlns:ds="http://schemas.openxmlformats.org/officeDocument/2006/customXml" ds:itemID="{0C34A936-FCAC-4B58-A92B-10A67E96847E}"/>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Akpabio v The Minister of Justice (HC-MD-CIV-MOT-GEN-2023-00326) [2023] NAHCMD 441 (27 July 2023)</dc:title>
  <dc:subject/>
  <dc:creator>Selma Nambahu</dc:creator>
  <cp:keywords/>
  <dc:description/>
  <cp:lastModifiedBy>Selma Nambahu</cp:lastModifiedBy>
  <cp:revision>4</cp:revision>
  <cp:lastPrinted>2023-07-27T08:22:00Z</cp:lastPrinted>
  <dcterms:created xsi:type="dcterms:W3CDTF">2023-07-27T08:20:00Z</dcterms:created>
  <dcterms:modified xsi:type="dcterms:W3CDTF">2023-07-27T08:22:00Z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