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8C" w:rsidRPr="0066378C" w:rsidRDefault="0066378C" w:rsidP="0066378C">
      <w:pPr>
        <w:spacing w:line="252" w:lineRule="auto"/>
        <w:jc w:val="center"/>
        <w:rPr>
          <w:rFonts w:ascii="Arial" w:hAnsi="Arial" w:cs="Arial"/>
          <w:b/>
          <w:sz w:val="24"/>
          <w:szCs w:val="24"/>
        </w:rPr>
      </w:pPr>
      <w:r w:rsidRPr="0066378C">
        <w:rPr>
          <w:rFonts w:ascii="Arial" w:hAnsi="Arial" w:cs="Arial"/>
          <w:b/>
          <w:sz w:val="24"/>
          <w:szCs w:val="24"/>
        </w:rPr>
        <w:t>REPUBLIC OF NAMIBIA</w:t>
      </w:r>
    </w:p>
    <w:p w:rsidR="0066378C" w:rsidRPr="0066378C" w:rsidRDefault="0066378C" w:rsidP="0066378C">
      <w:pPr>
        <w:spacing w:line="252" w:lineRule="auto"/>
        <w:jc w:val="center"/>
        <w:rPr>
          <w:rFonts w:ascii="Arial" w:hAnsi="Arial" w:cs="Arial"/>
          <w:b/>
          <w:sz w:val="24"/>
          <w:szCs w:val="24"/>
        </w:rPr>
      </w:pPr>
      <w:r w:rsidRPr="0066378C">
        <w:rPr>
          <w:rFonts w:ascii="Arial" w:hAnsi="Arial" w:cs="Arial"/>
          <w:b/>
          <w:noProof/>
          <w:sz w:val="24"/>
          <w:szCs w:val="24"/>
        </w:rPr>
        <w:drawing>
          <wp:inline distT="0" distB="0" distL="0" distR="0" wp14:anchorId="7839C615" wp14:editId="5B710871">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66378C" w:rsidRDefault="0066378C" w:rsidP="0041449B">
      <w:pPr>
        <w:spacing w:after="0" w:line="252" w:lineRule="auto"/>
        <w:jc w:val="center"/>
        <w:rPr>
          <w:rFonts w:ascii="Arial" w:hAnsi="Arial" w:cs="Arial"/>
          <w:b/>
          <w:sz w:val="24"/>
          <w:szCs w:val="24"/>
        </w:rPr>
      </w:pPr>
      <w:r w:rsidRPr="0066378C">
        <w:rPr>
          <w:rFonts w:ascii="Arial" w:hAnsi="Arial" w:cs="Arial"/>
          <w:b/>
          <w:sz w:val="24"/>
          <w:szCs w:val="24"/>
        </w:rPr>
        <w:t>IN THE HIGH COURT OF NAMIBIA, MAIN DIVISION, WINDHOEK</w:t>
      </w:r>
    </w:p>
    <w:p w:rsidR="0041449B" w:rsidRPr="0066378C" w:rsidRDefault="0041449B" w:rsidP="0041449B">
      <w:pPr>
        <w:spacing w:line="252" w:lineRule="auto"/>
        <w:jc w:val="center"/>
        <w:rPr>
          <w:rFonts w:ascii="Arial" w:hAnsi="Arial" w:cs="Arial"/>
          <w:b/>
          <w:sz w:val="24"/>
          <w:szCs w:val="24"/>
        </w:rPr>
      </w:pPr>
    </w:p>
    <w:p w:rsidR="0041449B" w:rsidRDefault="0066378C" w:rsidP="0041449B">
      <w:pPr>
        <w:spacing w:after="0" w:line="252" w:lineRule="auto"/>
        <w:jc w:val="center"/>
        <w:rPr>
          <w:rFonts w:ascii="Arial" w:hAnsi="Arial" w:cs="Arial"/>
          <w:b/>
          <w:sz w:val="24"/>
          <w:szCs w:val="24"/>
        </w:rPr>
      </w:pPr>
      <w:r w:rsidRPr="0066378C">
        <w:rPr>
          <w:rFonts w:ascii="Arial" w:hAnsi="Arial" w:cs="Arial"/>
          <w:b/>
          <w:sz w:val="24"/>
          <w:szCs w:val="24"/>
        </w:rPr>
        <w:t xml:space="preserve">APPEAL JUDGMENT </w:t>
      </w:r>
    </w:p>
    <w:p w:rsidR="0041449B" w:rsidRPr="0066378C" w:rsidRDefault="0041449B" w:rsidP="0041449B">
      <w:pPr>
        <w:spacing w:line="252" w:lineRule="auto"/>
        <w:jc w:val="center"/>
        <w:rPr>
          <w:rFonts w:ascii="Arial" w:hAnsi="Arial" w:cs="Arial"/>
          <w:b/>
          <w:sz w:val="24"/>
          <w:szCs w:val="24"/>
        </w:rPr>
      </w:pPr>
    </w:p>
    <w:p w:rsidR="0066378C" w:rsidRDefault="0041449B" w:rsidP="0041449B">
      <w:pPr>
        <w:spacing w:line="254" w:lineRule="auto"/>
        <w:jc w:val="center"/>
        <w:rPr>
          <w:rFonts w:ascii="Arial" w:hAnsi="Arial" w:cs="Arial"/>
          <w:b/>
          <w:sz w:val="24"/>
          <w:szCs w:val="24"/>
          <w:lang w:val="en-ZA"/>
        </w:rPr>
      </w:pPr>
      <w:r w:rsidRPr="0041449B">
        <w:rPr>
          <w:rFonts w:ascii="Arial" w:hAnsi="Arial" w:cs="Arial"/>
          <w:b/>
          <w:sz w:val="24"/>
          <w:szCs w:val="24"/>
          <w:lang w:val="en-ZA"/>
        </w:rPr>
        <w:t>PRACTICE DIRECTIVE 61</w:t>
      </w:r>
    </w:p>
    <w:p w:rsidR="0041449B" w:rsidRPr="0041449B" w:rsidRDefault="0041449B" w:rsidP="0041449B">
      <w:pPr>
        <w:spacing w:line="254" w:lineRule="auto"/>
        <w:jc w:val="center"/>
        <w:rPr>
          <w:rFonts w:ascii="Arial" w:hAnsi="Arial" w:cs="Arial"/>
          <w:b/>
          <w:sz w:val="24"/>
          <w:szCs w:val="24"/>
          <w:lang w:val="en-ZA"/>
        </w:rPr>
      </w:pPr>
    </w:p>
    <w:tbl>
      <w:tblPr>
        <w:tblStyle w:val="TableGrid"/>
        <w:tblW w:w="10207" w:type="dxa"/>
        <w:tblInd w:w="-147" w:type="dxa"/>
        <w:tblLayout w:type="fixed"/>
        <w:tblLook w:val="04A0" w:firstRow="1" w:lastRow="0" w:firstColumn="1" w:lastColumn="0" w:noHBand="0" w:noVBand="1"/>
      </w:tblPr>
      <w:tblGrid>
        <w:gridCol w:w="4276"/>
        <w:gridCol w:w="330"/>
        <w:gridCol w:w="5601"/>
      </w:tblGrid>
      <w:tr w:rsidR="0066378C" w:rsidRPr="0066378C" w:rsidTr="009B1A4A">
        <w:tc>
          <w:tcPr>
            <w:tcW w:w="4276" w:type="dxa"/>
            <w:vMerge w:val="restart"/>
            <w:tcBorders>
              <w:top w:val="single" w:sz="4" w:space="0" w:color="auto"/>
              <w:left w:val="single" w:sz="4" w:space="0" w:color="auto"/>
              <w:bottom w:val="single" w:sz="4" w:space="0" w:color="auto"/>
              <w:right w:val="single" w:sz="4" w:space="0" w:color="auto"/>
            </w:tcBorders>
            <w:hideMark/>
          </w:tcPr>
          <w:p w:rsidR="0066378C" w:rsidRPr="0066378C" w:rsidRDefault="0066378C" w:rsidP="0066378C">
            <w:pPr>
              <w:spacing w:line="360" w:lineRule="auto"/>
              <w:jc w:val="both"/>
              <w:rPr>
                <w:rFonts w:ascii="Arial" w:hAnsi="Arial" w:cs="Arial"/>
                <w:b/>
                <w:sz w:val="24"/>
                <w:szCs w:val="24"/>
                <w:lang w:val="en-ZA"/>
              </w:rPr>
            </w:pPr>
            <w:r w:rsidRPr="0066378C">
              <w:rPr>
                <w:rFonts w:ascii="Arial" w:hAnsi="Arial" w:cs="Arial"/>
                <w:b/>
                <w:sz w:val="24"/>
                <w:szCs w:val="24"/>
                <w:lang w:val="en-ZA"/>
              </w:rPr>
              <w:t>Case Title:</w:t>
            </w:r>
          </w:p>
          <w:p w:rsidR="0066378C" w:rsidRPr="0066378C" w:rsidRDefault="0066378C" w:rsidP="0066378C">
            <w:pPr>
              <w:spacing w:line="360" w:lineRule="auto"/>
              <w:jc w:val="both"/>
              <w:rPr>
                <w:rFonts w:ascii="Arial" w:hAnsi="Arial" w:cs="Arial"/>
                <w:i/>
                <w:sz w:val="24"/>
                <w:szCs w:val="24"/>
                <w:lang w:val="en-ZA"/>
              </w:rPr>
            </w:pPr>
            <w:r w:rsidRPr="0066378C">
              <w:rPr>
                <w:rFonts w:ascii="Arial" w:hAnsi="Arial" w:cs="Arial"/>
                <w:i/>
                <w:sz w:val="24"/>
                <w:szCs w:val="24"/>
                <w:lang w:val="en-ZA"/>
              </w:rPr>
              <w:t xml:space="preserve">The State v </w:t>
            </w:r>
            <w:proofErr w:type="spellStart"/>
            <w:r>
              <w:rPr>
                <w:rFonts w:ascii="Arial" w:hAnsi="Arial" w:cs="Arial"/>
                <w:i/>
                <w:sz w:val="24"/>
                <w:szCs w:val="24"/>
                <w:lang w:val="en-ZA"/>
              </w:rPr>
              <w:t>Belzel</w:t>
            </w:r>
            <w:proofErr w:type="spellEnd"/>
            <w:r>
              <w:rPr>
                <w:rFonts w:ascii="Arial" w:hAnsi="Arial" w:cs="Arial"/>
                <w:i/>
                <w:sz w:val="24"/>
                <w:szCs w:val="24"/>
                <w:lang w:val="en-ZA"/>
              </w:rPr>
              <w:t xml:space="preserve"> </w:t>
            </w:r>
            <w:proofErr w:type="spellStart"/>
            <w:r>
              <w:rPr>
                <w:rFonts w:ascii="Arial" w:hAnsi="Arial" w:cs="Arial"/>
                <w:i/>
                <w:sz w:val="24"/>
                <w:szCs w:val="24"/>
                <w:lang w:val="en-ZA"/>
              </w:rPr>
              <w:t>Tsaeb</w:t>
            </w:r>
            <w:proofErr w:type="spellEnd"/>
          </w:p>
        </w:tc>
        <w:tc>
          <w:tcPr>
            <w:tcW w:w="5931" w:type="dxa"/>
            <w:gridSpan w:val="2"/>
            <w:tcBorders>
              <w:top w:val="single" w:sz="4" w:space="0" w:color="auto"/>
              <w:left w:val="single" w:sz="4" w:space="0" w:color="auto"/>
              <w:bottom w:val="single" w:sz="4" w:space="0" w:color="auto"/>
              <w:right w:val="single" w:sz="4" w:space="0" w:color="auto"/>
            </w:tcBorders>
          </w:tcPr>
          <w:p w:rsidR="00314D14" w:rsidRPr="00314D14" w:rsidRDefault="0066378C" w:rsidP="0066378C">
            <w:pPr>
              <w:spacing w:line="360" w:lineRule="auto"/>
              <w:ind w:left="2183" w:hanging="2126"/>
              <w:jc w:val="both"/>
              <w:rPr>
                <w:rFonts w:ascii="Arial" w:hAnsi="Arial" w:cs="Arial"/>
                <w:b/>
                <w:sz w:val="24"/>
                <w:szCs w:val="24"/>
                <w:lang w:val="en-ZA"/>
              </w:rPr>
            </w:pPr>
            <w:r w:rsidRPr="00314D14">
              <w:rPr>
                <w:rFonts w:ascii="Arial" w:hAnsi="Arial" w:cs="Arial"/>
                <w:b/>
                <w:sz w:val="24"/>
                <w:szCs w:val="24"/>
                <w:lang w:val="en-ZA"/>
              </w:rPr>
              <w:t xml:space="preserve">Case No: </w:t>
            </w:r>
          </w:p>
          <w:p w:rsidR="0066378C" w:rsidRPr="0041449B" w:rsidRDefault="0066378C" w:rsidP="0066378C">
            <w:pPr>
              <w:spacing w:line="360" w:lineRule="auto"/>
              <w:ind w:left="2183" w:hanging="2126"/>
              <w:jc w:val="both"/>
              <w:rPr>
                <w:rFonts w:ascii="Arial" w:hAnsi="Arial" w:cs="Arial"/>
                <w:b/>
                <w:sz w:val="24"/>
                <w:szCs w:val="24"/>
                <w:lang w:val="en-ZA"/>
              </w:rPr>
            </w:pPr>
            <w:r w:rsidRPr="0041449B">
              <w:rPr>
                <w:rFonts w:ascii="Arial" w:hAnsi="Arial" w:cs="Arial"/>
                <w:b/>
                <w:sz w:val="24"/>
                <w:szCs w:val="24"/>
                <w:lang w:val="en-ZA"/>
              </w:rPr>
              <w:t>HC-MD-CRI-APP-CAL-2022/00068</w:t>
            </w:r>
          </w:p>
          <w:p w:rsidR="0066378C" w:rsidRPr="0066378C" w:rsidRDefault="0066378C" w:rsidP="0066378C">
            <w:pPr>
              <w:spacing w:line="360" w:lineRule="auto"/>
              <w:ind w:left="2183" w:hanging="2126"/>
              <w:jc w:val="both"/>
              <w:rPr>
                <w:rFonts w:ascii="Arial" w:hAnsi="Arial" w:cs="Arial"/>
                <w:sz w:val="24"/>
                <w:szCs w:val="24"/>
                <w:lang w:val="en-ZA"/>
              </w:rPr>
            </w:pPr>
          </w:p>
        </w:tc>
      </w:tr>
      <w:tr w:rsidR="0066378C" w:rsidRPr="0066378C" w:rsidTr="009B1A4A">
        <w:tc>
          <w:tcPr>
            <w:tcW w:w="4276" w:type="dxa"/>
            <w:vMerge/>
            <w:tcBorders>
              <w:top w:val="single" w:sz="4" w:space="0" w:color="auto"/>
              <w:left w:val="single" w:sz="4" w:space="0" w:color="auto"/>
              <w:bottom w:val="single" w:sz="4" w:space="0" w:color="auto"/>
              <w:right w:val="single" w:sz="4" w:space="0" w:color="auto"/>
            </w:tcBorders>
            <w:vAlign w:val="center"/>
            <w:hideMark/>
          </w:tcPr>
          <w:p w:rsidR="0066378C" w:rsidRPr="0066378C" w:rsidRDefault="0066378C" w:rsidP="0066378C">
            <w:pPr>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hideMark/>
          </w:tcPr>
          <w:p w:rsidR="0066378C" w:rsidRPr="0066378C" w:rsidRDefault="0066378C" w:rsidP="0066378C">
            <w:pPr>
              <w:spacing w:line="360" w:lineRule="auto"/>
              <w:jc w:val="both"/>
              <w:rPr>
                <w:rFonts w:ascii="Arial" w:hAnsi="Arial" w:cs="Arial"/>
                <w:b/>
                <w:sz w:val="24"/>
                <w:szCs w:val="24"/>
                <w:lang w:val="en-ZA"/>
              </w:rPr>
            </w:pPr>
            <w:r w:rsidRPr="0066378C">
              <w:rPr>
                <w:rFonts w:ascii="Arial" w:hAnsi="Arial" w:cs="Arial"/>
                <w:b/>
                <w:sz w:val="24"/>
                <w:szCs w:val="24"/>
                <w:lang w:val="en-ZA"/>
              </w:rPr>
              <w:t xml:space="preserve">Division of Court: </w:t>
            </w:r>
          </w:p>
          <w:p w:rsidR="0066378C" w:rsidRPr="0066378C" w:rsidRDefault="0066378C" w:rsidP="0066378C">
            <w:pPr>
              <w:spacing w:line="360" w:lineRule="auto"/>
              <w:jc w:val="both"/>
              <w:rPr>
                <w:rFonts w:ascii="Arial" w:hAnsi="Arial" w:cs="Arial"/>
                <w:sz w:val="24"/>
                <w:szCs w:val="24"/>
                <w:lang w:val="en-ZA"/>
              </w:rPr>
            </w:pPr>
            <w:r w:rsidRPr="0066378C">
              <w:rPr>
                <w:rFonts w:ascii="Arial" w:hAnsi="Arial" w:cs="Arial"/>
                <w:sz w:val="24"/>
                <w:szCs w:val="24"/>
                <w:lang w:val="en-ZA"/>
              </w:rPr>
              <w:t>Main Division</w:t>
            </w:r>
          </w:p>
        </w:tc>
      </w:tr>
      <w:tr w:rsidR="00314D14" w:rsidRPr="0066378C" w:rsidTr="00F64B1B">
        <w:trPr>
          <w:trHeight w:val="1125"/>
        </w:trPr>
        <w:tc>
          <w:tcPr>
            <w:tcW w:w="4276" w:type="dxa"/>
            <w:vMerge w:val="restart"/>
            <w:tcBorders>
              <w:top w:val="single" w:sz="4" w:space="0" w:color="auto"/>
              <w:left w:val="single" w:sz="4" w:space="0" w:color="auto"/>
              <w:right w:val="single" w:sz="4" w:space="0" w:color="auto"/>
            </w:tcBorders>
          </w:tcPr>
          <w:p w:rsidR="00314D14" w:rsidRPr="0066378C" w:rsidRDefault="00314D14" w:rsidP="0066378C">
            <w:pPr>
              <w:spacing w:line="360" w:lineRule="auto"/>
              <w:jc w:val="both"/>
              <w:rPr>
                <w:rFonts w:ascii="Arial" w:hAnsi="Arial" w:cs="Arial"/>
                <w:b/>
                <w:sz w:val="24"/>
                <w:szCs w:val="24"/>
                <w:lang w:val="en-ZA"/>
              </w:rPr>
            </w:pPr>
            <w:r w:rsidRPr="0066378C">
              <w:rPr>
                <w:rFonts w:ascii="Arial" w:hAnsi="Arial" w:cs="Arial"/>
                <w:b/>
                <w:sz w:val="24"/>
                <w:szCs w:val="24"/>
                <w:lang w:val="en-ZA"/>
              </w:rPr>
              <w:t xml:space="preserve">Heard before:  </w:t>
            </w:r>
          </w:p>
          <w:p w:rsidR="00314D14" w:rsidRDefault="00314D14" w:rsidP="0066378C">
            <w:pPr>
              <w:spacing w:line="360" w:lineRule="auto"/>
              <w:jc w:val="both"/>
              <w:rPr>
                <w:rFonts w:ascii="Arial" w:hAnsi="Arial" w:cs="Arial"/>
                <w:sz w:val="24"/>
                <w:szCs w:val="24"/>
                <w:lang w:val="en-ZA"/>
              </w:rPr>
            </w:pPr>
            <w:r>
              <w:rPr>
                <w:rFonts w:ascii="Arial" w:hAnsi="Arial" w:cs="Arial"/>
                <w:sz w:val="24"/>
                <w:szCs w:val="24"/>
                <w:lang w:val="en-ZA"/>
              </w:rPr>
              <w:t>Honourable Mr.</w:t>
            </w:r>
            <w:r w:rsidRPr="0066378C">
              <w:rPr>
                <w:rFonts w:ascii="Arial" w:hAnsi="Arial" w:cs="Arial"/>
                <w:sz w:val="24"/>
                <w:szCs w:val="24"/>
                <w:lang w:val="en-ZA"/>
              </w:rPr>
              <w:t xml:space="preserve"> Justice January</w:t>
            </w:r>
            <w:r>
              <w:rPr>
                <w:rFonts w:ascii="Arial" w:hAnsi="Arial" w:cs="Arial"/>
                <w:sz w:val="24"/>
                <w:szCs w:val="24"/>
                <w:lang w:val="en-ZA"/>
              </w:rPr>
              <w:t xml:space="preserve"> </w:t>
            </w:r>
            <w:r w:rsidRPr="00314D14">
              <w:rPr>
                <w:rFonts w:ascii="Arial" w:hAnsi="Arial" w:cs="Arial"/>
                <w:i/>
                <w:sz w:val="24"/>
                <w:szCs w:val="24"/>
                <w:lang w:val="en-ZA"/>
              </w:rPr>
              <w:t>et</w:t>
            </w:r>
          </w:p>
          <w:p w:rsidR="00314D14" w:rsidRPr="0066378C" w:rsidRDefault="00314D14" w:rsidP="0066378C">
            <w:pPr>
              <w:spacing w:line="360" w:lineRule="auto"/>
              <w:jc w:val="both"/>
              <w:rPr>
                <w:rFonts w:ascii="Arial" w:hAnsi="Arial" w:cs="Arial"/>
                <w:sz w:val="24"/>
                <w:szCs w:val="24"/>
                <w:lang w:val="en-ZA"/>
              </w:rPr>
            </w:pPr>
            <w:r>
              <w:rPr>
                <w:rFonts w:ascii="Arial" w:hAnsi="Arial" w:cs="Arial"/>
                <w:sz w:val="24"/>
                <w:szCs w:val="24"/>
                <w:lang w:val="en-ZA"/>
              </w:rPr>
              <w:t xml:space="preserve">Honourable Ms. D </w:t>
            </w:r>
            <w:proofErr w:type="spellStart"/>
            <w:r>
              <w:rPr>
                <w:rFonts w:ascii="Arial" w:hAnsi="Arial" w:cs="Arial"/>
                <w:sz w:val="24"/>
                <w:szCs w:val="24"/>
                <w:lang w:val="en-ZA"/>
              </w:rPr>
              <w:t>Usiku</w:t>
            </w:r>
            <w:proofErr w:type="spellEnd"/>
            <w:r>
              <w:rPr>
                <w:rFonts w:ascii="Arial" w:hAnsi="Arial" w:cs="Arial"/>
                <w:sz w:val="24"/>
                <w:szCs w:val="24"/>
                <w:lang w:val="en-ZA"/>
              </w:rPr>
              <w:t xml:space="preserve"> J</w:t>
            </w:r>
          </w:p>
          <w:p w:rsidR="00314D14" w:rsidRPr="0066378C" w:rsidRDefault="00314D14" w:rsidP="0066378C">
            <w:pPr>
              <w:spacing w:line="360" w:lineRule="auto"/>
              <w:jc w:val="both"/>
              <w:rPr>
                <w:rFonts w:ascii="Arial" w:hAnsi="Arial" w:cs="Arial"/>
                <w:b/>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tcPr>
          <w:p w:rsidR="00314D14" w:rsidRDefault="00314D14" w:rsidP="0066378C">
            <w:pPr>
              <w:spacing w:line="360" w:lineRule="auto"/>
              <w:jc w:val="both"/>
              <w:rPr>
                <w:rFonts w:ascii="Arial" w:hAnsi="Arial" w:cs="Arial"/>
                <w:b/>
                <w:sz w:val="24"/>
                <w:szCs w:val="24"/>
                <w:lang w:val="en-ZA"/>
              </w:rPr>
            </w:pPr>
            <w:r>
              <w:rPr>
                <w:rFonts w:ascii="Arial" w:hAnsi="Arial" w:cs="Arial"/>
                <w:b/>
                <w:sz w:val="24"/>
                <w:szCs w:val="24"/>
                <w:lang w:val="en-ZA"/>
              </w:rPr>
              <w:t>Heard on:</w:t>
            </w:r>
          </w:p>
          <w:p w:rsidR="00314D14" w:rsidRPr="0066378C" w:rsidRDefault="00314D14" w:rsidP="0066378C">
            <w:pPr>
              <w:spacing w:line="360" w:lineRule="auto"/>
              <w:jc w:val="both"/>
              <w:rPr>
                <w:rFonts w:ascii="Arial" w:hAnsi="Arial" w:cs="Arial"/>
                <w:sz w:val="24"/>
                <w:szCs w:val="24"/>
                <w:lang w:val="en-ZA"/>
              </w:rPr>
            </w:pPr>
            <w:r w:rsidRPr="00314D14">
              <w:rPr>
                <w:rFonts w:ascii="Arial" w:hAnsi="Arial" w:cs="Arial"/>
                <w:sz w:val="24"/>
                <w:szCs w:val="24"/>
                <w:lang w:val="en-ZA"/>
              </w:rPr>
              <w:t>30 June 2023</w:t>
            </w:r>
          </w:p>
        </w:tc>
      </w:tr>
      <w:tr w:rsidR="00314D14" w:rsidRPr="0066378C" w:rsidTr="00314D14">
        <w:trPr>
          <w:trHeight w:val="1007"/>
        </w:trPr>
        <w:tc>
          <w:tcPr>
            <w:tcW w:w="4276" w:type="dxa"/>
            <w:vMerge/>
            <w:tcBorders>
              <w:left w:val="single" w:sz="4" w:space="0" w:color="auto"/>
              <w:bottom w:val="single" w:sz="4" w:space="0" w:color="auto"/>
              <w:right w:val="single" w:sz="4" w:space="0" w:color="auto"/>
            </w:tcBorders>
          </w:tcPr>
          <w:p w:rsidR="00314D14" w:rsidRPr="0066378C" w:rsidRDefault="00314D14" w:rsidP="0066378C">
            <w:pPr>
              <w:spacing w:line="360" w:lineRule="auto"/>
              <w:jc w:val="both"/>
              <w:rPr>
                <w:rFonts w:ascii="Arial" w:hAnsi="Arial" w:cs="Arial"/>
                <w:b/>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tcPr>
          <w:p w:rsidR="00314D14" w:rsidRPr="0066378C" w:rsidRDefault="00314D14" w:rsidP="0066378C">
            <w:pPr>
              <w:spacing w:line="360" w:lineRule="auto"/>
              <w:jc w:val="both"/>
              <w:rPr>
                <w:rFonts w:ascii="Arial" w:hAnsi="Arial" w:cs="Arial"/>
                <w:b/>
                <w:sz w:val="24"/>
                <w:szCs w:val="24"/>
                <w:lang w:val="en-ZA"/>
              </w:rPr>
            </w:pPr>
            <w:r w:rsidRPr="0066378C">
              <w:rPr>
                <w:rFonts w:ascii="Arial" w:hAnsi="Arial" w:cs="Arial"/>
                <w:b/>
                <w:sz w:val="24"/>
                <w:szCs w:val="24"/>
                <w:lang w:val="en-ZA"/>
              </w:rPr>
              <w:t xml:space="preserve">Delivered on:  </w:t>
            </w:r>
          </w:p>
          <w:p w:rsidR="00314D14" w:rsidRPr="0066378C" w:rsidRDefault="00314D14" w:rsidP="0066378C">
            <w:pPr>
              <w:spacing w:line="360" w:lineRule="auto"/>
              <w:jc w:val="both"/>
              <w:rPr>
                <w:rFonts w:ascii="Arial" w:hAnsi="Arial" w:cs="Arial"/>
                <w:sz w:val="24"/>
                <w:szCs w:val="24"/>
                <w:lang w:val="en-ZA"/>
              </w:rPr>
            </w:pPr>
            <w:r>
              <w:rPr>
                <w:rFonts w:ascii="Arial" w:hAnsi="Arial" w:cs="Arial"/>
                <w:sz w:val="24"/>
                <w:szCs w:val="24"/>
                <w:lang w:val="en-ZA"/>
              </w:rPr>
              <w:t>28 July 2023</w:t>
            </w:r>
          </w:p>
          <w:p w:rsidR="00314D14" w:rsidRDefault="00314D14" w:rsidP="0066378C">
            <w:pPr>
              <w:spacing w:line="360" w:lineRule="auto"/>
              <w:jc w:val="both"/>
              <w:rPr>
                <w:rFonts w:ascii="Arial" w:hAnsi="Arial" w:cs="Arial"/>
                <w:b/>
                <w:sz w:val="24"/>
                <w:szCs w:val="24"/>
                <w:lang w:val="en-ZA"/>
              </w:rPr>
            </w:pPr>
          </w:p>
        </w:tc>
      </w:tr>
      <w:tr w:rsidR="0066378C" w:rsidRPr="0066378C" w:rsidTr="009B1A4A">
        <w:tc>
          <w:tcPr>
            <w:tcW w:w="10207" w:type="dxa"/>
            <w:gridSpan w:val="3"/>
            <w:tcBorders>
              <w:top w:val="single" w:sz="4" w:space="0" w:color="auto"/>
              <w:left w:val="single" w:sz="4" w:space="0" w:color="auto"/>
              <w:bottom w:val="single" w:sz="4" w:space="0" w:color="auto"/>
              <w:right w:val="single" w:sz="4" w:space="0" w:color="auto"/>
            </w:tcBorders>
          </w:tcPr>
          <w:p w:rsidR="0066378C" w:rsidRPr="0066378C" w:rsidRDefault="0066378C" w:rsidP="00314D14">
            <w:pPr>
              <w:spacing w:line="360" w:lineRule="auto"/>
              <w:ind w:left="1947" w:hanging="1890"/>
              <w:jc w:val="both"/>
              <w:rPr>
                <w:rFonts w:ascii="Arial" w:hAnsi="Arial" w:cs="Arial"/>
                <w:sz w:val="24"/>
                <w:szCs w:val="24"/>
                <w:lang w:val="en-ZA"/>
              </w:rPr>
            </w:pPr>
            <w:r w:rsidRPr="0066378C">
              <w:rPr>
                <w:rFonts w:ascii="Arial" w:hAnsi="Arial" w:cs="Arial"/>
                <w:b/>
                <w:sz w:val="24"/>
                <w:szCs w:val="24"/>
                <w:lang w:val="en-ZA"/>
              </w:rPr>
              <w:t xml:space="preserve">Neutral citation: </w:t>
            </w:r>
            <w:r w:rsidRPr="0066378C">
              <w:rPr>
                <w:rFonts w:ascii="Arial" w:hAnsi="Arial" w:cs="Arial"/>
                <w:i/>
                <w:sz w:val="24"/>
                <w:szCs w:val="24"/>
                <w:lang w:val="en-ZA"/>
              </w:rPr>
              <w:t xml:space="preserve">S v </w:t>
            </w:r>
            <w:proofErr w:type="spellStart"/>
            <w:r>
              <w:rPr>
                <w:rFonts w:ascii="Arial" w:hAnsi="Arial" w:cs="Arial"/>
                <w:i/>
                <w:sz w:val="24"/>
                <w:szCs w:val="24"/>
                <w:lang w:val="en-ZA"/>
              </w:rPr>
              <w:t>Tsaeb</w:t>
            </w:r>
            <w:proofErr w:type="spellEnd"/>
            <w:r w:rsidRPr="0066378C">
              <w:rPr>
                <w:rFonts w:ascii="Arial" w:hAnsi="Arial" w:cs="Arial"/>
                <w:i/>
                <w:sz w:val="24"/>
                <w:szCs w:val="24"/>
                <w:lang w:val="en-ZA"/>
              </w:rPr>
              <w:t xml:space="preserve"> </w:t>
            </w:r>
            <w:r w:rsidRPr="0066378C">
              <w:rPr>
                <w:rFonts w:ascii="Arial" w:hAnsi="Arial" w:cs="Arial"/>
                <w:sz w:val="24"/>
                <w:szCs w:val="24"/>
                <w:lang w:val="en-ZA"/>
              </w:rPr>
              <w:t>(HC-MD-CRI-APP-CAL-</w:t>
            </w:r>
            <w:r>
              <w:rPr>
                <w:rFonts w:ascii="Arial" w:hAnsi="Arial" w:cs="Arial"/>
                <w:sz w:val="24"/>
                <w:szCs w:val="24"/>
                <w:lang w:val="en-ZA"/>
              </w:rPr>
              <w:t>2022/00068</w:t>
            </w:r>
            <w:r w:rsidRPr="0066378C">
              <w:rPr>
                <w:rFonts w:ascii="Arial" w:hAnsi="Arial" w:cs="Arial"/>
                <w:sz w:val="24"/>
                <w:szCs w:val="24"/>
                <w:lang w:val="en-ZA"/>
              </w:rPr>
              <w:t>) [202</w:t>
            </w:r>
            <w:r>
              <w:rPr>
                <w:rFonts w:ascii="Arial" w:hAnsi="Arial" w:cs="Arial"/>
                <w:sz w:val="24"/>
                <w:szCs w:val="24"/>
                <w:lang w:val="en-ZA"/>
              </w:rPr>
              <w:t>3</w:t>
            </w:r>
            <w:r w:rsidR="0041449B">
              <w:rPr>
                <w:rFonts w:ascii="Arial" w:hAnsi="Arial" w:cs="Arial"/>
                <w:sz w:val="24"/>
                <w:szCs w:val="24"/>
                <w:lang w:val="en-ZA"/>
              </w:rPr>
              <w:t>] NAHCMD</w:t>
            </w:r>
            <w:r w:rsidR="00EE4B90">
              <w:rPr>
                <w:rFonts w:ascii="Arial" w:hAnsi="Arial" w:cs="Arial"/>
                <w:sz w:val="24"/>
                <w:szCs w:val="24"/>
                <w:lang w:val="en-ZA"/>
              </w:rPr>
              <w:t xml:space="preserve"> 448</w:t>
            </w:r>
            <w:r w:rsidR="0041449B">
              <w:rPr>
                <w:rFonts w:ascii="Arial" w:hAnsi="Arial" w:cs="Arial"/>
                <w:sz w:val="24"/>
                <w:szCs w:val="24"/>
                <w:lang w:val="en-ZA"/>
              </w:rPr>
              <w:t xml:space="preserve"> </w:t>
            </w:r>
            <w:r w:rsidRPr="0066378C">
              <w:rPr>
                <w:rFonts w:ascii="Arial" w:hAnsi="Arial" w:cs="Arial"/>
                <w:sz w:val="24"/>
                <w:szCs w:val="24"/>
                <w:lang w:val="en-ZA"/>
              </w:rPr>
              <w:t>(</w:t>
            </w:r>
            <w:r w:rsidR="00314D14">
              <w:rPr>
                <w:rFonts w:ascii="Arial" w:hAnsi="Arial" w:cs="Arial"/>
                <w:sz w:val="24"/>
                <w:szCs w:val="24"/>
                <w:lang w:val="en-ZA"/>
              </w:rPr>
              <w:t xml:space="preserve">28 </w:t>
            </w:r>
            <w:r>
              <w:rPr>
                <w:rFonts w:ascii="Arial" w:hAnsi="Arial" w:cs="Arial"/>
                <w:sz w:val="24"/>
                <w:szCs w:val="24"/>
                <w:lang w:val="en-ZA"/>
              </w:rPr>
              <w:t>July 2023</w:t>
            </w:r>
            <w:r w:rsidRPr="0066378C">
              <w:rPr>
                <w:rFonts w:ascii="Arial" w:hAnsi="Arial" w:cs="Arial"/>
                <w:sz w:val="24"/>
                <w:szCs w:val="24"/>
                <w:lang w:val="en-ZA"/>
              </w:rPr>
              <w:t>)</w:t>
            </w:r>
          </w:p>
          <w:p w:rsidR="0066378C" w:rsidRPr="0066378C" w:rsidRDefault="0066378C" w:rsidP="0066378C">
            <w:pPr>
              <w:spacing w:line="360" w:lineRule="auto"/>
              <w:jc w:val="both"/>
              <w:rPr>
                <w:rFonts w:ascii="Arial" w:hAnsi="Arial" w:cs="Arial"/>
                <w:sz w:val="24"/>
                <w:szCs w:val="24"/>
                <w:lang w:val="en-ZA"/>
              </w:rPr>
            </w:pPr>
          </w:p>
        </w:tc>
      </w:tr>
      <w:tr w:rsidR="0066378C" w:rsidRPr="0066378C" w:rsidTr="009B1A4A">
        <w:tc>
          <w:tcPr>
            <w:tcW w:w="10207" w:type="dxa"/>
            <w:gridSpan w:val="3"/>
            <w:tcBorders>
              <w:top w:val="single" w:sz="4" w:space="0" w:color="auto"/>
              <w:left w:val="single" w:sz="4" w:space="0" w:color="auto"/>
              <w:bottom w:val="single" w:sz="4" w:space="0" w:color="auto"/>
              <w:right w:val="single" w:sz="4" w:space="0" w:color="auto"/>
            </w:tcBorders>
          </w:tcPr>
          <w:p w:rsidR="0066378C" w:rsidRPr="00314D14" w:rsidRDefault="0066378C" w:rsidP="0066378C">
            <w:pPr>
              <w:spacing w:line="360" w:lineRule="auto"/>
              <w:jc w:val="both"/>
              <w:rPr>
                <w:rFonts w:ascii="Arial" w:hAnsi="Arial" w:cs="Arial"/>
                <w:b/>
                <w:sz w:val="24"/>
                <w:szCs w:val="24"/>
                <w:lang w:val="en-ZA"/>
              </w:rPr>
            </w:pPr>
            <w:r w:rsidRPr="00314D14">
              <w:rPr>
                <w:rFonts w:ascii="Arial" w:hAnsi="Arial" w:cs="Arial"/>
                <w:b/>
                <w:sz w:val="24"/>
                <w:szCs w:val="24"/>
                <w:lang w:val="en-ZA"/>
              </w:rPr>
              <w:t xml:space="preserve">The order:      </w:t>
            </w:r>
          </w:p>
          <w:p w:rsidR="0066378C" w:rsidRPr="00314D14" w:rsidRDefault="0066378C" w:rsidP="00314D14">
            <w:pPr>
              <w:pStyle w:val="ListParagraph"/>
              <w:numPr>
                <w:ilvl w:val="0"/>
                <w:numId w:val="4"/>
              </w:numPr>
              <w:rPr>
                <w:rFonts w:ascii="Arial" w:hAnsi="Arial" w:cs="Arial"/>
                <w:sz w:val="24"/>
                <w:szCs w:val="24"/>
                <w:lang w:val="en-ZA"/>
              </w:rPr>
            </w:pPr>
            <w:r w:rsidRPr="00314D14">
              <w:rPr>
                <w:rFonts w:ascii="Arial" w:hAnsi="Arial" w:cs="Arial"/>
                <w:sz w:val="24"/>
                <w:szCs w:val="24"/>
              </w:rPr>
              <w:t>The appeal is dismissed.</w:t>
            </w:r>
          </w:p>
          <w:p w:rsidR="0066378C" w:rsidRPr="0066378C" w:rsidRDefault="0066378C" w:rsidP="0066378C">
            <w:pPr>
              <w:spacing w:line="360" w:lineRule="auto"/>
              <w:jc w:val="both"/>
              <w:rPr>
                <w:rFonts w:ascii="Arial" w:hAnsi="Arial" w:cs="Arial"/>
                <w:sz w:val="24"/>
                <w:szCs w:val="24"/>
                <w:lang w:val="en-ZA"/>
              </w:rPr>
            </w:pPr>
          </w:p>
        </w:tc>
      </w:tr>
      <w:tr w:rsidR="0066378C" w:rsidRPr="0066378C" w:rsidTr="009B1A4A">
        <w:tc>
          <w:tcPr>
            <w:tcW w:w="10207" w:type="dxa"/>
            <w:gridSpan w:val="3"/>
          </w:tcPr>
          <w:p w:rsidR="0041449B" w:rsidRDefault="0066378C" w:rsidP="0041449B">
            <w:pPr>
              <w:spacing w:line="360" w:lineRule="auto"/>
              <w:contextualSpacing/>
              <w:jc w:val="both"/>
              <w:rPr>
                <w:rFonts w:ascii="Arial" w:hAnsi="Arial" w:cs="Arial"/>
                <w:b/>
                <w:sz w:val="24"/>
                <w:szCs w:val="24"/>
                <w:lang w:val="en-ZA"/>
              </w:rPr>
            </w:pPr>
            <w:r w:rsidRPr="0066378C">
              <w:rPr>
                <w:rFonts w:ascii="Arial" w:hAnsi="Arial" w:cs="Arial"/>
                <w:b/>
                <w:sz w:val="24"/>
                <w:szCs w:val="24"/>
                <w:lang w:val="en-ZA"/>
              </w:rPr>
              <w:t>Reasons for the order</w:t>
            </w:r>
          </w:p>
          <w:p w:rsidR="0041449B" w:rsidRDefault="0041449B" w:rsidP="0041449B">
            <w:pPr>
              <w:spacing w:line="360" w:lineRule="auto"/>
              <w:contextualSpacing/>
              <w:jc w:val="both"/>
              <w:rPr>
                <w:rFonts w:ascii="Arial" w:hAnsi="Arial" w:cs="Arial"/>
                <w:b/>
                <w:sz w:val="24"/>
                <w:szCs w:val="24"/>
                <w:lang w:val="en-ZA"/>
              </w:rPr>
            </w:pPr>
          </w:p>
          <w:p w:rsidR="0041449B" w:rsidRPr="0041449B" w:rsidRDefault="00314D14" w:rsidP="00392977">
            <w:pPr>
              <w:spacing w:line="360" w:lineRule="auto"/>
              <w:contextualSpacing/>
              <w:jc w:val="both"/>
              <w:rPr>
                <w:rFonts w:ascii="Arial" w:hAnsi="Arial" w:cs="Arial"/>
                <w:sz w:val="24"/>
                <w:szCs w:val="24"/>
                <w:lang w:val="en-ZA"/>
              </w:rPr>
            </w:pPr>
            <w:r w:rsidRPr="00314D14">
              <w:rPr>
                <w:rFonts w:ascii="Arial" w:hAnsi="Arial" w:cs="Arial"/>
                <w:sz w:val="24"/>
                <w:szCs w:val="24"/>
                <w:lang w:val="en-ZA"/>
              </w:rPr>
              <w:t>JANUARY J</w:t>
            </w:r>
            <w:r>
              <w:rPr>
                <w:rFonts w:ascii="Arial" w:hAnsi="Arial" w:cs="Arial"/>
                <w:b/>
                <w:sz w:val="24"/>
                <w:szCs w:val="24"/>
                <w:lang w:val="en-ZA"/>
              </w:rPr>
              <w:t xml:space="preserve"> </w:t>
            </w:r>
            <w:r>
              <w:rPr>
                <w:rFonts w:ascii="Arial" w:hAnsi="Arial" w:cs="Arial"/>
                <w:sz w:val="24"/>
                <w:szCs w:val="24"/>
                <w:lang w:val="en-ZA"/>
              </w:rPr>
              <w:t xml:space="preserve">( </w:t>
            </w:r>
            <w:r w:rsidRPr="00314D14">
              <w:rPr>
                <w:rFonts w:ascii="Arial" w:hAnsi="Arial" w:cs="Arial"/>
                <w:sz w:val="24"/>
                <w:szCs w:val="24"/>
                <w:lang w:val="en-ZA"/>
              </w:rPr>
              <w:t xml:space="preserve">D </w:t>
            </w:r>
            <w:proofErr w:type="spellStart"/>
            <w:r w:rsidRPr="00314D14">
              <w:rPr>
                <w:rFonts w:ascii="Arial" w:hAnsi="Arial" w:cs="Arial"/>
                <w:sz w:val="24"/>
                <w:szCs w:val="24"/>
                <w:lang w:val="en-ZA"/>
              </w:rPr>
              <w:t>Usiku</w:t>
            </w:r>
            <w:proofErr w:type="spellEnd"/>
            <w:r w:rsidRPr="00314D14">
              <w:rPr>
                <w:rFonts w:ascii="Arial" w:hAnsi="Arial" w:cs="Arial"/>
                <w:sz w:val="24"/>
                <w:szCs w:val="24"/>
                <w:lang w:val="en-ZA"/>
              </w:rPr>
              <w:t xml:space="preserve"> J</w:t>
            </w:r>
            <w:r>
              <w:rPr>
                <w:rFonts w:ascii="Arial" w:hAnsi="Arial" w:cs="Arial"/>
                <w:sz w:val="24"/>
                <w:szCs w:val="24"/>
                <w:lang w:val="en-ZA"/>
              </w:rPr>
              <w:t xml:space="preserve"> concurring</w:t>
            </w:r>
            <w:r w:rsidRPr="00314D14">
              <w:rPr>
                <w:rFonts w:ascii="Arial" w:hAnsi="Arial" w:cs="Arial"/>
                <w:sz w:val="24"/>
                <w:szCs w:val="24"/>
                <w:lang w:val="en-ZA"/>
              </w:rPr>
              <w:t>)</w:t>
            </w:r>
          </w:p>
        </w:tc>
      </w:tr>
      <w:tr w:rsidR="0066378C" w:rsidRPr="0066378C" w:rsidTr="00314D14">
        <w:trPr>
          <w:trHeight w:val="70"/>
        </w:trPr>
        <w:tc>
          <w:tcPr>
            <w:tcW w:w="10207" w:type="dxa"/>
            <w:gridSpan w:val="3"/>
            <w:tcBorders>
              <w:top w:val="single" w:sz="4" w:space="0" w:color="auto"/>
              <w:left w:val="single" w:sz="4" w:space="0" w:color="auto"/>
              <w:bottom w:val="single" w:sz="4" w:space="0" w:color="auto"/>
              <w:right w:val="single" w:sz="4" w:space="0" w:color="auto"/>
            </w:tcBorders>
            <w:hideMark/>
          </w:tcPr>
          <w:p w:rsidR="00314D14" w:rsidRPr="0066378C" w:rsidRDefault="00314D14" w:rsidP="0066378C">
            <w:pPr>
              <w:spacing w:line="360" w:lineRule="auto"/>
              <w:jc w:val="both"/>
              <w:rPr>
                <w:rFonts w:ascii="Arial" w:hAnsi="Arial" w:cs="Arial"/>
                <w:sz w:val="24"/>
                <w:szCs w:val="24"/>
                <w:lang w:val="en-ZA"/>
              </w:rPr>
            </w:pPr>
          </w:p>
          <w:p w:rsidR="0066378C" w:rsidRPr="0066378C" w:rsidRDefault="0066378C" w:rsidP="0066378C">
            <w:pPr>
              <w:spacing w:before="240" w:line="360" w:lineRule="auto"/>
              <w:jc w:val="both"/>
              <w:rPr>
                <w:rFonts w:ascii="Arial" w:hAnsi="Arial" w:cs="Arial"/>
                <w:color w:val="000000" w:themeColor="text1"/>
                <w:sz w:val="24"/>
                <w:szCs w:val="24"/>
              </w:rPr>
            </w:pPr>
            <w:r w:rsidRPr="0066378C">
              <w:rPr>
                <w:rFonts w:ascii="Arial" w:hAnsi="Arial" w:cs="Arial"/>
                <w:sz w:val="24"/>
                <w:szCs w:val="24"/>
                <w:lang w:val="en-ZA"/>
              </w:rPr>
              <w:t xml:space="preserve"> </w:t>
            </w:r>
            <w:r w:rsidRPr="0066378C">
              <w:rPr>
                <w:rFonts w:ascii="Arial" w:hAnsi="Arial" w:cs="Arial"/>
                <w:color w:val="000000" w:themeColor="text1"/>
                <w:sz w:val="24"/>
                <w:szCs w:val="24"/>
              </w:rPr>
              <w:t xml:space="preserve"> [1]</w:t>
            </w:r>
            <w:r w:rsidRPr="0066378C">
              <w:rPr>
                <w:rFonts w:ascii="Arial" w:hAnsi="Arial" w:cs="Arial"/>
                <w:color w:val="000000" w:themeColor="text1"/>
                <w:sz w:val="24"/>
                <w:szCs w:val="24"/>
              </w:rPr>
              <w:tab/>
              <w:t>The appellant was charged with count 1: Contravening s</w:t>
            </w:r>
            <w:r w:rsidR="00890099">
              <w:rPr>
                <w:rFonts w:ascii="Arial" w:hAnsi="Arial" w:cs="Arial"/>
                <w:color w:val="000000" w:themeColor="text1"/>
                <w:sz w:val="24"/>
                <w:szCs w:val="24"/>
              </w:rPr>
              <w:t xml:space="preserve"> 3</w:t>
            </w:r>
            <w:r w:rsidRPr="0066378C">
              <w:rPr>
                <w:rFonts w:ascii="Arial" w:hAnsi="Arial" w:cs="Arial"/>
                <w:color w:val="000000" w:themeColor="text1"/>
                <w:sz w:val="24"/>
                <w:szCs w:val="24"/>
              </w:rPr>
              <w:t>(</w:t>
            </w:r>
            <w:r w:rsidRPr="00890099">
              <w:rPr>
                <w:rFonts w:ascii="Arial" w:hAnsi="Arial" w:cs="Arial"/>
                <w:i/>
                <w:color w:val="000000" w:themeColor="text1"/>
                <w:sz w:val="24"/>
                <w:szCs w:val="24"/>
              </w:rPr>
              <w:t>b</w:t>
            </w:r>
            <w:r w:rsidRPr="0066378C">
              <w:rPr>
                <w:rFonts w:ascii="Arial" w:hAnsi="Arial" w:cs="Arial"/>
                <w:color w:val="000000" w:themeColor="text1"/>
                <w:sz w:val="24"/>
                <w:szCs w:val="24"/>
              </w:rPr>
              <w:t xml:space="preserve">) read with </w:t>
            </w:r>
            <w:proofErr w:type="spellStart"/>
            <w:r w:rsidRPr="0066378C">
              <w:rPr>
                <w:rFonts w:ascii="Arial" w:hAnsi="Arial" w:cs="Arial"/>
                <w:color w:val="000000" w:themeColor="text1"/>
                <w:sz w:val="24"/>
                <w:szCs w:val="24"/>
              </w:rPr>
              <w:t>ss</w:t>
            </w:r>
            <w:proofErr w:type="spellEnd"/>
            <w:r w:rsidRPr="0066378C">
              <w:rPr>
                <w:rFonts w:ascii="Arial" w:hAnsi="Arial" w:cs="Arial"/>
                <w:color w:val="000000" w:themeColor="text1"/>
                <w:sz w:val="24"/>
                <w:szCs w:val="24"/>
              </w:rPr>
              <w:t xml:space="preserve"> 1, 3(ii), 7, 8, 10, 14 and Part III of the Schedule of the Dependence Producing Substance and Rehabilitation</w:t>
            </w:r>
            <w:r w:rsidR="00E802E3">
              <w:rPr>
                <w:rFonts w:ascii="Arial" w:hAnsi="Arial" w:cs="Arial"/>
                <w:color w:val="000000" w:themeColor="text1"/>
                <w:sz w:val="24"/>
                <w:szCs w:val="24"/>
              </w:rPr>
              <w:t xml:space="preserve"> </w:t>
            </w:r>
            <w:proofErr w:type="spellStart"/>
            <w:r w:rsidR="00E802E3">
              <w:rPr>
                <w:rFonts w:ascii="Arial" w:hAnsi="Arial" w:cs="Arial"/>
                <w:color w:val="000000" w:themeColor="text1"/>
                <w:sz w:val="24"/>
                <w:szCs w:val="24"/>
              </w:rPr>
              <w:t>Centres</w:t>
            </w:r>
            <w:proofErr w:type="spellEnd"/>
            <w:r w:rsidRPr="0066378C">
              <w:rPr>
                <w:rFonts w:ascii="Arial" w:hAnsi="Arial" w:cs="Arial"/>
                <w:color w:val="000000" w:themeColor="text1"/>
                <w:sz w:val="24"/>
                <w:szCs w:val="24"/>
              </w:rPr>
              <w:t xml:space="preserve"> Act 41 of 1971 as amended, possession of potentially dangerous dependence-producing drugs, to wit: 4 doses of white pow</w:t>
            </w:r>
            <w:bookmarkStart w:id="0" w:name="_GoBack"/>
            <w:bookmarkEnd w:id="0"/>
            <w:r w:rsidRPr="0066378C">
              <w:rPr>
                <w:rFonts w:ascii="Arial" w:hAnsi="Arial" w:cs="Arial"/>
                <w:color w:val="000000" w:themeColor="text1"/>
                <w:sz w:val="24"/>
                <w:szCs w:val="24"/>
              </w:rPr>
              <w:t>der wrapped in plastics, containing 53% of cocaine and 45 and a half units wrapped in plastic containing 20% of cocaine valued at N$3150 and weighing combined 3.5 grams, and;</w:t>
            </w:r>
          </w:p>
          <w:p w:rsidR="0066378C" w:rsidRPr="0066378C" w:rsidRDefault="0066378C" w:rsidP="0066378C">
            <w:pPr>
              <w:spacing w:before="240" w:line="360" w:lineRule="auto"/>
              <w:jc w:val="both"/>
              <w:rPr>
                <w:rFonts w:ascii="Arial" w:hAnsi="Arial" w:cs="Arial"/>
                <w:color w:val="000000" w:themeColor="text1"/>
                <w:sz w:val="24"/>
                <w:szCs w:val="24"/>
              </w:rPr>
            </w:pPr>
            <w:r w:rsidRPr="0066378C">
              <w:rPr>
                <w:rFonts w:ascii="Arial" w:hAnsi="Arial" w:cs="Arial"/>
                <w:color w:val="000000" w:themeColor="text1"/>
                <w:sz w:val="24"/>
                <w:szCs w:val="24"/>
              </w:rPr>
              <w:t>Count 2: Contravening s 2(</w:t>
            </w:r>
            <w:r w:rsidRPr="0066378C">
              <w:rPr>
                <w:rFonts w:ascii="Arial" w:hAnsi="Arial" w:cs="Arial"/>
                <w:i/>
                <w:color w:val="000000" w:themeColor="text1"/>
                <w:sz w:val="24"/>
                <w:szCs w:val="24"/>
              </w:rPr>
              <w:t>b</w:t>
            </w:r>
            <w:r w:rsidRPr="0066378C">
              <w:rPr>
                <w:rFonts w:ascii="Arial" w:hAnsi="Arial" w:cs="Arial"/>
                <w:color w:val="000000" w:themeColor="text1"/>
                <w:sz w:val="24"/>
                <w:szCs w:val="24"/>
              </w:rPr>
              <w:t xml:space="preserve">) read with </w:t>
            </w:r>
            <w:proofErr w:type="spellStart"/>
            <w:r w:rsidRPr="0066378C">
              <w:rPr>
                <w:rFonts w:ascii="Arial" w:hAnsi="Arial" w:cs="Arial"/>
                <w:color w:val="000000" w:themeColor="text1"/>
                <w:sz w:val="24"/>
                <w:szCs w:val="24"/>
              </w:rPr>
              <w:t>ss</w:t>
            </w:r>
            <w:proofErr w:type="spellEnd"/>
            <w:r w:rsidRPr="0066378C">
              <w:rPr>
                <w:rFonts w:ascii="Arial" w:hAnsi="Arial" w:cs="Arial"/>
                <w:color w:val="000000" w:themeColor="text1"/>
                <w:sz w:val="24"/>
                <w:szCs w:val="24"/>
              </w:rPr>
              <w:t xml:space="preserve"> 1, 2(</w:t>
            </w:r>
            <w:proofErr w:type="spellStart"/>
            <w:r w:rsidRPr="0066378C">
              <w:rPr>
                <w:rFonts w:ascii="Arial" w:hAnsi="Arial" w:cs="Arial"/>
                <w:color w:val="000000" w:themeColor="text1"/>
                <w:sz w:val="24"/>
                <w:szCs w:val="24"/>
              </w:rPr>
              <w:t>i</w:t>
            </w:r>
            <w:proofErr w:type="spellEnd"/>
            <w:r w:rsidRPr="0066378C">
              <w:rPr>
                <w:rFonts w:ascii="Arial" w:hAnsi="Arial" w:cs="Arial"/>
                <w:color w:val="000000" w:themeColor="text1"/>
                <w:sz w:val="24"/>
                <w:szCs w:val="24"/>
              </w:rPr>
              <w:t>) and/or 2(iv), 7, 8, 10, 14 and Part I of the Dependence Producing Substance and Rehabilitation</w:t>
            </w:r>
            <w:r w:rsidR="00E802E3">
              <w:rPr>
                <w:rFonts w:ascii="Arial" w:hAnsi="Arial" w:cs="Arial"/>
                <w:color w:val="000000" w:themeColor="text1"/>
                <w:sz w:val="24"/>
                <w:szCs w:val="24"/>
              </w:rPr>
              <w:t xml:space="preserve"> </w:t>
            </w:r>
            <w:proofErr w:type="spellStart"/>
            <w:r w:rsidR="00E802E3">
              <w:rPr>
                <w:rFonts w:ascii="Arial" w:hAnsi="Arial" w:cs="Arial"/>
                <w:color w:val="000000" w:themeColor="text1"/>
                <w:sz w:val="24"/>
                <w:szCs w:val="24"/>
              </w:rPr>
              <w:t>Centres</w:t>
            </w:r>
            <w:proofErr w:type="spellEnd"/>
            <w:r w:rsidRPr="0066378C">
              <w:rPr>
                <w:rFonts w:ascii="Arial" w:hAnsi="Arial" w:cs="Arial"/>
                <w:color w:val="000000" w:themeColor="text1"/>
                <w:sz w:val="24"/>
                <w:szCs w:val="24"/>
              </w:rPr>
              <w:t xml:space="preserve"> Act 41 of 1971 as amended, possession of dependence-producing drug or a plant from which such drug can be manufactured, to wit: 10 </w:t>
            </w:r>
            <w:proofErr w:type="spellStart"/>
            <w:r w:rsidRPr="0066378C">
              <w:rPr>
                <w:rFonts w:ascii="Arial" w:hAnsi="Arial" w:cs="Arial"/>
                <w:color w:val="000000" w:themeColor="text1"/>
                <w:sz w:val="24"/>
                <w:szCs w:val="24"/>
              </w:rPr>
              <w:t>mandrax</w:t>
            </w:r>
            <w:proofErr w:type="spellEnd"/>
            <w:r w:rsidRPr="0066378C">
              <w:rPr>
                <w:rFonts w:ascii="Arial" w:hAnsi="Arial" w:cs="Arial"/>
                <w:color w:val="000000" w:themeColor="text1"/>
                <w:sz w:val="24"/>
                <w:szCs w:val="24"/>
              </w:rPr>
              <w:t xml:space="preserve"> tablets containing methaqualone, weighing 14.5 grams and valued at N$1200.</w:t>
            </w:r>
          </w:p>
          <w:p w:rsidR="0066378C" w:rsidRPr="0066378C" w:rsidRDefault="0066378C" w:rsidP="0066378C">
            <w:pPr>
              <w:jc w:val="both"/>
              <w:rPr>
                <w:rFonts w:ascii="Arial" w:hAnsi="Arial" w:cs="Arial"/>
                <w:color w:val="000000" w:themeColor="text1"/>
                <w:sz w:val="24"/>
                <w:szCs w:val="24"/>
              </w:rPr>
            </w:pPr>
          </w:p>
          <w:p w:rsidR="0066378C" w:rsidRDefault="0066378C" w:rsidP="0066378C">
            <w:pPr>
              <w:spacing w:line="360" w:lineRule="auto"/>
              <w:jc w:val="both"/>
              <w:rPr>
                <w:rFonts w:ascii="Arial" w:hAnsi="Arial" w:cs="Arial"/>
                <w:color w:val="000000" w:themeColor="text1"/>
                <w:sz w:val="24"/>
                <w:szCs w:val="24"/>
              </w:rPr>
            </w:pPr>
            <w:r w:rsidRPr="0066378C">
              <w:rPr>
                <w:rFonts w:ascii="Arial" w:hAnsi="Arial" w:cs="Arial"/>
                <w:color w:val="000000" w:themeColor="text1"/>
                <w:sz w:val="24"/>
                <w:szCs w:val="24"/>
              </w:rPr>
              <w:t>[2]</w:t>
            </w:r>
            <w:r w:rsidRPr="0066378C">
              <w:rPr>
                <w:rFonts w:ascii="Arial" w:hAnsi="Arial" w:cs="Arial"/>
                <w:color w:val="000000" w:themeColor="text1"/>
                <w:sz w:val="24"/>
                <w:szCs w:val="24"/>
              </w:rPr>
              <w:tab/>
              <w:t>Appellant was un</w:t>
            </w:r>
            <w:r w:rsidR="00314D14">
              <w:rPr>
                <w:rFonts w:ascii="Arial" w:hAnsi="Arial" w:cs="Arial"/>
                <w:color w:val="000000" w:themeColor="text1"/>
                <w:sz w:val="24"/>
                <w:szCs w:val="24"/>
              </w:rPr>
              <w:t xml:space="preserve">represented in the lower court and is </w:t>
            </w:r>
            <w:r w:rsidRPr="0066378C">
              <w:rPr>
                <w:rFonts w:ascii="Arial" w:hAnsi="Arial" w:cs="Arial"/>
                <w:color w:val="000000" w:themeColor="text1"/>
                <w:sz w:val="24"/>
                <w:szCs w:val="24"/>
              </w:rPr>
              <w:t>represented i</w:t>
            </w:r>
            <w:r w:rsidR="00314D14">
              <w:rPr>
                <w:rFonts w:ascii="Arial" w:hAnsi="Arial" w:cs="Arial"/>
                <w:color w:val="000000" w:themeColor="text1"/>
                <w:sz w:val="24"/>
                <w:szCs w:val="24"/>
              </w:rPr>
              <w:t xml:space="preserve">n this court by Mr. Andreas, </w:t>
            </w:r>
            <w:r w:rsidRPr="0066378C">
              <w:rPr>
                <w:rFonts w:ascii="Arial" w:hAnsi="Arial" w:cs="Arial"/>
                <w:color w:val="000000" w:themeColor="text1"/>
                <w:sz w:val="24"/>
                <w:szCs w:val="24"/>
              </w:rPr>
              <w:t xml:space="preserve">with </w:t>
            </w:r>
            <w:r w:rsidR="00AA7216">
              <w:rPr>
                <w:rFonts w:ascii="Arial" w:hAnsi="Arial" w:cs="Arial"/>
                <w:color w:val="000000" w:themeColor="text1"/>
                <w:sz w:val="24"/>
                <w:szCs w:val="24"/>
              </w:rPr>
              <w:t xml:space="preserve">Mr. </w:t>
            </w:r>
            <w:proofErr w:type="spellStart"/>
            <w:r w:rsidR="00AA7216">
              <w:rPr>
                <w:rFonts w:ascii="Arial" w:hAnsi="Arial" w:cs="Arial"/>
                <w:color w:val="000000" w:themeColor="text1"/>
                <w:sz w:val="24"/>
                <w:szCs w:val="24"/>
              </w:rPr>
              <w:t>Gawe</w:t>
            </w:r>
            <w:r w:rsidRPr="0066378C">
              <w:rPr>
                <w:rFonts w:ascii="Arial" w:hAnsi="Arial" w:cs="Arial"/>
                <w:color w:val="000000" w:themeColor="text1"/>
                <w:sz w:val="24"/>
                <w:szCs w:val="24"/>
              </w:rPr>
              <w:t>seb</w:t>
            </w:r>
            <w:proofErr w:type="spellEnd"/>
            <w:r w:rsidRPr="0066378C">
              <w:rPr>
                <w:rFonts w:ascii="Arial" w:hAnsi="Arial" w:cs="Arial"/>
                <w:color w:val="000000" w:themeColor="text1"/>
                <w:sz w:val="24"/>
                <w:szCs w:val="24"/>
              </w:rPr>
              <w:t xml:space="preserve"> representing the respondent. </w:t>
            </w:r>
          </w:p>
          <w:p w:rsidR="0066378C" w:rsidRPr="0066378C" w:rsidRDefault="0066378C" w:rsidP="0066378C">
            <w:pPr>
              <w:spacing w:line="360" w:lineRule="auto"/>
              <w:jc w:val="both"/>
              <w:rPr>
                <w:rFonts w:ascii="Arial" w:hAnsi="Arial" w:cs="Arial"/>
                <w:color w:val="000000" w:themeColor="text1"/>
                <w:sz w:val="24"/>
                <w:szCs w:val="24"/>
              </w:rPr>
            </w:pPr>
          </w:p>
          <w:p w:rsidR="0066378C" w:rsidRDefault="0066378C" w:rsidP="0066378C">
            <w:pPr>
              <w:spacing w:line="360" w:lineRule="auto"/>
              <w:jc w:val="both"/>
              <w:rPr>
                <w:rFonts w:ascii="Arial" w:hAnsi="Arial" w:cs="Arial"/>
                <w:sz w:val="24"/>
                <w:szCs w:val="24"/>
              </w:rPr>
            </w:pPr>
            <w:r w:rsidRPr="0066378C">
              <w:rPr>
                <w:rFonts w:ascii="Arial" w:hAnsi="Arial" w:cs="Arial"/>
                <w:sz w:val="24"/>
                <w:szCs w:val="24"/>
              </w:rPr>
              <w:t>[3]</w:t>
            </w:r>
            <w:r w:rsidRPr="0066378C">
              <w:rPr>
                <w:rFonts w:ascii="Arial" w:hAnsi="Arial" w:cs="Arial"/>
                <w:sz w:val="24"/>
                <w:szCs w:val="24"/>
              </w:rPr>
              <w:tab/>
              <w:t xml:space="preserve">The appellant pleaded guilty to the charge and was questioned in terms of section 112(1) </w:t>
            </w:r>
            <w:r w:rsidRPr="0066378C">
              <w:rPr>
                <w:rFonts w:ascii="Arial" w:hAnsi="Arial" w:cs="Arial"/>
                <w:i/>
                <w:sz w:val="24"/>
                <w:szCs w:val="24"/>
              </w:rPr>
              <w:t>(b)</w:t>
            </w:r>
            <w:r w:rsidRPr="0066378C">
              <w:rPr>
                <w:rFonts w:ascii="Arial" w:hAnsi="Arial" w:cs="Arial"/>
                <w:sz w:val="24"/>
                <w:szCs w:val="24"/>
              </w:rPr>
              <w:t xml:space="preserve"> of the Criminal Procedure Act 51 of 1977</w:t>
            </w:r>
            <w:r w:rsidR="00E802E3">
              <w:rPr>
                <w:rFonts w:ascii="Arial" w:hAnsi="Arial" w:cs="Arial"/>
                <w:sz w:val="24"/>
                <w:szCs w:val="24"/>
              </w:rPr>
              <w:t>, as amended</w:t>
            </w:r>
            <w:r w:rsidRPr="0066378C">
              <w:rPr>
                <w:rFonts w:ascii="Arial" w:hAnsi="Arial" w:cs="Arial"/>
                <w:sz w:val="24"/>
                <w:szCs w:val="24"/>
              </w:rPr>
              <w:t>. The learned magistrate was satisfied that the appellant admitted all the elements of the crimes. He was convicted accordingly. The appellant was sentenced to 24 months’ imprisonment on count one and on count two, to 12 months’ imprisonment of which six months was suspended for a period of three years on condition that the accused is not convicted of  possession of dependence producing drugs, committed during the period of suspension. The sentences were ordered to run concurrently</w:t>
            </w:r>
          </w:p>
          <w:p w:rsidR="0066378C" w:rsidRPr="0066378C" w:rsidRDefault="0066378C" w:rsidP="0066378C">
            <w:pPr>
              <w:spacing w:line="360" w:lineRule="auto"/>
              <w:jc w:val="both"/>
              <w:rPr>
                <w:rFonts w:ascii="Arial" w:hAnsi="Arial" w:cs="Arial"/>
                <w:sz w:val="24"/>
                <w:szCs w:val="24"/>
              </w:rPr>
            </w:pPr>
          </w:p>
          <w:p w:rsidR="0066378C" w:rsidRDefault="0066378C" w:rsidP="0066378C">
            <w:pPr>
              <w:spacing w:line="360" w:lineRule="auto"/>
              <w:jc w:val="both"/>
              <w:rPr>
                <w:rFonts w:ascii="Arial" w:hAnsi="Arial" w:cs="Arial"/>
                <w:sz w:val="24"/>
                <w:szCs w:val="24"/>
              </w:rPr>
            </w:pPr>
            <w:r w:rsidRPr="0066378C">
              <w:rPr>
                <w:rFonts w:ascii="Arial" w:hAnsi="Arial" w:cs="Arial"/>
                <w:sz w:val="24"/>
                <w:szCs w:val="24"/>
              </w:rPr>
              <w:t>[4]</w:t>
            </w:r>
            <w:r w:rsidRPr="0066378C">
              <w:rPr>
                <w:rFonts w:ascii="Arial" w:hAnsi="Arial" w:cs="Arial"/>
                <w:sz w:val="24"/>
                <w:szCs w:val="24"/>
              </w:rPr>
              <w:tab/>
              <w:t>The appellant appealed against the sentences only. His grounds of appeal are as follows:</w:t>
            </w:r>
          </w:p>
          <w:p w:rsidR="00D52312" w:rsidRPr="0066378C" w:rsidRDefault="00D52312" w:rsidP="0066378C">
            <w:pPr>
              <w:spacing w:line="360" w:lineRule="auto"/>
              <w:jc w:val="both"/>
              <w:rPr>
                <w:rFonts w:ascii="Arial" w:hAnsi="Arial" w:cs="Arial"/>
                <w:sz w:val="24"/>
                <w:szCs w:val="24"/>
              </w:rPr>
            </w:pPr>
          </w:p>
          <w:p w:rsidR="0066378C" w:rsidRPr="0066378C" w:rsidRDefault="0066378C" w:rsidP="0066378C">
            <w:pPr>
              <w:spacing w:line="360" w:lineRule="auto"/>
              <w:jc w:val="both"/>
              <w:rPr>
                <w:rFonts w:ascii="Arial" w:hAnsi="Arial" w:cs="Arial"/>
              </w:rPr>
            </w:pPr>
            <w:r w:rsidRPr="0066378C">
              <w:rPr>
                <w:rFonts w:ascii="Arial" w:hAnsi="Arial" w:cs="Arial"/>
              </w:rPr>
              <w:tab/>
              <w:t>‘The learned magistrate misdirected herself, alternatively erred in law or in fact:</w:t>
            </w:r>
          </w:p>
          <w:p w:rsidR="0066378C" w:rsidRPr="0066378C" w:rsidRDefault="00AA7216" w:rsidP="00AA7216">
            <w:pPr>
              <w:spacing w:line="360" w:lineRule="auto"/>
              <w:contextualSpacing/>
              <w:jc w:val="both"/>
              <w:rPr>
                <w:rFonts w:ascii="Arial" w:hAnsi="Arial" w:cs="Arial"/>
              </w:rPr>
            </w:pPr>
            <w:r>
              <w:rPr>
                <w:rFonts w:ascii="Arial" w:hAnsi="Arial" w:cs="Arial"/>
              </w:rPr>
              <w:t xml:space="preserve">1. </w:t>
            </w:r>
            <w:r w:rsidR="0066378C" w:rsidRPr="0066378C">
              <w:rPr>
                <w:rFonts w:ascii="Arial" w:hAnsi="Arial" w:cs="Arial"/>
              </w:rPr>
              <w:t>When she failed to recognize that accused is a first offender and that he pleaded guilty;</w:t>
            </w:r>
          </w:p>
          <w:p w:rsidR="0066378C" w:rsidRPr="0066378C" w:rsidRDefault="0066378C" w:rsidP="0066378C">
            <w:pPr>
              <w:spacing w:line="360" w:lineRule="auto"/>
              <w:ind w:left="720"/>
              <w:contextualSpacing/>
              <w:jc w:val="both"/>
              <w:rPr>
                <w:rFonts w:ascii="Arial" w:hAnsi="Arial" w:cs="Arial"/>
              </w:rPr>
            </w:pPr>
          </w:p>
          <w:p w:rsidR="0066378C" w:rsidRPr="00AA7216" w:rsidRDefault="00AA7216" w:rsidP="00AA7216">
            <w:pPr>
              <w:spacing w:line="360" w:lineRule="auto"/>
              <w:jc w:val="both"/>
              <w:rPr>
                <w:rFonts w:ascii="Arial" w:hAnsi="Arial" w:cs="Arial"/>
              </w:rPr>
            </w:pPr>
            <w:r>
              <w:rPr>
                <w:rFonts w:ascii="Arial" w:hAnsi="Arial" w:cs="Arial"/>
              </w:rPr>
              <w:t xml:space="preserve">2. </w:t>
            </w:r>
            <w:r w:rsidR="0066378C" w:rsidRPr="00AA7216">
              <w:rPr>
                <w:rFonts w:ascii="Arial" w:hAnsi="Arial" w:cs="Arial"/>
              </w:rPr>
              <w:t>When she failed to assist the unrepresented accused to elicit as much as (possible) information from him which could have assisted her in reaching a suitable sentence;</w:t>
            </w:r>
          </w:p>
          <w:p w:rsidR="0066378C" w:rsidRPr="0066378C" w:rsidRDefault="0066378C" w:rsidP="0066378C">
            <w:pPr>
              <w:ind w:left="720"/>
              <w:contextualSpacing/>
              <w:rPr>
                <w:rFonts w:ascii="Arial" w:hAnsi="Arial" w:cs="Arial"/>
              </w:rPr>
            </w:pPr>
          </w:p>
          <w:p w:rsidR="0066378C" w:rsidRPr="0066378C" w:rsidRDefault="00AA7216" w:rsidP="00AA7216">
            <w:pPr>
              <w:spacing w:line="360" w:lineRule="auto"/>
              <w:contextualSpacing/>
              <w:jc w:val="both"/>
              <w:rPr>
                <w:rFonts w:ascii="Arial" w:hAnsi="Arial" w:cs="Arial"/>
              </w:rPr>
            </w:pPr>
            <w:r>
              <w:rPr>
                <w:rFonts w:ascii="Arial" w:hAnsi="Arial" w:cs="Arial"/>
              </w:rPr>
              <w:t xml:space="preserve">3. </w:t>
            </w:r>
            <w:r w:rsidR="0066378C" w:rsidRPr="0066378C">
              <w:rPr>
                <w:rFonts w:ascii="Arial" w:hAnsi="Arial" w:cs="Arial"/>
              </w:rPr>
              <w:t xml:space="preserve">When she overemphasized </w:t>
            </w:r>
            <w:r w:rsidR="00D52312">
              <w:rPr>
                <w:rFonts w:ascii="Arial" w:hAnsi="Arial" w:cs="Arial"/>
              </w:rPr>
              <w:t>the seriousness of the offense a</w:t>
            </w:r>
            <w:r w:rsidR="0066378C" w:rsidRPr="0066378C">
              <w:rPr>
                <w:rFonts w:ascii="Arial" w:hAnsi="Arial" w:cs="Arial"/>
              </w:rPr>
              <w:t>t the expense of the accused’s personal circumstances;</w:t>
            </w:r>
          </w:p>
          <w:p w:rsidR="0066378C" w:rsidRPr="0066378C" w:rsidRDefault="0066378C" w:rsidP="0066378C">
            <w:pPr>
              <w:ind w:left="720"/>
              <w:contextualSpacing/>
              <w:rPr>
                <w:rFonts w:ascii="Arial" w:hAnsi="Arial" w:cs="Arial"/>
              </w:rPr>
            </w:pPr>
          </w:p>
          <w:p w:rsidR="0066378C" w:rsidRPr="0066378C" w:rsidRDefault="00AA7216" w:rsidP="00AA7216">
            <w:pPr>
              <w:spacing w:line="360" w:lineRule="auto"/>
              <w:contextualSpacing/>
              <w:jc w:val="both"/>
              <w:rPr>
                <w:rFonts w:ascii="Arial" w:hAnsi="Arial" w:cs="Arial"/>
              </w:rPr>
            </w:pPr>
            <w:r>
              <w:rPr>
                <w:rFonts w:ascii="Arial" w:hAnsi="Arial" w:cs="Arial"/>
              </w:rPr>
              <w:t xml:space="preserve">4. </w:t>
            </w:r>
            <w:r w:rsidR="0066378C" w:rsidRPr="0066378C">
              <w:rPr>
                <w:rFonts w:ascii="Arial" w:hAnsi="Arial" w:cs="Arial"/>
              </w:rPr>
              <w:t>When she ignored the fact that the accused is a youthful offender. A parent and a breadwinner:</w:t>
            </w:r>
          </w:p>
          <w:p w:rsidR="0066378C" w:rsidRPr="0066378C" w:rsidRDefault="0066378C" w:rsidP="0066378C">
            <w:pPr>
              <w:ind w:left="720"/>
              <w:contextualSpacing/>
              <w:rPr>
                <w:rFonts w:ascii="Arial" w:hAnsi="Arial" w:cs="Arial"/>
              </w:rPr>
            </w:pPr>
          </w:p>
          <w:p w:rsidR="0066378C" w:rsidRPr="0066378C" w:rsidRDefault="00AA7216" w:rsidP="00AA7216">
            <w:pPr>
              <w:spacing w:line="360" w:lineRule="auto"/>
              <w:contextualSpacing/>
              <w:jc w:val="both"/>
              <w:rPr>
                <w:rFonts w:ascii="Arial" w:hAnsi="Arial" w:cs="Arial"/>
              </w:rPr>
            </w:pPr>
            <w:r>
              <w:rPr>
                <w:rFonts w:ascii="Arial" w:hAnsi="Arial" w:cs="Arial"/>
              </w:rPr>
              <w:t xml:space="preserve">5. </w:t>
            </w:r>
            <w:r w:rsidR="0066378C" w:rsidRPr="0066378C">
              <w:rPr>
                <w:rFonts w:ascii="Arial" w:hAnsi="Arial" w:cs="Arial"/>
              </w:rPr>
              <w:t>When she failed to observe the principle of consistency/uniformity in sentencing in consideration of previous cases. Had she considered the principle of consistency in sentencing, she would not have sentenced the accused person to 24 months on the 1</w:t>
            </w:r>
            <w:r w:rsidR="0066378C" w:rsidRPr="0066378C">
              <w:rPr>
                <w:rFonts w:ascii="Arial" w:hAnsi="Arial" w:cs="Arial"/>
                <w:vertAlign w:val="superscript"/>
              </w:rPr>
              <w:t>st</w:t>
            </w:r>
            <w:r w:rsidR="0066378C" w:rsidRPr="0066378C">
              <w:rPr>
                <w:rFonts w:ascii="Arial" w:hAnsi="Arial" w:cs="Arial"/>
              </w:rPr>
              <w:t xml:space="preserve"> count and</w:t>
            </w:r>
            <w:r>
              <w:rPr>
                <w:rFonts w:ascii="Arial" w:hAnsi="Arial" w:cs="Arial"/>
              </w:rPr>
              <w:t xml:space="preserve"> the second count respectively.’</w:t>
            </w:r>
          </w:p>
          <w:p w:rsidR="0066378C" w:rsidRPr="0066378C" w:rsidRDefault="0066378C" w:rsidP="0066378C">
            <w:pPr>
              <w:ind w:left="720"/>
              <w:contextualSpacing/>
              <w:rPr>
                <w:rFonts w:ascii="Arial" w:hAnsi="Arial" w:cs="Arial"/>
              </w:rPr>
            </w:pPr>
          </w:p>
          <w:p w:rsidR="0066378C" w:rsidRDefault="0066378C" w:rsidP="0066378C">
            <w:pPr>
              <w:spacing w:line="360" w:lineRule="auto"/>
              <w:jc w:val="both"/>
              <w:rPr>
                <w:rFonts w:ascii="Arial" w:hAnsi="Arial" w:cs="Arial"/>
                <w:sz w:val="24"/>
                <w:szCs w:val="24"/>
              </w:rPr>
            </w:pPr>
            <w:r w:rsidRPr="0066378C">
              <w:rPr>
                <w:rFonts w:ascii="Arial" w:hAnsi="Arial" w:cs="Arial"/>
                <w:sz w:val="24"/>
                <w:szCs w:val="24"/>
              </w:rPr>
              <w:t>[5]</w:t>
            </w:r>
            <w:r w:rsidRPr="0066378C">
              <w:rPr>
                <w:rFonts w:ascii="Arial" w:hAnsi="Arial" w:cs="Arial"/>
                <w:sz w:val="24"/>
                <w:szCs w:val="24"/>
              </w:rPr>
              <w:tab/>
              <w:t xml:space="preserve">The magistrate, in a well-reasoned judgment, applied the principles of sentencing cemented by the case of </w:t>
            </w:r>
            <w:r w:rsidRPr="0066378C">
              <w:rPr>
                <w:rFonts w:ascii="Arial" w:hAnsi="Arial" w:cs="Arial"/>
                <w:i/>
                <w:sz w:val="24"/>
                <w:szCs w:val="24"/>
              </w:rPr>
              <w:t>S v Zinn</w:t>
            </w:r>
            <w:r w:rsidRPr="0066378C">
              <w:rPr>
                <w:rFonts w:ascii="Arial" w:hAnsi="Arial" w:cs="Arial"/>
                <w:sz w:val="24"/>
                <w:szCs w:val="24"/>
                <w:vertAlign w:val="superscript"/>
              </w:rPr>
              <w:footnoteReference w:id="1"/>
            </w:r>
            <w:r w:rsidRPr="0066378C">
              <w:rPr>
                <w:rFonts w:ascii="Arial" w:hAnsi="Arial" w:cs="Arial"/>
                <w:sz w:val="24"/>
                <w:szCs w:val="24"/>
              </w:rPr>
              <w:t xml:space="preserve"> and followed by various Namibian cases</w:t>
            </w:r>
            <w:r w:rsidRPr="0066378C">
              <w:rPr>
                <w:rFonts w:ascii="Arial" w:hAnsi="Arial" w:cs="Arial"/>
                <w:sz w:val="24"/>
                <w:szCs w:val="24"/>
                <w:vertAlign w:val="superscript"/>
              </w:rPr>
              <w:footnoteReference w:id="2"/>
            </w:r>
            <w:r w:rsidRPr="0066378C">
              <w:rPr>
                <w:rFonts w:ascii="Arial" w:hAnsi="Arial" w:cs="Arial"/>
                <w:sz w:val="24"/>
                <w:szCs w:val="24"/>
              </w:rPr>
              <w:t xml:space="preserve">. These are; the crime </w:t>
            </w:r>
            <w:proofErr w:type="gramStart"/>
            <w:r w:rsidRPr="0066378C">
              <w:rPr>
                <w:rFonts w:ascii="Arial" w:hAnsi="Arial" w:cs="Arial"/>
                <w:sz w:val="24"/>
                <w:szCs w:val="24"/>
              </w:rPr>
              <w:t>committed,</w:t>
            </w:r>
            <w:proofErr w:type="gramEnd"/>
            <w:r w:rsidRPr="0066378C">
              <w:rPr>
                <w:rFonts w:ascii="Arial" w:hAnsi="Arial" w:cs="Arial"/>
                <w:sz w:val="24"/>
                <w:szCs w:val="24"/>
              </w:rPr>
              <w:t xml:space="preserve"> the interest of society, the accused and his p</w:t>
            </w:r>
            <w:r w:rsidR="00AA7216">
              <w:rPr>
                <w:rFonts w:ascii="Arial" w:hAnsi="Arial" w:cs="Arial"/>
                <w:sz w:val="24"/>
                <w:szCs w:val="24"/>
              </w:rPr>
              <w:t xml:space="preserve">ersonal circumstances. Likewise, </w:t>
            </w:r>
            <w:r w:rsidRPr="0066378C">
              <w:rPr>
                <w:rFonts w:ascii="Arial" w:hAnsi="Arial" w:cs="Arial"/>
                <w:sz w:val="24"/>
                <w:szCs w:val="24"/>
              </w:rPr>
              <w:t>the objectives of punishment, i.e. prevention, deterrence, rehabilitation and retribution were considered. Moreover, that the sentence should fit the convict, the crime, be fair to society and should be blended with a measure of mercy, according to the circumstances.</w:t>
            </w:r>
          </w:p>
          <w:p w:rsidR="00D52312" w:rsidRPr="0066378C" w:rsidRDefault="00D52312" w:rsidP="0066378C">
            <w:pPr>
              <w:spacing w:line="360" w:lineRule="auto"/>
              <w:jc w:val="both"/>
              <w:rPr>
                <w:rFonts w:ascii="Arial" w:hAnsi="Arial" w:cs="Arial"/>
                <w:sz w:val="24"/>
                <w:szCs w:val="24"/>
              </w:rPr>
            </w:pPr>
          </w:p>
          <w:p w:rsidR="0066378C" w:rsidRDefault="0066378C" w:rsidP="0066378C">
            <w:pPr>
              <w:spacing w:line="360" w:lineRule="auto"/>
              <w:jc w:val="both"/>
              <w:rPr>
                <w:rFonts w:ascii="Arial" w:hAnsi="Arial" w:cs="Arial"/>
                <w:sz w:val="24"/>
                <w:szCs w:val="24"/>
              </w:rPr>
            </w:pPr>
            <w:r w:rsidRPr="0066378C">
              <w:rPr>
                <w:rFonts w:ascii="Arial" w:hAnsi="Arial" w:cs="Arial"/>
                <w:sz w:val="24"/>
                <w:szCs w:val="24"/>
              </w:rPr>
              <w:t>[6]</w:t>
            </w:r>
            <w:r w:rsidRPr="0066378C">
              <w:rPr>
                <w:rFonts w:ascii="Arial" w:hAnsi="Arial" w:cs="Arial"/>
                <w:sz w:val="24"/>
                <w:szCs w:val="24"/>
              </w:rPr>
              <w:tab/>
              <w:t xml:space="preserve">Further, the reasons reflect that the magistrate considered that the appellant was a first offender, youthful and that he pleaded guilty to the commission of the crimes. It is clear from the reasons that the magistrate balanced the personal circumstances of the appellant against the seriousness and prevalence of drug related crimes in her jurisdiction and in Namibia country wide. Although not stated in her reasons, the sentences reflect that the cumulative effect of the sentences were considered as </w:t>
            </w:r>
            <w:r w:rsidR="00AA7216">
              <w:rPr>
                <w:rFonts w:ascii="Arial" w:hAnsi="Arial" w:cs="Arial"/>
                <w:sz w:val="24"/>
                <w:szCs w:val="24"/>
              </w:rPr>
              <w:t>the sentences were</w:t>
            </w:r>
            <w:r w:rsidRPr="0066378C">
              <w:rPr>
                <w:rFonts w:ascii="Arial" w:hAnsi="Arial" w:cs="Arial"/>
                <w:sz w:val="24"/>
                <w:szCs w:val="24"/>
              </w:rPr>
              <w:t xml:space="preserve"> ordered to be served concurrently and in addition part of the sentence on count two were suspended on conditions.</w:t>
            </w:r>
          </w:p>
          <w:p w:rsidR="0066378C" w:rsidRPr="0066378C" w:rsidRDefault="0066378C" w:rsidP="0066378C">
            <w:pPr>
              <w:spacing w:line="360" w:lineRule="auto"/>
              <w:jc w:val="both"/>
              <w:rPr>
                <w:rFonts w:ascii="Arial" w:hAnsi="Arial" w:cs="Arial"/>
                <w:sz w:val="24"/>
                <w:szCs w:val="24"/>
              </w:rPr>
            </w:pPr>
          </w:p>
          <w:p w:rsidR="0066378C" w:rsidRDefault="00392977" w:rsidP="0066378C">
            <w:pPr>
              <w:spacing w:line="360" w:lineRule="auto"/>
              <w:jc w:val="both"/>
              <w:rPr>
                <w:rFonts w:ascii="Arial" w:hAnsi="Arial" w:cs="Arial"/>
                <w:sz w:val="24"/>
                <w:szCs w:val="24"/>
              </w:rPr>
            </w:pPr>
            <w:r w:rsidRPr="0066378C">
              <w:rPr>
                <w:rFonts w:ascii="Arial" w:hAnsi="Arial" w:cs="Arial"/>
                <w:sz w:val="24"/>
                <w:szCs w:val="24"/>
              </w:rPr>
              <w:t xml:space="preserve"> </w:t>
            </w:r>
            <w:r w:rsidR="0066378C" w:rsidRPr="0066378C">
              <w:rPr>
                <w:rFonts w:ascii="Arial" w:hAnsi="Arial" w:cs="Arial"/>
                <w:sz w:val="24"/>
                <w:szCs w:val="24"/>
              </w:rPr>
              <w:t>[7]</w:t>
            </w:r>
            <w:r w:rsidR="0066378C" w:rsidRPr="0066378C">
              <w:rPr>
                <w:rFonts w:ascii="Arial" w:hAnsi="Arial" w:cs="Arial"/>
                <w:sz w:val="24"/>
                <w:szCs w:val="24"/>
              </w:rPr>
              <w:tab/>
              <w:t xml:space="preserve">The appellant acknowledged that this court will be guided by the principle that punishment is pre-eminently a matter for the discretion of a trial court and that discretion </w:t>
            </w:r>
            <w:r w:rsidR="0066378C" w:rsidRPr="0066378C">
              <w:rPr>
                <w:rFonts w:ascii="Arial" w:hAnsi="Arial" w:cs="Arial"/>
                <w:sz w:val="24"/>
                <w:szCs w:val="24"/>
              </w:rPr>
              <w:lastRenderedPageBreak/>
              <w:t>should not be carelessly eroded. Such sentence should only be altered if the trial court did not exercise its discretion judiciously.</w:t>
            </w:r>
            <w:r w:rsidR="0066378C" w:rsidRPr="0066378C">
              <w:rPr>
                <w:rFonts w:ascii="Arial" w:hAnsi="Arial" w:cs="Arial"/>
                <w:sz w:val="24"/>
                <w:szCs w:val="24"/>
                <w:vertAlign w:val="superscript"/>
              </w:rPr>
              <w:footnoteReference w:id="3"/>
            </w:r>
            <w:r w:rsidR="0066378C" w:rsidRPr="0066378C">
              <w:rPr>
                <w:rFonts w:ascii="Arial" w:hAnsi="Arial" w:cs="Arial"/>
                <w:sz w:val="24"/>
                <w:szCs w:val="24"/>
              </w:rPr>
              <w:t xml:space="preserve"> </w:t>
            </w:r>
          </w:p>
          <w:p w:rsidR="0066378C" w:rsidRPr="0066378C" w:rsidRDefault="0066378C" w:rsidP="0066378C">
            <w:pPr>
              <w:spacing w:line="360" w:lineRule="auto"/>
              <w:jc w:val="both"/>
              <w:rPr>
                <w:rFonts w:ascii="Arial" w:hAnsi="Arial" w:cs="Arial"/>
                <w:sz w:val="24"/>
                <w:szCs w:val="24"/>
              </w:rPr>
            </w:pPr>
          </w:p>
          <w:p w:rsidR="00D52312" w:rsidRDefault="0066378C" w:rsidP="0066378C">
            <w:pPr>
              <w:spacing w:line="360" w:lineRule="auto"/>
              <w:jc w:val="both"/>
              <w:rPr>
                <w:rFonts w:ascii="Arial" w:hAnsi="Arial" w:cs="Arial"/>
                <w:sz w:val="24"/>
                <w:szCs w:val="24"/>
              </w:rPr>
            </w:pPr>
            <w:r w:rsidRPr="0066378C">
              <w:rPr>
                <w:rFonts w:ascii="Arial" w:hAnsi="Arial" w:cs="Arial"/>
                <w:sz w:val="24"/>
                <w:szCs w:val="24"/>
              </w:rPr>
              <w:t>[8]</w:t>
            </w:r>
            <w:r w:rsidRPr="0066378C">
              <w:rPr>
                <w:rFonts w:ascii="Arial" w:hAnsi="Arial" w:cs="Arial"/>
                <w:sz w:val="24"/>
                <w:szCs w:val="24"/>
              </w:rPr>
              <w:tab/>
              <w:t>It was further submitted that, considering that the appellant has shown to be a person of good character, a first offender and pleaded guilty, the magistrate should have imposed a more lenient sentence. Counsel referred to various cases</w:t>
            </w:r>
            <w:r w:rsidRPr="0066378C">
              <w:rPr>
                <w:rFonts w:ascii="Arial" w:hAnsi="Arial" w:cs="Arial"/>
                <w:sz w:val="24"/>
                <w:szCs w:val="24"/>
                <w:vertAlign w:val="superscript"/>
              </w:rPr>
              <w:footnoteReference w:id="4"/>
            </w:r>
            <w:r w:rsidRPr="0066378C">
              <w:rPr>
                <w:rFonts w:ascii="Arial" w:hAnsi="Arial" w:cs="Arial"/>
                <w:sz w:val="24"/>
                <w:szCs w:val="24"/>
              </w:rPr>
              <w:t xml:space="preserve"> where fines with the alternative of imprisonment were imposed or the sentence was w</w:t>
            </w:r>
            <w:r w:rsidR="00627455">
              <w:rPr>
                <w:rFonts w:ascii="Arial" w:hAnsi="Arial" w:cs="Arial"/>
                <w:sz w:val="24"/>
                <w:szCs w:val="24"/>
              </w:rPr>
              <w:t xml:space="preserve">holly suspended when he </w:t>
            </w:r>
            <w:r w:rsidR="003756BD">
              <w:rPr>
                <w:rFonts w:ascii="Arial" w:hAnsi="Arial" w:cs="Arial"/>
                <w:sz w:val="24"/>
                <w:szCs w:val="24"/>
              </w:rPr>
              <w:t>emphasiz</w:t>
            </w:r>
            <w:r w:rsidR="003756BD" w:rsidRPr="0066378C">
              <w:rPr>
                <w:rFonts w:ascii="Arial" w:hAnsi="Arial" w:cs="Arial"/>
                <w:sz w:val="24"/>
                <w:szCs w:val="24"/>
              </w:rPr>
              <w:t>ed</w:t>
            </w:r>
            <w:r w:rsidRPr="0066378C">
              <w:rPr>
                <w:rFonts w:ascii="Arial" w:hAnsi="Arial" w:cs="Arial"/>
                <w:sz w:val="24"/>
                <w:szCs w:val="24"/>
              </w:rPr>
              <w:t xml:space="preserve"> the principle of uniformity and to substantiate that the sentences are shocking and inappropriate.</w:t>
            </w:r>
          </w:p>
          <w:p w:rsidR="00D52312" w:rsidRDefault="00D52312" w:rsidP="0066378C">
            <w:pPr>
              <w:spacing w:line="360" w:lineRule="auto"/>
              <w:jc w:val="both"/>
              <w:rPr>
                <w:rFonts w:ascii="Arial" w:hAnsi="Arial" w:cs="Arial"/>
                <w:sz w:val="24"/>
                <w:szCs w:val="24"/>
              </w:rPr>
            </w:pPr>
          </w:p>
          <w:p w:rsidR="0066378C" w:rsidRDefault="00D52312" w:rsidP="0066378C">
            <w:pPr>
              <w:spacing w:line="360" w:lineRule="auto"/>
              <w:jc w:val="both"/>
              <w:rPr>
                <w:rFonts w:ascii="Arial" w:hAnsi="Arial" w:cs="Arial"/>
                <w:sz w:val="24"/>
                <w:szCs w:val="24"/>
              </w:rPr>
            </w:pPr>
            <w:r>
              <w:rPr>
                <w:rFonts w:ascii="Arial" w:hAnsi="Arial" w:cs="Arial"/>
                <w:sz w:val="24"/>
                <w:szCs w:val="24"/>
              </w:rPr>
              <w:t>[9]</w:t>
            </w:r>
            <w:r w:rsidR="0066378C" w:rsidRPr="0066378C">
              <w:rPr>
                <w:rFonts w:ascii="Arial" w:hAnsi="Arial" w:cs="Arial"/>
                <w:sz w:val="24"/>
                <w:szCs w:val="24"/>
              </w:rPr>
              <w:t xml:space="preserve"> The case</w:t>
            </w:r>
            <w:r w:rsidR="003756BD">
              <w:rPr>
                <w:rFonts w:ascii="Arial" w:hAnsi="Arial" w:cs="Arial"/>
                <w:sz w:val="24"/>
                <w:szCs w:val="24"/>
              </w:rPr>
              <w:t>s</w:t>
            </w:r>
            <w:r w:rsidR="0066378C" w:rsidRPr="0066378C">
              <w:rPr>
                <w:rFonts w:ascii="Arial" w:hAnsi="Arial" w:cs="Arial"/>
                <w:sz w:val="24"/>
                <w:szCs w:val="24"/>
              </w:rPr>
              <w:t xml:space="preserve"> are, however</w:t>
            </w:r>
            <w:r>
              <w:rPr>
                <w:rFonts w:ascii="Arial" w:hAnsi="Arial" w:cs="Arial"/>
                <w:sz w:val="24"/>
                <w:szCs w:val="24"/>
              </w:rPr>
              <w:t>,</w:t>
            </w:r>
            <w:r w:rsidR="0066378C" w:rsidRPr="0066378C">
              <w:rPr>
                <w:rFonts w:ascii="Arial" w:hAnsi="Arial" w:cs="Arial"/>
                <w:sz w:val="24"/>
                <w:szCs w:val="24"/>
              </w:rPr>
              <w:t xml:space="preserve"> different in that they relate to the dealing and/or possession of cannabis. The only similarity is that they are drug related. Counsel proposed </w:t>
            </w:r>
            <w:r w:rsidR="00627455">
              <w:rPr>
                <w:rFonts w:ascii="Arial" w:hAnsi="Arial" w:cs="Arial"/>
                <w:sz w:val="24"/>
                <w:szCs w:val="24"/>
              </w:rPr>
              <w:t>sentences of N$3000 or 12 month</w:t>
            </w:r>
            <w:r w:rsidR="0066378C" w:rsidRPr="0066378C">
              <w:rPr>
                <w:rFonts w:ascii="Arial" w:hAnsi="Arial" w:cs="Arial"/>
                <w:sz w:val="24"/>
                <w:szCs w:val="24"/>
              </w:rPr>
              <w:t>s</w:t>
            </w:r>
            <w:r w:rsidR="00627455">
              <w:rPr>
                <w:rFonts w:ascii="Arial" w:hAnsi="Arial" w:cs="Arial"/>
                <w:sz w:val="24"/>
                <w:szCs w:val="24"/>
              </w:rPr>
              <w:t>`</w:t>
            </w:r>
            <w:r w:rsidR="0066378C" w:rsidRPr="0066378C">
              <w:rPr>
                <w:rFonts w:ascii="Arial" w:hAnsi="Arial" w:cs="Arial"/>
                <w:sz w:val="24"/>
                <w:szCs w:val="24"/>
              </w:rPr>
              <w:t xml:space="preserve"> imprisonment </w:t>
            </w:r>
            <w:r w:rsidRPr="0066378C">
              <w:rPr>
                <w:rFonts w:ascii="Arial" w:hAnsi="Arial" w:cs="Arial"/>
                <w:sz w:val="24"/>
                <w:szCs w:val="24"/>
              </w:rPr>
              <w:t>and N</w:t>
            </w:r>
            <w:r w:rsidR="00627455">
              <w:rPr>
                <w:rFonts w:ascii="Arial" w:hAnsi="Arial" w:cs="Arial"/>
                <w:sz w:val="24"/>
                <w:szCs w:val="24"/>
              </w:rPr>
              <w:t>$1000 or six month</w:t>
            </w:r>
            <w:r w:rsidR="0066378C" w:rsidRPr="0066378C">
              <w:rPr>
                <w:rFonts w:ascii="Arial" w:hAnsi="Arial" w:cs="Arial"/>
                <w:sz w:val="24"/>
                <w:szCs w:val="24"/>
              </w:rPr>
              <w:t>s</w:t>
            </w:r>
            <w:r w:rsidR="00627455">
              <w:rPr>
                <w:rFonts w:ascii="Arial" w:hAnsi="Arial" w:cs="Arial"/>
                <w:sz w:val="24"/>
                <w:szCs w:val="24"/>
              </w:rPr>
              <w:t>`</w:t>
            </w:r>
            <w:r w:rsidR="0066378C" w:rsidRPr="0066378C">
              <w:rPr>
                <w:rFonts w:ascii="Arial" w:hAnsi="Arial" w:cs="Arial"/>
                <w:sz w:val="24"/>
                <w:szCs w:val="24"/>
              </w:rPr>
              <w:t xml:space="preserve"> imprisonment respectively for counts one and two. This appeal, in turn, relates to the possession of a dangerous dependence-producing drug, namely cocaine and dependence producing drugs, namely </w:t>
            </w:r>
            <w:proofErr w:type="spellStart"/>
            <w:r w:rsidR="0066378C" w:rsidRPr="0066378C">
              <w:rPr>
                <w:rFonts w:ascii="Arial" w:hAnsi="Arial" w:cs="Arial"/>
                <w:sz w:val="24"/>
                <w:szCs w:val="24"/>
              </w:rPr>
              <w:t>mandrax</w:t>
            </w:r>
            <w:proofErr w:type="spellEnd"/>
            <w:r w:rsidR="0066378C" w:rsidRPr="0066378C">
              <w:rPr>
                <w:rFonts w:ascii="Arial" w:hAnsi="Arial" w:cs="Arial"/>
                <w:sz w:val="24"/>
                <w:szCs w:val="24"/>
              </w:rPr>
              <w:t xml:space="preserve"> tablets containing methaqualone.</w:t>
            </w:r>
          </w:p>
          <w:p w:rsidR="0066378C" w:rsidRPr="0066378C" w:rsidRDefault="0066378C" w:rsidP="0066378C">
            <w:pPr>
              <w:spacing w:line="360" w:lineRule="auto"/>
              <w:jc w:val="both"/>
              <w:rPr>
                <w:rFonts w:ascii="Arial" w:hAnsi="Arial" w:cs="Arial"/>
                <w:sz w:val="24"/>
                <w:szCs w:val="24"/>
              </w:rPr>
            </w:pPr>
            <w:r w:rsidRPr="0066378C">
              <w:rPr>
                <w:rFonts w:ascii="Arial" w:hAnsi="Arial" w:cs="Arial"/>
                <w:sz w:val="24"/>
                <w:szCs w:val="24"/>
              </w:rPr>
              <w:t xml:space="preserve"> </w:t>
            </w:r>
          </w:p>
          <w:p w:rsidR="0066378C" w:rsidRDefault="00392977" w:rsidP="0066378C">
            <w:pPr>
              <w:spacing w:line="360" w:lineRule="auto"/>
              <w:jc w:val="both"/>
              <w:rPr>
                <w:rFonts w:ascii="Arial" w:hAnsi="Arial" w:cs="Arial"/>
                <w:sz w:val="24"/>
                <w:szCs w:val="24"/>
              </w:rPr>
            </w:pPr>
            <w:r>
              <w:rPr>
                <w:rFonts w:ascii="Arial" w:hAnsi="Arial" w:cs="Arial"/>
                <w:sz w:val="24"/>
                <w:szCs w:val="24"/>
              </w:rPr>
              <w:t xml:space="preserve"> </w:t>
            </w:r>
            <w:r w:rsidR="00D52312">
              <w:rPr>
                <w:rFonts w:ascii="Arial" w:hAnsi="Arial" w:cs="Arial"/>
                <w:sz w:val="24"/>
                <w:szCs w:val="24"/>
              </w:rPr>
              <w:t>[10</w:t>
            </w:r>
            <w:r w:rsidR="0066378C" w:rsidRPr="0066378C">
              <w:rPr>
                <w:rFonts w:ascii="Arial" w:hAnsi="Arial" w:cs="Arial"/>
                <w:sz w:val="24"/>
                <w:szCs w:val="24"/>
              </w:rPr>
              <w:t>]</w:t>
            </w:r>
            <w:r w:rsidR="0066378C" w:rsidRPr="0066378C">
              <w:rPr>
                <w:rFonts w:ascii="Arial" w:hAnsi="Arial" w:cs="Arial"/>
                <w:sz w:val="24"/>
                <w:szCs w:val="24"/>
              </w:rPr>
              <w:tab/>
              <w:t xml:space="preserve">The respondent initially raised a point in </w:t>
            </w:r>
            <w:proofErr w:type="spellStart"/>
            <w:r w:rsidR="0066378C" w:rsidRPr="0066378C">
              <w:rPr>
                <w:rFonts w:ascii="Arial" w:hAnsi="Arial" w:cs="Arial"/>
                <w:sz w:val="24"/>
                <w:szCs w:val="24"/>
              </w:rPr>
              <w:t>limine</w:t>
            </w:r>
            <w:proofErr w:type="spellEnd"/>
            <w:r w:rsidR="0066378C" w:rsidRPr="0066378C">
              <w:rPr>
                <w:rFonts w:ascii="Arial" w:hAnsi="Arial" w:cs="Arial"/>
                <w:sz w:val="24"/>
                <w:szCs w:val="24"/>
              </w:rPr>
              <w:t xml:space="preserve"> as he was under the impression that the notice of </w:t>
            </w:r>
            <w:r w:rsidR="00627455">
              <w:rPr>
                <w:rFonts w:ascii="Arial" w:hAnsi="Arial" w:cs="Arial"/>
                <w:sz w:val="24"/>
                <w:szCs w:val="24"/>
              </w:rPr>
              <w:t xml:space="preserve">appeal was filed late. Counsel </w:t>
            </w:r>
            <w:r w:rsidR="0066378C" w:rsidRPr="0066378C">
              <w:rPr>
                <w:rFonts w:ascii="Arial" w:hAnsi="Arial" w:cs="Arial"/>
                <w:sz w:val="24"/>
                <w:szCs w:val="24"/>
              </w:rPr>
              <w:t>however, correctly</w:t>
            </w:r>
            <w:r w:rsidR="00627455">
              <w:rPr>
                <w:rFonts w:ascii="Arial" w:hAnsi="Arial" w:cs="Arial"/>
                <w:sz w:val="24"/>
                <w:szCs w:val="24"/>
              </w:rPr>
              <w:t xml:space="preserve"> so, abandoned it when he </w:t>
            </w:r>
            <w:r w:rsidR="003756BD">
              <w:rPr>
                <w:rFonts w:ascii="Arial" w:hAnsi="Arial" w:cs="Arial"/>
                <w:sz w:val="24"/>
                <w:szCs w:val="24"/>
              </w:rPr>
              <w:t>realiz</w:t>
            </w:r>
            <w:r w:rsidR="003756BD" w:rsidRPr="0066378C">
              <w:rPr>
                <w:rFonts w:ascii="Arial" w:hAnsi="Arial" w:cs="Arial"/>
                <w:sz w:val="24"/>
                <w:szCs w:val="24"/>
              </w:rPr>
              <w:t>ed</w:t>
            </w:r>
            <w:r w:rsidR="0066378C" w:rsidRPr="0066378C">
              <w:rPr>
                <w:rFonts w:ascii="Arial" w:hAnsi="Arial" w:cs="Arial"/>
                <w:sz w:val="24"/>
                <w:szCs w:val="24"/>
              </w:rPr>
              <w:t xml:space="preserve"> that the appeal was indeed filed on time.</w:t>
            </w:r>
          </w:p>
          <w:p w:rsidR="0066378C" w:rsidRPr="0066378C" w:rsidRDefault="0066378C" w:rsidP="0066378C">
            <w:pPr>
              <w:spacing w:line="360" w:lineRule="auto"/>
              <w:jc w:val="both"/>
              <w:rPr>
                <w:rFonts w:ascii="Arial" w:hAnsi="Arial" w:cs="Arial"/>
                <w:sz w:val="24"/>
                <w:szCs w:val="24"/>
              </w:rPr>
            </w:pPr>
            <w:r w:rsidRPr="0066378C">
              <w:rPr>
                <w:rFonts w:ascii="Arial" w:hAnsi="Arial" w:cs="Arial"/>
                <w:sz w:val="24"/>
                <w:szCs w:val="24"/>
              </w:rPr>
              <w:t xml:space="preserve"> </w:t>
            </w:r>
          </w:p>
          <w:p w:rsidR="0066378C" w:rsidRDefault="00D52312" w:rsidP="0066378C">
            <w:pPr>
              <w:spacing w:line="360" w:lineRule="auto"/>
              <w:jc w:val="both"/>
              <w:rPr>
                <w:rFonts w:ascii="Arial" w:hAnsi="Arial" w:cs="Arial"/>
                <w:sz w:val="24"/>
                <w:szCs w:val="24"/>
              </w:rPr>
            </w:pPr>
            <w:r>
              <w:rPr>
                <w:rFonts w:ascii="Arial" w:hAnsi="Arial" w:cs="Arial"/>
                <w:sz w:val="24"/>
                <w:szCs w:val="24"/>
              </w:rPr>
              <w:t>[11</w:t>
            </w:r>
            <w:r w:rsidR="0066378C" w:rsidRPr="0066378C">
              <w:rPr>
                <w:rFonts w:ascii="Arial" w:hAnsi="Arial" w:cs="Arial"/>
                <w:sz w:val="24"/>
                <w:szCs w:val="24"/>
              </w:rPr>
              <w:t>]</w:t>
            </w:r>
            <w:r w:rsidR="0066378C" w:rsidRPr="0066378C">
              <w:rPr>
                <w:rFonts w:ascii="Arial" w:hAnsi="Arial" w:cs="Arial"/>
                <w:sz w:val="24"/>
                <w:szCs w:val="24"/>
              </w:rPr>
              <w:tab/>
              <w:t xml:space="preserve">Counsel </w:t>
            </w:r>
            <w:r w:rsidR="003756BD">
              <w:rPr>
                <w:rFonts w:ascii="Arial" w:hAnsi="Arial" w:cs="Arial"/>
                <w:sz w:val="24"/>
                <w:szCs w:val="24"/>
              </w:rPr>
              <w:t xml:space="preserve">for the respondent </w:t>
            </w:r>
            <w:r w:rsidR="0066378C" w:rsidRPr="0066378C">
              <w:rPr>
                <w:rFonts w:ascii="Arial" w:hAnsi="Arial" w:cs="Arial"/>
                <w:sz w:val="24"/>
                <w:szCs w:val="24"/>
              </w:rPr>
              <w:t>submitted with ref</w:t>
            </w:r>
            <w:r w:rsidR="003756BD">
              <w:rPr>
                <w:rFonts w:ascii="Arial" w:hAnsi="Arial" w:cs="Arial"/>
                <w:sz w:val="24"/>
                <w:szCs w:val="24"/>
              </w:rPr>
              <w:t>erence to an article by Hogarth</w:t>
            </w:r>
            <w:r w:rsidR="003756BD">
              <w:rPr>
                <w:rStyle w:val="FootnoteReference"/>
                <w:rFonts w:ascii="Arial" w:hAnsi="Arial" w:cs="Arial"/>
                <w:sz w:val="24"/>
                <w:szCs w:val="24"/>
              </w:rPr>
              <w:footnoteReference w:id="5"/>
            </w:r>
            <w:r w:rsidR="003756BD">
              <w:rPr>
                <w:rFonts w:ascii="Arial" w:hAnsi="Arial" w:cs="Arial"/>
                <w:sz w:val="24"/>
                <w:szCs w:val="24"/>
              </w:rPr>
              <w:t>,</w:t>
            </w:r>
            <w:r w:rsidR="0066378C" w:rsidRPr="0066378C">
              <w:rPr>
                <w:rFonts w:ascii="Arial" w:hAnsi="Arial" w:cs="Arial"/>
                <w:sz w:val="24"/>
                <w:szCs w:val="24"/>
              </w:rPr>
              <w:t xml:space="preserve"> </w:t>
            </w:r>
            <w:r w:rsidRPr="00D52312">
              <w:rPr>
                <w:rFonts w:ascii="Arial" w:hAnsi="Arial" w:cs="Arial"/>
                <w:sz w:val="24"/>
                <w:szCs w:val="24"/>
              </w:rPr>
              <w:t>that</w:t>
            </w:r>
            <w:r w:rsidR="0066378C" w:rsidRPr="0066378C">
              <w:rPr>
                <w:rFonts w:ascii="Arial" w:hAnsi="Arial" w:cs="Arial"/>
                <w:sz w:val="24"/>
                <w:szCs w:val="24"/>
              </w:rPr>
              <w:t xml:space="preserve"> although sentencing is a complicated and diff</w:t>
            </w:r>
            <w:r>
              <w:rPr>
                <w:rFonts w:ascii="Arial" w:hAnsi="Arial" w:cs="Arial"/>
                <w:sz w:val="24"/>
                <w:szCs w:val="24"/>
              </w:rPr>
              <w:t>icult task, the sentences in this</w:t>
            </w:r>
            <w:r w:rsidR="0066378C" w:rsidRPr="0066378C">
              <w:rPr>
                <w:rFonts w:ascii="Arial" w:hAnsi="Arial" w:cs="Arial"/>
                <w:sz w:val="24"/>
                <w:szCs w:val="24"/>
              </w:rPr>
              <w:t xml:space="preserve"> appeal case are appropriate and balanced. He further submitted that the court a </w:t>
            </w:r>
            <w:r w:rsidR="0066378C" w:rsidRPr="009F7D14">
              <w:rPr>
                <w:rFonts w:ascii="Arial" w:hAnsi="Arial" w:cs="Arial"/>
                <w:i/>
                <w:sz w:val="24"/>
                <w:szCs w:val="24"/>
              </w:rPr>
              <w:t>quo</w:t>
            </w:r>
            <w:r w:rsidR="0066378C" w:rsidRPr="0066378C">
              <w:rPr>
                <w:rFonts w:ascii="Arial" w:hAnsi="Arial" w:cs="Arial"/>
                <w:sz w:val="24"/>
                <w:szCs w:val="24"/>
              </w:rPr>
              <w:t xml:space="preserve"> was authorized to give more weight on one or more aspects of the sentencing principles in the exercise of balancing principles.</w:t>
            </w:r>
            <w:r w:rsidR="0066378C" w:rsidRPr="0066378C">
              <w:rPr>
                <w:rFonts w:ascii="Arial" w:hAnsi="Arial" w:cs="Arial"/>
                <w:sz w:val="24"/>
                <w:szCs w:val="24"/>
                <w:vertAlign w:val="superscript"/>
              </w:rPr>
              <w:footnoteReference w:id="6"/>
            </w:r>
            <w:r w:rsidR="0066378C" w:rsidRPr="0066378C">
              <w:rPr>
                <w:rFonts w:ascii="Arial" w:hAnsi="Arial" w:cs="Arial"/>
                <w:sz w:val="24"/>
                <w:szCs w:val="24"/>
              </w:rPr>
              <w:t xml:space="preserve"> Further, he referred this court to the principle of uniformity and individualization but submitted that circumstances unique to a particular case should also receive serious and </w:t>
            </w:r>
            <w:r w:rsidR="0066378C" w:rsidRPr="0066378C">
              <w:rPr>
                <w:rFonts w:ascii="Arial" w:hAnsi="Arial" w:cs="Arial"/>
                <w:sz w:val="24"/>
                <w:szCs w:val="24"/>
              </w:rPr>
              <w:lastRenderedPageBreak/>
              <w:t>particular attention.</w:t>
            </w:r>
            <w:r>
              <w:rPr>
                <w:rFonts w:ascii="Arial" w:hAnsi="Arial" w:cs="Arial"/>
                <w:sz w:val="24"/>
                <w:szCs w:val="24"/>
              </w:rPr>
              <w:t xml:space="preserve"> We agree.</w:t>
            </w:r>
          </w:p>
          <w:p w:rsidR="0066378C" w:rsidRPr="0066378C" w:rsidRDefault="0066378C" w:rsidP="0066378C">
            <w:pPr>
              <w:spacing w:line="360" w:lineRule="auto"/>
              <w:jc w:val="both"/>
              <w:rPr>
                <w:rFonts w:ascii="Arial" w:hAnsi="Arial" w:cs="Arial"/>
                <w:sz w:val="24"/>
                <w:szCs w:val="24"/>
              </w:rPr>
            </w:pPr>
          </w:p>
          <w:p w:rsidR="0066378C" w:rsidRPr="0066378C" w:rsidRDefault="00392977" w:rsidP="0066378C">
            <w:pPr>
              <w:spacing w:line="360" w:lineRule="auto"/>
              <w:jc w:val="both"/>
              <w:rPr>
                <w:rFonts w:ascii="Arial" w:hAnsi="Arial" w:cs="Arial"/>
                <w:sz w:val="24"/>
                <w:szCs w:val="24"/>
              </w:rPr>
            </w:pPr>
            <w:r>
              <w:rPr>
                <w:rFonts w:ascii="Arial" w:hAnsi="Arial" w:cs="Arial"/>
                <w:sz w:val="24"/>
                <w:szCs w:val="24"/>
              </w:rPr>
              <w:t xml:space="preserve"> </w:t>
            </w:r>
            <w:r w:rsidR="00D52312">
              <w:rPr>
                <w:rFonts w:ascii="Arial" w:hAnsi="Arial" w:cs="Arial"/>
                <w:sz w:val="24"/>
                <w:szCs w:val="24"/>
              </w:rPr>
              <w:t>[12</w:t>
            </w:r>
            <w:r w:rsidR="009F7D14">
              <w:rPr>
                <w:rFonts w:ascii="Arial" w:hAnsi="Arial" w:cs="Arial"/>
                <w:sz w:val="24"/>
                <w:szCs w:val="24"/>
              </w:rPr>
              <w:t>]</w:t>
            </w:r>
            <w:r w:rsidR="009F7D14">
              <w:rPr>
                <w:rFonts w:ascii="Arial" w:hAnsi="Arial" w:cs="Arial"/>
                <w:sz w:val="24"/>
                <w:szCs w:val="24"/>
              </w:rPr>
              <w:tab/>
              <w:t>It is trite that an appeal c</w:t>
            </w:r>
            <w:r w:rsidR="0066378C" w:rsidRPr="0066378C">
              <w:rPr>
                <w:rFonts w:ascii="Arial" w:hAnsi="Arial" w:cs="Arial"/>
                <w:sz w:val="24"/>
                <w:szCs w:val="24"/>
              </w:rPr>
              <w:t>ourt is entitled to interfere with a sentence if:</w:t>
            </w:r>
          </w:p>
          <w:p w:rsidR="0066378C" w:rsidRPr="0066378C" w:rsidRDefault="009F7D14" w:rsidP="0066378C">
            <w:pPr>
              <w:spacing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66378C" w:rsidRPr="0066378C">
              <w:rPr>
                <w:rFonts w:ascii="Arial" w:hAnsi="Arial" w:cs="Arial"/>
                <w:sz w:val="24"/>
                <w:szCs w:val="24"/>
              </w:rPr>
              <w:t>the trial court misdirected itself on the facts or on the law;</w:t>
            </w:r>
          </w:p>
          <w:p w:rsidR="0066378C" w:rsidRPr="0066378C" w:rsidRDefault="009F7D14" w:rsidP="009F7D14">
            <w:pPr>
              <w:spacing w:line="360" w:lineRule="auto"/>
              <w:jc w:val="both"/>
              <w:rPr>
                <w:rFonts w:ascii="Arial" w:hAnsi="Arial" w:cs="Arial"/>
                <w:sz w:val="24"/>
                <w:szCs w:val="24"/>
              </w:rPr>
            </w:pPr>
            <w:r>
              <w:rPr>
                <w:rFonts w:ascii="Arial" w:hAnsi="Arial" w:cs="Arial"/>
                <w:sz w:val="24"/>
                <w:szCs w:val="24"/>
              </w:rPr>
              <w:t xml:space="preserve">(ii)  </w:t>
            </w:r>
            <w:r w:rsidR="0066378C" w:rsidRPr="0066378C">
              <w:rPr>
                <w:rFonts w:ascii="Arial" w:hAnsi="Arial" w:cs="Arial"/>
                <w:sz w:val="24"/>
                <w:szCs w:val="24"/>
              </w:rPr>
              <w:t>an irregularity which was material o</w:t>
            </w:r>
            <w:r>
              <w:rPr>
                <w:rFonts w:ascii="Arial" w:hAnsi="Arial" w:cs="Arial"/>
                <w:sz w:val="24"/>
                <w:szCs w:val="24"/>
              </w:rPr>
              <w:t xml:space="preserve">ccurred during the sentence </w:t>
            </w:r>
            <w:r w:rsidR="0066378C" w:rsidRPr="0066378C">
              <w:rPr>
                <w:rFonts w:ascii="Arial" w:hAnsi="Arial" w:cs="Arial"/>
                <w:sz w:val="24"/>
                <w:szCs w:val="24"/>
              </w:rPr>
              <w:t>proceedings;</w:t>
            </w:r>
          </w:p>
          <w:p w:rsidR="0066378C" w:rsidRPr="0066378C" w:rsidRDefault="009F7D14" w:rsidP="009F7D14">
            <w:pPr>
              <w:spacing w:line="360" w:lineRule="auto"/>
              <w:jc w:val="both"/>
              <w:rPr>
                <w:rFonts w:ascii="Arial" w:hAnsi="Arial" w:cs="Arial"/>
                <w:sz w:val="24"/>
                <w:szCs w:val="24"/>
              </w:rPr>
            </w:pPr>
            <w:r>
              <w:rPr>
                <w:rFonts w:ascii="Arial" w:hAnsi="Arial" w:cs="Arial"/>
                <w:sz w:val="24"/>
                <w:szCs w:val="24"/>
              </w:rPr>
              <w:t xml:space="preserve">(iii) </w:t>
            </w:r>
            <w:r w:rsidR="0066378C" w:rsidRPr="0066378C">
              <w:rPr>
                <w:rFonts w:ascii="Arial" w:hAnsi="Arial" w:cs="Arial"/>
                <w:sz w:val="24"/>
                <w:szCs w:val="24"/>
              </w:rPr>
              <w:t>the trial court failed to take into account material f</w:t>
            </w:r>
            <w:r>
              <w:rPr>
                <w:rFonts w:ascii="Arial" w:hAnsi="Arial" w:cs="Arial"/>
                <w:sz w:val="24"/>
                <w:szCs w:val="24"/>
              </w:rPr>
              <w:t xml:space="preserve">acts or over-emphasized the </w:t>
            </w:r>
            <w:r w:rsidR="0066378C" w:rsidRPr="0066378C">
              <w:rPr>
                <w:rFonts w:ascii="Arial" w:hAnsi="Arial" w:cs="Arial"/>
                <w:sz w:val="24"/>
                <w:szCs w:val="24"/>
              </w:rPr>
              <w:t>importance of other facts;</w:t>
            </w:r>
          </w:p>
          <w:p w:rsidR="0066378C" w:rsidRDefault="009F7D14" w:rsidP="009F7D14">
            <w:pPr>
              <w:spacing w:line="360" w:lineRule="auto"/>
              <w:jc w:val="both"/>
              <w:rPr>
                <w:rFonts w:ascii="Arial" w:hAnsi="Arial" w:cs="Arial"/>
                <w:sz w:val="24"/>
                <w:szCs w:val="24"/>
              </w:rPr>
            </w:pPr>
            <w:r>
              <w:rPr>
                <w:rFonts w:ascii="Arial" w:hAnsi="Arial" w:cs="Arial"/>
                <w:sz w:val="24"/>
                <w:szCs w:val="24"/>
              </w:rPr>
              <w:t xml:space="preserve">(iv) </w:t>
            </w:r>
            <w:proofErr w:type="gramStart"/>
            <w:r w:rsidR="0066378C" w:rsidRPr="0066378C">
              <w:rPr>
                <w:rFonts w:ascii="Arial" w:hAnsi="Arial" w:cs="Arial"/>
                <w:sz w:val="24"/>
                <w:szCs w:val="24"/>
              </w:rPr>
              <w:t>the</w:t>
            </w:r>
            <w:proofErr w:type="gramEnd"/>
            <w:r w:rsidR="0066378C" w:rsidRPr="0066378C">
              <w:rPr>
                <w:rFonts w:ascii="Arial" w:hAnsi="Arial" w:cs="Arial"/>
                <w:sz w:val="24"/>
                <w:szCs w:val="24"/>
              </w:rPr>
              <w:t xml:space="preserve"> sentence imposed is startlingly inappropriate, induces a sense of shock and there is a striking disparity between the sentence imposed by the trial court and that which would have been imposed by the court of appeal.</w:t>
            </w:r>
            <w:r w:rsidR="0066378C" w:rsidRPr="0066378C">
              <w:rPr>
                <w:rFonts w:ascii="Arial" w:hAnsi="Arial" w:cs="Arial"/>
                <w:sz w:val="24"/>
                <w:szCs w:val="24"/>
                <w:vertAlign w:val="superscript"/>
              </w:rPr>
              <w:footnoteReference w:id="7"/>
            </w:r>
          </w:p>
          <w:p w:rsidR="0066378C" w:rsidRPr="0066378C" w:rsidRDefault="0066378C" w:rsidP="0066378C">
            <w:pPr>
              <w:spacing w:line="360" w:lineRule="auto"/>
              <w:ind w:left="720"/>
              <w:jc w:val="both"/>
              <w:rPr>
                <w:rFonts w:ascii="Arial" w:hAnsi="Arial" w:cs="Arial"/>
                <w:sz w:val="24"/>
                <w:szCs w:val="24"/>
              </w:rPr>
            </w:pPr>
          </w:p>
          <w:p w:rsidR="0066378C" w:rsidRDefault="0066378C" w:rsidP="0066378C">
            <w:pPr>
              <w:spacing w:line="360" w:lineRule="auto"/>
              <w:jc w:val="both"/>
              <w:rPr>
                <w:rFonts w:ascii="Arial" w:hAnsi="Arial" w:cs="Arial"/>
                <w:sz w:val="24"/>
                <w:szCs w:val="24"/>
              </w:rPr>
            </w:pPr>
            <w:r w:rsidRPr="0066378C">
              <w:rPr>
                <w:rFonts w:ascii="Arial" w:hAnsi="Arial" w:cs="Arial"/>
                <w:sz w:val="24"/>
                <w:szCs w:val="24"/>
              </w:rPr>
              <w:t>[1</w:t>
            </w:r>
            <w:r w:rsidR="00D52312">
              <w:rPr>
                <w:rFonts w:ascii="Arial" w:hAnsi="Arial" w:cs="Arial"/>
                <w:sz w:val="24"/>
                <w:szCs w:val="24"/>
              </w:rPr>
              <w:t>3</w:t>
            </w:r>
            <w:r w:rsidRPr="0066378C">
              <w:rPr>
                <w:rFonts w:ascii="Arial" w:hAnsi="Arial" w:cs="Arial"/>
                <w:sz w:val="24"/>
                <w:szCs w:val="24"/>
              </w:rPr>
              <w:t>]</w:t>
            </w:r>
            <w:r w:rsidRPr="0066378C">
              <w:rPr>
                <w:rFonts w:ascii="Arial" w:hAnsi="Arial" w:cs="Arial"/>
                <w:sz w:val="24"/>
                <w:szCs w:val="24"/>
              </w:rPr>
              <w:tab/>
              <w:t>I do not find any misdirection by the learned magistrate. The sentence in the circumstances does not induce a sense of shock. The appeal against the sentence therefore stands to be dismissed</w:t>
            </w:r>
          </w:p>
          <w:p w:rsidR="0066378C" w:rsidRPr="0066378C" w:rsidRDefault="0066378C" w:rsidP="0066378C">
            <w:pPr>
              <w:spacing w:line="360" w:lineRule="auto"/>
              <w:jc w:val="both"/>
              <w:rPr>
                <w:rFonts w:ascii="Arial" w:hAnsi="Arial" w:cs="Arial"/>
                <w:sz w:val="24"/>
                <w:szCs w:val="24"/>
              </w:rPr>
            </w:pPr>
          </w:p>
          <w:p w:rsidR="0066378C" w:rsidRDefault="00D52312" w:rsidP="0066378C">
            <w:pPr>
              <w:rPr>
                <w:rFonts w:ascii="Arial" w:hAnsi="Arial" w:cs="Arial"/>
                <w:sz w:val="24"/>
                <w:szCs w:val="24"/>
              </w:rPr>
            </w:pPr>
            <w:r>
              <w:rPr>
                <w:rFonts w:ascii="Arial" w:hAnsi="Arial" w:cs="Arial"/>
                <w:sz w:val="24"/>
                <w:szCs w:val="24"/>
              </w:rPr>
              <w:t>[14</w:t>
            </w:r>
            <w:r w:rsidR="0066378C" w:rsidRPr="0066378C">
              <w:rPr>
                <w:rFonts w:ascii="Arial" w:hAnsi="Arial" w:cs="Arial"/>
                <w:sz w:val="24"/>
                <w:szCs w:val="24"/>
              </w:rPr>
              <w:t>]</w:t>
            </w:r>
            <w:r w:rsidR="0066378C" w:rsidRPr="0066378C">
              <w:rPr>
                <w:rFonts w:ascii="Arial" w:hAnsi="Arial" w:cs="Arial"/>
                <w:sz w:val="24"/>
                <w:szCs w:val="24"/>
              </w:rPr>
              <w:tab/>
              <w:t>In the result:</w:t>
            </w:r>
          </w:p>
          <w:p w:rsidR="0066378C" w:rsidRPr="0066378C" w:rsidRDefault="0066378C" w:rsidP="0066378C">
            <w:pPr>
              <w:rPr>
                <w:rFonts w:ascii="Arial" w:hAnsi="Arial" w:cs="Arial"/>
                <w:sz w:val="24"/>
                <w:szCs w:val="24"/>
              </w:rPr>
            </w:pPr>
          </w:p>
          <w:p w:rsidR="0066378C" w:rsidRPr="009F7D14" w:rsidRDefault="0066378C" w:rsidP="009F7D14">
            <w:pPr>
              <w:pStyle w:val="ListParagraph"/>
              <w:numPr>
                <w:ilvl w:val="0"/>
                <w:numId w:val="5"/>
              </w:numPr>
              <w:rPr>
                <w:rFonts w:ascii="Arial" w:hAnsi="Arial" w:cs="Arial"/>
                <w:sz w:val="24"/>
                <w:szCs w:val="24"/>
              </w:rPr>
            </w:pPr>
            <w:r w:rsidRPr="009F7D14">
              <w:rPr>
                <w:rFonts w:ascii="Arial" w:hAnsi="Arial" w:cs="Arial"/>
                <w:sz w:val="24"/>
                <w:szCs w:val="24"/>
              </w:rPr>
              <w:t>The appeal is dismissed.</w:t>
            </w:r>
          </w:p>
          <w:p w:rsidR="0066378C" w:rsidRPr="0066378C" w:rsidRDefault="0066378C" w:rsidP="0066378C">
            <w:pPr>
              <w:spacing w:line="360" w:lineRule="auto"/>
              <w:jc w:val="both"/>
              <w:rPr>
                <w:rFonts w:ascii="Arial" w:hAnsi="Arial" w:cs="Arial"/>
                <w:lang w:val="en-ZA"/>
              </w:rPr>
            </w:pPr>
          </w:p>
        </w:tc>
      </w:tr>
      <w:tr w:rsidR="0066378C" w:rsidRPr="0066378C" w:rsidTr="009B1A4A">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rPr>
                <w:rFonts w:ascii="Arial" w:hAnsi="Arial" w:cs="Arial"/>
                <w:b/>
                <w:sz w:val="24"/>
                <w:szCs w:val="24"/>
              </w:rPr>
            </w:pPr>
            <w:r w:rsidRPr="0066378C">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rPr>
                <w:rFonts w:ascii="Arial" w:hAnsi="Arial" w:cs="Arial"/>
                <w:sz w:val="24"/>
                <w:szCs w:val="24"/>
              </w:rPr>
            </w:pPr>
            <w:r w:rsidRPr="0066378C">
              <w:rPr>
                <w:rFonts w:ascii="Arial" w:hAnsi="Arial" w:cs="Arial"/>
                <w:b/>
                <w:sz w:val="24"/>
                <w:szCs w:val="24"/>
              </w:rPr>
              <w:t>Comments:</w:t>
            </w:r>
            <w:r w:rsidRPr="0066378C">
              <w:rPr>
                <w:rFonts w:ascii="Arial" w:hAnsi="Arial" w:cs="Arial"/>
                <w:sz w:val="24"/>
                <w:szCs w:val="24"/>
              </w:rPr>
              <w:t xml:space="preserve">  </w:t>
            </w:r>
          </w:p>
        </w:tc>
      </w:tr>
      <w:tr w:rsidR="0066378C" w:rsidRPr="0066378C" w:rsidTr="009B1A4A">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rPr>
                <w:rFonts w:ascii="Arial" w:hAnsi="Arial" w:cs="Arial"/>
                <w:sz w:val="24"/>
                <w:szCs w:val="24"/>
              </w:rPr>
            </w:pPr>
            <w:r w:rsidRPr="0066378C">
              <w:rPr>
                <w:rFonts w:ascii="Arial" w:hAnsi="Arial" w:cs="Arial"/>
                <w:sz w:val="24"/>
                <w:szCs w:val="24"/>
              </w:rPr>
              <w:t>January J:</w:t>
            </w:r>
          </w:p>
        </w:tc>
        <w:tc>
          <w:tcPr>
            <w:tcW w:w="5601" w:type="dxa"/>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rPr>
                <w:rFonts w:ascii="Arial" w:hAnsi="Arial" w:cs="Arial"/>
                <w:sz w:val="24"/>
                <w:szCs w:val="24"/>
              </w:rPr>
            </w:pPr>
          </w:p>
          <w:p w:rsidR="0066378C" w:rsidRPr="0066378C" w:rsidRDefault="0066378C" w:rsidP="0066378C">
            <w:pPr>
              <w:spacing w:line="360" w:lineRule="auto"/>
              <w:rPr>
                <w:rFonts w:ascii="Arial" w:hAnsi="Arial" w:cs="Arial"/>
                <w:sz w:val="24"/>
                <w:szCs w:val="24"/>
              </w:rPr>
            </w:pPr>
          </w:p>
        </w:tc>
      </w:tr>
      <w:tr w:rsidR="0066378C" w:rsidRPr="0066378C" w:rsidTr="009B1A4A">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rPr>
                <w:rFonts w:ascii="Arial" w:hAnsi="Arial" w:cs="Arial"/>
                <w:sz w:val="24"/>
                <w:szCs w:val="24"/>
              </w:rPr>
            </w:pPr>
            <w:proofErr w:type="spellStart"/>
            <w:r>
              <w:rPr>
                <w:rFonts w:ascii="Arial" w:hAnsi="Arial" w:cs="Arial"/>
                <w:sz w:val="24"/>
                <w:szCs w:val="24"/>
              </w:rPr>
              <w:t>Usiku</w:t>
            </w:r>
            <w:proofErr w:type="spellEnd"/>
            <w:r w:rsidRPr="0066378C">
              <w:rPr>
                <w:rFonts w:ascii="Arial" w:hAnsi="Arial" w:cs="Arial"/>
                <w:sz w:val="24"/>
                <w:szCs w:val="24"/>
              </w:rPr>
              <w:t xml:space="preserve"> J</w:t>
            </w:r>
          </w:p>
        </w:tc>
        <w:tc>
          <w:tcPr>
            <w:tcW w:w="5601" w:type="dxa"/>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rPr>
                <w:rFonts w:ascii="Arial" w:hAnsi="Arial" w:cs="Arial"/>
                <w:sz w:val="24"/>
                <w:szCs w:val="24"/>
              </w:rPr>
            </w:pPr>
          </w:p>
        </w:tc>
      </w:tr>
      <w:tr w:rsidR="0066378C" w:rsidRPr="0066378C" w:rsidTr="009B1A4A">
        <w:trPr>
          <w:trHeight w:val="595"/>
        </w:trPr>
        <w:tc>
          <w:tcPr>
            <w:tcW w:w="4606" w:type="dxa"/>
            <w:gridSpan w:val="2"/>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jc w:val="center"/>
              <w:rPr>
                <w:rFonts w:ascii="Arial" w:hAnsi="Arial" w:cs="Arial"/>
                <w:b/>
                <w:sz w:val="24"/>
                <w:szCs w:val="24"/>
              </w:rPr>
            </w:pPr>
            <w:r w:rsidRPr="0066378C">
              <w:rPr>
                <w:rFonts w:ascii="Arial" w:hAnsi="Arial" w:cs="Arial"/>
                <w:b/>
                <w:sz w:val="24"/>
                <w:szCs w:val="24"/>
              </w:rPr>
              <w:t>Counsel:</w:t>
            </w:r>
          </w:p>
        </w:tc>
        <w:tc>
          <w:tcPr>
            <w:tcW w:w="5601" w:type="dxa"/>
          </w:tcPr>
          <w:p w:rsidR="0066378C" w:rsidRPr="0066378C" w:rsidRDefault="0066378C" w:rsidP="0066378C">
            <w:pPr>
              <w:spacing w:line="360" w:lineRule="auto"/>
              <w:jc w:val="both"/>
              <w:rPr>
                <w:rFonts w:ascii="Arial" w:hAnsi="Arial" w:cs="Arial"/>
                <w:sz w:val="24"/>
                <w:szCs w:val="24"/>
              </w:rPr>
            </w:pPr>
          </w:p>
        </w:tc>
      </w:tr>
      <w:tr w:rsidR="0066378C" w:rsidRPr="0066378C" w:rsidTr="009B1A4A">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rPr>
                <w:rFonts w:ascii="Arial" w:hAnsi="Arial" w:cs="Arial"/>
                <w:b/>
                <w:sz w:val="24"/>
                <w:szCs w:val="24"/>
              </w:rPr>
            </w:pPr>
            <w:r w:rsidRPr="0066378C">
              <w:rPr>
                <w:rFonts w:ascii="Arial" w:hAnsi="Arial" w:cs="Arial"/>
                <w:b/>
                <w:sz w:val="24"/>
                <w:szCs w:val="24"/>
              </w:rPr>
              <w:t>Appellant</w:t>
            </w:r>
          </w:p>
        </w:tc>
        <w:tc>
          <w:tcPr>
            <w:tcW w:w="5601" w:type="dxa"/>
            <w:tcBorders>
              <w:top w:val="single" w:sz="4" w:space="0" w:color="auto"/>
              <w:left w:val="single" w:sz="4" w:space="0" w:color="auto"/>
              <w:bottom w:val="single" w:sz="4" w:space="0" w:color="auto"/>
              <w:right w:val="single" w:sz="4" w:space="0" w:color="auto"/>
            </w:tcBorders>
          </w:tcPr>
          <w:p w:rsidR="0066378C" w:rsidRPr="0066378C" w:rsidRDefault="0066378C" w:rsidP="0066378C">
            <w:pPr>
              <w:spacing w:line="360" w:lineRule="auto"/>
              <w:rPr>
                <w:rFonts w:ascii="Arial" w:hAnsi="Arial" w:cs="Arial"/>
                <w:b/>
                <w:sz w:val="24"/>
                <w:szCs w:val="24"/>
              </w:rPr>
            </w:pPr>
            <w:r w:rsidRPr="0066378C">
              <w:rPr>
                <w:rFonts w:ascii="Arial" w:hAnsi="Arial" w:cs="Arial"/>
                <w:b/>
                <w:sz w:val="24"/>
                <w:szCs w:val="24"/>
              </w:rPr>
              <w:t>Respondent</w:t>
            </w:r>
          </w:p>
        </w:tc>
      </w:tr>
      <w:tr w:rsidR="0066378C" w:rsidRPr="0066378C" w:rsidTr="009B1A4A">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9F7D14" w:rsidRDefault="009F7D14" w:rsidP="0041449B">
            <w:pPr>
              <w:spacing w:line="360" w:lineRule="auto"/>
              <w:jc w:val="center"/>
              <w:rPr>
                <w:rFonts w:ascii="Arial" w:hAnsi="Arial" w:cs="Arial"/>
                <w:sz w:val="24"/>
                <w:szCs w:val="24"/>
              </w:rPr>
            </w:pPr>
            <w:r>
              <w:rPr>
                <w:rFonts w:ascii="Arial" w:hAnsi="Arial" w:cs="Arial"/>
                <w:sz w:val="24"/>
                <w:szCs w:val="24"/>
              </w:rPr>
              <w:lastRenderedPageBreak/>
              <w:t>J Andreas</w:t>
            </w:r>
          </w:p>
          <w:p w:rsidR="009F7D14" w:rsidRPr="0066378C" w:rsidRDefault="009F7D14" w:rsidP="009F7D14">
            <w:pPr>
              <w:spacing w:line="360" w:lineRule="auto"/>
              <w:jc w:val="center"/>
              <w:rPr>
                <w:rFonts w:ascii="Arial" w:hAnsi="Arial" w:cs="Arial"/>
                <w:sz w:val="24"/>
                <w:szCs w:val="24"/>
              </w:rPr>
            </w:pPr>
            <w:r>
              <w:rPr>
                <w:rFonts w:ascii="Arial" w:hAnsi="Arial" w:cs="Arial"/>
                <w:sz w:val="24"/>
                <w:szCs w:val="24"/>
              </w:rPr>
              <w:t xml:space="preserve">Of Andreas- </w:t>
            </w:r>
            <w:proofErr w:type="spellStart"/>
            <w:r>
              <w:rPr>
                <w:rFonts w:ascii="Arial" w:hAnsi="Arial" w:cs="Arial"/>
                <w:sz w:val="24"/>
                <w:szCs w:val="24"/>
              </w:rPr>
              <w:t>Hamunyela</w:t>
            </w:r>
            <w:proofErr w:type="spellEnd"/>
            <w:r>
              <w:rPr>
                <w:rFonts w:ascii="Arial" w:hAnsi="Arial" w:cs="Arial"/>
                <w:sz w:val="24"/>
                <w:szCs w:val="24"/>
              </w:rPr>
              <w:t xml:space="preserve"> Legal Practitioners, Windhoek</w:t>
            </w:r>
          </w:p>
        </w:tc>
        <w:tc>
          <w:tcPr>
            <w:tcW w:w="5601" w:type="dxa"/>
            <w:tcBorders>
              <w:top w:val="single" w:sz="4" w:space="0" w:color="auto"/>
              <w:left w:val="single" w:sz="4" w:space="0" w:color="auto"/>
              <w:bottom w:val="single" w:sz="4" w:space="0" w:color="auto"/>
              <w:right w:val="single" w:sz="4" w:space="0" w:color="auto"/>
            </w:tcBorders>
          </w:tcPr>
          <w:p w:rsidR="009F7D14" w:rsidRDefault="009F7D14" w:rsidP="0041449B">
            <w:pPr>
              <w:spacing w:line="360" w:lineRule="auto"/>
              <w:jc w:val="center"/>
              <w:rPr>
                <w:rFonts w:ascii="Arial" w:hAnsi="Arial" w:cs="Arial"/>
                <w:sz w:val="24"/>
                <w:szCs w:val="24"/>
              </w:rPr>
            </w:pPr>
            <w:r>
              <w:rPr>
                <w:rFonts w:ascii="Arial" w:hAnsi="Arial" w:cs="Arial"/>
                <w:sz w:val="24"/>
                <w:szCs w:val="24"/>
              </w:rPr>
              <w:t xml:space="preserve">T </w:t>
            </w:r>
            <w:proofErr w:type="spellStart"/>
            <w:r>
              <w:rPr>
                <w:rFonts w:ascii="Arial" w:hAnsi="Arial" w:cs="Arial"/>
                <w:sz w:val="24"/>
                <w:szCs w:val="24"/>
              </w:rPr>
              <w:t>Gaweseb</w:t>
            </w:r>
            <w:proofErr w:type="spellEnd"/>
          </w:p>
          <w:p w:rsidR="009F7D14" w:rsidRPr="0066378C" w:rsidRDefault="009F7D14" w:rsidP="0066378C">
            <w:pPr>
              <w:spacing w:line="360" w:lineRule="auto"/>
              <w:rPr>
                <w:rFonts w:ascii="Arial" w:hAnsi="Arial" w:cs="Arial"/>
                <w:sz w:val="24"/>
                <w:szCs w:val="24"/>
              </w:rPr>
            </w:pPr>
            <w:r>
              <w:rPr>
                <w:rFonts w:ascii="Arial" w:hAnsi="Arial" w:cs="Arial"/>
                <w:sz w:val="24"/>
                <w:szCs w:val="24"/>
              </w:rPr>
              <w:t>Of Office of the Prosecutor- General, Windhoek</w:t>
            </w:r>
          </w:p>
        </w:tc>
      </w:tr>
    </w:tbl>
    <w:p w:rsidR="008D7C29" w:rsidRPr="0066378C" w:rsidRDefault="008D7C29">
      <w:pPr>
        <w:rPr>
          <w:rFonts w:ascii="Arial" w:hAnsi="Arial" w:cs="Arial"/>
          <w:sz w:val="24"/>
          <w:szCs w:val="24"/>
        </w:rPr>
      </w:pPr>
    </w:p>
    <w:sectPr w:rsidR="008D7C29" w:rsidRPr="0066378C" w:rsidSect="00D5231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C9" w:rsidRDefault="002061C9" w:rsidP="0066378C">
      <w:pPr>
        <w:spacing w:after="0" w:line="240" w:lineRule="auto"/>
      </w:pPr>
      <w:r>
        <w:separator/>
      </w:r>
    </w:p>
  </w:endnote>
  <w:endnote w:type="continuationSeparator" w:id="0">
    <w:p w:rsidR="002061C9" w:rsidRDefault="002061C9" w:rsidP="0066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C9" w:rsidRDefault="002061C9" w:rsidP="0066378C">
      <w:pPr>
        <w:spacing w:after="0" w:line="240" w:lineRule="auto"/>
      </w:pPr>
      <w:r>
        <w:separator/>
      </w:r>
    </w:p>
  </w:footnote>
  <w:footnote w:type="continuationSeparator" w:id="0">
    <w:p w:rsidR="002061C9" w:rsidRDefault="002061C9" w:rsidP="0066378C">
      <w:pPr>
        <w:spacing w:after="0" w:line="240" w:lineRule="auto"/>
      </w:pPr>
      <w:r>
        <w:continuationSeparator/>
      </w:r>
    </w:p>
  </w:footnote>
  <w:footnote w:id="1">
    <w:p w:rsidR="0066378C" w:rsidRPr="009437A9" w:rsidRDefault="0066378C" w:rsidP="0066378C">
      <w:pPr>
        <w:pStyle w:val="FootnoteText"/>
        <w:rPr>
          <w:rFonts w:ascii="Arial" w:hAnsi="Arial" w:cs="Arial"/>
        </w:rPr>
      </w:pPr>
      <w:r w:rsidRPr="009437A9">
        <w:rPr>
          <w:rStyle w:val="FootnoteReference"/>
          <w:i/>
        </w:rPr>
        <w:footnoteRef/>
      </w:r>
      <w:r w:rsidRPr="009437A9">
        <w:rPr>
          <w:i/>
        </w:rPr>
        <w:t xml:space="preserve"> </w:t>
      </w:r>
      <w:proofErr w:type="gramStart"/>
      <w:r w:rsidRPr="009437A9">
        <w:rPr>
          <w:rFonts w:ascii="Arial" w:hAnsi="Arial" w:cs="Arial"/>
          <w:i/>
        </w:rPr>
        <w:t>S v Zinn</w:t>
      </w:r>
      <w:r w:rsidRPr="009437A9">
        <w:rPr>
          <w:rFonts w:ascii="Arial" w:hAnsi="Arial" w:cs="Arial"/>
        </w:rPr>
        <w:t xml:space="preserve"> 1969 (2) SA 537 (A</w:t>
      </w:r>
      <w:r w:rsidRPr="009F7D14">
        <w:rPr>
          <w:rFonts w:ascii="Arial" w:hAnsi="Arial" w:cs="Arial"/>
        </w:rPr>
        <w:t>)</w:t>
      </w:r>
      <w:r>
        <w:rPr>
          <w:rFonts w:ascii="Arial" w:hAnsi="Arial" w:cs="Arial"/>
          <w:i/>
        </w:rPr>
        <w:t>.</w:t>
      </w:r>
      <w:proofErr w:type="gramEnd"/>
    </w:p>
  </w:footnote>
  <w:footnote w:id="2">
    <w:p w:rsidR="0066378C" w:rsidRPr="00C45AED" w:rsidRDefault="0066378C" w:rsidP="0066378C">
      <w:pPr>
        <w:pStyle w:val="FootnoteText"/>
        <w:rPr>
          <w:rFonts w:ascii="Arial" w:hAnsi="Arial" w:cs="Arial"/>
        </w:rPr>
      </w:pPr>
      <w:r w:rsidRPr="00C45AED">
        <w:rPr>
          <w:rStyle w:val="FootnoteReference"/>
          <w:rFonts w:ascii="Arial" w:hAnsi="Arial" w:cs="Arial"/>
        </w:rPr>
        <w:footnoteRef/>
      </w:r>
      <w:r w:rsidRPr="00C45AED">
        <w:rPr>
          <w:rFonts w:ascii="Arial" w:hAnsi="Arial" w:cs="Arial"/>
        </w:rPr>
        <w:t xml:space="preserve"> Amongst others: </w:t>
      </w:r>
      <w:r w:rsidRPr="00C45AED">
        <w:rPr>
          <w:rFonts w:ascii="Arial" w:hAnsi="Arial" w:cs="Arial"/>
          <w:i/>
        </w:rPr>
        <w:t xml:space="preserve">S v </w:t>
      </w:r>
      <w:proofErr w:type="spellStart"/>
      <w:r w:rsidRPr="00C45AED">
        <w:rPr>
          <w:rFonts w:ascii="Arial" w:hAnsi="Arial" w:cs="Arial"/>
          <w:i/>
        </w:rPr>
        <w:t>Tjiho</w:t>
      </w:r>
      <w:proofErr w:type="spellEnd"/>
      <w:r w:rsidRPr="00C45AED">
        <w:rPr>
          <w:rFonts w:ascii="Arial" w:hAnsi="Arial" w:cs="Arial"/>
          <w:i/>
        </w:rPr>
        <w:t xml:space="preserve"> </w:t>
      </w:r>
      <w:r w:rsidRPr="00C45AED">
        <w:rPr>
          <w:rFonts w:ascii="Arial" w:hAnsi="Arial" w:cs="Arial"/>
        </w:rPr>
        <w:t>1991 NR (HC) 361</w:t>
      </w:r>
      <w:r>
        <w:rPr>
          <w:rFonts w:ascii="Arial" w:hAnsi="Arial" w:cs="Arial"/>
        </w:rPr>
        <w:t>.</w:t>
      </w:r>
    </w:p>
  </w:footnote>
  <w:footnote w:id="3">
    <w:p w:rsidR="0066378C" w:rsidRPr="000C232C" w:rsidRDefault="0066378C" w:rsidP="0066378C">
      <w:pPr>
        <w:pStyle w:val="FootnoteText"/>
        <w:rPr>
          <w:rFonts w:ascii="Arial" w:hAnsi="Arial" w:cs="Arial"/>
        </w:rPr>
      </w:pPr>
      <w:r w:rsidRPr="000C232C">
        <w:rPr>
          <w:rStyle w:val="FootnoteReference"/>
          <w:rFonts w:ascii="Arial" w:hAnsi="Arial" w:cs="Arial"/>
        </w:rPr>
        <w:footnoteRef/>
      </w:r>
      <w:r w:rsidRPr="000C232C">
        <w:rPr>
          <w:rFonts w:ascii="Arial" w:hAnsi="Arial" w:cs="Arial"/>
        </w:rPr>
        <w:t xml:space="preserve"> </w:t>
      </w:r>
      <w:proofErr w:type="gramStart"/>
      <w:r w:rsidRPr="000C232C">
        <w:rPr>
          <w:rFonts w:ascii="Arial" w:hAnsi="Arial" w:cs="Arial"/>
        </w:rPr>
        <w:t xml:space="preserve">S v </w:t>
      </w:r>
      <w:proofErr w:type="spellStart"/>
      <w:r w:rsidRPr="000C232C">
        <w:rPr>
          <w:rFonts w:ascii="Arial" w:hAnsi="Arial" w:cs="Arial"/>
          <w:i/>
        </w:rPr>
        <w:t>Ndikwetepo</w:t>
      </w:r>
      <w:proofErr w:type="spellEnd"/>
      <w:r w:rsidRPr="000C232C">
        <w:rPr>
          <w:rFonts w:ascii="Arial" w:hAnsi="Arial" w:cs="Arial"/>
          <w:i/>
        </w:rPr>
        <w:t xml:space="preserve"> and others</w:t>
      </w:r>
      <w:r w:rsidRPr="000C232C">
        <w:rPr>
          <w:rFonts w:ascii="Arial" w:hAnsi="Arial" w:cs="Arial"/>
        </w:rPr>
        <w:t xml:space="preserve"> 1993 NR 319 (SC)</w:t>
      </w:r>
      <w:r>
        <w:rPr>
          <w:rFonts w:ascii="Arial" w:hAnsi="Arial" w:cs="Arial"/>
        </w:rPr>
        <w:t>.</w:t>
      </w:r>
      <w:proofErr w:type="gramEnd"/>
    </w:p>
  </w:footnote>
  <w:footnote w:id="4">
    <w:p w:rsidR="0066378C" w:rsidRDefault="0066378C" w:rsidP="0066378C">
      <w:pPr>
        <w:spacing w:after="0" w:line="360" w:lineRule="auto"/>
        <w:ind w:left="2160" w:hanging="2160"/>
        <w:jc w:val="both"/>
        <w:rPr>
          <w:rFonts w:ascii="Arial" w:hAnsi="Arial" w:cs="Arial"/>
          <w:sz w:val="20"/>
          <w:szCs w:val="20"/>
        </w:rPr>
      </w:pPr>
      <w:r w:rsidRPr="008D657F">
        <w:rPr>
          <w:rStyle w:val="FootnoteReference"/>
          <w:rFonts w:ascii="Arial" w:hAnsi="Arial" w:cs="Arial"/>
          <w:sz w:val="20"/>
          <w:szCs w:val="20"/>
        </w:rPr>
        <w:footnoteRef/>
      </w:r>
      <w:r w:rsidRPr="008D657F">
        <w:rPr>
          <w:rFonts w:ascii="Arial" w:hAnsi="Arial" w:cs="Arial"/>
          <w:sz w:val="20"/>
          <w:szCs w:val="20"/>
        </w:rPr>
        <w:t xml:space="preserve"> </w:t>
      </w:r>
      <w:r w:rsidRPr="008D657F">
        <w:rPr>
          <w:rFonts w:ascii="Arial" w:hAnsi="Arial" w:cs="Arial"/>
          <w:i/>
          <w:sz w:val="20"/>
          <w:szCs w:val="20"/>
        </w:rPr>
        <w:t xml:space="preserve">S v Daniels </w:t>
      </w:r>
      <w:r w:rsidRPr="008D657F">
        <w:rPr>
          <w:rFonts w:ascii="Arial" w:hAnsi="Arial" w:cs="Arial"/>
          <w:sz w:val="20"/>
          <w:szCs w:val="20"/>
        </w:rPr>
        <w:t xml:space="preserve">(CR 31/2014) [2014] NAHCMD 170 (28 May 2014); </w:t>
      </w:r>
      <w:r w:rsidRPr="008D657F">
        <w:rPr>
          <w:rFonts w:ascii="Arial" w:hAnsi="Arial" w:cs="Arial"/>
          <w:i/>
          <w:sz w:val="20"/>
          <w:szCs w:val="20"/>
        </w:rPr>
        <w:t>Mbundu  v S (</w:t>
      </w:r>
      <w:r w:rsidRPr="008D657F">
        <w:rPr>
          <w:rFonts w:ascii="Arial" w:hAnsi="Arial" w:cs="Arial"/>
          <w:sz w:val="20"/>
          <w:szCs w:val="20"/>
        </w:rPr>
        <w:t>HC-MD-CRI-APP-CAL-</w:t>
      </w:r>
    </w:p>
    <w:p w:rsidR="0066378C" w:rsidRDefault="0066378C" w:rsidP="003756BD">
      <w:pPr>
        <w:spacing w:after="0" w:line="360" w:lineRule="auto"/>
      </w:pPr>
      <w:r>
        <w:rPr>
          <w:rFonts w:ascii="Arial" w:hAnsi="Arial" w:cs="Arial"/>
          <w:sz w:val="20"/>
          <w:szCs w:val="20"/>
        </w:rPr>
        <w:t xml:space="preserve"> </w:t>
      </w:r>
      <w:proofErr w:type="gramStart"/>
      <w:r w:rsidRPr="008D657F">
        <w:rPr>
          <w:rFonts w:ascii="Arial" w:hAnsi="Arial" w:cs="Arial"/>
          <w:sz w:val="20"/>
          <w:szCs w:val="20"/>
        </w:rPr>
        <w:t>2019/00056) [2019] NAHCMD 424 (22 October 2019)</w:t>
      </w:r>
      <w:r>
        <w:rPr>
          <w:rFonts w:ascii="Arial" w:hAnsi="Arial" w:cs="Arial"/>
          <w:sz w:val="20"/>
          <w:szCs w:val="20"/>
        </w:rPr>
        <w:t>;</w:t>
      </w:r>
      <w:r w:rsidRPr="007744E4">
        <w:rPr>
          <w:rFonts w:ascii="Arial" w:hAnsi="Arial" w:cs="Arial"/>
          <w:i/>
          <w:sz w:val="24"/>
          <w:szCs w:val="24"/>
        </w:rPr>
        <w:t xml:space="preserve"> </w:t>
      </w:r>
      <w:r w:rsidRPr="007744E4">
        <w:rPr>
          <w:rFonts w:ascii="Arial" w:hAnsi="Arial" w:cs="Arial"/>
          <w:i/>
          <w:sz w:val="20"/>
          <w:szCs w:val="20"/>
        </w:rPr>
        <w:t xml:space="preserve">S v </w:t>
      </w:r>
      <w:proofErr w:type="spellStart"/>
      <w:r w:rsidRPr="007744E4">
        <w:rPr>
          <w:rFonts w:ascii="Arial" w:hAnsi="Arial" w:cs="Arial"/>
          <w:i/>
          <w:sz w:val="20"/>
          <w:szCs w:val="20"/>
        </w:rPr>
        <w:t>Kambundji</w:t>
      </w:r>
      <w:proofErr w:type="spellEnd"/>
      <w:r w:rsidRPr="007744E4">
        <w:rPr>
          <w:rFonts w:ascii="Arial" w:hAnsi="Arial" w:cs="Arial"/>
          <w:i/>
          <w:sz w:val="20"/>
          <w:szCs w:val="20"/>
        </w:rPr>
        <w:t xml:space="preserve"> </w:t>
      </w:r>
      <w:r w:rsidRPr="007744E4">
        <w:rPr>
          <w:rFonts w:ascii="Arial" w:hAnsi="Arial" w:cs="Arial"/>
          <w:sz w:val="20"/>
          <w:szCs w:val="20"/>
        </w:rPr>
        <w:t xml:space="preserve">(CR 62/2018) [2018] NAHCMD </w:t>
      </w:r>
      <w:r>
        <w:rPr>
          <w:rFonts w:ascii="Arial" w:hAnsi="Arial" w:cs="Arial"/>
          <w:sz w:val="20"/>
          <w:szCs w:val="20"/>
        </w:rPr>
        <w:t xml:space="preserve">       </w:t>
      </w:r>
      <w:r w:rsidRPr="007744E4">
        <w:rPr>
          <w:rFonts w:ascii="Arial" w:hAnsi="Arial" w:cs="Arial"/>
          <w:sz w:val="20"/>
          <w:szCs w:val="20"/>
        </w:rPr>
        <w:t>243 (14 August 2018)</w:t>
      </w:r>
      <w:r>
        <w:rPr>
          <w:rFonts w:ascii="Arial" w:hAnsi="Arial" w:cs="Arial"/>
          <w:sz w:val="20"/>
          <w:szCs w:val="20"/>
        </w:rPr>
        <w:t>.</w:t>
      </w:r>
      <w:proofErr w:type="gramEnd"/>
    </w:p>
  </w:footnote>
  <w:footnote w:id="5">
    <w:p w:rsidR="003756BD" w:rsidRPr="009F7D14" w:rsidRDefault="003756BD">
      <w:pPr>
        <w:pStyle w:val="FootnoteText"/>
        <w:rPr>
          <w:rFonts w:ascii="Arial" w:hAnsi="Arial" w:cs="Arial"/>
          <w:lang w:val="en-US"/>
        </w:rPr>
      </w:pPr>
      <w:r w:rsidRPr="009F7D14">
        <w:rPr>
          <w:rStyle w:val="FootnoteReference"/>
          <w:rFonts w:ascii="Arial" w:hAnsi="Arial" w:cs="Arial"/>
        </w:rPr>
        <w:footnoteRef/>
      </w:r>
      <w:r w:rsidRPr="009F7D14">
        <w:rPr>
          <w:rFonts w:ascii="Arial" w:hAnsi="Arial" w:cs="Arial"/>
        </w:rPr>
        <w:t xml:space="preserve"> </w:t>
      </w:r>
      <w:r w:rsidR="009F7D14" w:rsidRPr="009F7D14">
        <w:rPr>
          <w:rFonts w:ascii="Arial" w:hAnsi="Arial" w:cs="Arial"/>
        </w:rPr>
        <w:t>J H</w:t>
      </w:r>
      <w:r w:rsidR="009F7D14">
        <w:rPr>
          <w:rFonts w:ascii="Arial" w:hAnsi="Arial" w:cs="Arial"/>
        </w:rPr>
        <w:t>ogarth ‘Sentencing as a Human Process’ (1972) at 233-280.</w:t>
      </w:r>
    </w:p>
  </w:footnote>
  <w:footnote w:id="6">
    <w:p w:rsidR="0066378C" w:rsidRPr="00003D87" w:rsidRDefault="0066378C" w:rsidP="0066378C">
      <w:pPr>
        <w:pStyle w:val="FootnoteText"/>
        <w:rPr>
          <w:rFonts w:ascii="Arial" w:hAnsi="Arial" w:cs="Arial"/>
        </w:rPr>
      </w:pPr>
      <w:r w:rsidRPr="00003D87">
        <w:rPr>
          <w:rStyle w:val="FootnoteReference"/>
          <w:rFonts w:ascii="Arial" w:hAnsi="Arial" w:cs="Arial"/>
        </w:rPr>
        <w:footnoteRef/>
      </w:r>
      <w:r w:rsidRPr="00003D87">
        <w:rPr>
          <w:rFonts w:ascii="Arial" w:hAnsi="Arial" w:cs="Arial"/>
        </w:rPr>
        <w:t xml:space="preserve"> </w:t>
      </w:r>
      <w:proofErr w:type="gramStart"/>
      <w:r w:rsidR="009F7D14">
        <w:rPr>
          <w:rFonts w:ascii="Arial" w:hAnsi="Arial" w:cs="Arial"/>
          <w:i/>
        </w:rPr>
        <w:t>S v V</w:t>
      </w:r>
      <w:r w:rsidRPr="00003D87">
        <w:rPr>
          <w:rFonts w:ascii="Arial" w:hAnsi="Arial" w:cs="Arial"/>
          <w:i/>
        </w:rPr>
        <w:t xml:space="preserve">an </w:t>
      </w:r>
      <w:proofErr w:type="spellStart"/>
      <w:r w:rsidRPr="00003D87">
        <w:rPr>
          <w:rFonts w:ascii="Arial" w:hAnsi="Arial" w:cs="Arial"/>
          <w:i/>
        </w:rPr>
        <w:t>Wyk</w:t>
      </w:r>
      <w:proofErr w:type="spellEnd"/>
      <w:r w:rsidRPr="00003D87">
        <w:rPr>
          <w:rFonts w:ascii="Arial" w:hAnsi="Arial" w:cs="Arial"/>
        </w:rPr>
        <w:t xml:space="preserve"> 1993 NR 426 SC at 450G</w:t>
      </w:r>
      <w:r w:rsidR="009F7D14">
        <w:rPr>
          <w:rFonts w:ascii="Arial" w:hAnsi="Arial" w:cs="Arial"/>
        </w:rPr>
        <w:t>.</w:t>
      </w:r>
      <w:proofErr w:type="gramEnd"/>
    </w:p>
  </w:footnote>
  <w:footnote w:id="7">
    <w:p w:rsidR="0066378C" w:rsidRPr="009F7D14" w:rsidRDefault="0066378C" w:rsidP="0066378C">
      <w:pPr>
        <w:pStyle w:val="FootnoteText"/>
        <w:rPr>
          <w:rFonts w:ascii="Arial" w:hAnsi="Arial" w:cs="Arial"/>
        </w:rPr>
      </w:pPr>
      <w:r w:rsidRPr="009F7D14">
        <w:rPr>
          <w:rStyle w:val="FootnoteReference"/>
          <w:rFonts w:ascii="Arial" w:hAnsi="Arial" w:cs="Arial"/>
          <w:i/>
        </w:rPr>
        <w:footnoteRef/>
      </w:r>
      <w:r w:rsidRPr="009F7D14">
        <w:rPr>
          <w:rFonts w:ascii="Arial" w:hAnsi="Arial" w:cs="Arial"/>
          <w:i/>
        </w:rPr>
        <w:t xml:space="preserve"> </w:t>
      </w:r>
      <w:proofErr w:type="gramStart"/>
      <w:r w:rsidRPr="009F7D14">
        <w:rPr>
          <w:rFonts w:ascii="Arial" w:hAnsi="Arial" w:cs="Arial"/>
          <w:i/>
        </w:rPr>
        <w:t xml:space="preserve">S v </w:t>
      </w:r>
      <w:proofErr w:type="spellStart"/>
      <w:r w:rsidRPr="009F7D14">
        <w:rPr>
          <w:rFonts w:ascii="Arial" w:hAnsi="Arial" w:cs="Arial"/>
          <w:i/>
        </w:rPr>
        <w:t>Tjiho</w:t>
      </w:r>
      <w:proofErr w:type="spellEnd"/>
      <w:r w:rsidRPr="009F7D14">
        <w:rPr>
          <w:rFonts w:ascii="Arial" w:hAnsi="Arial" w:cs="Arial"/>
        </w:rPr>
        <w:t xml:space="preserve"> 1991 NR 361 (HC) at 366.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14296"/>
      <w:docPartObj>
        <w:docPartGallery w:val="Page Numbers (Top of Page)"/>
        <w:docPartUnique/>
      </w:docPartObj>
    </w:sdtPr>
    <w:sdtEndPr>
      <w:rPr>
        <w:noProof/>
      </w:rPr>
    </w:sdtEndPr>
    <w:sdtContent>
      <w:p w:rsidR="00D52312" w:rsidRDefault="00D52312">
        <w:pPr>
          <w:pStyle w:val="Header"/>
          <w:jc w:val="right"/>
        </w:pPr>
        <w:r>
          <w:fldChar w:fldCharType="begin"/>
        </w:r>
        <w:r>
          <w:instrText xml:space="preserve"> PAGE   \* MERGEFORMAT </w:instrText>
        </w:r>
        <w:r>
          <w:fldChar w:fldCharType="separate"/>
        </w:r>
        <w:r w:rsidR="00EE4B90">
          <w:rPr>
            <w:noProof/>
          </w:rPr>
          <w:t>2</w:t>
        </w:r>
        <w:r>
          <w:rPr>
            <w:noProof/>
          </w:rPr>
          <w:fldChar w:fldCharType="end"/>
        </w:r>
      </w:p>
    </w:sdtContent>
  </w:sdt>
  <w:p w:rsidR="00D52312" w:rsidRDefault="00D52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A7F"/>
    <w:multiLevelType w:val="hybridMultilevel"/>
    <w:tmpl w:val="D21E7C84"/>
    <w:lvl w:ilvl="0" w:tplc="09D8E062">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170957E4"/>
    <w:multiLevelType w:val="hybridMultilevel"/>
    <w:tmpl w:val="2D22C3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1032DBE"/>
    <w:multiLevelType w:val="hybridMultilevel"/>
    <w:tmpl w:val="2ED2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B1ADA"/>
    <w:multiLevelType w:val="hybridMultilevel"/>
    <w:tmpl w:val="24AE8ECE"/>
    <w:lvl w:ilvl="0" w:tplc="331032D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8C"/>
    <w:rsid w:val="002061C9"/>
    <w:rsid w:val="00314D14"/>
    <w:rsid w:val="003756BD"/>
    <w:rsid w:val="00392977"/>
    <w:rsid w:val="003F047C"/>
    <w:rsid w:val="0041449B"/>
    <w:rsid w:val="00627455"/>
    <w:rsid w:val="0066378C"/>
    <w:rsid w:val="0075134C"/>
    <w:rsid w:val="007C1C60"/>
    <w:rsid w:val="00890099"/>
    <w:rsid w:val="008D7C29"/>
    <w:rsid w:val="00990290"/>
    <w:rsid w:val="009F7D14"/>
    <w:rsid w:val="00AA7216"/>
    <w:rsid w:val="00D52312"/>
    <w:rsid w:val="00E802E3"/>
    <w:rsid w:val="00EE4B90"/>
    <w:rsid w:val="00FC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7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378C"/>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6378C"/>
    <w:rPr>
      <w:sz w:val="20"/>
      <w:szCs w:val="20"/>
      <w:lang w:val="en-ZA"/>
    </w:rPr>
  </w:style>
  <w:style w:type="character" w:styleId="FootnoteReference">
    <w:name w:val="footnote reference"/>
    <w:basedOn w:val="DefaultParagraphFont"/>
    <w:uiPriority w:val="99"/>
    <w:semiHidden/>
    <w:unhideWhenUsed/>
    <w:rsid w:val="0066378C"/>
    <w:rPr>
      <w:vertAlign w:val="superscript"/>
    </w:rPr>
  </w:style>
  <w:style w:type="paragraph" w:styleId="BalloonText">
    <w:name w:val="Balloon Text"/>
    <w:basedOn w:val="Normal"/>
    <w:link w:val="BalloonTextChar"/>
    <w:uiPriority w:val="99"/>
    <w:semiHidden/>
    <w:unhideWhenUsed/>
    <w:rsid w:val="00E80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E3"/>
    <w:rPr>
      <w:rFonts w:ascii="Segoe UI" w:hAnsi="Segoe UI" w:cs="Segoe UI"/>
      <w:sz w:val="18"/>
      <w:szCs w:val="18"/>
    </w:rPr>
  </w:style>
  <w:style w:type="paragraph" w:styleId="Header">
    <w:name w:val="header"/>
    <w:basedOn w:val="Normal"/>
    <w:link w:val="HeaderChar"/>
    <w:uiPriority w:val="99"/>
    <w:unhideWhenUsed/>
    <w:rsid w:val="00D5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12"/>
  </w:style>
  <w:style w:type="paragraph" w:styleId="Footer">
    <w:name w:val="footer"/>
    <w:basedOn w:val="Normal"/>
    <w:link w:val="FooterChar"/>
    <w:uiPriority w:val="99"/>
    <w:unhideWhenUsed/>
    <w:rsid w:val="00D5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12"/>
  </w:style>
  <w:style w:type="paragraph" w:styleId="ListParagraph">
    <w:name w:val="List Paragraph"/>
    <w:basedOn w:val="Normal"/>
    <w:uiPriority w:val="34"/>
    <w:qFormat/>
    <w:rsid w:val="00314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7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378C"/>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6378C"/>
    <w:rPr>
      <w:sz w:val="20"/>
      <w:szCs w:val="20"/>
      <w:lang w:val="en-ZA"/>
    </w:rPr>
  </w:style>
  <w:style w:type="character" w:styleId="FootnoteReference">
    <w:name w:val="footnote reference"/>
    <w:basedOn w:val="DefaultParagraphFont"/>
    <w:uiPriority w:val="99"/>
    <w:semiHidden/>
    <w:unhideWhenUsed/>
    <w:rsid w:val="0066378C"/>
    <w:rPr>
      <w:vertAlign w:val="superscript"/>
    </w:rPr>
  </w:style>
  <w:style w:type="paragraph" w:styleId="BalloonText">
    <w:name w:val="Balloon Text"/>
    <w:basedOn w:val="Normal"/>
    <w:link w:val="BalloonTextChar"/>
    <w:uiPriority w:val="99"/>
    <w:semiHidden/>
    <w:unhideWhenUsed/>
    <w:rsid w:val="00E80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E3"/>
    <w:rPr>
      <w:rFonts w:ascii="Segoe UI" w:hAnsi="Segoe UI" w:cs="Segoe UI"/>
      <w:sz w:val="18"/>
      <w:szCs w:val="18"/>
    </w:rPr>
  </w:style>
  <w:style w:type="paragraph" w:styleId="Header">
    <w:name w:val="header"/>
    <w:basedOn w:val="Normal"/>
    <w:link w:val="HeaderChar"/>
    <w:uiPriority w:val="99"/>
    <w:unhideWhenUsed/>
    <w:rsid w:val="00D5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12"/>
  </w:style>
  <w:style w:type="paragraph" w:styleId="Footer">
    <w:name w:val="footer"/>
    <w:basedOn w:val="Normal"/>
    <w:link w:val="FooterChar"/>
    <w:uiPriority w:val="99"/>
    <w:unhideWhenUsed/>
    <w:rsid w:val="00D5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12"/>
  </w:style>
  <w:style w:type="paragraph" w:styleId="ListParagraph">
    <w:name w:val="List Paragraph"/>
    <w:basedOn w:val="Normal"/>
    <w:uiPriority w:val="34"/>
    <w:qFormat/>
    <w:rsid w:val="0031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2023-07-27T18:30:00+00:00</Judgment_x0020_Date>
  </documentManagement>
</p:properties>
</file>

<file path=customXml/itemProps1.xml><?xml version="1.0" encoding="utf-8"?>
<ds:datastoreItem xmlns:ds="http://schemas.openxmlformats.org/officeDocument/2006/customXml" ds:itemID="{D5737F64-4C17-4182-81CA-4F7FD66620FC}"/>
</file>

<file path=customXml/itemProps2.xml><?xml version="1.0" encoding="utf-8"?>
<ds:datastoreItem xmlns:ds="http://schemas.openxmlformats.org/officeDocument/2006/customXml" ds:itemID="{2D5F0623-A80B-4107-8B05-1175A348F521}"/>
</file>

<file path=customXml/itemProps3.xml><?xml version="1.0" encoding="utf-8"?>
<ds:datastoreItem xmlns:ds="http://schemas.openxmlformats.org/officeDocument/2006/customXml" ds:itemID="{811610F9-A677-4C01-B2D7-89D2C6DAD5BA}"/>
</file>

<file path=customXml/itemProps4.xml><?xml version="1.0" encoding="utf-8"?>
<ds:datastoreItem xmlns:ds="http://schemas.openxmlformats.org/officeDocument/2006/customXml" ds:itemID="{003294F0-B098-4660-B98F-E72C3136FB1D}"/>
</file>

<file path=docProps/app.xml><?xml version="1.0" encoding="utf-8"?>
<Properties xmlns="http://schemas.openxmlformats.org/officeDocument/2006/extended-properties" xmlns:vt="http://schemas.openxmlformats.org/officeDocument/2006/docPropsVTypes">
  <Template>Normal</Template>
  <TotalTime>6</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Tsaeb (HC-MD-CRI-APP-CAL-2022-00068) [2023] NAHCMD 448 (28 July 2023)</dc:title>
  <dc:creator>Herman C. January</dc:creator>
  <cp:lastModifiedBy>Michelle N. Ullrich</cp:lastModifiedBy>
  <cp:revision>3</cp:revision>
  <cp:lastPrinted>2023-07-28T09:54:00Z</cp:lastPrinted>
  <dcterms:created xsi:type="dcterms:W3CDTF">2023-07-25T12:19:00Z</dcterms:created>
  <dcterms:modified xsi:type="dcterms:W3CDTF">2023-07-28T09:57:00Z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