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36" w:rsidRPr="004C3471" w:rsidRDefault="00036C36" w:rsidP="00036C36">
      <w:pPr>
        <w:spacing w:before="240" w:after="0" w:line="240" w:lineRule="auto"/>
        <w:jc w:val="center"/>
        <w:rPr>
          <w:rFonts w:ascii="Arial" w:eastAsia="Times New Roman" w:hAnsi="Arial" w:cs="Arial"/>
          <w:b/>
          <w:sz w:val="24"/>
          <w:szCs w:val="24"/>
          <w:lang w:val="en-GB"/>
        </w:rPr>
      </w:pPr>
      <w:r w:rsidRPr="004C3471">
        <w:rPr>
          <w:rFonts w:ascii="Arial" w:eastAsia="Times New Roman" w:hAnsi="Arial" w:cs="Arial"/>
          <w:b/>
          <w:sz w:val="24"/>
          <w:szCs w:val="24"/>
          <w:lang w:val="en-GB"/>
        </w:rPr>
        <w:t>REPUBLIC OF NAMIBIA</w:t>
      </w:r>
    </w:p>
    <w:p w:rsidR="00036C36" w:rsidRPr="004C3471" w:rsidRDefault="00036C36" w:rsidP="00036C36">
      <w:pPr>
        <w:spacing w:before="240" w:after="0" w:line="240" w:lineRule="auto"/>
        <w:jc w:val="center"/>
        <w:rPr>
          <w:rFonts w:ascii="Arial" w:eastAsia="Times New Roman" w:hAnsi="Arial" w:cs="Arial"/>
          <w:lang w:val="en-GB"/>
        </w:rPr>
      </w:pPr>
      <w:r w:rsidRPr="004C3471">
        <w:rPr>
          <w:rFonts w:ascii="Arial" w:eastAsia="Times New Roman" w:hAnsi="Arial" w:cs="Arial"/>
          <w:noProof/>
          <w:sz w:val="24"/>
          <w:szCs w:val="24"/>
        </w:rPr>
        <w:drawing>
          <wp:inline distT="0" distB="0" distL="0" distR="0" wp14:anchorId="49CE45CF" wp14:editId="0958E46E">
            <wp:extent cx="809625" cy="819150"/>
            <wp:effectExtent l="0" t="0" r="9525"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p w:rsidR="00036C36" w:rsidRPr="004C3471" w:rsidRDefault="00036C36" w:rsidP="00036C36">
      <w:pPr>
        <w:spacing w:before="240" w:after="0" w:line="360" w:lineRule="auto"/>
        <w:jc w:val="center"/>
        <w:rPr>
          <w:rFonts w:ascii="Arial" w:eastAsia="Times New Roman" w:hAnsi="Arial" w:cs="Arial"/>
          <w:b/>
          <w:sz w:val="24"/>
          <w:lang w:val="en-GB"/>
        </w:rPr>
      </w:pPr>
      <w:r w:rsidRPr="004C3471">
        <w:rPr>
          <w:rFonts w:ascii="Arial" w:eastAsia="Times New Roman" w:hAnsi="Arial" w:cs="Arial"/>
          <w:b/>
          <w:sz w:val="24"/>
          <w:lang w:val="en-GB"/>
        </w:rPr>
        <w:t>IN THE HIGH COURT OF NAMIBIA, MAIN DIVISION, WINDHOEK</w:t>
      </w:r>
    </w:p>
    <w:p w:rsidR="00036C36" w:rsidRDefault="00036C36" w:rsidP="00036C36">
      <w:pPr>
        <w:spacing w:before="240" w:after="0" w:line="360" w:lineRule="auto"/>
        <w:jc w:val="center"/>
        <w:rPr>
          <w:rFonts w:ascii="Arial" w:eastAsia="Times New Roman" w:hAnsi="Arial" w:cs="Arial"/>
          <w:b/>
          <w:sz w:val="24"/>
          <w:lang w:val="en-GB"/>
        </w:rPr>
      </w:pPr>
      <w:r w:rsidRPr="004C3471">
        <w:rPr>
          <w:rFonts w:ascii="Arial" w:eastAsia="Times New Roman" w:hAnsi="Arial" w:cs="Arial"/>
          <w:b/>
          <w:sz w:val="24"/>
          <w:lang w:val="en-GB"/>
        </w:rPr>
        <w:t>REVIEW JUDGMENT</w:t>
      </w:r>
    </w:p>
    <w:p w:rsidR="00036C36" w:rsidRPr="004C3471" w:rsidRDefault="00036C36" w:rsidP="00036C36">
      <w:pPr>
        <w:spacing w:before="240" w:after="0" w:line="360" w:lineRule="auto"/>
        <w:jc w:val="center"/>
        <w:rPr>
          <w:rFonts w:ascii="Arial" w:eastAsia="Times New Roman" w:hAnsi="Arial" w:cs="Arial"/>
          <w:sz w:val="24"/>
          <w:lang w:val="en-GB"/>
        </w:rPr>
      </w:pPr>
      <w:r>
        <w:rPr>
          <w:rFonts w:ascii="Arial" w:eastAsia="Times New Roman" w:hAnsi="Arial" w:cs="Arial"/>
          <w:b/>
          <w:sz w:val="24"/>
          <w:lang w:val="en-GB"/>
        </w:rPr>
        <w:t xml:space="preserve">PRACTICE DIRECTIVE 61 </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036C36" w:rsidRPr="004C3471" w:rsidTr="0022007E">
        <w:trPr>
          <w:trHeight w:val="744"/>
        </w:trPr>
        <w:tc>
          <w:tcPr>
            <w:tcW w:w="5397" w:type="dxa"/>
            <w:gridSpan w:val="2"/>
            <w:shd w:val="clear" w:color="auto" w:fill="auto"/>
          </w:tcPr>
          <w:p w:rsidR="00036C36" w:rsidRPr="004C3471" w:rsidRDefault="00036C36" w:rsidP="0022007E">
            <w:pPr>
              <w:spacing w:before="240" w:after="0" w:line="360" w:lineRule="auto"/>
              <w:jc w:val="both"/>
              <w:rPr>
                <w:rFonts w:ascii="Arial" w:eastAsia="Calibri" w:hAnsi="Arial" w:cs="Arial"/>
                <w:color w:val="171717"/>
                <w:sz w:val="24"/>
                <w:szCs w:val="24"/>
                <w:lang w:val="en-ZA"/>
              </w:rPr>
            </w:pPr>
            <w:r w:rsidRPr="004C3471">
              <w:rPr>
                <w:rFonts w:ascii="Arial" w:eastAsia="Calibri" w:hAnsi="Arial" w:cs="Arial"/>
                <w:b/>
                <w:color w:val="171717"/>
                <w:sz w:val="24"/>
                <w:szCs w:val="24"/>
                <w:lang w:val="en-ZA"/>
              </w:rPr>
              <w:t>Case Title:</w:t>
            </w:r>
          </w:p>
          <w:p w:rsidR="00036C36" w:rsidRPr="001B412F" w:rsidRDefault="00036C36" w:rsidP="00036C36">
            <w:pPr>
              <w:spacing w:after="0" w:line="360" w:lineRule="auto"/>
              <w:jc w:val="both"/>
              <w:rPr>
                <w:rFonts w:ascii="Arial" w:eastAsia="Calibri" w:hAnsi="Arial" w:cs="Arial"/>
                <w:color w:val="171717"/>
                <w:sz w:val="24"/>
                <w:szCs w:val="24"/>
                <w:lang w:val="en-ZA"/>
              </w:rPr>
            </w:pPr>
            <w:r w:rsidRPr="001B412F">
              <w:rPr>
                <w:rFonts w:ascii="Arial" w:eastAsia="Calibri" w:hAnsi="Arial" w:cs="Arial"/>
                <w:color w:val="171717"/>
                <w:sz w:val="24"/>
                <w:szCs w:val="24"/>
                <w:lang w:val="en-ZA"/>
              </w:rPr>
              <w:t xml:space="preserve">State v </w:t>
            </w:r>
            <w:r>
              <w:rPr>
                <w:rFonts w:ascii="Arial" w:eastAsia="Calibri" w:hAnsi="Arial" w:cs="Arial"/>
                <w:color w:val="171717"/>
                <w:sz w:val="24"/>
                <w:szCs w:val="24"/>
                <w:lang w:val="en-ZA"/>
              </w:rPr>
              <w:t xml:space="preserve">Samuel </w:t>
            </w:r>
            <w:proofErr w:type="spellStart"/>
            <w:r>
              <w:rPr>
                <w:rFonts w:ascii="Arial" w:eastAsia="Calibri" w:hAnsi="Arial" w:cs="Arial"/>
                <w:color w:val="171717"/>
                <w:sz w:val="24"/>
                <w:szCs w:val="24"/>
                <w:lang w:val="en-ZA"/>
              </w:rPr>
              <w:t>Muranda</w:t>
            </w:r>
            <w:proofErr w:type="spellEnd"/>
            <w:r>
              <w:rPr>
                <w:rFonts w:ascii="Arial" w:eastAsia="Calibri" w:hAnsi="Arial" w:cs="Arial"/>
                <w:color w:val="171717"/>
                <w:sz w:val="24"/>
                <w:szCs w:val="24"/>
                <w:lang w:val="en-ZA"/>
              </w:rPr>
              <w:t xml:space="preserve"> and another</w:t>
            </w:r>
          </w:p>
        </w:tc>
        <w:tc>
          <w:tcPr>
            <w:tcW w:w="4323" w:type="dxa"/>
            <w:shd w:val="clear" w:color="auto" w:fill="auto"/>
          </w:tcPr>
          <w:p w:rsidR="00036C36" w:rsidRDefault="00036C36" w:rsidP="0022007E">
            <w:pPr>
              <w:spacing w:before="240" w:after="0" w:line="360" w:lineRule="auto"/>
              <w:jc w:val="both"/>
              <w:rPr>
                <w:rFonts w:ascii="Arial" w:eastAsia="Calibri" w:hAnsi="Arial" w:cs="Arial"/>
                <w:b/>
                <w:color w:val="171717"/>
                <w:sz w:val="24"/>
                <w:szCs w:val="24"/>
                <w:lang w:val="en-ZA"/>
              </w:rPr>
            </w:pPr>
            <w:r w:rsidRPr="00F535FE">
              <w:rPr>
                <w:rFonts w:ascii="Arial" w:eastAsia="Calibri" w:hAnsi="Arial" w:cs="Arial"/>
                <w:b/>
                <w:color w:val="171717"/>
                <w:sz w:val="24"/>
                <w:szCs w:val="24"/>
                <w:lang w:val="en-ZA"/>
              </w:rPr>
              <w:t>Case No:</w:t>
            </w:r>
          </w:p>
          <w:p w:rsidR="00036C36" w:rsidRPr="00F535FE" w:rsidRDefault="00036C36" w:rsidP="00AC05C2">
            <w:pPr>
              <w:spacing w:after="0" w:line="276" w:lineRule="auto"/>
              <w:jc w:val="both"/>
              <w:rPr>
                <w:rFonts w:ascii="Arial" w:eastAsia="Calibri" w:hAnsi="Arial" w:cs="Arial"/>
                <w:b/>
                <w:color w:val="171717"/>
                <w:sz w:val="24"/>
                <w:szCs w:val="24"/>
                <w:lang w:val="en-ZA"/>
              </w:rPr>
            </w:pPr>
            <w:r>
              <w:rPr>
                <w:rFonts w:ascii="Arial" w:eastAsia="Calibri" w:hAnsi="Arial" w:cs="Arial"/>
                <w:color w:val="171717"/>
                <w:sz w:val="24"/>
                <w:szCs w:val="24"/>
                <w:lang w:val="en-ZA"/>
              </w:rPr>
              <w:t xml:space="preserve">CR </w:t>
            </w:r>
            <w:r w:rsidR="00AC05C2">
              <w:rPr>
                <w:rFonts w:ascii="Arial" w:eastAsia="Calibri" w:hAnsi="Arial" w:cs="Arial"/>
                <w:color w:val="171717"/>
                <w:sz w:val="24"/>
                <w:szCs w:val="24"/>
                <w:lang w:val="en-ZA"/>
              </w:rPr>
              <w:t>85</w:t>
            </w:r>
            <w:r>
              <w:rPr>
                <w:rFonts w:ascii="Arial" w:eastAsia="Calibri" w:hAnsi="Arial" w:cs="Arial"/>
                <w:color w:val="171717"/>
                <w:sz w:val="24"/>
                <w:szCs w:val="24"/>
                <w:lang w:val="en-ZA"/>
              </w:rPr>
              <w:t>/2023</w:t>
            </w:r>
          </w:p>
        </w:tc>
      </w:tr>
      <w:tr w:rsidR="00036C36" w:rsidRPr="004C3471" w:rsidTr="0022007E">
        <w:trPr>
          <w:trHeight w:val="844"/>
        </w:trPr>
        <w:tc>
          <w:tcPr>
            <w:tcW w:w="5397" w:type="dxa"/>
            <w:gridSpan w:val="2"/>
            <w:shd w:val="clear" w:color="auto" w:fill="auto"/>
          </w:tcPr>
          <w:p w:rsidR="00036C36" w:rsidRPr="004C3471" w:rsidRDefault="00036C36" w:rsidP="0022007E">
            <w:pPr>
              <w:spacing w:after="0" w:line="360" w:lineRule="auto"/>
              <w:jc w:val="both"/>
              <w:rPr>
                <w:rFonts w:ascii="Arial" w:eastAsia="Calibri" w:hAnsi="Arial" w:cs="Arial"/>
                <w:b/>
                <w:sz w:val="24"/>
                <w:szCs w:val="24"/>
                <w:lang w:val="en-ZA"/>
              </w:rPr>
            </w:pPr>
            <w:r w:rsidRPr="004C3471">
              <w:rPr>
                <w:rFonts w:ascii="Arial" w:eastAsia="Calibri" w:hAnsi="Arial" w:cs="Arial"/>
                <w:b/>
                <w:sz w:val="24"/>
                <w:szCs w:val="24"/>
                <w:lang w:val="en-ZA"/>
              </w:rPr>
              <w:t>High Court MD Review No:</w:t>
            </w:r>
          </w:p>
          <w:p w:rsidR="00036C36" w:rsidRPr="004C3471" w:rsidRDefault="00036C36" w:rsidP="0022007E">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1126/2023</w:t>
            </w:r>
          </w:p>
        </w:tc>
        <w:tc>
          <w:tcPr>
            <w:tcW w:w="4323" w:type="dxa"/>
            <w:shd w:val="clear" w:color="auto" w:fill="auto"/>
          </w:tcPr>
          <w:p w:rsidR="00036C36" w:rsidRPr="004C3471" w:rsidRDefault="00036C36" w:rsidP="0022007E">
            <w:pPr>
              <w:spacing w:after="0" w:line="360" w:lineRule="auto"/>
              <w:jc w:val="both"/>
              <w:rPr>
                <w:rFonts w:ascii="Arial" w:eastAsia="Calibri" w:hAnsi="Arial" w:cs="Arial"/>
                <w:sz w:val="24"/>
                <w:szCs w:val="24"/>
                <w:lang w:val="en-ZA"/>
              </w:rPr>
            </w:pPr>
            <w:r w:rsidRPr="004C3471">
              <w:rPr>
                <w:rFonts w:ascii="Arial" w:eastAsia="Calibri" w:hAnsi="Arial" w:cs="Arial"/>
                <w:b/>
                <w:color w:val="0D0D0D"/>
                <w:sz w:val="24"/>
                <w:szCs w:val="24"/>
                <w:lang w:val="en-ZA"/>
              </w:rPr>
              <w:t>Division</w:t>
            </w:r>
            <w:r w:rsidRPr="004C3471">
              <w:rPr>
                <w:rFonts w:ascii="Arial" w:eastAsia="Calibri" w:hAnsi="Arial" w:cs="Arial"/>
                <w:b/>
                <w:sz w:val="24"/>
                <w:szCs w:val="24"/>
                <w:lang w:val="en-ZA"/>
              </w:rPr>
              <w:t xml:space="preserve"> of Court:</w:t>
            </w:r>
          </w:p>
          <w:p w:rsidR="00036C36" w:rsidRPr="004C3471" w:rsidRDefault="00036C36" w:rsidP="0022007E">
            <w:pPr>
              <w:spacing w:after="0" w:line="360" w:lineRule="auto"/>
              <w:jc w:val="both"/>
              <w:rPr>
                <w:rFonts w:ascii="Arial" w:eastAsia="Calibri" w:hAnsi="Arial" w:cs="Arial"/>
                <w:sz w:val="24"/>
                <w:szCs w:val="24"/>
                <w:lang w:val="en-ZA"/>
              </w:rPr>
            </w:pPr>
            <w:r w:rsidRPr="004C3471">
              <w:rPr>
                <w:rFonts w:ascii="Arial" w:eastAsia="Calibri" w:hAnsi="Arial" w:cs="Arial"/>
                <w:sz w:val="24"/>
                <w:szCs w:val="24"/>
                <w:lang w:val="en-ZA"/>
              </w:rPr>
              <w:t>Main Division</w:t>
            </w:r>
          </w:p>
        </w:tc>
      </w:tr>
      <w:tr w:rsidR="00036C36" w:rsidRPr="004C3471" w:rsidTr="0022007E">
        <w:trPr>
          <w:trHeight w:val="1070"/>
        </w:trPr>
        <w:tc>
          <w:tcPr>
            <w:tcW w:w="5397" w:type="dxa"/>
            <w:gridSpan w:val="2"/>
            <w:shd w:val="clear" w:color="auto" w:fill="auto"/>
          </w:tcPr>
          <w:p w:rsidR="00036C36" w:rsidRPr="004C3471" w:rsidRDefault="00036C36" w:rsidP="0022007E">
            <w:pPr>
              <w:spacing w:after="0" w:line="360" w:lineRule="auto"/>
              <w:jc w:val="both"/>
              <w:rPr>
                <w:rFonts w:ascii="Arial" w:eastAsia="Calibri" w:hAnsi="Arial" w:cs="Arial"/>
                <w:b/>
                <w:sz w:val="24"/>
                <w:szCs w:val="24"/>
                <w:lang w:val="en-ZA"/>
              </w:rPr>
            </w:pPr>
            <w:r w:rsidRPr="004C3471">
              <w:rPr>
                <w:rFonts w:ascii="Arial" w:eastAsia="Calibri" w:hAnsi="Arial" w:cs="Arial"/>
                <w:b/>
                <w:color w:val="0D0D0D"/>
                <w:sz w:val="24"/>
                <w:szCs w:val="24"/>
                <w:lang w:val="en-ZA"/>
              </w:rPr>
              <w:t>Heard</w:t>
            </w:r>
            <w:r w:rsidRPr="004C3471">
              <w:rPr>
                <w:rFonts w:ascii="Arial" w:eastAsia="Calibri" w:hAnsi="Arial" w:cs="Arial"/>
                <w:b/>
                <w:sz w:val="24"/>
                <w:szCs w:val="24"/>
                <w:lang w:val="en-ZA"/>
              </w:rPr>
              <w:t xml:space="preserve"> before:</w:t>
            </w:r>
          </w:p>
          <w:p w:rsidR="00036C36" w:rsidRPr="004C3471" w:rsidRDefault="00036C36" w:rsidP="0022007E">
            <w:pPr>
              <w:spacing w:after="0" w:line="360" w:lineRule="auto"/>
              <w:jc w:val="both"/>
              <w:rPr>
                <w:rFonts w:ascii="Arial" w:eastAsia="Calibri" w:hAnsi="Arial" w:cs="Arial"/>
                <w:sz w:val="24"/>
                <w:szCs w:val="24"/>
                <w:lang w:val="en-ZA"/>
              </w:rPr>
            </w:pPr>
            <w:proofErr w:type="spellStart"/>
            <w:r>
              <w:rPr>
                <w:rFonts w:ascii="Arial" w:eastAsia="Calibri" w:hAnsi="Arial" w:cs="Arial"/>
                <w:sz w:val="24"/>
                <w:szCs w:val="24"/>
                <w:lang w:val="en-ZA"/>
              </w:rPr>
              <w:t>Shivute</w:t>
            </w:r>
            <w:proofErr w:type="spellEnd"/>
            <w:r>
              <w:rPr>
                <w:rFonts w:ascii="Arial" w:eastAsia="Calibri" w:hAnsi="Arial" w:cs="Arial"/>
                <w:sz w:val="24"/>
                <w:szCs w:val="24"/>
                <w:lang w:val="en-ZA"/>
              </w:rPr>
              <w:t xml:space="preserve"> J et January J</w:t>
            </w:r>
          </w:p>
        </w:tc>
        <w:tc>
          <w:tcPr>
            <w:tcW w:w="4323" w:type="dxa"/>
            <w:shd w:val="clear" w:color="auto" w:fill="auto"/>
          </w:tcPr>
          <w:p w:rsidR="00036C36" w:rsidRPr="004C3471" w:rsidRDefault="00036C36" w:rsidP="0022007E">
            <w:pPr>
              <w:spacing w:after="0" w:line="360" w:lineRule="auto"/>
              <w:jc w:val="both"/>
              <w:rPr>
                <w:rFonts w:ascii="Arial" w:eastAsia="Calibri" w:hAnsi="Arial" w:cs="Arial"/>
                <w:b/>
                <w:sz w:val="24"/>
                <w:szCs w:val="24"/>
                <w:lang w:val="en-ZA"/>
              </w:rPr>
            </w:pPr>
            <w:r w:rsidRPr="004C3471">
              <w:rPr>
                <w:rFonts w:ascii="Arial" w:eastAsia="Calibri" w:hAnsi="Arial" w:cs="Arial"/>
                <w:b/>
                <w:color w:val="0D0D0D"/>
                <w:sz w:val="24"/>
                <w:szCs w:val="24"/>
                <w:lang w:val="en-ZA"/>
              </w:rPr>
              <w:t>Delivered</w:t>
            </w:r>
            <w:r w:rsidRPr="004C3471">
              <w:rPr>
                <w:rFonts w:ascii="Arial" w:eastAsia="Calibri" w:hAnsi="Arial" w:cs="Arial"/>
                <w:b/>
                <w:sz w:val="24"/>
                <w:szCs w:val="24"/>
                <w:lang w:val="en-ZA"/>
              </w:rPr>
              <w:t xml:space="preserve"> on:</w:t>
            </w:r>
          </w:p>
          <w:p w:rsidR="00036C36" w:rsidRPr="004C3471" w:rsidRDefault="00161D96" w:rsidP="0022007E">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28 July 2023</w:t>
            </w:r>
          </w:p>
        </w:tc>
      </w:tr>
      <w:tr w:rsidR="00036C36" w:rsidRPr="004C3471" w:rsidTr="0022007E">
        <w:tc>
          <w:tcPr>
            <w:tcW w:w="9720" w:type="dxa"/>
            <w:gridSpan w:val="3"/>
            <w:shd w:val="clear" w:color="auto" w:fill="auto"/>
          </w:tcPr>
          <w:p w:rsidR="00036C36" w:rsidRPr="004C3471" w:rsidRDefault="00036C36" w:rsidP="0022007E">
            <w:pPr>
              <w:spacing w:after="0" w:line="360" w:lineRule="auto"/>
              <w:jc w:val="both"/>
              <w:rPr>
                <w:rFonts w:ascii="Arial" w:eastAsia="Calibri" w:hAnsi="Arial" w:cs="Arial"/>
                <w:color w:val="0D0D0D"/>
                <w:sz w:val="24"/>
                <w:szCs w:val="24"/>
                <w:lang w:val="en-ZA"/>
              </w:rPr>
            </w:pPr>
            <w:r w:rsidRPr="004C3471">
              <w:rPr>
                <w:rFonts w:ascii="Arial" w:eastAsia="Calibri" w:hAnsi="Arial" w:cs="Arial"/>
                <w:b/>
                <w:color w:val="0D0D0D"/>
                <w:sz w:val="24"/>
                <w:szCs w:val="24"/>
                <w:lang w:val="en-ZA"/>
              </w:rPr>
              <w:t xml:space="preserve">Neutral citation: </w:t>
            </w:r>
            <w:bookmarkStart w:id="0" w:name="_GoBack"/>
            <w:r w:rsidRPr="00591CB3">
              <w:rPr>
                <w:rFonts w:ascii="Arial" w:eastAsia="Calibri" w:hAnsi="Arial" w:cs="Arial"/>
                <w:i/>
                <w:color w:val="0D0D0D"/>
                <w:sz w:val="24"/>
                <w:szCs w:val="24"/>
                <w:lang w:val="en-ZA"/>
              </w:rPr>
              <w:t xml:space="preserve">S v </w:t>
            </w:r>
            <w:proofErr w:type="spellStart"/>
            <w:r>
              <w:rPr>
                <w:rFonts w:ascii="Arial" w:eastAsia="Calibri" w:hAnsi="Arial" w:cs="Arial"/>
                <w:i/>
                <w:color w:val="171717"/>
                <w:sz w:val="24"/>
                <w:szCs w:val="24"/>
                <w:lang w:val="en-ZA"/>
              </w:rPr>
              <w:t>Muranda</w:t>
            </w:r>
            <w:proofErr w:type="spellEnd"/>
            <w:r>
              <w:rPr>
                <w:rFonts w:ascii="Arial" w:eastAsia="Calibri" w:hAnsi="Arial" w:cs="Arial"/>
                <w:i/>
                <w:color w:val="171717"/>
                <w:sz w:val="24"/>
                <w:szCs w:val="24"/>
                <w:lang w:val="en-ZA"/>
              </w:rPr>
              <w:t xml:space="preserve"> </w:t>
            </w:r>
            <w:r>
              <w:rPr>
                <w:rFonts w:ascii="Arial" w:eastAsia="Calibri" w:hAnsi="Arial" w:cs="Arial"/>
                <w:color w:val="0D0D0D"/>
                <w:sz w:val="24"/>
                <w:szCs w:val="24"/>
                <w:lang w:val="en-ZA"/>
              </w:rPr>
              <w:t>(CR</w:t>
            </w:r>
            <w:r w:rsidR="00AC05C2">
              <w:rPr>
                <w:rFonts w:ascii="Arial" w:eastAsia="Calibri" w:hAnsi="Arial" w:cs="Arial"/>
                <w:color w:val="0D0D0D"/>
                <w:sz w:val="24"/>
                <w:szCs w:val="24"/>
                <w:lang w:val="en-ZA"/>
              </w:rPr>
              <w:t>85</w:t>
            </w:r>
            <w:r>
              <w:rPr>
                <w:rFonts w:ascii="Arial" w:eastAsia="Calibri" w:hAnsi="Arial" w:cs="Arial"/>
                <w:color w:val="0D0D0D"/>
                <w:sz w:val="24"/>
                <w:szCs w:val="24"/>
                <w:lang w:val="en-ZA"/>
              </w:rPr>
              <w:t>/2023</w:t>
            </w:r>
            <w:r w:rsidRPr="004C3471">
              <w:rPr>
                <w:rFonts w:ascii="Arial" w:eastAsia="Calibri" w:hAnsi="Arial" w:cs="Arial"/>
                <w:color w:val="0D0D0D"/>
                <w:sz w:val="24"/>
                <w:szCs w:val="24"/>
                <w:lang w:val="en-ZA"/>
              </w:rPr>
              <w:t>) [20</w:t>
            </w:r>
            <w:r>
              <w:rPr>
                <w:rFonts w:ascii="Arial" w:eastAsia="Calibri" w:hAnsi="Arial" w:cs="Arial"/>
                <w:color w:val="0D0D0D"/>
                <w:sz w:val="24"/>
                <w:szCs w:val="24"/>
                <w:lang w:val="en-ZA"/>
              </w:rPr>
              <w:t xml:space="preserve">23] NAHCMD </w:t>
            </w:r>
            <w:r w:rsidR="00161D96">
              <w:rPr>
                <w:rFonts w:ascii="Arial" w:eastAsia="Calibri" w:hAnsi="Arial" w:cs="Arial"/>
                <w:color w:val="0D0D0D"/>
                <w:sz w:val="24"/>
                <w:szCs w:val="24"/>
                <w:lang w:val="en-ZA"/>
              </w:rPr>
              <w:t>449</w:t>
            </w:r>
            <w:r>
              <w:rPr>
                <w:rFonts w:ascii="Arial" w:eastAsia="Calibri" w:hAnsi="Arial" w:cs="Arial"/>
                <w:color w:val="0D0D0D"/>
                <w:sz w:val="24"/>
                <w:szCs w:val="24"/>
                <w:lang w:val="en-ZA"/>
              </w:rPr>
              <w:t xml:space="preserve"> (</w:t>
            </w:r>
            <w:r w:rsidR="00161D96">
              <w:rPr>
                <w:rFonts w:ascii="Arial" w:eastAsia="Calibri" w:hAnsi="Arial" w:cs="Arial"/>
                <w:color w:val="0D0D0D"/>
                <w:sz w:val="24"/>
                <w:szCs w:val="24"/>
                <w:lang w:val="en-ZA"/>
              </w:rPr>
              <w:t xml:space="preserve">28 </w:t>
            </w:r>
            <w:r>
              <w:rPr>
                <w:rFonts w:ascii="Arial" w:eastAsia="Calibri" w:hAnsi="Arial" w:cs="Arial"/>
                <w:color w:val="0D0D0D"/>
                <w:sz w:val="24"/>
                <w:szCs w:val="24"/>
                <w:lang w:val="en-ZA"/>
              </w:rPr>
              <w:t>July 2023)</w:t>
            </w:r>
            <w:bookmarkEnd w:id="0"/>
          </w:p>
          <w:p w:rsidR="00036C36" w:rsidRPr="004C3471" w:rsidRDefault="00036C36" w:rsidP="0022007E">
            <w:pPr>
              <w:spacing w:after="0" w:line="360" w:lineRule="auto"/>
              <w:jc w:val="both"/>
              <w:rPr>
                <w:rFonts w:ascii="Arial" w:eastAsia="Calibri" w:hAnsi="Arial" w:cs="Arial"/>
                <w:color w:val="0D0D0D"/>
                <w:sz w:val="24"/>
                <w:szCs w:val="24"/>
                <w:lang w:val="en-ZA"/>
              </w:rPr>
            </w:pPr>
          </w:p>
        </w:tc>
      </w:tr>
      <w:tr w:rsidR="00036C36" w:rsidRPr="004C3471" w:rsidTr="0022007E">
        <w:tc>
          <w:tcPr>
            <w:tcW w:w="9720" w:type="dxa"/>
            <w:gridSpan w:val="3"/>
            <w:shd w:val="clear" w:color="auto" w:fill="auto"/>
          </w:tcPr>
          <w:p w:rsidR="00036C36" w:rsidRDefault="00036C36" w:rsidP="0022007E">
            <w:pPr>
              <w:spacing w:before="240" w:after="0" w:line="360" w:lineRule="auto"/>
              <w:jc w:val="both"/>
              <w:rPr>
                <w:rFonts w:ascii="Arial" w:eastAsia="Calibri" w:hAnsi="Arial" w:cs="Arial"/>
                <w:b/>
                <w:sz w:val="24"/>
                <w:szCs w:val="24"/>
                <w:lang w:val="en-ZA"/>
              </w:rPr>
            </w:pPr>
            <w:r w:rsidRPr="004C3471">
              <w:rPr>
                <w:rFonts w:ascii="Arial" w:eastAsia="Calibri" w:hAnsi="Arial" w:cs="Arial"/>
                <w:b/>
                <w:sz w:val="24"/>
                <w:szCs w:val="24"/>
                <w:lang w:val="en-ZA"/>
              </w:rPr>
              <w:t>The order:</w:t>
            </w:r>
          </w:p>
          <w:p w:rsidR="00F00D03" w:rsidRPr="00F00D03" w:rsidRDefault="00F00D03" w:rsidP="00F00D03">
            <w:pPr>
              <w:widowControl w:val="0"/>
              <w:numPr>
                <w:ilvl w:val="0"/>
                <w:numId w:val="1"/>
              </w:numPr>
              <w:spacing w:before="240" w:after="0" w:line="360" w:lineRule="auto"/>
              <w:contextualSpacing/>
              <w:jc w:val="both"/>
              <w:rPr>
                <w:rFonts w:ascii="Arial" w:eastAsia="Calibri" w:hAnsi="Arial" w:cs="Arial"/>
                <w:spacing w:val="-3"/>
                <w:sz w:val="24"/>
                <w:szCs w:val="24"/>
                <w:lang w:val="en-GB"/>
              </w:rPr>
            </w:pPr>
            <w:r w:rsidRPr="00F00D03">
              <w:rPr>
                <w:rFonts w:ascii="Arial" w:eastAsia="Calibri" w:hAnsi="Arial" w:cs="Arial"/>
                <w:spacing w:val="-3"/>
                <w:sz w:val="24"/>
                <w:szCs w:val="24"/>
                <w:lang w:val="en-GB"/>
              </w:rPr>
              <w:t>Both sentences of the accused are set aside.</w:t>
            </w:r>
          </w:p>
          <w:p w:rsidR="00F00D03" w:rsidRPr="00F00D03" w:rsidRDefault="00F00D03" w:rsidP="00F00D03">
            <w:pPr>
              <w:widowControl w:val="0"/>
              <w:numPr>
                <w:ilvl w:val="0"/>
                <w:numId w:val="1"/>
              </w:numPr>
              <w:spacing w:before="240" w:after="0" w:line="360" w:lineRule="auto"/>
              <w:contextualSpacing/>
              <w:jc w:val="both"/>
              <w:rPr>
                <w:rFonts w:ascii="Arial" w:eastAsia="Calibri" w:hAnsi="Arial" w:cs="Arial"/>
                <w:spacing w:val="-3"/>
                <w:sz w:val="24"/>
                <w:szCs w:val="24"/>
                <w:lang w:val="en-GB"/>
              </w:rPr>
            </w:pPr>
            <w:r w:rsidRPr="00F00D03">
              <w:rPr>
                <w:rFonts w:ascii="Arial" w:eastAsia="Calibri" w:hAnsi="Arial" w:cs="Arial"/>
                <w:spacing w:val="-3"/>
                <w:sz w:val="24"/>
                <w:szCs w:val="24"/>
                <w:lang w:val="en-GB"/>
              </w:rPr>
              <w:t>The matter is remitted in accordance with the provision in s 304(2</w:t>
            </w:r>
            <w:proofErr w:type="gramStart"/>
            <w:r w:rsidRPr="00F00D03">
              <w:rPr>
                <w:rFonts w:ascii="Arial" w:eastAsia="Calibri" w:hAnsi="Arial" w:cs="Arial"/>
                <w:spacing w:val="-3"/>
                <w:sz w:val="24"/>
                <w:szCs w:val="24"/>
                <w:lang w:val="en-GB"/>
              </w:rPr>
              <w:t>)</w:t>
            </w:r>
            <w:r w:rsidRPr="00F00D03">
              <w:rPr>
                <w:rFonts w:ascii="Arial" w:eastAsia="Calibri" w:hAnsi="Arial" w:cs="Arial"/>
                <w:i/>
                <w:spacing w:val="-3"/>
                <w:sz w:val="24"/>
                <w:szCs w:val="24"/>
                <w:lang w:val="en-GB"/>
              </w:rPr>
              <w:t>(</w:t>
            </w:r>
            <w:proofErr w:type="gramEnd"/>
            <w:r w:rsidRPr="00F00D03">
              <w:rPr>
                <w:rFonts w:ascii="Arial" w:eastAsia="Calibri" w:hAnsi="Arial" w:cs="Arial"/>
                <w:i/>
                <w:spacing w:val="-3"/>
                <w:sz w:val="24"/>
                <w:szCs w:val="24"/>
                <w:lang w:val="en-GB"/>
              </w:rPr>
              <w:t xml:space="preserve">c)(iv) </w:t>
            </w:r>
            <w:r w:rsidRPr="00F00D03">
              <w:rPr>
                <w:rFonts w:ascii="Arial" w:eastAsia="Calibri" w:hAnsi="Arial" w:cs="Arial"/>
                <w:spacing w:val="-3"/>
                <w:sz w:val="24"/>
                <w:szCs w:val="24"/>
                <w:lang w:val="en-GB"/>
              </w:rPr>
              <w:t>of the CPA for the magistrate to sentence the accused persons afresh.</w:t>
            </w:r>
          </w:p>
          <w:p w:rsidR="00F00D03" w:rsidRPr="00F00D03" w:rsidRDefault="00F00D03" w:rsidP="00F00D03">
            <w:pPr>
              <w:widowControl w:val="0"/>
              <w:numPr>
                <w:ilvl w:val="0"/>
                <w:numId w:val="1"/>
              </w:numPr>
              <w:spacing w:before="240" w:after="0" w:line="360" w:lineRule="auto"/>
              <w:contextualSpacing/>
              <w:jc w:val="both"/>
              <w:rPr>
                <w:rFonts w:ascii="Arial" w:eastAsia="Calibri" w:hAnsi="Arial" w:cs="Arial"/>
                <w:spacing w:val="-3"/>
                <w:sz w:val="24"/>
                <w:szCs w:val="24"/>
                <w:lang w:val="en-GB"/>
              </w:rPr>
            </w:pPr>
            <w:r w:rsidRPr="00F00D03">
              <w:rPr>
                <w:rFonts w:ascii="Arial" w:eastAsia="Calibri" w:hAnsi="Arial" w:cs="Arial"/>
                <w:spacing w:val="-3"/>
                <w:sz w:val="24"/>
                <w:szCs w:val="24"/>
                <w:lang w:val="en-GB"/>
              </w:rPr>
              <w:t xml:space="preserve">The magistrate is directed to consider the periods of imprisonment that both accused served after the initial sentencing.  </w:t>
            </w:r>
          </w:p>
          <w:p w:rsidR="00036C36" w:rsidRPr="00591CB3" w:rsidRDefault="00036C36" w:rsidP="0022007E">
            <w:pPr>
              <w:widowControl w:val="0"/>
              <w:spacing w:after="0" w:line="360" w:lineRule="auto"/>
              <w:ind w:left="720"/>
              <w:contextualSpacing/>
              <w:jc w:val="both"/>
              <w:rPr>
                <w:rFonts w:ascii="Arial" w:eastAsia="Times New Roman" w:hAnsi="Arial" w:cs="Arial"/>
                <w:spacing w:val="-3"/>
                <w:sz w:val="24"/>
                <w:szCs w:val="24"/>
                <w:lang w:val="en-ZA"/>
              </w:rPr>
            </w:pPr>
          </w:p>
        </w:tc>
      </w:tr>
      <w:tr w:rsidR="00036C36" w:rsidRPr="004C3471" w:rsidTr="0022007E">
        <w:tc>
          <w:tcPr>
            <w:tcW w:w="9720" w:type="dxa"/>
            <w:gridSpan w:val="3"/>
            <w:shd w:val="clear" w:color="auto" w:fill="auto"/>
          </w:tcPr>
          <w:p w:rsidR="00036C36" w:rsidRPr="004C3471" w:rsidRDefault="00036C36" w:rsidP="0022007E">
            <w:pPr>
              <w:spacing w:before="240" w:after="0" w:line="360" w:lineRule="auto"/>
              <w:jc w:val="both"/>
              <w:rPr>
                <w:rFonts w:ascii="Arial" w:eastAsia="Calibri" w:hAnsi="Arial" w:cs="Arial"/>
                <w:b/>
                <w:sz w:val="24"/>
                <w:szCs w:val="24"/>
                <w:lang w:val="en-ZA"/>
              </w:rPr>
            </w:pPr>
            <w:r w:rsidRPr="004C3471">
              <w:rPr>
                <w:rFonts w:ascii="Arial" w:eastAsia="Calibri" w:hAnsi="Arial" w:cs="Arial"/>
                <w:b/>
                <w:sz w:val="24"/>
                <w:szCs w:val="24"/>
                <w:lang w:val="en-ZA"/>
              </w:rPr>
              <w:t>Reasons for order:</w:t>
            </w:r>
          </w:p>
        </w:tc>
      </w:tr>
      <w:tr w:rsidR="00036C36" w:rsidRPr="004C3471" w:rsidTr="0022007E">
        <w:tc>
          <w:tcPr>
            <w:tcW w:w="9720" w:type="dxa"/>
            <w:gridSpan w:val="3"/>
            <w:shd w:val="clear" w:color="auto" w:fill="auto"/>
          </w:tcPr>
          <w:p w:rsidR="00036C36" w:rsidRPr="004C3471" w:rsidRDefault="00036C36" w:rsidP="0022007E">
            <w:pPr>
              <w:spacing w:before="240" w:after="0" w:line="360" w:lineRule="auto"/>
              <w:rPr>
                <w:rFonts w:eastAsia="Calibri" w:cs="Arial"/>
                <w:szCs w:val="24"/>
              </w:rPr>
            </w:pPr>
            <w:r w:rsidRPr="004C3471">
              <w:rPr>
                <w:rFonts w:ascii="Arial" w:eastAsia="Calibri" w:hAnsi="Arial" w:cs="Arial"/>
                <w:sz w:val="24"/>
                <w:szCs w:val="24"/>
                <w:lang w:val="en-ZA"/>
              </w:rPr>
              <w:t xml:space="preserve"> JANUARY J (</w:t>
            </w:r>
            <w:r>
              <w:rPr>
                <w:rFonts w:ascii="Arial" w:eastAsia="Calibri" w:hAnsi="Arial" w:cs="Arial"/>
                <w:sz w:val="24"/>
                <w:szCs w:val="24"/>
                <w:lang w:val="en-ZA"/>
              </w:rPr>
              <w:t xml:space="preserve">SHIVUTE J </w:t>
            </w:r>
            <w:r w:rsidRPr="004C3471">
              <w:rPr>
                <w:rFonts w:ascii="Arial" w:eastAsia="Calibri" w:hAnsi="Arial" w:cs="Arial"/>
                <w:sz w:val="24"/>
                <w:szCs w:val="24"/>
                <w:lang w:val="en-ZA"/>
              </w:rPr>
              <w:t>concurring)</w:t>
            </w:r>
            <w:r>
              <w:rPr>
                <w:rFonts w:ascii="Arial" w:eastAsia="Calibri" w:hAnsi="Arial" w:cs="Arial"/>
                <w:sz w:val="24"/>
                <w:szCs w:val="24"/>
                <w:lang w:val="en-ZA"/>
              </w:rPr>
              <w:t>:</w:t>
            </w:r>
          </w:p>
          <w:p w:rsidR="00036C36" w:rsidRPr="005B7924" w:rsidRDefault="00036C36" w:rsidP="0022007E">
            <w:pPr>
              <w:spacing w:before="240" w:after="0" w:line="360" w:lineRule="auto"/>
              <w:jc w:val="both"/>
              <w:rPr>
                <w:rFonts w:ascii="Arial" w:eastAsia="Calibri" w:hAnsi="Arial" w:cs="Arial"/>
                <w:sz w:val="24"/>
                <w:szCs w:val="24"/>
                <w:lang w:val="en-GB"/>
              </w:rPr>
            </w:pPr>
            <w:r w:rsidRPr="005B7924">
              <w:rPr>
                <w:rFonts w:ascii="Arial" w:eastAsia="Calibri" w:hAnsi="Arial" w:cs="Arial"/>
                <w:sz w:val="24"/>
                <w:szCs w:val="24"/>
                <w:lang w:val="en-GB"/>
              </w:rPr>
              <w:lastRenderedPageBreak/>
              <w:t>[1]</w:t>
            </w:r>
            <w:r w:rsidRPr="005B7924">
              <w:rPr>
                <w:rFonts w:ascii="Arial" w:eastAsia="Calibri" w:hAnsi="Arial" w:cs="Arial"/>
                <w:sz w:val="24"/>
                <w:szCs w:val="24"/>
                <w:lang w:val="en-GB"/>
              </w:rPr>
              <w:tab/>
              <w:t xml:space="preserve">This review matter stems from the </w:t>
            </w:r>
            <w:proofErr w:type="spellStart"/>
            <w:r w:rsidR="007F24AB">
              <w:rPr>
                <w:rFonts w:ascii="Arial" w:eastAsia="Calibri" w:hAnsi="Arial" w:cs="Arial"/>
                <w:sz w:val="24"/>
                <w:szCs w:val="24"/>
                <w:lang w:val="en-GB"/>
              </w:rPr>
              <w:t>G</w:t>
            </w:r>
            <w:r>
              <w:rPr>
                <w:rFonts w:ascii="Arial" w:eastAsia="Calibri" w:hAnsi="Arial" w:cs="Arial"/>
                <w:sz w:val="24"/>
                <w:szCs w:val="24"/>
                <w:lang w:val="en-GB"/>
              </w:rPr>
              <w:t>rootfontein</w:t>
            </w:r>
            <w:proofErr w:type="spellEnd"/>
            <w:r w:rsidR="007F24AB">
              <w:rPr>
                <w:rFonts w:ascii="Arial" w:eastAsia="Calibri" w:hAnsi="Arial" w:cs="Arial"/>
                <w:sz w:val="24"/>
                <w:szCs w:val="24"/>
                <w:lang w:val="en-GB"/>
              </w:rPr>
              <w:t xml:space="preserve"> </w:t>
            </w:r>
            <w:r w:rsidRPr="005B7924">
              <w:rPr>
                <w:rFonts w:ascii="Arial" w:eastAsia="Calibri" w:hAnsi="Arial" w:cs="Arial"/>
                <w:sz w:val="24"/>
                <w:szCs w:val="24"/>
                <w:lang w:val="en-GB"/>
              </w:rPr>
              <w:t>Magistrate Court and is submitted in terms of s 302(1) of the Criminal Procedure Act 51 of 1977, as amended (the CPA).</w:t>
            </w:r>
          </w:p>
          <w:p w:rsidR="00036C36" w:rsidRDefault="007F24AB" w:rsidP="0022007E">
            <w:pPr>
              <w:spacing w:before="240" w:after="0" w:line="360" w:lineRule="auto"/>
              <w:jc w:val="both"/>
              <w:rPr>
                <w:rFonts w:ascii="Arial" w:eastAsia="Calibri" w:hAnsi="Arial" w:cs="Arial"/>
                <w:sz w:val="24"/>
                <w:szCs w:val="24"/>
              </w:rPr>
            </w:pPr>
            <w:r>
              <w:rPr>
                <w:rFonts w:ascii="Arial" w:eastAsia="Calibri" w:hAnsi="Arial" w:cs="Arial"/>
                <w:sz w:val="24"/>
                <w:szCs w:val="24"/>
                <w:lang w:val="en-GB"/>
              </w:rPr>
              <w:t xml:space="preserve">[2]   </w:t>
            </w:r>
            <w:r w:rsidR="00036C36" w:rsidRPr="005B7924">
              <w:rPr>
                <w:rFonts w:ascii="Arial" w:eastAsia="Calibri" w:hAnsi="Arial" w:cs="Arial"/>
                <w:sz w:val="24"/>
                <w:szCs w:val="24"/>
                <w:lang w:val="en-GB"/>
              </w:rPr>
              <w:t>The accused persons were charged</w:t>
            </w:r>
            <w:r w:rsidR="00292B88">
              <w:rPr>
                <w:rFonts w:ascii="Arial" w:eastAsia="Calibri" w:hAnsi="Arial" w:cs="Arial"/>
                <w:sz w:val="24"/>
                <w:szCs w:val="24"/>
                <w:lang w:val="en-GB"/>
              </w:rPr>
              <w:t xml:space="preserve"> and convicted</w:t>
            </w:r>
            <w:r w:rsidR="00036C36" w:rsidRPr="005B7924">
              <w:rPr>
                <w:rFonts w:ascii="Arial" w:eastAsia="Calibri" w:hAnsi="Arial" w:cs="Arial"/>
                <w:sz w:val="24"/>
                <w:szCs w:val="24"/>
                <w:lang w:val="en-GB"/>
              </w:rPr>
              <w:t xml:space="preserve"> </w:t>
            </w:r>
            <w:r w:rsidR="00292B88">
              <w:rPr>
                <w:rFonts w:ascii="Arial" w:eastAsia="Calibri" w:hAnsi="Arial" w:cs="Arial"/>
                <w:sz w:val="24"/>
                <w:szCs w:val="24"/>
                <w:lang w:val="en-GB"/>
              </w:rPr>
              <w:t>of</w:t>
            </w:r>
            <w:r w:rsidR="00036C36" w:rsidRPr="005B7924">
              <w:rPr>
                <w:rFonts w:ascii="Arial" w:eastAsia="Calibri" w:hAnsi="Arial" w:cs="Arial"/>
                <w:sz w:val="24"/>
                <w:szCs w:val="24"/>
                <w:lang w:val="en-GB"/>
              </w:rPr>
              <w:t xml:space="preserve"> one count of </w:t>
            </w:r>
            <w:r w:rsidR="00036C36" w:rsidRPr="005B7924">
              <w:rPr>
                <w:rFonts w:ascii="Arial" w:eastAsia="Calibri" w:hAnsi="Arial" w:cs="Arial"/>
                <w:sz w:val="24"/>
                <w:szCs w:val="24"/>
              </w:rPr>
              <w:t xml:space="preserve">contravening s </w:t>
            </w:r>
            <w:r w:rsidR="00036C36">
              <w:rPr>
                <w:rFonts w:ascii="Arial" w:eastAsia="Calibri" w:hAnsi="Arial" w:cs="Arial"/>
                <w:sz w:val="24"/>
                <w:szCs w:val="24"/>
              </w:rPr>
              <w:t xml:space="preserve">2 </w:t>
            </w:r>
            <w:r w:rsidR="00036C36" w:rsidRPr="005B7924">
              <w:rPr>
                <w:rFonts w:ascii="Arial" w:eastAsia="Calibri" w:hAnsi="Arial" w:cs="Arial"/>
                <w:sz w:val="24"/>
                <w:szCs w:val="24"/>
              </w:rPr>
              <w:t xml:space="preserve">read with </w:t>
            </w:r>
            <w:proofErr w:type="spellStart"/>
            <w:r w:rsidR="00036C36" w:rsidRPr="005B7924">
              <w:rPr>
                <w:rFonts w:ascii="Arial" w:eastAsia="Calibri" w:hAnsi="Arial" w:cs="Arial"/>
                <w:sz w:val="24"/>
                <w:szCs w:val="24"/>
              </w:rPr>
              <w:t>s</w:t>
            </w:r>
            <w:r w:rsidR="00036C36">
              <w:rPr>
                <w:rFonts w:ascii="Arial" w:eastAsia="Calibri" w:hAnsi="Arial" w:cs="Arial"/>
                <w:sz w:val="24"/>
                <w:szCs w:val="24"/>
              </w:rPr>
              <w:t>s</w:t>
            </w:r>
            <w:proofErr w:type="spellEnd"/>
            <w:r w:rsidR="00036C36" w:rsidRPr="005B7924">
              <w:rPr>
                <w:rFonts w:ascii="Arial" w:eastAsia="Calibri" w:hAnsi="Arial" w:cs="Arial"/>
                <w:sz w:val="24"/>
                <w:szCs w:val="24"/>
              </w:rPr>
              <w:t xml:space="preserve"> 1, </w:t>
            </w:r>
            <w:r w:rsidR="00036C36">
              <w:rPr>
                <w:rFonts w:ascii="Arial" w:eastAsia="Calibri" w:hAnsi="Arial" w:cs="Arial"/>
                <w:sz w:val="24"/>
                <w:szCs w:val="24"/>
              </w:rPr>
              <w:t>11(1)</w:t>
            </w:r>
            <w:r w:rsidR="00036C36" w:rsidRPr="00AC05C2">
              <w:rPr>
                <w:rFonts w:ascii="Arial" w:eastAsia="Calibri" w:hAnsi="Arial" w:cs="Arial"/>
                <w:i/>
                <w:sz w:val="24"/>
                <w:szCs w:val="24"/>
              </w:rPr>
              <w:t>(a)</w:t>
            </w:r>
            <w:r w:rsidR="00036C36">
              <w:rPr>
                <w:rFonts w:ascii="Arial" w:eastAsia="Calibri" w:hAnsi="Arial" w:cs="Arial"/>
                <w:sz w:val="24"/>
                <w:szCs w:val="24"/>
              </w:rPr>
              <w:t>, 15 and 17 of the Stock Theft Act 12 of 1990</w:t>
            </w:r>
            <w:r w:rsidR="00036C36" w:rsidRPr="005B7924">
              <w:rPr>
                <w:rFonts w:ascii="Arial" w:eastAsia="Calibri" w:hAnsi="Arial" w:cs="Arial"/>
                <w:sz w:val="24"/>
                <w:szCs w:val="24"/>
              </w:rPr>
              <w:t>, as amended</w:t>
            </w:r>
            <w:r>
              <w:rPr>
                <w:rFonts w:ascii="Arial" w:eastAsia="Calibri" w:hAnsi="Arial" w:cs="Arial"/>
                <w:sz w:val="24"/>
                <w:szCs w:val="24"/>
              </w:rPr>
              <w:t xml:space="preserve"> (the Act)</w:t>
            </w:r>
            <w:r w:rsidR="00036C36">
              <w:rPr>
                <w:rFonts w:ascii="Arial" w:eastAsia="Calibri" w:hAnsi="Arial" w:cs="Arial"/>
                <w:sz w:val="24"/>
                <w:szCs w:val="24"/>
              </w:rPr>
              <w:t>- possession of suspected stolen stock</w:t>
            </w:r>
            <w:r w:rsidR="008D19B0">
              <w:rPr>
                <w:rFonts w:ascii="Arial" w:eastAsia="Calibri" w:hAnsi="Arial" w:cs="Arial"/>
                <w:sz w:val="24"/>
                <w:szCs w:val="24"/>
              </w:rPr>
              <w:t xml:space="preserve"> or produce</w:t>
            </w:r>
            <w:r w:rsidR="00036C36">
              <w:rPr>
                <w:rFonts w:ascii="Arial" w:eastAsia="Calibri" w:hAnsi="Arial" w:cs="Arial"/>
                <w:sz w:val="24"/>
                <w:szCs w:val="24"/>
              </w:rPr>
              <w:t>, to wit: a carcass</w:t>
            </w:r>
            <w:r w:rsidR="008D19B0">
              <w:rPr>
                <w:rFonts w:ascii="Arial" w:eastAsia="Calibri" w:hAnsi="Arial" w:cs="Arial"/>
                <w:sz w:val="24"/>
                <w:szCs w:val="24"/>
              </w:rPr>
              <w:t xml:space="preserve"> of</w:t>
            </w:r>
            <w:r w:rsidR="00036C36">
              <w:rPr>
                <w:rFonts w:ascii="Arial" w:eastAsia="Calibri" w:hAnsi="Arial" w:cs="Arial"/>
                <w:sz w:val="24"/>
                <w:szCs w:val="24"/>
              </w:rPr>
              <w:t xml:space="preserve"> a heifer with a value of N$6000 to which there was a reasonable suspicion that it has been stolen</w:t>
            </w:r>
            <w:r w:rsidR="00292B88">
              <w:rPr>
                <w:rFonts w:ascii="Arial" w:eastAsia="Calibri" w:hAnsi="Arial" w:cs="Arial"/>
                <w:sz w:val="24"/>
                <w:szCs w:val="24"/>
              </w:rPr>
              <w:t xml:space="preserve"> and to which the accused persons were unable to give a satisfactory account for such possession</w:t>
            </w:r>
            <w:r w:rsidR="00036C36">
              <w:rPr>
                <w:rFonts w:ascii="Arial" w:eastAsia="Calibri" w:hAnsi="Arial" w:cs="Arial"/>
                <w:sz w:val="24"/>
                <w:szCs w:val="24"/>
              </w:rPr>
              <w:t>.</w:t>
            </w:r>
          </w:p>
          <w:p w:rsidR="00036C36" w:rsidRDefault="00036C36" w:rsidP="0022007E">
            <w:pPr>
              <w:spacing w:before="240" w:after="0" w:line="360" w:lineRule="auto"/>
              <w:jc w:val="both"/>
              <w:rPr>
                <w:rFonts w:ascii="Arial" w:eastAsia="Calibri" w:hAnsi="Arial" w:cs="Arial"/>
                <w:sz w:val="24"/>
                <w:szCs w:val="24"/>
              </w:rPr>
            </w:pPr>
            <w:r>
              <w:rPr>
                <w:rFonts w:ascii="Arial" w:eastAsia="Calibri" w:hAnsi="Arial" w:cs="Arial"/>
                <w:sz w:val="24"/>
                <w:szCs w:val="24"/>
              </w:rPr>
              <w:t xml:space="preserve"> </w:t>
            </w:r>
            <w:r w:rsidR="007F24AB">
              <w:rPr>
                <w:rFonts w:ascii="Arial" w:eastAsia="Calibri" w:hAnsi="Arial" w:cs="Arial"/>
                <w:sz w:val="24"/>
                <w:szCs w:val="24"/>
              </w:rPr>
              <w:t xml:space="preserve">[3]   </w:t>
            </w:r>
            <w:r>
              <w:rPr>
                <w:rFonts w:ascii="Arial" w:eastAsia="Calibri" w:hAnsi="Arial" w:cs="Arial"/>
                <w:sz w:val="24"/>
                <w:szCs w:val="24"/>
              </w:rPr>
              <w:t>The</w:t>
            </w:r>
            <w:r w:rsidR="00292B88">
              <w:rPr>
                <w:rFonts w:ascii="Arial" w:eastAsia="Calibri" w:hAnsi="Arial" w:cs="Arial"/>
                <w:sz w:val="24"/>
                <w:szCs w:val="24"/>
              </w:rPr>
              <w:t xml:space="preserve"> two</w:t>
            </w:r>
            <w:r>
              <w:rPr>
                <w:rFonts w:ascii="Arial" w:eastAsia="Calibri" w:hAnsi="Arial" w:cs="Arial"/>
                <w:sz w:val="24"/>
                <w:szCs w:val="24"/>
              </w:rPr>
              <w:t xml:space="preserve"> accused persons were sentenced </w:t>
            </w:r>
            <w:r w:rsidR="00292B88">
              <w:rPr>
                <w:rFonts w:ascii="Arial" w:eastAsia="Calibri" w:hAnsi="Arial" w:cs="Arial"/>
                <w:sz w:val="24"/>
                <w:szCs w:val="24"/>
              </w:rPr>
              <w:t>respectively as follows; accused one; Three years’ imprisonment of which 18 months are suspended for five years on condition that the accused is not convicted of any offence related to theft of stock committed during the period of suspension</w:t>
            </w:r>
            <w:r w:rsidR="00C35537">
              <w:rPr>
                <w:rFonts w:ascii="Arial" w:eastAsia="Calibri" w:hAnsi="Arial" w:cs="Arial"/>
                <w:sz w:val="24"/>
                <w:szCs w:val="24"/>
              </w:rPr>
              <w:t>. Accused two; three years</w:t>
            </w:r>
            <w:r w:rsidR="007F24AB">
              <w:rPr>
                <w:rFonts w:ascii="Arial" w:eastAsia="Calibri" w:hAnsi="Arial" w:cs="Arial"/>
                <w:sz w:val="24"/>
                <w:szCs w:val="24"/>
              </w:rPr>
              <w:t>’</w:t>
            </w:r>
            <w:r w:rsidR="00C35537">
              <w:rPr>
                <w:rFonts w:ascii="Arial" w:eastAsia="Calibri" w:hAnsi="Arial" w:cs="Arial"/>
                <w:sz w:val="24"/>
                <w:szCs w:val="24"/>
              </w:rPr>
              <w:t xml:space="preserve"> imprisonment of which 24 months are suspended for five years on condition that the accused is not convicted of any offence related to stock theft of stock committed during the period of suspension.</w:t>
            </w:r>
          </w:p>
          <w:p w:rsidR="007F24AB" w:rsidRDefault="007F24AB" w:rsidP="0022007E">
            <w:pPr>
              <w:spacing w:before="240" w:after="0" w:line="360" w:lineRule="auto"/>
              <w:jc w:val="both"/>
              <w:rPr>
                <w:rFonts w:ascii="Arial" w:eastAsia="Calibri" w:hAnsi="Arial" w:cs="Arial"/>
                <w:sz w:val="24"/>
                <w:szCs w:val="24"/>
              </w:rPr>
            </w:pPr>
            <w:r>
              <w:rPr>
                <w:rFonts w:ascii="Arial" w:eastAsia="Calibri" w:hAnsi="Arial" w:cs="Arial"/>
                <w:sz w:val="24"/>
                <w:szCs w:val="24"/>
              </w:rPr>
              <w:t xml:space="preserve">[4]     </w:t>
            </w:r>
            <w:r w:rsidR="00A1576D">
              <w:rPr>
                <w:rFonts w:ascii="Arial" w:eastAsia="Calibri" w:hAnsi="Arial" w:cs="Arial"/>
                <w:sz w:val="24"/>
                <w:szCs w:val="24"/>
              </w:rPr>
              <w:t>It is clear that the magistrate misdirected herself in applying s 14 of the Act providing for sentences in relation to theft of stock and not possession thereof or produce. I consequently</w:t>
            </w:r>
            <w:r w:rsidR="008D19B0">
              <w:rPr>
                <w:rFonts w:ascii="Arial" w:eastAsia="Calibri" w:hAnsi="Arial" w:cs="Arial"/>
                <w:sz w:val="24"/>
                <w:szCs w:val="24"/>
              </w:rPr>
              <w:t xml:space="preserve"> raised a query to the magistrate</w:t>
            </w:r>
            <w:r w:rsidR="00A1576D">
              <w:rPr>
                <w:rFonts w:ascii="Arial" w:eastAsia="Calibri" w:hAnsi="Arial" w:cs="Arial"/>
                <w:sz w:val="24"/>
                <w:szCs w:val="24"/>
              </w:rPr>
              <w:t>, enquiring,</w:t>
            </w:r>
            <w:r w:rsidR="008D19B0">
              <w:rPr>
                <w:rFonts w:ascii="Arial" w:eastAsia="Calibri" w:hAnsi="Arial" w:cs="Arial"/>
                <w:sz w:val="24"/>
                <w:szCs w:val="24"/>
              </w:rPr>
              <w:t xml:space="preserve"> how the sentence</w:t>
            </w:r>
            <w:r w:rsidR="00A1576D">
              <w:rPr>
                <w:rFonts w:ascii="Arial" w:eastAsia="Calibri" w:hAnsi="Arial" w:cs="Arial"/>
                <w:sz w:val="24"/>
                <w:szCs w:val="24"/>
              </w:rPr>
              <w:t>s</w:t>
            </w:r>
            <w:r w:rsidR="008D19B0">
              <w:rPr>
                <w:rFonts w:ascii="Arial" w:eastAsia="Calibri" w:hAnsi="Arial" w:cs="Arial"/>
                <w:sz w:val="24"/>
                <w:szCs w:val="24"/>
              </w:rPr>
              <w:t xml:space="preserve"> </w:t>
            </w:r>
            <w:r w:rsidR="00A1576D">
              <w:rPr>
                <w:rFonts w:ascii="Arial" w:eastAsia="Calibri" w:hAnsi="Arial" w:cs="Arial"/>
                <w:sz w:val="24"/>
                <w:szCs w:val="24"/>
              </w:rPr>
              <w:t>are</w:t>
            </w:r>
            <w:r w:rsidR="008D19B0">
              <w:rPr>
                <w:rFonts w:ascii="Arial" w:eastAsia="Calibri" w:hAnsi="Arial" w:cs="Arial"/>
                <w:sz w:val="24"/>
                <w:szCs w:val="24"/>
              </w:rPr>
              <w:t xml:space="preserve"> justified, considering the prescribed sentences in the Act. The magistrate conceded that the sentence is inappropriate and should be set aside. She correctly stated the appropriate sentence falls </w:t>
            </w:r>
            <w:r w:rsidR="00AC05C2">
              <w:rPr>
                <w:rFonts w:ascii="Arial" w:eastAsia="Calibri" w:hAnsi="Arial" w:cs="Arial"/>
                <w:sz w:val="24"/>
                <w:szCs w:val="24"/>
              </w:rPr>
              <w:t>within the provisions of s</w:t>
            </w:r>
            <w:r w:rsidR="008D19B0">
              <w:rPr>
                <w:rFonts w:ascii="Arial" w:eastAsia="Calibri" w:hAnsi="Arial" w:cs="Arial"/>
                <w:sz w:val="24"/>
                <w:szCs w:val="24"/>
              </w:rPr>
              <w:t xml:space="preserve"> 15 of the Act which stipulates as follows:</w:t>
            </w:r>
          </w:p>
          <w:p w:rsidR="007F24AB" w:rsidRPr="007F24AB" w:rsidRDefault="007F24AB" w:rsidP="007F24AB">
            <w:pPr>
              <w:spacing w:before="240" w:after="0" w:line="360" w:lineRule="auto"/>
              <w:jc w:val="both"/>
              <w:rPr>
                <w:rFonts w:ascii="Arial" w:eastAsia="Calibri" w:hAnsi="Arial" w:cs="Arial"/>
                <w:b/>
              </w:rPr>
            </w:pPr>
            <w:r w:rsidRPr="007F24AB">
              <w:rPr>
                <w:rFonts w:ascii="Arial" w:eastAsia="Calibri" w:hAnsi="Arial" w:cs="Arial"/>
              </w:rPr>
              <w:t xml:space="preserve">      ‘</w:t>
            </w:r>
            <w:r w:rsidRPr="007F24AB">
              <w:rPr>
                <w:rFonts w:ascii="Arial" w:eastAsia="Calibri" w:hAnsi="Arial" w:cs="Arial"/>
                <w:b/>
              </w:rPr>
              <w:t>15</w:t>
            </w:r>
            <w:r w:rsidRPr="007F24AB">
              <w:rPr>
                <w:rFonts w:ascii="Arial" w:eastAsia="Calibri" w:hAnsi="Arial" w:cs="Arial"/>
                <w:b/>
              </w:rPr>
              <w:tab/>
              <w:t>Penalty where not otherwise provided for</w:t>
            </w:r>
          </w:p>
          <w:p w:rsidR="007F24AB" w:rsidRDefault="007F24AB" w:rsidP="007F24AB">
            <w:pPr>
              <w:spacing w:before="240" w:after="0" w:line="360" w:lineRule="auto"/>
              <w:jc w:val="both"/>
              <w:rPr>
                <w:rFonts w:ascii="Arial" w:eastAsia="Calibri" w:hAnsi="Arial" w:cs="Arial"/>
              </w:rPr>
            </w:pPr>
            <w:r w:rsidRPr="007F24AB">
              <w:rPr>
                <w:rFonts w:ascii="Arial" w:eastAsia="Calibri" w:hAnsi="Arial" w:cs="Arial"/>
              </w:rPr>
              <w:tab/>
              <w:t>Any person who is convicted of an offence under this Act for which no penalty is otherwise provided shall be liable to a fine not exceeding R4 000 or to imprisonment for a period not exceeding two years or to both such fine and such imprisonment. ‘</w:t>
            </w:r>
          </w:p>
          <w:p w:rsidR="008D19B0" w:rsidRDefault="008D19B0" w:rsidP="007F24AB">
            <w:pPr>
              <w:spacing w:before="240" w:after="0" w:line="360" w:lineRule="auto"/>
              <w:jc w:val="both"/>
              <w:rPr>
                <w:rFonts w:ascii="Arial" w:eastAsia="Calibri" w:hAnsi="Arial" w:cs="Arial"/>
                <w:sz w:val="24"/>
                <w:szCs w:val="24"/>
              </w:rPr>
            </w:pPr>
            <w:r w:rsidRPr="008D19B0">
              <w:rPr>
                <w:rFonts w:ascii="Arial" w:eastAsia="Calibri" w:hAnsi="Arial" w:cs="Arial"/>
                <w:sz w:val="24"/>
                <w:szCs w:val="24"/>
              </w:rPr>
              <w:t>[5]</w:t>
            </w:r>
            <w:r>
              <w:rPr>
                <w:rFonts w:ascii="Arial" w:eastAsia="Calibri" w:hAnsi="Arial" w:cs="Arial"/>
                <w:sz w:val="24"/>
                <w:szCs w:val="24"/>
              </w:rPr>
              <w:t xml:space="preserve">     Consequently, the sentences are to be set aside and the matter to be remitted to the magistrate to sentence the accused persons afresh.</w:t>
            </w:r>
          </w:p>
          <w:p w:rsidR="000C4908" w:rsidRDefault="008D19B0" w:rsidP="007F24AB">
            <w:pPr>
              <w:spacing w:before="240" w:after="0" w:line="360" w:lineRule="auto"/>
              <w:jc w:val="both"/>
              <w:rPr>
                <w:rFonts w:ascii="Arial" w:eastAsia="Calibri" w:hAnsi="Arial" w:cs="Arial"/>
                <w:sz w:val="24"/>
                <w:szCs w:val="24"/>
              </w:rPr>
            </w:pPr>
            <w:r>
              <w:rPr>
                <w:rFonts w:ascii="Arial" w:eastAsia="Calibri" w:hAnsi="Arial" w:cs="Arial"/>
                <w:sz w:val="24"/>
                <w:szCs w:val="24"/>
              </w:rPr>
              <w:lastRenderedPageBreak/>
              <w:t>[6]     In the result</w:t>
            </w:r>
            <w:r w:rsidR="000C4908">
              <w:rPr>
                <w:rFonts w:ascii="Arial" w:eastAsia="Calibri" w:hAnsi="Arial" w:cs="Arial"/>
                <w:sz w:val="24"/>
                <w:szCs w:val="24"/>
              </w:rPr>
              <w:t>:</w:t>
            </w:r>
          </w:p>
          <w:p w:rsidR="000C4908" w:rsidRDefault="000C4908" w:rsidP="00F00D03">
            <w:pPr>
              <w:pStyle w:val="ListParagraph"/>
              <w:numPr>
                <w:ilvl w:val="0"/>
                <w:numId w:val="2"/>
              </w:numPr>
              <w:spacing w:before="240"/>
              <w:rPr>
                <w:rFonts w:eastAsia="Calibri" w:cs="Arial"/>
                <w:szCs w:val="24"/>
              </w:rPr>
            </w:pPr>
            <w:r w:rsidRPr="00F00D03">
              <w:rPr>
                <w:rFonts w:eastAsia="Calibri" w:cs="Arial"/>
                <w:szCs w:val="24"/>
              </w:rPr>
              <w:t>Both sentences of the accused are set aside.</w:t>
            </w:r>
          </w:p>
          <w:p w:rsidR="008D19B0" w:rsidRDefault="000C4908" w:rsidP="00F00D03">
            <w:pPr>
              <w:pStyle w:val="ListParagraph"/>
              <w:numPr>
                <w:ilvl w:val="0"/>
                <w:numId w:val="2"/>
              </w:numPr>
              <w:spacing w:before="240"/>
              <w:rPr>
                <w:rFonts w:eastAsia="Calibri" w:cs="Arial"/>
                <w:szCs w:val="24"/>
              </w:rPr>
            </w:pPr>
            <w:r w:rsidRPr="00F00D03">
              <w:rPr>
                <w:rFonts w:eastAsia="Calibri" w:cs="Arial"/>
                <w:szCs w:val="24"/>
              </w:rPr>
              <w:t>The matter is remitted in accordance with the provision in s 304(2</w:t>
            </w:r>
            <w:proofErr w:type="gramStart"/>
            <w:r w:rsidRPr="00F00D03">
              <w:rPr>
                <w:rFonts w:eastAsia="Calibri" w:cs="Arial"/>
                <w:szCs w:val="24"/>
              </w:rPr>
              <w:t>)</w:t>
            </w:r>
            <w:r w:rsidRPr="00F00D03">
              <w:rPr>
                <w:rFonts w:eastAsia="Calibri" w:cs="Arial"/>
                <w:i/>
                <w:szCs w:val="24"/>
              </w:rPr>
              <w:t>(</w:t>
            </w:r>
            <w:proofErr w:type="gramEnd"/>
            <w:r w:rsidRPr="00F00D03">
              <w:rPr>
                <w:rFonts w:eastAsia="Calibri" w:cs="Arial"/>
                <w:i/>
                <w:szCs w:val="24"/>
              </w:rPr>
              <w:t xml:space="preserve">c)(iv) </w:t>
            </w:r>
            <w:r w:rsidRPr="00F00D03">
              <w:rPr>
                <w:rFonts w:eastAsia="Calibri" w:cs="Arial"/>
                <w:szCs w:val="24"/>
              </w:rPr>
              <w:t>of the CPA for the magistrate to sentence the accused persons afresh.</w:t>
            </w:r>
          </w:p>
          <w:p w:rsidR="007F24AB" w:rsidRPr="00A1576D" w:rsidRDefault="000C4908" w:rsidP="0022007E">
            <w:pPr>
              <w:pStyle w:val="ListParagraph"/>
              <w:numPr>
                <w:ilvl w:val="0"/>
                <w:numId w:val="2"/>
              </w:numPr>
              <w:spacing w:before="240"/>
              <w:rPr>
                <w:rFonts w:eastAsia="Calibri" w:cs="Arial"/>
                <w:szCs w:val="24"/>
              </w:rPr>
            </w:pPr>
            <w:r w:rsidRPr="00A1576D">
              <w:rPr>
                <w:rFonts w:eastAsia="Calibri" w:cs="Arial"/>
                <w:szCs w:val="24"/>
              </w:rPr>
              <w:t xml:space="preserve">The magistrate is directed to consider the periods of imprisonment that both accused served after the initial sentencing.  </w:t>
            </w:r>
          </w:p>
          <w:p w:rsidR="00036C36" w:rsidRPr="00C15116" w:rsidRDefault="00036C36" w:rsidP="00A1576D">
            <w:pPr>
              <w:widowControl w:val="0"/>
              <w:spacing w:after="0" w:line="360" w:lineRule="auto"/>
              <w:ind w:left="720"/>
              <w:contextualSpacing/>
              <w:jc w:val="both"/>
              <w:rPr>
                <w:rFonts w:ascii="Arial" w:eastAsia="Times New Roman" w:hAnsi="Arial" w:cs="Arial"/>
                <w:spacing w:val="-3"/>
                <w:sz w:val="24"/>
                <w:szCs w:val="24"/>
                <w:lang w:val="en-ZA"/>
              </w:rPr>
            </w:pPr>
          </w:p>
        </w:tc>
      </w:tr>
      <w:tr w:rsidR="00036C36" w:rsidRPr="004C3471" w:rsidTr="0022007E">
        <w:tc>
          <w:tcPr>
            <w:tcW w:w="4770" w:type="dxa"/>
            <w:shd w:val="clear" w:color="auto" w:fill="auto"/>
          </w:tcPr>
          <w:p w:rsidR="00036C36" w:rsidRDefault="00036C36" w:rsidP="0022007E">
            <w:pPr>
              <w:spacing w:before="240" w:after="0" w:line="360" w:lineRule="auto"/>
              <w:rPr>
                <w:rFonts w:ascii="Arial" w:eastAsia="Calibri" w:hAnsi="Arial" w:cs="Arial"/>
                <w:b/>
                <w:sz w:val="24"/>
                <w:szCs w:val="24"/>
                <w:lang w:val="en-ZA"/>
              </w:rPr>
            </w:pPr>
            <w:r w:rsidRPr="004C3471">
              <w:rPr>
                <w:rFonts w:ascii="Arial" w:eastAsia="Calibri" w:hAnsi="Arial" w:cs="Arial"/>
                <w:b/>
                <w:sz w:val="24"/>
                <w:szCs w:val="24"/>
                <w:lang w:val="en-ZA"/>
              </w:rPr>
              <w:lastRenderedPageBreak/>
              <w:t xml:space="preserve"> </w:t>
            </w:r>
          </w:p>
          <w:p w:rsidR="00036C36" w:rsidRPr="004C3471" w:rsidRDefault="00036C36" w:rsidP="0022007E">
            <w:pPr>
              <w:spacing w:before="240" w:after="0" w:line="360" w:lineRule="auto"/>
              <w:rPr>
                <w:rFonts w:ascii="Arial" w:eastAsia="Calibri" w:hAnsi="Arial" w:cs="Arial"/>
                <w:b/>
                <w:sz w:val="24"/>
                <w:szCs w:val="24"/>
                <w:lang w:val="en-ZA"/>
              </w:rPr>
            </w:pPr>
          </w:p>
        </w:tc>
        <w:tc>
          <w:tcPr>
            <w:tcW w:w="4950" w:type="dxa"/>
            <w:gridSpan w:val="2"/>
            <w:shd w:val="clear" w:color="auto" w:fill="auto"/>
          </w:tcPr>
          <w:p w:rsidR="00036C36" w:rsidRPr="004C3471" w:rsidRDefault="00036C36" w:rsidP="0022007E">
            <w:pPr>
              <w:spacing w:before="240" w:after="0" w:line="360" w:lineRule="auto"/>
              <w:rPr>
                <w:rFonts w:ascii="Arial" w:eastAsia="Calibri" w:hAnsi="Arial" w:cs="Arial"/>
                <w:b/>
                <w:sz w:val="24"/>
                <w:szCs w:val="24"/>
                <w:lang w:val="en-ZA"/>
              </w:rPr>
            </w:pPr>
          </w:p>
        </w:tc>
      </w:tr>
      <w:tr w:rsidR="00036C36" w:rsidRPr="004C3471" w:rsidTr="0022007E">
        <w:trPr>
          <w:trHeight w:val="827"/>
        </w:trPr>
        <w:tc>
          <w:tcPr>
            <w:tcW w:w="4770" w:type="dxa"/>
            <w:shd w:val="clear" w:color="auto" w:fill="auto"/>
          </w:tcPr>
          <w:p w:rsidR="00036C36" w:rsidRPr="004C3471" w:rsidRDefault="00036C36" w:rsidP="0022007E">
            <w:pPr>
              <w:spacing w:before="240" w:after="0" w:line="360" w:lineRule="auto"/>
              <w:jc w:val="center"/>
              <w:rPr>
                <w:rFonts w:ascii="Arial" w:eastAsia="Calibri" w:hAnsi="Arial" w:cs="Arial"/>
                <w:b/>
                <w:sz w:val="24"/>
                <w:szCs w:val="24"/>
                <w:lang w:val="en-ZA"/>
              </w:rPr>
            </w:pPr>
            <w:r w:rsidRPr="004C3471">
              <w:rPr>
                <w:rFonts w:ascii="Arial" w:eastAsia="Calibri" w:hAnsi="Arial" w:cs="Arial"/>
                <w:b/>
                <w:sz w:val="24"/>
                <w:szCs w:val="24"/>
                <w:lang w:val="en-ZA"/>
              </w:rPr>
              <w:t>H C JANUARY</w:t>
            </w:r>
          </w:p>
          <w:p w:rsidR="00036C36" w:rsidRPr="004C3471" w:rsidRDefault="00036C36" w:rsidP="0022007E">
            <w:pPr>
              <w:spacing w:before="240" w:after="0" w:line="360" w:lineRule="auto"/>
              <w:jc w:val="center"/>
              <w:rPr>
                <w:rFonts w:ascii="Arial" w:eastAsia="Calibri" w:hAnsi="Arial" w:cs="Arial"/>
                <w:b/>
                <w:sz w:val="24"/>
                <w:szCs w:val="24"/>
                <w:lang w:val="en-ZA"/>
              </w:rPr>
            </w:pPr>
            <w:r w:rsidRPr="004C3471">
              <w:rPr>
                <w:rFonts w:ascii="Arial" w:eastAsia="Calibri" w:hAnsi="Arial" w:cs="Arial"/>
                <w:b/>
                <w:sz w:val="24"/>
                <w:szCs w:val="24"/>
                <w:lang w:val="en-ZA"/>
              </w:rPr>
              <w:t>JUDGE</w:t>
            </w:r>
          </w:p>
        </w:tc>
        <w:tc>
          <w:tcPr>
            <w:tcW w:w="4950" w:type="dxa"/>
            <w:gridSpan w:val="2"/>
            <w:shd w:val="clear" w:color="auto" w:fill="auto"/>
          </w:tcPr>
          <w:p w:rsidR="00036C36" w:rsidRDefault="00A42F11" w:rsidP="0022007E">
            <w:pPr>
              <w:spacing w:before="240" w:after="0" w:line="360" w:lineRule="auto"/>
              <w:jc w:val="center"/>
              <w:rPr>
                <w:rFonts w:ascii="Arial" w:eastAsia="Calibri" w:hAnsi="Arial" w:cs="Arial"/>
                <w:b/>
                <w:sz w:val="24"/>
                <w:szCs w:val="24"/>
                <w:lang w:val="en-ZA"/>
              </w:rPr>
            </w:pPr>
            <w:r>
              <w:rPr>
                <w:rFonts w:ascii="Arial" w:eastAsia="Calibri" w:hAnsi="Arial" w:cs="Arial"/>
                <w:b/>
                <w:sz w:val="24"/>
                <w:szCs w:val="24"/>
                <w:lang w:val="en-ZA"/>
              </w:rPr>
              <w:t xml:space="preserve">N </w:t>
            </w:r>
            <w:proofErr w:type="spellStart"/>
            <w:r>
              <w:rPr>
                <w:rFonts w:ascii="Arial" w:eastAsia="Calibri" w:hAnsi="Arial" w:cs="Arial"/>
                <w:b/>
                <w:sz w:val="24"/>
                <w:szCs w:val="24"/>
                <w:lang w:val="en-ZA"/>
              </w:rPr>
              <w:t>N</w:t>
            </w:r>
            <w:proofErr w:type="spellEnd"/>
            <w:r>
              <w:rPr>
                <w:rFonts w:ascii="Arial" w:eastAsia="Calibri" w:hAnsi="Arial" w:cs="Arial"/>
                <w:b/>
                <w:sz w:val="24"/>
                <w:szCs w:val="24"/>
                <w:lang w:val="en-ZA"/>
              </w:rPr>
              <w:t xml:space="preserve"> </w:t>
            </w:r>
            <w:r w:rsidR="00A1576D">
              <w:rPr>
                <w:rFonts w:ascii="Arial" w:eastAsia="Calibri" w:hAnsi="Arial" w:cs="Arial"/>
                <w:b/>
                <w:sz w:val="24"/>
                <w:szCs w:val="24"/>
                <w:lang w:val="en-ZA"/>
              </w:rPr>
              <w:t>SHIVUTE</w:t>
            </w:r>
            <w:r w:rsidR="00036C36">
              <w:rPr>
                <w:rFonts w:ascii="Arial" w:eastAsia="Calibri" w:hAnsi="Arial" w:cs="Arial"/>
                <w:b/>
                <w:sz w:val="24"/>
                <w:szCs w:val="24"/>
                <w:lang w:val="en-ZA"/>
              </w:rPr>
              <w:t xml:space="preserve"> </w:t>
            </w:r>
          </w:p>
          <w:p w:rsidR="00036C36" w:rsidRPr="004C3471" w:rsidRDefault="00036C36" w:rsidP="0022007E">
            <w:pPr>
              <w:spacing w:before="240" w:after="0" w:line="360" w:lineRule="auto"/>
              <w:jc w:val="center"/>
              <w:rPr>
                <w:rFonts w:ascii="Arial" w:eastAsia="Calibri" w:hAnsi="Arial" w:cs="Arial"/>
                <w:sz w:val="24"/>
                <w:szCs w:val="24"/>
                <w:lang w:val="en-ZA"/>
              </w:rPr>
            </w:pPr>
            <w:r w:rsidRPr="004C3471">
              <w:rPr>
                <w:rFonts w:ascii="Arial" w:eastAsia="Calibri" w:hAnsi="Arial" w:cs="Arial"/>
                <w:b/>
                <w:sz w:val="24"/>
                <w:szCs w:val="24"/>
                <w:lang w:val="en-ZA"/>
              </w:rPr>
              <w:t>JUDGE</w:t>
            </w:r>
          </w:p>
        </w:tc>
      </w:tr>
    </w:tbl>
    <w:p w:rsidR="00036C36" w:rsidRPr="00B81FF7" w:rsidRDefault="00036C36" w:rsidP="00036C36">
      <w:pPr>
        <w:rPr>
          <w:lang w:val="en-ZA"/>
        </w:rPr>
      </w:pPr>
    </w:p>
    <w:p w:rsidR="007177A3" w:rsidRPr="00036C36" w:rsidRDefault="007177A3">
      <w:pPr>
        <w:rPr>
          <w:rFonts w:ascii="Arial" w:hAnsi="Arial" w:cs="Arial"/>
          <w:sz w:val="24"/>
          <w:szCs w:val="24"/>
        </w:rPr>
      </w:pPr>
    </w:p>
    <w:sectPr w:rsidR="007177A3" w:rsidRPr="00036C36" w:rsidSect="001D092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A3F" w:rsidRDefault="007A7A3F" w:rsidP="00036C36">
      <w:pPr>
        <w:spacing w:after="0" w:line="240" w:lineRule="auto"/>
      </w:pPr>
      <w:r>
        <w:separator/>
      </w:r>
    </w:p>
  </w:endnote>
  <w:endnote w:type="continuationSeparator" w:id="0">
    <w:p w:rsidR="007A7A3F" w:rsidRDefault="007A7A3F" w:rsidP="00036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A3F" w:rsidRDefault="007A7A3F" w:rsidP="00036C36">
      <w:pPr>
        <w:spacing w:after="0" w:line="240" w:lineRule="auto"/>
      </w:pPr>
      <w:r>
        <w:separator/>
      </w:r>
    </w:p>
  </w:footnote>
  <w:footnote w:type="continuationSeparator" w:id="0">
    <w:p w:rsidR="007A7A3F" w:rsidRDefault="007A7A3F" w:rsidP="00036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141742"/>
      <w:docPartObj>
        <w:docPartGallery w:val="Page Numbers (Top of Page)"/>
        <w:docPartUnique/>
      </w:docPartObj>
    </w:sdtPr>
    <w:sdtEndPr>
      <w:rPr>
        <w:noProof/>
      </w:rPr>
    </w:sdtEndPr>
    <w:sdtContent>
      <w:p w:rsidR="001D0923" w:rsidRDefault="008F7C63">
        <w:pPr>
          <w:pStyle w:val="Header"/>
          <w:jc w:val="right"/>
        </w:pPr>
        <w:r>
          <w:fldChar w:fldCharType="begin"/>
        </w:r>
        <w:r>
          <w:instrText xml:space="preserve"> PAGE   \* MERGEFORMAT </w:instrText>
        </w:r>
        <w:r>
          <w:fldChar w:fldCharType="separate"/>
        </w:r>
        <w:r w:rsidR="00161D96">
          <w:rPr>
            <w:noProof/>
          </w:rPr>
          <w:t>2</w:t>
        </w:r>
        <w:r>
          <w:rPr>
            <w:noProof/>
          </w:rPr>
          <w:fldChar w:fldCharType="end"/>
        </w:r>
      </w:p>
    </w:sdtContent>
  </w:sdt>
  <w:p w:rsidR="001D0923" w:rsidRDefault="007A7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7D52"/>
    <w:multiLevelType w:val="hybridMultilevel"/>
    <w:tmpl w:val="2B002BF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32192993"/>
    <w:multiLevelType w:val="hybridMultilevel"/>
    <w:tmpl w:val="611A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36"/>
    <w:rsid w:val="00036C36"/>
    <w:rsid w:val="000C4908"/>
    <w:rsid w:val="00161D96"/>
    <w:rsid w:val="00292B88"/>
    <w:rsid w:val="007177A3"/>
    <w:rsid w:val="007A7A3F"/>
    <w:rsid w:val="007F08AD"/>
    <w:rsid w:val="007F24AB"/>
    <w:rsid w:val="008D19B0"/>
    <w:rsid w:val="008F7C63"/>
    <w:rsid w:val="00A1576D"/>
    <w:rsid w:val="00A42F11"/>
    <w:rsid w:val="00AC05C2"/>
    <w:rsid w:val="00C35537"/>
    <w:rsid w:val="00D06107"/>
    <w:rsid w:val="00EF4286"/>
    <w:rsid w:val="00F0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6C36"/>
    <w:pPr>
      <w:widowControl w:val="0"/>
      <w:spacing w:after="0" w:line="360" w:lineRule="auto"/>
      <w:ind w:left="720"/>
      <w:contextualSpacing/>
      <w:jc w:val="both"/>
    </w:pPr>
    <w:rPr>
      <w:rFonts w:ascii="Arial" w:eastAsia="Times New Roman" w:hAnsi="Arial" w:cs="Times New Roman"/>
      <w:spacing w:val="-3"/>
      <w:sz w:val="24"/>
      <w:szCs w:val="20"/>
      <w:lang w:val="en-GB"/>
    </w:rPr>
  </w:style>
  <w:style w:type="paragraph" w:styleId="Header">
    <w:name w:val="header"/>
    <w:basedOn w:val="Normal"/>
    <w:link w:val="HeaderChar"/>
    <w:uiPriority w:val="99"/>
    <w:unhideWhenUsed/>
    <w:rsid w:val="00036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C36"/>
  </w:style>
  <w:style w:type="paragraph" w:styleId="FootnoteText">
    <w:name w:val="footnote text"/>
    <w:aliases w:val="Footnote Text Char Char,Footnote Text Char1 Char,Footnote Text Char Char Char,Footnote Text Char Char1"/>
    <w:basedOn w:val="Normal"/>
    <w:link w:val="FootnoteTextChar"/>
    <w:uiPriority w:val="99"/>
    <w:semiHidden/>
    <w:unhideWhenUsed/>
    <w:rsid w:val="00036C36"/>
    <w:pPr>
      <w:spacing w:after="0" w:line="240" w:lineRule="auto"/>
    </w:pPr>
    <w:rPr>
      <w:sz w:val="20"/>
      <w:szCs w:val="20"/>
    </w:rPr>
  </w:style>
  <w:style w:type="character" w:customStyle="1" w:styleId="FootnoteTextChar">
    <w:name w:val="Footnote Text Char"/>
    <w:aliases w:val="Footnote Text Char Char Char1,Footnote Text Char1 Char Char,Footnote Text Char Char Char Char,Footnote Text Char Char1 Char"/>
    <w:basedOn w:val="DefaultParagraphFont"/>
    <w:link w:val="FootnoteText"/>
    <w:uiPriority w:val="99"/>
    <w:semiHidden/>
    <w:rsid w:val="00036C36"/>
    <w:rPr>
      <w:sz w:val="20"/>
      <w:szCs w:val="20"/>
    </w:rPr>
  </w:style>
  <w:style w:type="character" w:styleId="FootnoteReference">
    <w:name w:val="footnote reference"/>
    <w:basedOn w:val="DefaultParagraphFont"/>
    <w:uiPriority w:val="99"/>
    <w:unhideWhenUsed/>
    <w:rsid w:val="00036C36"/>
    <w:rPr>
      <w:vertAlign w:val="superscript"/>
    </w:rPr>
  </w:style>
  <w:style w:type="character" w:customStyle="1" w:styleId="ListParagraphChar">
    <w:name w:val="List Paragraph Char"/>
    <w:link w:val="ListParagraph"/>
    <w:uiPriority w:val="34"/>
    <w:rsid w:val="00036C36"/>
    <w:rPr>
      <w:rFonts w:ascii="Arial" w:eastAsia="Times New Roman" w:hAnsi="Arial" w:cs="Times New Roman"/>
      <w:spacing w:val="-3"/>
      <w:sz w:val="24"/>
      <w:szCs w:val="20"/>
      <w:lang w:val="en-GB"/>
    </w:rPr>
  </w:style>
  <w:style w:type="paragraph" w:styleId="BalloonText">
    <w:name w:val="Balloon Text"/>
    <w:basedOn w:val="Normal"/>
    <w:link w:val="BalloonTextChar"/>
    <w:uiPriority w:val="99"/>
    <w:semiHidden/>
    <w:unhideWhenUsed/>
    <w:rsid w:val="00A42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6C36"/>
    <w:pPr>
      <w:widowControl w:val="0"/>
      <w:spacing w:after="0" w:line="360" w:lineRule="auto"/>
      <w:ind w:left="720"/>
      <w:contextualSpacing/>
      <w:jc w:val="both"/>
    </w:pPr>
    <w:rPr>
      <w:rFonts w:ascii="Arial" w:eastAsia="Times New Roman" w:hAnsi="Arial" w:cs="Times New Roman"/>
      <w:spacing w:val="-3"/>
      <w:sz w:val="24"/>
      <w:szCs w:val="20"/>
      <w:lang w:val="en-GB"/>
    </w:rPr>
  </w:style>
  <w:style w:type="paragraph" w:styleId="Header">
    <w:name w:val="header"/>
    <w:basedOn w:val="Normal"/>
    <w:link w:val="HeaderChar"/>
    <w:uiPriority w:val="99"/>
    <w:unhideWhenUsed/>
    <w:rsid w:val="00036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C36"/>
  </w:style>
  <w:style w:type="paragraph" w:styleId="FootnoteText">
    <w:name w:val="footnote text"/>
    <w:aliases w:val="Footnote Text Char Char,Footnote Text Char1 Char,Footnote Text Char Char Char,Footnote Text Char Char1"/>
    <w:basedOn w:val="Normal"/>
    <w:link w:val="FootnoteTextChar"/>
    <w:uiPriority w:val="99"/>
    <w:semiHidden/>
    <w:unhideWhenUsed/>
    <w:rsid w:val="00036C36"/>
    <w:pPr>
      <w:spacing w:after="0" w:line="240" w:lineRule="auto"/>
    </w:pPr>
    <w:rPr>
      <w:sz w:val="20"/>
      <w:szCs w:val="20"/>
    </w:rPr>
  </w:style>
  <w:style w:type="character" w:customStyle="1" w:styleId="FootnoteTextChar">
    <w:name w:val="Footnote Text Char"/>
    <w:aliases w:val="Footnote Text Char Char Char1,Footnote Text Char1 Char Char,Footnote Text Char Char Char Char,Footnote Text Char Char1 Char"/>
    <w:basedOn w:val="DefaultParagraphFont"/>
    <w:link w:val="FootnoteText"/>
    <w:uiPriority w:val="99"/>
    <w:semiHidden/>
    <w:rsid w:val="00036C36"/>
    <w:rPr>
      <w:sz w:val="20"/>
      <w:szCs w:val="20"/>
    </w:rPr>
  </w:style>
  <w:style w:type="character" w:styleId="FootnoteReference">
    <w:name w:val="footnote reference"/>
    <w:basedOn w:val="DefaultParagraphFont"/>
    <w:uiPriority w:val="99"/>
    <w:unhideWhenUsed/>
    <w:rsid w:val="00036C36"/>
    <w:rPr>
      <w:vertAlign w:val="superscript"/>
    </w:rPr>
  </w:style>
  <w:style w:type="character" w:customStyle="1" w:styleId="ListParagraphChar">
    <w:name w:val="List Paragraph Char"/>
    <w:link w:val="ListParagraph"/>
    <w:uiPriority w:val="34"/>
    <w:rsid w:val="00036C36"/>
    <w:rPr>
      <w:rFonts w:ascii="Arial" w:eastAsia="Times New Roman" w:hAnsi="Arial" w:cs="Times New Roman"/>
      <w:spacing w:val="-3"/>
      <w:sz w:val="24"/>
      <w:szCs w:val="20"/>
      <w:lang w:val="en-GB"/>
    </w:rPr>
  </w:style>
  <w:style w:type="paragraph" w:styleId="BalloonText">
    <w:name w:val="Balloon Text"/>
    <w:basedOn w:val="Normal"/>
    <w:link w:val="BalloonTextChar"/>
    <w:uiPriority w:val="99"/>
    <w:semiHidden/>
    <w:unhideWhenUsed/>
    <w:rsid w:val="00A42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2023-07-27T18:30:00+00:00</Judgment_x0020_Date>
  </documentManagement>
</p:properties>
</file>

<file path=customXml/itemProps1.xml><?xml version="1.0" encoding="utf-8"?>
<ds:datastoreItem xmlns:ds="http://schemas.openxmlformats.org/officeDocument/2006/customXml" ds:itemID="{F8CC7DFD-A399-43E3-AE65-DD2E6CE5538E}"/>
</file>

<file path=customXml/itemProps2.xml><?xml version="1.0" encoding="utf-8"?>
<ds:datastoreItem xmlns:ds="http://schemas.openxmlformats.org/officeDocument/2006/customXml" ds:itemID="{98C97B37-7868-4324-84F6-6EC208688D87}"/>
</file>

<file path=customXml/itemProps3.xml><?xml version="1.0" encoding="utf-8"?>
<ds:datastoreItem xmlns:ds="http://schemas.openxmlformats.org/officeDocument/2006/customXml" ds:itemID="{9CC0481B-568E-4070-A3CF-A96F024A296B}"/>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Muranda (CR 85-2023) [2023] NAHCMD 449 (28 July 2023)</dc:title>
  <dc:creator>Herman C. January</dc:creator>
  <cp:lastModifiedBy>Michelle N. Ullrich</cp:lastModifiedBy>
  <cp:revision>2</cp:revision>
  <cp:lastPrinted>2023-07-28T10:00:00Z</cp:lastPrinted>
  <dcterms:created xsi:type="dcterms:W3CDTF">2023-07-28T10:02:00Z</dcterms:created>
  <dcterms:modified xsi:type="dcterms:W3CDTF">2023-07-28T10:02:00Z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