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2A5816">
      <w:pPr>
        <w:pStyle w:val="Title"/>
      </w:pPr>
      <w:r w:rsidRPr="006E026B">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E12D38" w:rsidRDefault="00E12D38"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212EC4" w:rsidRPr="00CA7995" w:rsidRDefault="00212EC4" w:rsidP="00937C89">
            <w:pPr>
              <w:spacing w:line="360" w:lineRule="auto"/>
              <w:jc w:val="both"/>
              <w:rPr>
                <w:rFonts w:ascii="Arial" w:hAnsi="Arial" w:cs="Arial"/>
                <w:sz w:val="24"/>
                <w:szCs w:val="24"/>
              </w:rPr>
            </w:pPr>
          </w:p>
          <w:p w:rsidR="00002E9A" w:rsidRDefault="005D0587" w:rsidP="00002E9A">
            <w:pPr>
              <w:tabs>
                <w:tab w:val="left" w:pos="3564"/>
                <w:tab w:val="left" w:pos="3706"/>
                <w:tab w:val="left" w:pos="4273"/>
              </w:tabs>
              <w:spacing w:line="360" w:lineRule="auto"/>
              <w:jc w:val="both"/>
              <w:rPr>
                <w:rFonts w:ascii="Arial" w:hAnsi="Arial" w:cs="Arial"/>
                <w:sz w:val="24"/>
                <w:szCs w:val="24"/>
              </w:rPr>
            </w:pPr>
            <w:r w:rsidRPr="005D0587">
              <w:rPr>
                <w:rFonts w:ascii="Arial" w:hAnsi="Arial" w:cs="Arial"/>
                <w:sz w:val="24"/>
                <w:szCs w:val="24"/>
              </w:rPr>
              <w:t>BANK WINDHOEK LIMITED</w:t>
            </w:r>
            <w:r w:rsidR="00E922FB" w:rsidRPr="00E922FB">
              <w:rPr>
                <w:rFonts w:ascii="Arial" w:hAnsi="Arial" w:cs="Arial"/>
                <w:sz w:val="24"/>
                <w:szCs w:val="24"/>
              </w:rPr>
              <w:tab/>
            </w:r>
            <w:r w:rsidR="00E922FB" w:rsidRPr="00E922FB">
              <w:rPr>
                <w:rFonts w:ascii="Arial" w:hAnsi="Arial" w:cs="Arial"/>
                <w:sz w:val="24"/>
                <w:szCs w:val="24"/>
              </w:rPr>
              <w:tab/>
            </w:r>
            <w:r w:rsidR="00E922FB" w:rsidRPr="00E922FB">
              <w:rPr>
                <w:rFonts w:ascii="Arial" w:hAnsi="Arial" w:cs="Arial"/>
                <w:sz w:val="24"/>
                <w:szCs w:val="24"/>
              </w:rPr>
              <w:tab/>
            </w:r>
            <w:r w:rsidR="00E922FB">
              <w:rPr>
                <w:rFonts w:ascii="Arial" w:hAnsi="Arial" w:cs="Arial"/>
                <w:sz w:val="24"/>
                <w:szCs w:val="24"/>
              </w:rPr>
              <w:t xml:space="preserve">       </w:t>
            </w:r>
            <w:r w:rsidR="00970745">
              <w:rPr>
                <w:rFonts w:ascii="Arial" w:hAnsi="Arial" w:cs="Arial"/>
                <w:sz w:val="24"/>
                <w:szCs w:val="24"/>
              </w:rPr>
              <w:t>APPLICANT</w:t>
            </w:r>
          </w:p>
          <w:p w:rsidR="00002E9A" w:rsidRDefault="00002E9A" w:rsidP="00002E9A">
            <w:pPr>
              <w:spacing w:line="360" w:lineRule="auto"/>
              <w:jc w:val="both"/>
              <w:rPr>
                <w:rFonts w:ascii="Arial" w:hAnsi="Arial" w:cs="Arial"/>
                <w:sz w:val="24"/>
                <w:szCs w:val="24"/>
              </w:rPr>
            </w:pPr>
          </w:p>
          <w:p w:rsidR="00E922FB" w:rsidRDefault="00E922FB"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02E9A" w:rsidRDefault="005D0587" w:rsidP="00E922FB">
            <w:pPr>
              <w:spacing w:line="360" w:lineRule="auto"/>
              <w:jc w:val="both"/>
              <w:rPr>
                <w:rFonts w:ascii="Arial" w:hAnsi="Arial" w:cs="Arial"/>
                <w:sz w:val="24"/>
                <w:szCs w:val="24"/>
              </w:rPr>
            </w:pPr>
            <w:r w:rsidRPr="005D0587">
              <w:rPr>
                <w:rFonts w:ascii="Arial" w:hAnsi="Arial" w:cs="Arial"/>
                <w:sz w:val="24"/>
                <w:szCs w:val="24"/>
              </w:rPr>
              <w:t>JP INVESTMENT CC</w:t>
            </w:r>
            <w:r w:rsidR="00E922FB">
              <w:rPr>
                <w:rFonts w:ascii="Arial" w:hAnsi="Arial" w:cs="Arial"/>
                <w:sz w:val="24"/>
                <w:szCs w:val="24"/>
              </w:rPr>
              <w:tab/>
            </w:r>
            <w:r w:rsidR="00E922FB">
              <w:rPr>
                <w:rFonts w:ascii="Arial" w:hAnsi="Arial" w:cs="Arial"/>
                <w:sz w:val="24"/>
                <w:szCs w:val="24"/>
              </w:rPr>
              <w:tab/>
            </w:r>
            <w:r w:rsidR="00FB4837">
              <w:rPr>
                <w:rFonts w:ascii="Arial" w:hAnsi="Arial" w:cs="Arial"/>
                <w:sz w:val="24"/>
                <w:szCs w:val="24"/>
              </w:rPr>
              <w:t xml:space="preserve">      1</w:t>
            </w:r>
            <w:r w:rsidR="00FB4837" w:rsidRPr="00FB4837">
              <w:rPr>
                <w:rFonts w:ascii="Arial" w:hAnsi="Arial" w:cs="Arial"/>
                <w:sz w:val="24"/>
                <w:szCs w:val="24"/>
                <w:vertAlign w:val="superscript"/>
              </w:rPr>
              <w:t>ST</w:t>
            </w:r>
            <w:r w:rsidR="00FB4837">
              <w:rPr>
                <w:rFonts w:ascii="Arial" w:hAnsi="Arial" w:cs="Arial"/>
                <w:sz w:val="24"/>
                <w:szCs w:val="24"/>
              </w:rPr>
              <w:t xml:space="preserve"> </w:t>
            </w:r>
            <w:r w:rsidR="00970745">
              <w:rPr>
                <w:rFonts w:ascii="Arial" w:hAnsi="Arial" w:cs="Arial"/>
                <w:sz w:val="24"/>
                <w:szCs w:val="24"/>
              </w:rPr>
              <w:t>RESPONDENT</w:t>
            </w:r>
          </w:p>
          <w:p w:rsidR="00002E9A" w:rsidRDefault="00FB4837" w:rsidP="00002E9A">
            <w:pPr>
              <w:spacing w:line="360" w:lineRule="auto"/>
              <w:jc w:val="both"/>
              <w:rPr>
                <w:rFonts w:ascii="Arial" w:hAnsi="Arial" w:cs="Arial"/>
                <w:sz w:val="24"/>
                <w:szCs w:val="24"/>
              </w:rPr>
            </w:pPr>
            <w:r>
              <w:rPr>
                <w:rFonts w:ascii="Arial" w:hAnsi="Arial" w:cs="Arial"/>
                <w:sz w:val="24"/>
                <w:szCs w:val="24"/>
              </w:rPr>
              <w:t xml:space="preserve">FANEK MATHIAS </w:t>
            </w:r>
            <w:r w:rsidRPr="00FB4837">
              <w:rPr>
                <w:rFonts w:ascii="Arial" w:hAnsi="Arial" w:cs="Arial"/>
                <w:sz w:val="24"/>
                <w:szCs w:val="24"/>
              </w:rPr>
              <w:tab/>
            </w:r>
            <w:r w:rsidRPr="00FB4837">
              <w:rPr>
                <w:rFonts w:ascii="Arial" w:hAnsi="Arial" w:cs="Arial"/>
                <w:sz w:val="24"/>
                <w:szCs w:val="24"/>
              </w:rPr>
              <w:tab/>
            </w:r>
            <w:r>
              <w:rPr>
                <w:rFonts w:ascii="Arial" w:hAnsi="Arial" w:cs="Arial"/>
                <w:sz w:val="24"/>
                <w:szCs w:val="24"/>
              </w:rPr>
              <w:tab/>
              <w:t xml:space="preserve">      2</w:t>
            </w:r>
            <w:r w:rsidRPr="00FB4837">
              <w:rPr>
                <w:rFonts w:ascii="Arial" w:hAnsi="Arial" w:cs="Arial"/>
                <w:sz w:val="24"/>
                <w:szCs w:val="24"/>
                <w:vertAlign w:val="superscript"/>
              </w:rPr>
              <w:t>ND</w:t>
            </w:r>
            <w:r>
              <w:rPr>
                <w:rFonts w:ascii="Arial" w:hAnsi="Arial" w:cs="Arial"/>
                <w:sz w:val="24"/>
                <w:szCs w:val="24"/>
              </w:rPr>
              <w:t xml:space="preserve"> RESPONDENT</w:t>
            </w:r>
          </w:p>
          <w:p w:rsidR="00002E9A" w:rsidRPr="00002E9A" w:rsidRDefault="00002E9A" w:rsidP="00E922FB">
            <w:pPr>
              <w:spacing w:line="360" w:lineRule="auto"/>
              <w:ind w:firstLine="3564"/>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Default="005D0587" w:rsidP="00937C89">
            <w:pPr>
              <w:spacing w:line="360" w:lineRule="auto"/>
              <w:jc w:val="both"/>
              <w:rPr>
                <w:rFonts w:ascii="Arial" w:hAnsi="Arial" w:cs="Arial"/>
                <w:sz w:val="24"/>
                <w:szCs w:val="24"/>
                <w:shd w:val="clear" w:color="auto" w:fill="FFFFFF"/>
              </w:rPr>
            </w:pPr>
            <w:r w:rsidRPr="005D0587">
              <w:rPr>
                <w:rFonts w:ascii="Arial" w:hAnsi="Arial" w:cs="Arial"/>
                <w:sz w:val="24"/>
                <w:szCs w:val="24"/>
                <w:shd w:val="clear" w:color="auto" w:fill="FFFFFF"/>
              </w:rPr>
              <w:t>HC-MD-CIV-ACT-CON-2023/00487</w:t>
            </w:r>
          </w:p>
          <w:p w:rsidR="005D0587" w:rsidRPr="00C2633E" w:rsidRDefault="005D0587" w:rsidP="00937C89">
            <w:pPr>
              <w:spacing w:line="360" w:lineRule="auto"/>
              <w:jc w:val="both"/>
              <w:rPr>
                <w:rFonts w:ascii="Arial" w:hAnsi="Arial" w:cs="Arial"/>
                <w:sz w:val="24"/>
                <w:szCs w:val="24"/>
                <w:shd w:val="clear" w:color="auto" w:fill="FFFFFF"/>
              </w:rPr>
            </w:pPr>
            <w:r w:rsidRPr="005D0587">
              <w:rPr>
                <w:rFonts w:ascii="Arial" w:hAnsi="Arial" w:cs="Arial"/>
                <w:sz w:val="24"/>
                <w:szCs w:val="24"/>
                <w:shd w:val="clear" w:color="auto" w:fill="FFFFFF"/>
              </w:rPr>
              <w:t>INT-HC-SUMJUD-2023/00189</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732939" w:rsidP="00C2633E">
            <w:pPr>
              <w:spacing w:line="360" w:lineRule="auto"/>
              <w:jc w:val="both"/>
              <w:rPr>
                <w:rFonts w:ascii="Arial" w:hAnsi="Arial" w:cs="Arial"/>
                <w:sz w:val="24"/>
                <w:szCs w:val="24"/>
              </w:rPr>
            </w:pPr>
            <w:r w:rsidRPr="00732939">
              <w:rPr>
                <w:rFonts w:ascii="Arial" w:hAnsi="Arial" w:cs="Arial"/>
                <w:sz w:val="24"/>
                <w:szCs w:val="24"/>
                <w:lang w:val="en-US"/>
              </w:rPr>
              <w:t>6</w:t>
            </w:r>
            <w:r w:rsidR="00212EC4" w:rsidRPr="00732939">
              <w:rPr>
                <w:rFonts w:ascii="Arial" w:hAnsi="Arial" w:cs="Arial"/>
                <w:sz w:val="24"/>
                <w:szCs w:val="24"/>
                <w:lang w:val="en-US"/>
              </w:rPr>
              <w:t xml:space="preserve"> July</w:t>
            </w:r>
            <w:r w:rsidR="00002E9A" w:rsidRPr="00732939">
              <w:rPr>
                <w:rFonts w:ascii="Arial" w:hAnsi="Arial" w:cs="Arial"/>
                <w:sz w:val="24"/>
                <w:szCs w:val="24"/>
                <w:lang w:val="en-US"/>
              </w:rPr>
              <w:t xml:space="preserve">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5D0587" w:rsidP="00C2633E">
            <w:pPr>
              <w:spacing w:line="360" w:lineRule="auto"/>
              <w:jc w:val="both"/>
              <w:rPr>
                <w:rFonts w:ascii="Arial" w:hAnsi="Arial" w:cs="Arial"/>
                <w:b/>
                <w:sz w:val="24"/>
                <w:szCs w:val="24"/>
              </w:rPr>
            </w:pPr>
            <w:r>
              <w:rPr>
                <w:rFonts w:ascii="Arial" w:hAnsi="Arial" w:cs="Arial"/>
                <w:sz w:val="24"/>
                <w:szCs w:val="24"/>
                <w:lang w:val="en-US"/>
              </w:rPr>
              <w:t>28</w:t>
            </w:r>
            <w:r w:rsidR="00E922FB">
              <w:rPr>
                <w:rFonts w:ascii="Arial" w:hAnsi="Arial" w:cs="Arial"/>
                <w:sz w:val="24"/>
                <w:szCs w:val="24"/>
                <w:lang w:val="en-US"/>
              </w:rPr>
              <w:t xml:space="preserve"> July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B40844" w:rsidRPr="005D0587" w:rsidRDefault="00B40844" w:rsidP="00B47800">
            <w:pPr>
              <w:spacing w:line="360" w:lineRule="auto"/>
              <w:jc w:val="both"/>
              <w:rPr>
                <w:rFonts w:ascii="Arial" w:hAnsi="Arial" w:cs="Arial"/>
                <w:i/>
                <w:sz w:val="24"/>
                <w:szCs w:val="24"/>
              </w:rPr>
            </w:pPr>
            <w:r w:rsidRPr="00CA7995">
              <w:rPr>
                <w:rFonts w:ascii="Arial" w:hAnsi="Arial" w:cs="Arial"/>
                <w:b/>
                <w:sz w:val="24"/>
                <w:szCs w:val="24"/>
              </w:rPr>
              <w:t xml:space="preserve">Neutral citation: </w:t>
            </w:r>
            <w:r w:rsidR="005D0587">
              <w:rPr>
                <w:rFonts w:ascii="Arial" w:eastAsia="Times New Roman" w:hAnsi="Arial" w:cs="Arial"/>
                <w:i/>
                <w:sz w:val="24"/>
                <w:szCs w:val="24"/>
              </w:rPr>
              <w:t>Bank Windhoek Limited v JP Investment CC</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5D0587" w:rsidRPr="005D0587">
              <w:rPr>
                <w:rFonts w:ascii="Arial" w:eastAsia="Times New Roman" w:hAnsi="Arial" w:cs="Arial"/>
                <w:sz w:val="24"/>
                <w:szCs w:val="24"/>
              </w:rPr>
              <w:t>INT-HC-SUMJUD-2023/00189</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B53D16">
              <w:rPr>
                <w:rFonts w:ascii="Arial" w:hAnsi="Arial" w:cs="Arial"/>
                <w:sz w:val="24"/>
                <w:szCs w:val="24"/>
              </w:rPr>
              <w:t>455</w:t>
            </w:r>
            <w:r w:rsidR="0075139D">
              <w:rPr>
                <w:rFonts w:ascii="Arial" w:hAnsi="Arial" w:cs="Arial"/>
                <w:sz w:val="24"/>
                <w:szCs w:val="24"/>
              </w:rPr>
              <w:t xml:space="preserve"> </w:t>
            </w:r>
            <w:r w:rsidR="005D0587">
              <w:rPr>
                <w:rFonts w:ascii="Arial" w:hAnsi="Arial" w:cs="Arial"/>
                <w:sz w:val="24"/>
                <w:szCs w:val="24"/>
              </w:rPr>
              <w:t>(28</w:t>
            </w:r>
            <w:r w:rsidR="00E922FB">
              <w:rPr>
                <w:rFonts w:ascii="Arial" w:hAnsi="Arial" w:cs="Arial"/>
                <w:sz w:val="24"/>
                <w:szCs w:val="24"/>
              </w:rPr>
              <w:t xml:space="preserve"> July</w:t>
            </w:r>
            <w:r w:rsidR="00002E9A">
              <w:rPr>
                <w:rFonts w:ascii="Arial" w:hAnsi="Arial" w:cs="Arial"/>
                <w:sz w:val="24"/>
                <w:szCs w:val="24"/>
              </w:rPr>
              <w:t xml:space="preserve">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5D0587" w:rsidRPr="005D0587" w:rsidRDefault="005D0587" w:rsidP="005D0587">
            <w:pPr>
              <w:pStyle w:val="NormalWeb"/>
              <w:shd w:val="clear" w:color="auto" w:fill="FFFFFF"/>
              <w:spacing w:after="0" w:line="360" w:lineRule="auto"/>
              <w:jc w:val="both"/>
              <w:rPr>
                <w:rFonts w:ascii="Arial" w:hAnsi="Arial" w:cs="Arial"/>
              </w:rPr>
            </w:pPr>
            <w:r w:rsidRPr="005D0587">
              <w:rPr>
                <w:rFonts w:ascii="Arial" w:hAnsi="Arial" w:cs="Arial"/>
              </w:rPr>
              <w:t>Summary judgment is granted against the first and second respondents, jointly and severally, the one paying the other to be absolved, in the following terms:</w:t>
            </w:r>
          </w:p>
          <w:p w:rsidR="005D0587" w:rsidRPr="005D0587" w:rsidRDefault="005D0587" w:rsidP="005D0587">
            <w:pPr>
              <w:pStyle w:val="NormalWeb"/>
              <w:numPr>
                <w:ilvl w:val="0"/>
                <w:numId w:val="1"/>
              </w:numPr>
              <w:shd w:val="clear" w:color="auto" w:fill="FFFFFF"/>
              <w:spacing w:after="0" w:line="360" w:lineRule="auto"/>
              <w:jc w:val="both"/>
              <w:rPr>
                <w:rFonts w:ascii="Arial" w:hAnsi="Arial" w:cs="Arial"/>
              </w:rPr>
            </w:pPr>
            <w:r w:rsidRPr="005D0587">
              <w:rPr>
                <w:rFonts w:ascii="Arial" w:hAnsi="Arial" w:cs="Arial"/>
              </w:rPr>
              <w:t>Payment i</w:t>
            </w:r>
            <w:r w:rsidR="0079685C">
              <w:rPr>
                <w:rFonts w:ascii="Arial" w:hAnsi="Arial" w:cs="Arial"/>
              </w:rPr>
              <w:t>n the amount of N$12 729 557.18.</w:t>
            </w:r>
          </w:p>
          <w:p w:rsidR="005D0587" w:rsidRPr="005D0587" w:rsidRDefault="005D0587" w:rsidP="005D0587">
            <w:pPr>
              <w:pStyle w:val="NormalWeb"/>
              <w:numPr>
                <w:ilvl w:val="0"/>
                <w:numId w:val="1"/>
              </w:numPr>
              <w:shd w:val="clear" w:color="auto" w:fill="FFFFFF"/>
              <w:spacing w:after="0" w:line="360" w:lineRule="auto"/>
              <w:jc w:val="both"/>
              <w:rPr>
                <w:rFonts w:ascii="Arial" w:hAnsi="Arial" w:cs="Arial"/>
              </w:rPr>
            </w:pPr>
            <w:r w:rsidRPr="005D0587">
              <w:rPr>
                <w:rFonts w:ascii="Arial" w:hAnsi="Arial" w:cs="Arial"/>
              </w:rPr>
              <w:lastRenderedPageBreak/>
              <w:t>Compound interest calculated daily and capitalised monthly on the amount of N$12 729 557.18 at the plaintiff’s prime lending rate of interest from time to time, currently 10.5% plus 1.5% per annum calculated from 24 January 2023 to date of final payment.</w:t>
            </w:r>
          </w:p>
          <w:p w:rsidR="005D0587" w:rsidRPr="005D0587" w:rsidRDefault="005D0587" w:rsidP="005D0587">
            <w:pPr>
              <w:pStyle w:val="NormalWeb"/>
              <w:numPr>
                <w:ilvl w:val="0"/>
                <w:numId w:val="1"/>
              </w:numPr>
              <w:shd w:val="clear" w:color="auto" w:fill="FFFFFF"/>
              <w:spacing w:after="0" w:line="360" w:lineRule="auto"/>
              <w:jc w:val="both"/>
              <w:rPr>
                <w:rFonts w:ascii="Arial" w:hAnsi="Arial" w:cs="Arial"/>
              </w:rPr>
            </w:pPr>
            <w:r w:rsidRPr="005D0587">
              <w:rPr>
                <w:rFonts w:ascii="Arial" w:hAnsi="Arial" w:cs="Arial"/>
              </w:rPr>
              <w:t xml:space="preserve">Cost of suit on a scale of attorney and client. </w:t>
            </w:r>
          </w:p>
          <w:p w:rsidR="008C2200" w:rsidRPr="005D0587" w:rsidRDefault="005D0587" w:rsidP="005D0587">
            <w:pPr>
              <w:pStyle w:val="NormalWeb"/>
              <w:shd w:val="clear" w:color="auto" w:fill="FFFFFF"/>
              <w:spacing w:after="0" w:line="360" w:lineRule="auto"/>
              <w:ind w:left="20"/>
              <w:jc w:val="both"/>
              <w:rPr>
                <w:rFonts w:ascii="Arial" w:hAnsi="Arial" w:cs="Arial"/>
              </w:rPr>
            </w:pPr>
            <w:r w:rsidRPr="001541F5">
              <w:rPr>
                <w:rFonts w:ascii="Arial" w:hAnsi="Arial" w:cs="Arial"/>
              </w:rPr>
              <w:t>The matter is finalised and removed from the roll.</w:t>
            </w:r>
            <w:r>
              <w:rPr>
                <w:rFonts w:ascii="Arial" w:hAnsi="Arial" w:cs="Arial"/>
              </w:rPr>
              <w:t xml:space="preserve"> </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Default="00EA2DE2" w:rsidP="002A5816">
            <w:pPr>
              <w:spacing w:line="360" w:lineRule="auto"/>
              <w:jc w:val="both"/>
              <w:rPr>
                <w:rFonts w:ascii="Arial" w:hAnsi="Arial" w:cs="Arial"/>
                <w:sz w:val="24"/>
                <w:szCs w:val="24"/>
              </w:rPr>
            </w:pPr>
          </w:p>
          <w:p w:rsidR="00E12D38" w:rsidRDefault="00E12D38" w:rsidP="002A5816">
            <w:pPr>
              <w:spacing w:line="360" w:lineRule="auto"/>
              <w:jc w:val="both"/>
              <w:rPr>
                <w:rFonts w:ascii="Arial" w:hAnsi="Arial" w:cs="Arial"/>
                <w:sz w:val="24"/>
                <w:szCs w:val="24"/>
              </w:rPr>
            </w:pPr>
            <w:r>
              <w:rPr>
                <w:rFonts w:ascii="Arial" w:hAnsi="Arial" w:cs="Arial"/>
                <w:sz w:val="24"/>
                <w:szCs w:val="24"/>
              </w:rPr>
              <w:t>PRINSLOO J:</w:t>
            </w:r>
          </w:p>
          <w:p w:rsidR="0075139D" w:rsidRPr="00EA2DE2" w:rsidRDefault="0075139D" w:rsidP="002A5816">
            <w:pPr>
              <w:spacing w:line="360" w:lineRule="auto"/>
              <w:jc w:val="both"/>
              <w:rPr>
                <w:rFonts w:ascii="Arial" w:hAnsi="Arial" w:cs="Arial"/>
                <w:sz w:val="24"/>
                <w:szCs w:val="24"/>
              </w:rPr>
            </w:pPr>
          </w:p>
          <w:p w:rsidR="00B40844" w:rsidRPr="00CA7995" w:rsidRDefault="00B40844" w:rsidP="002A5816">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5D0587" w:rsidRPr="005D0587" w:rsidRDefault="00B40844" w:rsidP="005D0587">
            <w:pPr>
              <w:tabs>
                <w:tab w:val="left" w:pos="729"/>
              </w:tabs>
              <w:spacing w:line="360" w:lineRule="auto"/>
              <w:jc w:val="both"/>
              <w:rPr>
                <w:rFonts w:ascii="Arial" w:hAnsi="Arial" w:cs="Arial"/>
                <w:sz w:val="24"/>
                <w:szCs w:val="24"/>
              </w:rPr>
            </w:pPr>
            <w:r w:rsidRPr="00CA7995">
              <w:rPr>
                <w:rFonts w:ascii="Arial" w:hAnsi="Arial" w:cs="Arial"/>
                <w:sz w:val="24"/>
                <w:szCs w:val="24"/>
              </w:rPr>
              <w:t>[1]</w:t>
            </w:r>
            <w:r w:rsidRPr="00CA7995">
              <w:rPr>
                <w:rFonts w:ascii="Arial" w:hAnsi="Arial" w:cs="Arial"/>
                <w:sz w:val="24"/>
                <w:szCs w:val="24"/>
              </w:rPr>
              <w:tab/>
            </w:r>
            <w:r w:rsidR="005D0587" w:rsidRPr="005D0587">
              <w:rPr>
                <w:rFonts w:ascii="Arial" w:hAnsi="Arial" w:cs="Arial"/>
                <w:sz w:val="24"/>
                <w:szCs w:val="24"/>
              </w:rPr>
              <w:t xml:space="preserve">This is an application for summary judgment. The applicant is Bank Windhoek, who instituted action against the respondents, JP Investment CC and </w:t>
            </w:r>
            <w:proofErr w:type="spellStart"/>
            <w:r w:rsidR="005D0587" w:rsidRPr="005D0587">
              <w:rPr>
                <w:rFonts w:ascii="Arial" w:hAnsi="Arial" w:cs="Arial"/>
                <w:sz w:val="24"/>
                <w:szCs w:val="24"/>
              </w:rPr>
              <w:t>Fanek</w:t>
            </w:r>
            <w:proofErr w:type="spellEnd"/>
            <w:r w:rsidR="005D0587" w:rsidRPr="005D0587">
              <w:rPr>
                <w:rFonts w:ascii="Arial" w:hAnsi="Arial" w:cs="Arial"/>
                <w:sz w:val="24"/>
                <w:szCs w:val="24"/>
              </w:rPr>
              <w:t xml:space="preserve"> </w:t>
            </w:r>
            <w:r w:rsidR="005D0587" w:rsidRPr="001541F5">
              <w:rPr>
                <w:rFonts w:ascii="Arial" w:hAnsi="Arial" w:cs="Arial"/>
                <w:sz w:val="24"/>
                <w:szCs w:val="24"/>
              </w:rPr>
              <w:t>Mat</w:t>
            </w:r>
            <w:r w:rsidR="00232E65" w:rsidRPr="001541F5">
              <w:rPr>
                <w:rFonts w:ascii="Arial" w:hAnsi="Arial" w:cs="Arial"/>
                <w:sz w:val="24"/>
                <w:szCs w:val="24"/>
              </w:rPr>
              <w:t>h</w:t>
            </w:r>
            <w:r w:rsidR="005D0587" w:rsidRPr="001541F5">
              <w:rPr>
                <w:rFonts w:ascii="Arial" w:hAnsi="Arial" w:cs="Arial"/>
                <w:sz w:val="24"/>
                <w:szCs w:val="24"/>
              </w:rPr>
              <w:t>ias</w:t>
            </w:r>
            <w:r w:rsidR="005D0587" w:rsidRPr="005D0587">
              <w:rPr>
                <w:rFonts w:ascii="Arial" w:hAnsi="Arial" w:cs="Arial"/>
                <w:sz w:val="24"/>
                <w:szCs w:val="24"/>
              </w:rPr>
              <w:t xml:space="preserve">, on 31 January 2023, claiming the relief sought against the respondents jointly and severally.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[2]</w:t>
            </w:r>
            <w:r w:rsidRPr="005D0587">
              <w:rPr>
                <w:rFonts w:ascii="Arial" w:hAnsi="Arial" w:cs="Arial"/>
                <w:sz w:val="24"/>
                <w:szCs w:val="24"/>
              </w:rPr>
              <w:tab/>
              <w:t xml:space="preserve">The applicant and the first respondent entered into a commercial agreement on 20 December 2020 in terms of which </w:t>
            </w:r>
            <w:r w:rsidRPr="001541F5">
              <w:rPr>
                <w:rFonts w:ascii="Arial" w:hAnsi="Arial" w:cs="Arial"/>
                <w:sz w:val="24"/>
                <w:szCs w:val="24"/>
              </w:rPr>
              <w:t xml:space="preserve">the </w:t>
            </w:r>
            <w:r w:rsidR="00232E65" w:rsidRPr="001541F5">
              <w:rPr>
                <w:rFonts w:ascii="Arial" w:hAnsi="Arial" w:cs="Arial"/>
                <w:sz w:val="24"/>
                <w:szCs w:val="24"/>
              </w:rPr>
              <w:t xml:space="preserve">applicant </w:t>
            </w:r>
            <w:r w:rsidRPr="001541F5">
              <w:rPr>
                <w:rFonts w:ascii="Arial" w:hAnsi="Arial" w:cs="Arial"/>
                <w:sz w:val="24"/>
                <w:szCs w:val="24"/>
              </w:rPr>
              <w:t>would</w:t>
            </w:r>
            <w:r w:rsidRPr="005D0587">
              <w:rPr>
                <w:rFonts w:ascii="Arial" w:hAnsi="Arial" w:cs="Arial"/>
                <w:sz w:val="24"/>
                <w:szCs w:val="24"/>
              </w:rPr>
              <w:t xml:space="preserve"> lend and advance to the first respondent the amount of N$12 600 254. The loan would be repaid over five years with 59 monthly instalments of approximately N$128 375.33. The second respondent bound himself as surety and co-principal debtor (for an unlimited amount) with the first respondent. To secure the loan amount, the continuing mortgage bonds were taken over several immovable properties owned by the respondents.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[3]</w:t>
            </w:r>
            <w:r w:rsidRPr="005D0587">
              <w:rPr>
                <w:rFonts w:ascii="Arial" w:hAnsi="Arial" w:cs="Arial"/>
                <w:sz w:val="24"/>
                <w:szCs w:val="24"/>
              </w:rPr>
              <w:tab/>
              <w:t>During the period 16 August 2022 up to and including 8 December 2022, the respondents fell in arrears in the amount of N$443 484.96.</w:t>
            </w:r>
          </w:p>
          <w:p w:rsidR="005D0587" w:rsidRPr="005D0587" w:rsidRDefault="005D0587" w:rsidP="005D0587">
            <w:pPr>
              <w:tabs>
                <w:tab w:val="left" w:pos="729"/>
              </w:tabs>
              <w:spacing w:line="360" w:lineRule="auto"/>
              <w:jc w:val="both"/>
              <w:rPr>
                <w:rFonts w:ascii="Arial" w:hAnsi="Arial" w:cs="Arial"/>
                <w:sz w:val="24"/>
                <w:szCs w:val="24"/>
              </w:rPr>
            </w:pPr>
          </w:p>
          <w:p w:rsid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[4]</w:t>
            </w:r>
            <w:r w:rsidRPr="005D0587">
              <w:rPr>
                <w:rFonts w:ascii="Arial" w:hAnsi="Arial" w:cs="Arial"/>
                <w:sz w:val="24"/>
                <w:szCs w:val="24"/>
              </w:rPr>
              <w:tab/>
              <w:t>As a result of the breach by the respondents, the applicant seeks the following relief:</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w:t>
            </w:r>
            <w:r w:rsidRPr="005D0587">
              <w:rPr>
                <w:rFonts w:ascii="Arial" w:hAnsi="Arial" w:cs="Arial"/>
                <w:sz w:val="24"/>
                <w:szCs w:val="24"/>
              </w:rPr>
              <w:tab/>
              <w:t>Payment in the amount of N$12 729 557.18;</w:t>
            </w: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2.</w:t>
            </w:r>
            <w:r w:rsidRPr="005D0587">
              <w:rPr>
                <w:rFonts w:ascii="Arial" w:hAnsi="Arial" w:cs="Arial"/>
                <w:sz w:val="24"/>
                <w:szCs w:val="24"/>
              </w:rPr>
              <w:tab/>
              <w:t>Compounded interest calculated  daily and capitalised monthly on the amount of N$12 729 557.18, currently 10.5% plus 1.5% per annum calculated from 24 January 2023 to date of final payment;</w:t>
            </w: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3.</w:t>
            </w:r>
            <w:r w:rsidRPr="005D0587">
              <w:rPr>
                <w:rFonts w:ascii="Arial" w:hAnsi="Arial" w:cs="Arial"/>
                <w:sz w:val="24"/>
                <w:szCs w:val="24"/>
              </w:rPr>
              <w:tab/>
              <w:t xml:space="preserve">An order declaring four immovable properties executable. The immovable properties include </w:t>
            </w:r>
            <w:proofErr w:type="spellStart"/>
            <w:r w:rsidR="00652898" w:rsidRPr="001541F5">
              <w:rPr>
                <w:rFonts w:ascii="Arial" w:hAnsi="Arial" w:cs="Arial"/>
                <w:sz w:val="24"/>
                <w:szCs w:val="24"/>
              </w:rPr>
              <w:t>Ervens</w:t>
            </w:r>
            <w:proofErr w:type="spellEnd"/>
            <w:r w:rsidRPr="005D0587">
              <w:rPr>
                <w:rFonts w:ascii="Arial" w:hAnsi="Arial" w:cs="Arial"/>
                <w:sz w:val="24"/>
                <w:szCs w:val="24"/>
              </w:rPr>
              <w:t xml:space="preserve"> 5562, 5564, 5565 and 5447, Extension 12, </w:t>
            </w:r>
            <w:proofErr w:type="spellStart"/>
            <w:proofErr w:type="gramStart"/>
            <w:r w:rsidRPr="005D0587">
              <w:rPr>
                <w:rFonts w:ascii="Arial" w:hAnsi="Arial" w:cs="Arial"/>
                <w:sz w:val="24"/>
                <w:szCs w:val="24"/>
              </w:rPr>
              <w:t>Ondangwa</w:t>
            </w:r>
            <w:proofErr w:type="spellEnd"/>
            <w:proofErr w:type="gramEnd"/>
            <w:r w:rsidRPr="005D0587">
              <w:rPr>
                <w:rFonts w:ascii="Arial" w:hAnsi="Arial" w:cs="Arial"/>
                <w:sz w:val="24"/>
                <w:szCs w:val="24"/>
              </w:rPr>
              <w: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Background in respect of the JCM process</w:t>
            </w:r>
          </w:p>
          <w:p w:rsidR="005D0587" w:rsidRPr="005D0587" w:rsidRDefault="005D0587" w:rsidP="005D0587">
            <w:pPr>
              <w:tabs>
                <w:tab w:val="left" w:pos="729"/>
              </w:tabs>
              <w:spacing w:line="360" w:lineRule="auto"/>
              <w:jc w:val="both"/>
              <w:rPr>
                <w:rFonts w:ascii="Arial" w:hAnsi="Arial" w:cs="Arial"/>
                <w:sz w:val="24"/>
                <w:szCs w:val="24"/>
                <w:u w:val="single"/>
              </w:rPr>
            </w:pPr>
          </w:p>
          <w:p w:rsidR="005D0587" w:rsidRPr="005D0587" w:rsidRDefault="005D0587" w:rsidP="002A5816">
            <w:pPr>
              <w:pStyle w:val="BodyText"/>
            </w:pPr>
            <w:r w:rsidRPr="005D0587">
              <w:t>[5]</w:t>
            </w:r>
            <w:r w:rsidRPr="005D0587">
              <w:tab/>
              <w:t xml:space="preserve">The respondents defended the matter on 20 February 2023 and the parties were issued a case plan on 6 March 2023, setting out the procedural steps for the intended application </w:t>
            </w:r>
            <w:r w:rsidR="00652898" w:rsidRPr="001541F5">
              <w:t>for</w:t>
            </w:r>
            <w:r w:rsidRPr="005D0587">
              <w:t xml:space="preserve"> summary judgment that the </w:t>
            </w:r>
            <w:r w:rsidR="00232E65" w:rsidRPr="001541F5">
              <w:t xml:space="preserve">applicant </w:t>
            </w:r>
            <w:r w:rsidRPr="001541F5">
              <w:t>i</w:t>
            </w:r>
            <w:r w:rsidRPr="005D0587">
              <w:t>ntended to pursue. The parties had to engage one another, and the applicant had to file the rule 32(10) report on or before 20 March 2023 and the application for summary judgment on 29 March 2023.</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[6]</w:t>
            </w:r>
            <w:r w:rsidRPr="005D0587">
              <w:rPr>
                <w:rFonts w:ascii="Arial" w:hAnsi="Arial" w:cs="Arial"/>
                <w:sz w:val="24"/>
                <w:szCs w:val="24"/>
              </w:rPr>
              <w:tab/>
              <w:t xml:space="preserve">On 9 March 2023, the </w:t>
            </w:r>
            <w:r w:rsidR="0044564D" w:rsidRPr="001541F5">
              <w:rPr>
                <w:rFonts w:ascii="Arial" w:hAnsi="Arial" w:cs="Arial"/>
                <w:sz w:val="24"/>
                <w:szCs w:val="24"/>
              </w:rPr>
              <w:t>respondents</w:t>
            </w:r>
            <w:r w:rsidR="001541F5" w:rsidRPr="001541F5">
              <w:rPr>
                <w:rFonts w:ascii="Arial" w:hAnsi="Arial" w:cs="Arial"/>
                <w:sz w:val="24"/>
                <w:szCs w:val="24"/>
              </w:rPr>
              <w:t>’</w:t>
            </w:r>
            <w:r w:rsidR="0044564D">
              <w:rPr>
                <w:rFonts w:ascii="Arial" w:hAnsi="Arial" w:cs="Arial"/>
                <w:sz w:val="24"/>
                <w:szCs w:val="24"/>
              </w:rPr>
              <w:t xml:space="preserve"> </w:t>
            </w:r>
            <w:r w:rsidRPr="005D0587">
              <w:rPr>
                <w:rFonts w:ascii="Arial" w:hAnsi="Arial" w:cs="Arial"/>
                <w:sz w:val="24"/>
                <w:szCs w:val="24"/>
              </w:rPr>
              <w:t>erstwhile legal practitioners withdrew as legal practitioners of record, and although the notice was served on the respondents on 14 March 2023, the returns of service in terms of rule 44(7) were only filed on 22 March 2023. The respondents’ new legal practitioner came on record on 24 March 2023.</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[7]</w:t>
            </w:r>
            <w:r w:rsidRPr="005D0587">
              <w:rPr>
                <w:rFonts w:ascii="Arial" w:hAnsi="Arial" w:cs="Arial"/>
                <w:sz w:val="24"/>
                <w:szCs w:val="24"/>
              </w:rPr>
              <w:tab/>
              <w:t>As directed by the court order dated 6 March 2023, the applicant filed its rule 32(10) report indicating that the respondents’ legal practitioner withdrew and that the rule 32(9) engagement could not proceed as scheduled as the new legal practitioners, Slogan Mathews and Associates</w:t>
            </w:r>
            <w:r w:rsidR="002A5816">
              <w:rPr>
                <w:rFonts w:ascii="Arial" w:hAnsi="Arial" w:cs="Arial"/>
                <w:sz w:val="24"/>
                <w:szCs w:val="24"/>
              </w:rPr>
              <w:t>,</w:t>
            </w:r>
            <w:r w:rsidRPr="005D0587">
              <w:rPr>
                <w:rFonts w:ascii="Arial" w:hAnsi="Arial" w:cs="Arial"/>
                <w:sz w:val="24"/>
                <w:szCs w:val="24"/>
              </w:rPr>
              <w:t xml:space="preserve"> were not on record for the respondents as yet.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[8]</w:t>
            </w:r>
            <w:r w:rsidRPr="005D0587">
              <w:rPr>
                <w:rFonts w:ascii="Arial" w:hAnsi="Arial" w:cs="Arial"/>
                <w:sz w:val="24"/>
                <w:szCs w:val="24"/>
              </w:rPr>
              <w:tab/>
              <w:t xml:space="preserve">The applicant filed its summary judgment application on 30 March 2023. The applicant sought </w:t>
            </w:r>
            <w:proofErr w:type="spellStart"/>
            <w:r w:rsidRPr="005D0587">
              <w:rPr>
                <w:rFonts w:ascii="Arial" w:hAnsi="Arial" w:cs="Arial"/>
                <w:sz w:val="24"/>
                <w:szCs w:val="24"/>
              </w:rPr>
              <w:t>condonation</w:t>
            </w:r>
            <w:proofErr w:type="spellEnd"/>
            <w:r w:rsidRPr="005D0587">
              <w:rPr>
                <w:rFonts w:ascii="Arial" w:hAnsi="Arial" w:cs="Arial"/>
                <w:sz w:val="24"/>
                <w:szCs w:val="24"/>
              </w:rPr>
              <w:t xml:space="preserve"> for the late filing of the </w:t>
            </w:r>
            <w:r w:rsidR="00232E65" w:rsidRPr="001541F5">
              <w:rPr>
                <w:rFonts w:ascii="Arial" w:hAnsi="Arial" w:cs="Arial"/>
                <w:sz w:val="24"/>
                <w:szCs w:val="24"/>
              </w:rPr>
              <w:t>application</w:t>
            </w:r>
            <w:r w:rsidRPr="001541F5">
              <w:rPr>
                <w:rFonts w:ascii="Arial" w:hAnsi="Arial" w:cs="Arial"/>
                <w:sz w:val="24"/>
                <w:szCs w:val="24"/>
              </w:rPr>
              <w:t>,</w:t>
            </w:r>
            <w:r w:rsidRPr="005D0587">
              <w:rPr>
                <w:rFonts w:ascii="Arial" w:hAnsi="Arial" w:cs="Arial"/>
                <w:sz w:val="24"/>
                <w:szCs w:val="24"/>
              </w:rPr>
              <w:t xml:space="preserve"> which was granted on 15 June 2023.</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 xml:space="preserve">The opposition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[9]</w:t>
            </w:r>
            <w:r w:rsidRPr="005D0587">
              <w:rPr>
                <w:rFonts w:ascii="Arial" w:hAnsi="Arial" w:cs="Arial"/>
                <w:sz w:val="24"/>
                <w:szCs w:val="24"/>
              </w:rPr>
              <w:tab/>
              <w:t xml:space="preserve">Mr Mathias, the second respondent and the sole member of the first respondent, deposed to the answering affidavit in opposition to the application for summary judgment.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[10]</w:t>
            </w:r>
            <w:r w:rsidRPr="005D0587">
              <w:rPr>
                <w:rFonts w:ascii="Arial" w:hAnsi="Arial" w:cs="Arial"/>
                <w:sz w:val="24"/>
                <w:szCs w:val="24"/>
              </w:rPr>
              <w:tab/>
              <w:t xml:space="preserve">In opposition to the summary judgment application, the respondents raised three points in </w:t>
            </w:r>
            <w:proofErr w:type="spellStart"/>
            <w:r w:rsidRPr="005D0587">
              <w:rPr>
                <w:rFonts w:ascii="Arial" w:hAnsi="Arial" w:cs="Arial"/>
                <w:sz w:val="24"/>
                <w:szCs w:val="24"/>
              </w:rPr>
              <w:t>limine</w:t>
            </w:r>
            <w:proofErr w:type="spellEnd"/>
            <w:r w:rsidRPr="005D0587">
              <w:rPr>
                <w:rFonts w:ascii="Arial" w:hAnsi="Arial" w:cs="Arial"/>
                <w:sz w:val="24"/>
                <w:szCs w:val="24"/>
              </w:rPr>
              <w:t xml:space="preserve">, which </w:t>
            </w:r>
            <w:r w:rsidR="0044564D" w:rsidRPr="001541F5">
              <w:rPr>
                <w:rFonts w:ascii="Arial" w:hAnsi="Arial" w:cs="Arial"/>
                <w:sz w:val="24"/>
                <w:szCs w:val="24"/>
              </w:rPr>
              <w:t>were</w:t>
            </w:r>
            <w:r w:rsidRPr="005D0587">
              <w:rPr>
                <w:rFonts w:ascii="Arial" w:hAnsi="Arial" w:cs="Arial"/>
                <w:sz w:val="24"/>
                <w:szCs w:val="24"/>
              </w:rPr>
              <w:t xml:space="preserve"> a) non-compliance with rule 32(9), </w:t>
            </w:r>
            <w:r w:rsidR="002A5816">
              <w:rPr>
                <w:rFonts w:ascii="Arial" w:hAnsi="Arial" w:cs="Arial"/>
                <w:sz w:val="24"/>
                <w:szCs w:val="24"/>
              </w:rPr>
              <w:t xml:space="preserve">b) </w:t>
            </w:r>
            <w:r w:rsidRPr="005D0587">
              <w:rPr>
                <w:rFonts w:ascii="Arial" w:hAnsi="Arial" w:cs="Arial"/>
                <w:sz w:val="24"/>
                <w:szCs w:val="24"/>
              </w:rPr>
              <w:t xml:space="preserve">the </w:t>
            </w:r>
            <w:r w:rsidR="0044564D" w:rsidRPr="001541F5">
              <w:rPr>
                <w:rFonts w:ascii="Arial" w:hAnsi="Arial" w:cs="Arial"/>
                <w:sz w:val="24"/>
                <w:szCs w:val="24"/>
              </w:rPr>
              <w:t>applicant</w:t>
            </w:r>
            <w:r w:rsidRPr="005D0587">
              <w:rPr>
                <w:rFonts w:ascii="Arial" w:hAnsi="Arial" w:cs="Arial"/>
                <w:sz w:val="24"/>
                <w:szCs w:val="24"/>
              </w:rPr>
              <w:t xml:space="preserve"> filed the summary judgment application out of time without a </w:t>
            </w:r>
            <w:proofErr w:type="spellStart"/>
            <w:r w:rsidRPr="005D0587">
              <w:rPr>
                <w:rFonts w:ascii="Arial" w:hAnsi="Arial" w:cs="Arial"/>
                <w:sz w:val="24"/>
                <w:szCs w:val="24"/>
              </w:rPr>
              <w:t>condonation</w:t>
            </w:r>
            <w:proofErr w:type="spellEnd"/>
            <w:r w:rsidRPr="005D0587">
              <w:rPr>
                <w:rFonts w:ascii="Arial" w:hAnsi="Arial" w:cs="Arial"/>
                <w:sz w:val="24"/>
                <w:szCs w:val="24"/>
              </w:rPr>
              <w:t xml:space="preserve"> application, and c) the deponent to the founding affidavit in support of the summary judgment application has no personal knowledge of the facts or particulars of the matter. </w:t>
            </w:r>
          </w:p>
          <w:p w:rsidR="005D0587" w:rsidRPr="005D0587" w:rsidRDefault="005D0587" w:rsidP="005D0587">
            <w:pPr>
              <w:tabs>
                <w:tab w:val="left" w:pos="729"/>
              </w:tabs>
              <w:spacing w:line="360" w:lineRule="auto"/>
              <w:jc w:val="both"/>
              <w:rPr>
                <w:rFonts w:ascii="Arial" w:hAnsi="Arial" w:cs="Arial"/>
                <w:sz w:val="24"/>
                <w:szCs w:val="24"/>
              </w:rPr>
            </w:pPr>
          </w:p>
          <w:p w:rsidR="00B675BA" w:rsidRDefault="00B675BA" w:rsidP="005D0587">
            <w:pPr>
              <w:tabs>
                <w:tab w:val="left" w:pos="729"/>
              </w:tabs>
              <w:spacing w:line="360" w:lineRule="auto"/>
              <w:jc w:val="both"/>
              <w:rPr>
                <w:rFonts w:ascii="Arial" w:hAnsi="Arial" w:cs="Arial"/>
                <w:sz w:val="24"/>
                <w:szCs w:val="24"/>
              </w:rPr>
            </w:pPr>
          </w:p>
          <w:p w:rsidR="00B675BA" w:rsidRDefault="00B675BA" w:rsidP="005D0587">
            <w:pPr>
              <w:tabs>
                <w:tab w:val="left" w:pos="729"/>
              </w:tabs>
              <w:spacing w:line="360" w:lineRule="auto"/>
              <w:jc w:val="both"/>
              <w:rPr>
                <w:rFonts w:ascii="Arial" w:hAnsi="Arial" w:cs="Arial"/>
                <w:sz w:val="24"/>
                <w:szCs w:val="24"/>
              </w:rPr>
            </w:pPr>
          </w:p>
          <w:p w:rsidR="0079685C" w:rsidRDefault="0079685C" w:rsidP="005D0587">
            <w:pPr>
              <w:tabs>
                <w:tab w:val="left" w:pos="729"/>
              </w:tabs>
              <w:spacing w:line="360" w:lineRule="auto"/>
              <w:jc w:val="both"/>
              <w:rPr>
                <w:rFonts w:ascii="Arial" w:hAnsi="Arial" w:cs="Arial"/>
                <w:sz w:val="24"/>
                <w:szCs w:val="24"/>
              </w:rPr>
            </w:pPr>
          </w:p>
          <w:p w:rsid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[11]</w:t>
            </w:r>
            <w:r w:rsidRPr="005D0587">
              <w:rPr>
                <w:rFonts w:ascii="Arial" w:hAnsi="Arial" w:cs="Arial"/>
                <w:sz w:val="24"/>
                <w:szCs w:val="24"/>
              </w:rPr>
              <w:tab/>
              <w:t>On the merits, Mr Mathias firstly takes issue with the order sought to declare the immovable properties executable as one of those properties (</w:t>
            </w:r>
            <w:proofErr w:type="spellStart"/>
            <w:r w:rsidRPr="005D0587">
              <w:rPr>
                <w:rFonts w:ascii="Arial" w:hAnsi="Arial" w:cs="Arial"/>
                <w:sz w:val="24"/>
                <w:szCs w:val="24"/>
              </w:rPr>
              <w:t>Erf</w:t>
            </w:r>
            <w:proofErr w:type="spellEnd"/>
            <w:r w:rsidRPr="005D0587">
              <w:rPr>
                <w:rFonts w:ascii="Arial" w:hAnsi="Arial" w:cs="Arial"/>
                <w:sz w:val="24"/>
                <w:szCs w:val="24"/>
              </w:rPr>
              <w:t xml:space="preserve"> 5565) is his primary residence and part of</w:t>
            </w:r>
          </w:p>
          <w:p w:rsidR="005D0587" w:rsidRPr="005D0587" w:rsidRDefault="00232E65" w:rsidP="005D0587">
            <w:pPr>
              <w:tabs>
                <w:tab w:val="left" w:pos="729"/>
              </w:tabs>
              <w:spacing w:line="360" w:lineRule="auto"/>
              <w:jc w:val="both"/>
              <w:rPr>
                <w:rFonts w:ascii="Arial" w:hAnsi="Arial" w:cs="Arial"/>
                <w:sz w:val="24"/>
                <w:szCs w:val="24"/>
              </w:rPr>
            </w:pPr>
            <w:proofErr w:type="spellStart"/>
            <w:proofErr w:type="gramStart"/>
            <w:r w:rsidRPr="001541F5">
              <w:rPr>
                <w:rFonts w:ascii="Arial" w:hAnsi="Arial" w:cs="Arial"/>
                <w:sz w:val="24"/>
                <w:szCs w:val="24"/>
              </w:rPr>
              <w:t>e</w:t>
            </w:r>
            <w:r w:rsidR="0044564D" w:rsidRPr="001541F5">
              <w:rPr>
                <w:rFonts w:ascii="Arial" w:hAnsi="Arial" w:cs="Arial"/>
                <w:sz w:val="24"/>
                <w:szCs w:val="24"/>
              </w:rPr>
              <w:t>rvens</w:t>
            </w:r>
            <w:proofErr w:type="spellEnd"/>
            <w:proofErr w:type="gramEnd"/>
            <w:r w:rsidR="005D0587" w:rsidRPr="005D0587">
              <w:rPr>
                <w:rFonts w:ascii="Arial" w:hAnsi="Arial" w:cs="Arial"/>
                <w:sz w:val="24"/>
                <w:szCs w:val="24"/>
              </w:rPr>
              <w:t xml:space="preserve"> 5565, 5564 and 5447 are leased to different tenants. There appears to be an offer to purchase the remaining property. Mr Mathias contends that it is improper to declare the immovable properties executable without exploring less drastic measures as an alternative to the sale in execution of the properties. In this regard, Mr Mat</w:t>
            </w:r>
            <w:r w:rsidR="002A5816">
              <w:rPr>
                <w:rFonts w:ascii="Arial" w:hAnsi="Arial" w:cs="Arial"/>
                <w:sz w:val="24"/>
                <w:szCs w:val="24"/>
              </w:rPr>
              <w:t>h</w:t>
            </w:r>
            <w:r w:rsidR="005D0587" w:rsidRPr="005D0587">
              <w:rPr>
                <w:rFonts w:ascii="Arial" w:hAnsi="Arial" w:cs="Arial"/>
                <w:sz w:val="24"/>
                <w:szCs w:val="24"/>
              </w:rPr>
              <w:t xml:space="preserve">ias avers that in the event of selling the respondents’ other properties, the deal would yield a sufficient return to cover the balance of the applicant’s claim.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[12]</w:t>
            </w:r>
            <w:r w:rsidRPr="005D0587">
              <w:rPr>
                <w:rFonts w:ascii="Arial" w:hAnsi="Arial" w:cs="Arial"/>
                <w:sz w:val="24"/>
                <w:szCs w:val="24"/>
              </w:rPr>
              <w:tab/>
              <w:t xml:space="preserve">In respect of the amount claimed by the applicant, Mr Mathias concedes that the respondents entered into a loan agreement with the applicant in the amount of N$17 836 685.25 (inclusive of interest and all charges) but disputes that the balance of the loan as </w:t>
            </w:r>
            <w:r w:rsidR="00232E65" w:rsidRPr="001541F5">
              <w:rPr>
                <w:rFonts w:ascii="Arial" w:hAnsi="Arial" w:cs="Arial"/>
                <w:sz w:val="24"/>
                <w:szCs w:val="24"/>
              </w:rPr>
              <w:t>at</w:t>
            </w:r>
            <w:r w:rsidR="00232E65">
              <w:rPr>
                <w:rFonts w:ascii="Arial" w:hAnsi="Arial" w:cs="Arial"/>
                <w:sz w:val="24"/>
                <w:szCs w:val="24"/>
              </w:rPr>
              <w:t xml:space="preserve"> </w:t>
            </w:r>
            <w:r w:rsidRPr="005D0587">
              <w:rPr>
                <w:rFonts w:ascii="Arial" w:hAnsi="Arial" w:cs="Arial"/>
                <w:sz w:val="24"/>
                <w:szCs w:val="24"/>
              </w:rPr>
              <w:t>January 2023 amounted to N$12 729 557.18</w:t>
            </w:r>
            <w:r w:rsidR="00232E65">
              <w:rPr>
                <w:rFonts w:ascii="Arial" w:hAnsi="Arial" w:cs="Arial"/>
                <w:sz w:val="24"/>
                <w:szCs w:val="24"/>
              </w:rPr>
              <w:t>.</w:t>
            </w:r>
            <w:r w:rsidRPr="005D0587">
              <w:rPr>
                <w:rFonts w:ascii="Arial" w:hAnsi="Arial" w:cs="Arial"/>
                <w:sz w:val="24"/>
                <w:szCs w:val="24"/>
              </w:rPr>
              <w:t xml:space="preserve"> Mr Mathias’ reasoning in this regard is that the respondents made payment in the amount of N$134 870.24 per month towards the loan. The outstanding balance in respect of the loan on 8 December 2022 was N$12 627 741.61, resulting in a difference of N$101 815.57 between the December 2022 balance and the January 2023 balance, which is not equal to a monthly instalment.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[13]</w:t>
            </w:r>
            <w:r w:rsidRPr="005D0587">
              <w:rPr>
                <w:rFonts w:ascii="Arial" w:hAnsi="Arial" w:cs="Arial"/>
                <w:sz w:val="24"/>
                <w:szCs w:val="24"/>
              </w:rPr>
              <w:tab/>
              <w:t>Mr Mathias disputes the outstanding balance</w:t>
            </w:r>
            <w:r w:rsidR="0044564D">
              <w:rPr>
                <w:rFonts w:ascii="Arial" w:hAnsi="Arial" w:cs="Arial"/>
                <w:sz w:val="24"/>
                <w:szCs w:val="24"/>
              </w:rPr>
              <w:t xml:space="preserve"> </w:t>
            </w:r>
            <w:r w:rsidR="0044564D" w:rsidRPr="001541F5">
              <w:rPr>
                <w:rFonts w:ascii="Arial" w:hAnsi="Arial" w:cs="Arial"/>
                <w:sz w:val="24"/>
                <w:szCs w:val="24"/>
              </w:rPr>
              <w:t>as alleged by the</w:t>
            </w:r>
            <w:r w:rsidR="00232E65" w:rsidRPr="001541F5">
              <w:rPr>
                <w:rFonts w:ascii="Arial" w:hAnsi="Arial" w:cs="Arial"/>
                <w:sz w:val="24"/>
                <w:szCs w:val="24"/>
              </w:rPr>
              <w:t xml:space="preserve"> applicant</w:t>
            </w:r>
            <w:r w:rsidRPr="005D0587">
              <w:rPr>
                <w:rFonts w:ascii="Arial" w:hAnsi="Arial" w:cs="Arial"/>
                <w:sz w:val="24"/>
                <w:szCs w:val="24"/>
              </w:rPr>
              <w:t xml:space="preserve"> and accordingly disputes that the amount reflected on the certificate of indebtedness is correct.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Arguments advanced on behalf of the parties</w:t>
            </w:r>
          </w:p>
          <w:p w:rsidR="005D0587" w:rsidRPr="005D0587" w:rsidRDefault="005D0587" w:rsidP="005D0587">
            <w:pPr>
              <w:tabs>
                <w:tab w:val="left" w:pos="729"/>
              </w:tabs>
              <w:spacing w:line="360" w:lineRule="auto"/>
              <w:jc w:val="both"/>
              <w:rPr>
                <w:rFonts w:ascii="Arial" w:hAnsi="Arial" w:cs="Arial"/>
                <w:sz w:val="24"/>
                <w:szCs w:val="24"/>
                <w:u w:val="single"/>
              </w:rPr>
            </w:pPr>
          </w:p>
          <w:p w:rsidR="005D0587" w:rsidRPr="005D0587" w:rsidRDefault="005D0587" w:rsidP="005D0587">
            <w:pPr>
              <w:tabs>
                <w:tab w:val="left" w:pos="729"/>
              </w:tabs>
              <w:spacing w:line="360" w:lineRule="auto"/>
              <w:jc w:val="both"/>
              <w:rPr>
                <w:rFonts w:ascii="Arial" w:hAnsi="Arial" w:cs="Arial"/>
                <w:i/>
                <w:sz w:val="24"/>
                <w:szCs w:val="24"/>
              </w:rPr>
            </w:pPr>
            <w:r w:rsidRPr="005D0587">
              <w:rPr>
                <w:rFonts w:ascii="Arial" w:hAnsi="Arial" w:cs="Arial"/>
                <w:i/>
                <w:sz w:val="24"/>
                <w:szCs w:val="24"/>
              </w:rPr>
              <w:t>On behalf of the applicant</w:t>
            </w:r>
          </w:p>
          <w:p w:rsidR="005D0587" w:rsidRPr="005D0587" w:rsidRDefault="005D0587" w:rsidP="005D0587">
            <w:pPr>
              <w:tabs>
                <w:tab w:val="left" w:pos="729"/>
              </w:tabs>
              <w:spacing w:line="360" w:lineRule="auto"/>
              <w:jc w:val="both"/>
              <w:rPr>
                <w:rFonts w:ascii="Arial" w:hAnsi="Arial" w:cs="Arial"/>
                <w:sz w:val="24"/>
                <w:szCs w:val="24"/>
              </w:rPr>
            </w:pPr>
          </w:p>
          <w:p w:rsid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[14]</w:t>
            </w:r>
            <w:r w:rsidRPr="005D0587">
              <w:rPr>
                <w:rFonts w:ascii="Arial" w:hAnsi="Arial" w:cs="Arial"/>
                <w:sz w:val="24"/>
                <w:szCs w:val="24"/>
              </w:rPr>
              <w:tab/>
              <w:t xml:space="preserve">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submitted at the onset of his argument that the respondents failed to raise a </w:t>
            </w:r>
            <w:proofErr w:type="spellStart"/>
            <w:r w:rsidRPr="005D0587">
              <w:rPr>
                <w:rFonts w:ascii="Arial" w:hAnsi="Arial" w:cs="Arial"/>
                <w:sz w:val="24"/>
                <w:szCs w:val="24"/>
              </w:rPr>
              <w:t>triable</w:t>
            </w:r>
            <w:proofErr w:type="spellEnd"/>
            <w:r w:rsidRPr="005D0587">
              <w:rPr>
                <w:rFonts w:ascii="Arial" w:hAnsi="Arial" w:cs="Arial"/>
                <w:sz w:val="24"/>
                <w:szCs w:val="24"/>
              </w:rPr>
              <w:t xml:space="preserve"> issue, as the loan agreement between the parties and its terms is common cause, and the first respondent's default in respect of the loan agreement is undisputed. In reply to the points in </w:t>
            </w:r>
            <w:proofErr w:type="spellStart"/>
            <w:r w:rsidRPr="005D0587">
              <w:rPr>
                <w:rFonts w:ascii="Arial" w:hAnsi="Arial" w:cs="Arial"/>
                <w:sz w:val="24"/>
                <w:szCs w:val="24"/>
              </w:rPr>
              <w:t>limine</w:t>
            </w:r>
            <w:proofErr w:type="spellEnd"/>
            <w:r w:rsidRPr="005D0587">
              <w:rPr>
                <w:rFonts w:ascii="Arial" w:hAnsi="Arial" w:cs="Arial"/>
                <w:sz w:val="24"/>
                <w:szCs w:val="24"/>
              </w:rPr>
              <w:t xml:space="preserve"> raised by the respondents, 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submitted as follows and contended that the points in </w:t>
            </w:r>
            <w:proofErr w:type="spellStart"/>
            <w:r w:rsidRPr="005D0587">
              <w:rPr>
                <w:rFonts w:ascii="Arial" w:hAnsi="Arial" w:cs="Arial"/>
                <w:sz w:val="24"/>
                <w:szCs w:val="24"/>
              </w:rPr>
              <w:t>limine</w:t>
            </w:r>
            <w:proofErr w:type="spellEnd"/>
            <w:r w:rsidRPr="005D0587">
              <w:rPr>
                <w:rFonts w:ascii="Arial" w:hAnsi="Arial" w:cs="Arial"/>
                <w:sz w:val="24"/>
                <w:szCs w:val="24"/>
              </w:rPr>
              <w:t xml:space="preserve"> so raised stand to be dismissed:</w:t>
            </w:r>
          </w:p>
          <w:p w:rsidR="005D0587" w:rsidRPr="005D0587" w:rsidRDefault="005D0587" w:rsidP="005D0587">
            <w:pPr>
              <w:tabs>
                <w:tab w:val="left" w:pos="729"/>
              </w:tabs>
              <w:spacing w:line="360" w:lineRule="auto"/>
              <w:jc w:val="both"/>
              <w:rPr>
                <w:rFonts w:ascii="Arial" w:hAnsi="Arial" w:cs="Arial"/>
                <w:sz w:val="24"/>
                <w:szCs w:val="24"/>
              </w:rPr>
            </w:pPr>
          </w:p>
          <w:p w:rsidR="006275BB"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a)</w:t>
            </w:r>
            <w:r w:rsidRPr="005D0587">
              <w:rPr>
                <w:rFonts w:ascii="Arial" w:hAnsi="Arial" w:cs="Arial"/>
                <w:sz w:val="24"/>
                <w:szCs w:val="24"/>
              </w:rPr>
              <w:tab/>
              <w:t xml:space="preserve">Non-compliance with rules 32(9) and (10): 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w:t>
            </w:r>
            <w:r w:rsidR="0044564D" w:rsidRPr="001541F5">
              <w:rPr>
                <w:rFonts w:ascii="Arial" w:hAnsi="Arial" w:cs="Arial"/>
                <w:sz w:val="24"/>
                <w:szCs w:val="24"/>
              </w:rPr>
              <w:t>proceeded</w:t>
            </w:r>
            <w:r w:rsidR="0044564D">
              <w:rPr>
                <w:rFonts w:ascii="Arial" w:hAnsi="Arial" w:cs="Arial"/>
                <w:sz w:val="24"/>
                <w:szCs w:val="24"/>
              </w:rPr>
              <w:t xml:space="preserve"> </w:t>
            </w:r>
            <w:r w:rsidRPr="005D0587">
              <w:rPr>
                <w:rFonts w:ascii="Arial" w:hAnsi="Arial" w:cs="Arial"/>
                <w:sz w:val="24"/>
                <w:szCs w:val="24"/>
              </w:rPr>
              <w:t xml:space="preserve">to set out all the attempts to engage the erstwhile legal practitioners of the respondents and the current legal </w:t>
            </w:r>
          </w:p>
          <w:p w:rsidR="001D7F5F" w:rsidRDefault="005D0587" w:rsidP="005D0587">
            <w:pPr>
              <w:tabs>
                <w:tab w:val="left" w:pos="729"/>
              </w:tabs>
              <w:spacing w:line="360" w:lineRule="auto"/>
              <w:jc w:val="both"/>
              <w:rPr>
                <w:rFonts w:ascii="Arial" w:hAnsi="Arial" w:cs="Arial"/>
                <w:sz w:val="24"/>
                <w:szCs w:val="24"/>
              </w:rPr>
            </w:pPr>
            <w:proofErr w:type="gramStart"/>
            <w:r w:rsidRPr="005D0587">
              <w:rPr>
                <w:rFonts w:ascii="Arial" w:hAnsi="Arial" w:cs="Arial"/>
                <w:sz w:val="24"/>
                <w:szCs w:val="24"/>
              </w:rPr>
              <w:lastRenderedPageBreak/>
              <w:t>practitioners</w:t>
            </w:r>
            <w:proofErr w:type="gramEnd"/>
            <w:r w:rsidRPr="005D0587">
              <w:rPr>
                <w:rFonts w:ascii="Arial" w:hAnsi="Arial" w:cs="Arial"/>
                <w:sz w:val="24"/>
                <w:szCs w:val="24"/>
              </w:rPr>
              <w:t xml:space="preserve"> to resolve the matter amicably. Initially, the respondents’ current legal practitioners could not attend the rule 32(9) engagement because they were not formally on record ye</w:t>
            </w:r>
            <w:r w:rsidR="002A5816">
              <w:rPr>
                <w:rFonts w:ascii="Arial" w:hAnsi="Arial" w:cs="Arial"/>
                <w:sz w:val="24"/>
                <w:szCs w:val="24"/>
              </w:rPr>
              <w:t>t. E</w:t>
            </w:r>
            <w:r w:rsidRPr="005D0587">
              <w:rPr>
                <w:rFonts w:ascii="Arial" w:hAnsi="Arial" w:cs="Arial"/>
                <w:sz w:val="24"/>
                <w:szCs w:val="24"/>
              </w:rPr>
              <w:t xml:space="preserve">ven </w:t>
            </w:r>
          </w:p>
          <w:p w:rsidR="005D0587" w:rsidRPr="005D0587" w:rsidRDefault="005D0587" w:rsidP="002A5816">
            <w:pPr>
              <w:pStyle w:val="BodyText"/>
            </w:pPr>
            <w:proofErr w:type="gramStart"/>
            <w:r w:rsidRPr="005D0587">
              <w:t>though</w:t>
            </w:r>
            <w:proofErr w:type="gramEnd"/>
            <w:r w:rsidRPr="005D0587">
              <w:t xml:space="preserve"> not formally on record, they engaged the applicant’s legal practitioners informing them that they are representing the respondents. Mr </w:t>
            </w:r>
            <w:proofErr w:type="spellStart"/>
            <w:r w:rsidRPr="005D0587">
              <w:t>Luvindao</w:t>
            </w:r>
            <w:proofErr w:type="spellEnd"/>
            <w:r w:rsidRPr="005D0587">
              <w:t xml:space="preserve"> submitted that once on record, the current legal practitioners did nothing to either apply for an extension of time or engage the applicant’s legal practitioners in any</w:t>
            </w:r>
            <w:r w:rsidR="0044564D">
              <w:t xml:space="preserve"> </w:t>
            </w:r>
            <w:r w:rsidR="0044564D" w:rsidRPr="001541F5">
              <w:t>way</w:t>
            </w:r>
            <w:r w:rsidRPr="005D0587">
              <w:t xml:space="preserve"> but instead idly sat back and did nothing. Mr </w:t>
            </w:r>
            <w:proofErr w:type="spellStart"/>
            <w:r w:rsidRPr="005D0587">
              <w:t>Luvindao</w:t>
            </w:r>
            <w:proofErr w:type="spellEnd"/>
            <w:r w:rsidRPr="005D0587">
              <w:t xml:space="preserve">, in conclusion on this issue, pointed out that the </w:t>
            </w:r>
            <w:r w:rsidR="00232E65" w:rsidRPr="001541F5">
              <w:t xml:space="preserve">respondents </w:t>
            </w:r>
            <w:r w:rsidRPr="001541F5">
              <w:t>were</w:t>
            </w:r>
            <w:r w:rsidRPr="005D0587">
              <w:t xml:space="preserve"> fully aware of the rule 32(9) correspondence and well knowing that they had problems with their legal practitioner(s), did not respond to the rule 32(9) engagement.</w:t>
            </w: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b)</w:t>
            </w:r>
            <w:r w:rsidRPr="005D0587">
              <w:rPr>
                <w:rFonts w:ascii="Arial" w:hAnsi="Arial" w:cs="Arial"/>
                <w:sz w:val="24"/>
                <w:szCs w:val="24"/>
              </w:rPr>
              <w:tab/>
              <w:t xml:space="preserve">The deponent to the summary judgment application had no personal knowledge of the facts of the matter: In this regard, Mr </w:t>
            </w:r>
            <w:proofErr w:type="spellStart"/>
            <w:r w:rsidRPr="001541F5">
              <w:rPr>
                <w:rFonts w:ascii="Arial" w:hAnsi="Arial" w:cs="Arial"/>
                <w:sz w:val="24"/>
                <w:szCs w:val="24"/>
              </w:rPr>
              <w:t>Luvi</w:t>
            </w:r>
            <w:r w:rsidR="0044564D" w:rsidRPr="001541F5">
              <w:rPr>
                <w:rFonts w:ascii="Arial" w:hAnsi="Arial" w:cs="Arial"/>
                <w:sz w:val="24"/>
                <w:szCs w:val="24"/>
              </w:rPr>
              <w:t>n</w:t>
            </w:r>
            <w:r w:rsidRPr="001541F5">
              <w:rPr>
                <w:rFonts w:ascii="Arial" w:hAnsi="Arial" w:cs="Arial"/>
                <w:sz w:val="24"/>
                <w:szCs w:val="24"/>
              </w:rPr>
              <w:t>dao</w:t>
            </w:r>
            <w:proofErr w:type="spellEnd"/>
            <w:r w:rsidRPr="005D0587">
              <w:rPr>
                <w:rFonts w:ascii="Arial" w:hAnsi="Arial" w:cs="Arial"/>
                <w:sz w:val="24"/>
                <w:szCs w:val="24"/>
              </w:rPr>
              <w:t xml:space="preserve"> submitted that the applicant is a corporate entity, and it is not required of the deponent to have first-hand knowledge of every fact. It would thus suffice if the deponent to the founding affidavit relied on the records in the company’s possession and which are under her control.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[15]</w:t>
            </w:r>
            <w:r w:rsidRPr="005D0587">
              <w:rPr>
                <w:rFonts w:ascii="Arial" w:hAnsi="Arial" w:cs="Arial"/>
                <w:sz w:val="24"/>
                <w:szCs w:val="24"/>
              </w:rPr>
              <w:tab/>
              <w:t xml:space="preserve">On the opposition raised by the respondents based on the outstanding balance, 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referred the court to the agreement between the parties wherein it was agreed that a certificate of balance purported to be signed by any director, manager, assistant manager or branch administrator of the applicant stating the amount owing by the first respondent would constitute prima facie proof of such amount due or of the correctness of such particulars.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[16]</w:t>
            </w:r>
            <w:r w:rsidRPr="005D0587">
              <w:rPr>
                <w:rFonts w:ascii="Arial" w:hAnsi="Arial" w:cs="Arial"/>
                <w:sz w:val="24"/>
                <w:szCs w:val="24"/>
              </w:rPr>
              <w:tab/>
              <w:t xml:space="preserve">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pointed out that despite denying that the outstanding balance is the correct amount, the respondents do not indicate what, according to them, would be the correct outstanding amount, nor do the respondents deny that they are in arrears. </w:t>
            </w:r>
            <w:r w:rsidR="0044564D" w:rsidRPr="001541F5">
              <w:rPr>
                <w:rFonts w:ascii="Arial" w:hAnsi="Arial" w:cs="Arial"/>
                <w:sz w:val="24"/>
                <w:szCs w:val="24"/>
              </w:rPr>
              <w:t xml:space="preserve">Counsel submitted that the </w:t>
            </w:r>
            <w:r w:rsidRPr="001541F5">
              <w:rPr>
                <w:rFonts w:ascii="Arial" w:hAnsi="Arial" w:cs="Arial"/>
                <w:sz w:val="24"/>
                <w:szCs w:val="24"/>
              </w:rPr>
              <w:t>respondents’ contention about the inaccuracies in calculating the</w:t>
            </w:r>
            <w:r w:rsidRPr="005D0587">
              <w:rPr>
                <w:rFonts w:ascii="Arial" w:hAnsi="Arial" w:cs="Arial"/>
                <w:sz w:val="24"/>
                <w:szCs w:val="24"/>
              </w:rPr>
              <w:t xml:space="preserve"> outstanding balance is incomprehensible, but it is clear that the respondents lost sight of the monthly interest charged to the first respondent’s loan account when they did their calculations.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[17]</w:t>
            </w:r>
            <w:r w:rsidRPr="005D0587">
              <w:rPr>
                <w:rFonts w:ascii="Arial" w:hAnsi="Arial" w:cs="Arial"/>
                <w:sz w:val="24"/>
                <w:szCs w:val="24"/>
              </w:rPr>
              <w:tab/>
              <w:t xml:space="preserve">Lastly, on the prayer that the court </w:t>
            </w:r>
            <w:r w:rsidR="0044564D" w:rsidRPr="001541F5">
              <w:rPr>
                <w:rFonts w:ascii="Arial" w:hAnsi="Arial" w:cs="Arial"/>
                <w:sz w:val="24"/>
                <w:szCs w:val="24"/>
              </w:rPr>
              <w:t>should</w:t>
            </w:r>
            <w:r w:rsidR="0044564D">
              <w:rPr>
                <w:rFonts w:ascii="Arial" w:hAnsi="Arial" w:cs="Arial"/>
                <w:sz w:val="24"/>
                <w:szCs w:val="24"/>
              </w:rPr>
              <w:t xml:space="preserve"> </w:t>
            </w:r>
            <w:r w:rsidRPr="005D0587">
              <w:rPr>
                <w:rFonts w:ascii="Arial" w:hAnsi="Arial" w:cs="Arial"/>
                <w:sz w:val="24"/>
                <w:szCs w:val="24"/>
              </w:rPr>
              <w:t xml:space="preserve">declare the immovable property executable, 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submitted that the respondents do not dispute the mortgage bonds annexed to the particulars of claim, and the applicant is thus entitled to apply for an order declaring the immovable properties executable. The court was referred to </w:t>
            </w:r>
            <w:r w:rsidRPr="0044564D">
              <w:rPr>
                <w:rFonts w:ascii="Arial" w:hAnsi="Arial" w:cs="Arial"/>
                <w:i/>
                <w:sz w:val="24"/>
                <w:szCs w:val="24"/>
              </w:rPr>
              <w:t xml:space="preserve">Standard Bank Namibia Limited v </w:t>
            </w:r>
            <w:proofErr w:type="spellStart"/>
            <w:r w:rsidRPr="0044564D">
              <w:rPr>
                <w:rFonts w:ascii="Arial" w:hAnsi="Arial" w:cs="Arial"/>
                <w:i/>
                <w:sz w:val="24"/>
                <w:szCs w:val="24"/>
              </w:rPr>
              <w:t>Shipila</w:t>
            </w:r>
            <w:proofErr w:type="spellEnd"/>
            <w:r w:rsidRPr="0044564D">
              <w:rPr>
                <w:rFonts w:ascii="Arial" w:hAnsi="Arial" w:cs="Arial"/>
                <w:i/>
                <w:sz w:val="24"/>
                <w:szCs w:val="24"/>
              </w:rPr>
              <w:t xml:space="preserve"> and Others</w:t>
            </w:r>
            <w:r w:rsidR="0044564D">
              <w:rPr>
                <w:rStyle w:val="FootnoteReference"/>
                <w:rFonts w:ascii="Arial" w:hAnsi="Arial" w:cs="Arial"/>
                <w:i/>
                <w:sz w:val="24"/>
                <w:szCs w:val="24"/>
              </w:rPr>
              <w:footnoteReference w:id="1"/>
            </w:r>
            <w:r w:rsidR="0044564D">
              <w:rPr>
                <w:rFonts w:ascii="Arial" w:hAnsi="Arial" w:cs="Arial"/>
                <w:sz w:val="24"/>
                <w:szCs w:val="24"/>
              </w:rPr>
              <w:t xml:space="preserve"> in this regard</w:t>
            </w:r>
            <w:r w:rsidRPr="005D0587">
              <w:rPr>
                <w:rFonts w:ascii="Arial" w:hAnsi="Arial" w:cs="Arial"/>
                <w:sz w:val="24"/>
                <w:szCs w:val="24"/>
              </w:rPr>
              <w:t>.</w:t>
            </w:r>
          </w:p>
          <w:p w:rsidR="005D0587" w:rsidRPr="005D0587" w:rsidRDefault="005D0587" w:rsidP="005D0587">
            <w:pPr>
              <w:tabs>
                <w:tab w:val="left" w:pos="729"/>
              </w:tabs>
              <w:spacing w:line="360" w:lineRule="auto"/>
              <w:jc w:val="both"/>
              <w:rPr>
                <w:rFonts w:ascii="Arial" w:hAnsi="Arial" w:cs="Arial"/>
                <w:sz w:val="24"/>
                <w:szCs w:val="24"/>
              </w:rPr>
            </w:pPr>
          </w:p>
          <w:p w:rsidR="001D7F5F" w:rsidRDefault="001D7F5F"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[18]</w:t>
            </w:r>
            <w:r w:rsidRPr="005D0587">
              <w:rPr>
                <w:rFonts w:ascii="Arial" w:hAnsi="Arial" w:cs="Arial"/>
                <w:sz w:val="24"/>
                <w:szCs w:val="24"/>
              </w:rPr>
              <w:tab/>
              <w:t xml:space="preserve">Mr </w:t>
            </w:r>
            <w:proofErr w:type="spellStart"/>
            <w:r w:rsidRPr="005D0587">
              <w:rPr>
                <w:rFonts w:ascii="Arial" w:hAnsi="Arial" w:cs="Arial"/>
                <w:sz w:val="24"/>
                <w:szCs w:val="24"/>
              </w:rPr>
              <w:t>Luvindao</w:t>
            </w:r>
            <w:proofErr w:type="spellEnd"/>
            <w:r w:rsidRPr="005D0587">
              <w:rPr>
                <w:rFonts w:ascii="Arial" w:hAnsi="Arial" w:cs="Arial"/>
                <w:sz w:val="24"/>
                <w:szCs w:val="24"/>
              </w:rPr>
              <w:t xml:space="preserve"> submits that the applicant duly complied with the requirements set out in rule 108 of the Rules of Court and considering the opposition raised by the respondents, it would appear that they want to avoid the order sought in respect of the bonded property on the basis that one of the properties (</w:t>
            </w:r>
            <w:proofErr w:type="spellStart"/>
            <w:r w:rsidRPr="005D0587">
              <w:rPr>
                <w:rFonts w:ascii="Arial" w:hAnsi="Arial" w:cs="Arial"/>
                <w:sz w:val="24"/>
                <w:szCs w:val="24"/>
              </w:rPr>
              <w:t>Erf</w:t>
            </w:r>
            <w:proofErr w:type="spellEnd"/>
            <w:r w:rsidRPr="005D0587">
              <w:rPr>
                <w:rFonts w:ascii="Arial" w:hAnsi="Arial" w:cs="Arial"/>
                <w:sz w:val="24"/>
                <w:szCs w:val="24"/>
              </w:rPr>
              <w:t xml:space="preserve"> 5565) is the second respondent’s primary home and the rest of </w:t>
            </w:r>
            <w:proofErr w:type="spellStart"/>
            <w:r w:rsidRPr="005D0587">
              <w:rPr>
                <w:rFonts w:ascii="Arial" w:hAnsi="Arial" w:cs="Arial"/>
                <w:sz w:val="24"/>
                <w:szCs w:val="24"/>
              </w:rPr>
              <w:t>Erf</w:t>
            </w:r>
            <w:proofErr w:type="spellEnd"/>
            <w:r w:rsidRPr="005D0587">
              <w:rPr>
                <w:rFonts w:ascii="Arial" w:hAnsi="Arial" w:cs="Arial"/>
                <w:sz w:val="24"/>
                <w:szCs w:val="24"/>
              </w:rPr>
              <w:t xml:space="preserve"> 5565 and the other properties have tenants. </w:t>
            </w:r>
            <w:r w:rsidR="001541F5" w:rsidRPr="001541F5">
              <w:rPr>
                <w:rFonts w:ascii="Arial" w:hAnsi="Arial" w:cs="Arial"/>
                <w:sz w:val="24"/>
                <w:szCs w:val="24"/>
              </w:rPr>
              <w:t>R</w:t>
            </w:r>
            <w:r w:rsidR="003422F5" w:rsidRPr="001541F5">
              <w:rPr>
                <w:rFonts w:ascii="Arial" w:hAnsi="Arial" w:cs="Arial"/>
                <w:sz w:val="24"/>
                <w:szCs w:val="24"/>
              </w:rPr>
              <w:t xml:space="preserve">ented properties </w:t>
            </w:r>
            <w:r w:rsidR="002A5816">
              <w:rPr>
                <w:rFonts w:ascii="Arial" w:hAnsi="Arial" w:cs="Arial"/>
                <w:sz w:val="24"/>
                <w:szCs w:val="24"/>
              </w:rPr>
              <w:t>are</w:t>
            </w:r>
            <w:r w:rsidR="003422F5" w:rsidRPr="001541F5">
              <w:rPr>
                <w:rFonts w:ascii="Arial" w:hAnsi="Arial" w:cs="Arial"/>
                <w:sz w:val="24"/>
                <w:szCs w:val="24"/>
              </w:rPr>
              <w:t xml:space="preserve"> not a defence to avoid the properties from being declared </w:t>
            </w:r>
            <w:proofErr w:type="gramStart"/>
            <w:r w:rsidR="003422F5" w:rsidRPr="001541F5">
              <w:rPr>
                <w:rFonts w:ascii="Arial" w:hAnsi="Arial" w:cs="Arial"/>
                <w:sz w:val="24"/>
                <w:szCs w:val="24"/>
              </w:rPr>
              <w:t>specially</w:t>
            </w:r>
            <w:proofErr w:type="gramEnd"/>
            <w:r w:rsidR="003422F5" w:rsidRPr="001541F5">
              <w:rPr>
                <w:rFonts w:ascii="Arial" w:hAnsi="Arial" w:cs="Arial"/>
                <w:sz w:val="24"/>
                <w:szCs w:val="24"/>
              </w:rPr>
              <w:t xml:space="preserve"> executable. </w:t>
            </w:r>
            <w:r w:rsidRPr="005D0587">
              <w:rPr>
                <w:rFonts w:ascii="Arial" w:hAnsi="Arial" w:cs="Arial"/>
                <w:sz w:val="24"/>
                <w:szCs w:val="24"/>
              </w:rPr>
              <w:t xml:space="preserve">None of these properties </w:t>
            </w:r>
            <w:r w:rsidR="002A5816">
              <w:rPr>
                <w:rFonts w:ascii="Arial" w:hAnsi="Arial" w:cs="Arial"/>
                <w:sz w:val="24"/>
                <w:szCs w:val="24"/>
              </w:rPr>
              <w:t>are</w:t>
            </w:r>
            <w:r w:rsidRPr="005D0587">
              <w:rPr>
                <w:rFonts w:ascii="Arial" w:hAnsi="Arial" w:cs="Arial"/>
                <w:sz w:val="24"/>
                <w:szCs w:val="24"/>
              </w:rPr>
              <w:t xml:space="preserve"> the primary residence of the respondents. In any event, the second respondent contradicted himself in his founding affidavit by indicating that he resides at </w:t>
            </w:r>
            <w:proofErr w:type="spellStart"/>
            <w:r w:rsidRPr="005D0587">
              <w:rPr>
                <w:rFonts w:ascii="Arial" w:hAnsi="Arial" w:cs="Arial"/>
                <w:sz w:val="24"/>
                <w:szCs w:val="24"/>
              </w:rPr>
              <w:t>Erf</w:t>
            </w:r>
            <w:proofErr w:type="spellEnd"/>
            <w:r w:rsidRPr="005D0587">
              <w:rPr>
                <w:rFonts w:ascii="Arial" w:hAnsi="Arial" w:cs="Arial"/>
                <w:sz w:val="24"/>
                <w:szCs w:val="24"/>
              </w:rPr>
              <w:t xml:space="preserve"> 5564 and not </w:t>
            </w:r>
            <w:proofErr w:type="spellStart"/>
            <w:r w:rsidRPr="005D0587">
              <w:rPr>
                <w:rFonts w:ascii="Arial" w:hAnsi="Arial" w:cs="Arial"/>
                <w:sz w:val="24"/>
                <w:szCs w:val="24"/>
              </w:rPr>
              <w:t>Erf</w:t>
            </w:r>
            <w:proofErr w:type="spellEnd"/>
            <w:r w:rsidRPr="005D0587">
              <w:rPr>
                <w:rFonts w:ascii="Arial" w:hAnsi="Arial" w:cs="Arial"/>
                <w:sz w:val="24"/>
                <w:szCs w:val="24"/>
              </w:rPr>
              <w:t xml:space="preserve"> 5565, as stated further in the founding affidavit.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3422F5" w:rsidP="005D0587">
            <w:pPr>
              <w:tabs>
                <w:tab w:val="left" w:pos="729"/>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As a result, c</w:t>
            </w:r>
            <w:r w:rsidR="005D0587" w:rsidRPr="005D0587">
              <w:rPr>
                <w:rFonts w:ascii="Arial" w:hAnsi="Arial" w:cs="Arial"/>
                <w:sz w:val="24"/>
                <w:szCs w:val="24"/>
              </w:rPr>
              <w:t xml:space="preserve">ounsel submitted that the respondents failed to satisfy the court that they have a bona fide defence to the action and </w:t>
            </w:r>
            <w:r w:rsidR="002A5816">
              <w:rPr>
                <w:rFonts w:ascii="Arial" w:hAnsi="Arial" w:cs="Arial"/>
                <w:sz w:val="24"/>
                <w:szCs w:val="24"/>
              </w:rPr>
              <w:t xml:space="preserve">the </w:t>
            </w:r>
            <w:r w:rsidR="005D0587" w:rsidRPr="005D0587">
              <w:rPr>
                <w:rFonts w:ascii="Arial" w:hAnsi="Arial" w:cs="Arial"/>
                <w:sz w:val="24"/>
                <w:szCs w:val="24"/>
              </w:rPr>
              <w:t xml:space="preserve">summary judgment should </w:t>
            </w:r>
            <w:r w:rsidR="002A5816">
              <w:rPr>
                <w:rFonts w:ascii="Arial" w:hAnsi="Arial" w:cs="Arial"/>
                <w:sz w:val="24"/>
                <w:szCs w:val="24"/>
              </w:rPr>
              <w:t xml:space="preserve">accordingly </w:t>
            </w:r>
            <w:r w:rsidR="005D0587" w:rsidRPr="005D0587">
              <w:rPr>
                <w:rFonts w:ascii="Arial" w:hAnsi="Arial" w:cs="Arial"/>
                <w:sz w:val="24"/>
                <w:szCs w:val="24"/>
              </w:rPr>
              <w:t xml:space="preserve">be granted with costs.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i/>
                <w:sz w:val="24"/>
                <w:szCs w:val="24"/>
              </w:rPr>
            </w:pPr>
            <w:r w:rsidRPr="005D0587">
              <w:rPr>
                <w:rFonts w:ascii="Arial" w:hAnsi="Arial" w:cs="Arial"/>
                <w:i/>
                <w:sz w:val="24"/>
                <w:szCs w:val="24"/>
              </w:rPr>
              <w:t>On behalf of the respondents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[20]</w:t>
            </w:r>
            <w:r w:rsidRPr="005D0587">
              <w:rPr>
                <w:rFonts w:ascii="Arial" w:hAnsi="Arial" w:cs="Arial"/>
                <w:sz w:val="24"/>
                <w:szCs w:val="24"/>
              </w:rPr>
              <w:tab/>
              <w:t xml:space="preserve">Mr </w:t>
            </w:r>
            <w:proofErr w:type="spellStart"/>
            <w:r w:rsidRPr="005D0587">
              <w:rPr>
                <w:rFonts w:ascii="Arial" w:hAnsi="Arial" w:cs="Arial"/>
                <w:sz w:val="24"/>
                <w:szCs w:val="24"/>
              </w:rPr>
              <w:t>Mwakondange</w:t>
            </w:r>
            <w:proofErr w:type="spellEnd"/>
            <w:r w:rsidRPr="005D0587">
              <w:rPr>
                <w:rFonts w:ascii="Arial" w:hAnsi="Arial" w:cs="Arial"/>
                <w:sz w:val="24"/>
                <w:szCs w:val="24"/>
              </w:rPr>
              <w:t xml:space="preserve"> submitted that </w:t>
            </w:r>
            <w:r w:rsidRPr="001541F5">
              <w:rPr>
                <w:rFonts w:ascii="Arial" w:hAnsi="Arial" w:cs="Arial"/>
                <w:sz w:val="24"/>
                <w:szCs w:val="24"/>
              </w:rPr>
              <w:t>the court is restricted</w:t>
            </w:r>
            <w:r w:rsidR="003422F5" w:rsidRPr="001541F5">
              <w:rPr>
                <w:rFonts w:ascii="Arial" w:hAnsi="Arial" w:cs="Arial"/>
                <w:sz w:val="24"/>
                <w:szCs w:val="24"/>
              </w:rPr>
              <w:t xml:space="preserve"> </w:t>
            </w:r>
            <w:r w:rsidRPr="001541F5">
              <w:rPr>
                <w:rFonts w:ascii="Arial" w:hAnsi="Arial" w:cs="Arial"/>
                <w:sz w:val="24"/>
                <w:szCs w:val="24"/>
              </w:rPr>
              <w:t>to how the applicant presented its case</w:t>
            </w:r>
            <w:r w:rsidR="002A5816">
              <w:rPr>
                <w:rFonts w:ascii="Arial" w:hAnsi="Arial" w:cs="Arial"/>
                <w:sz w:val="24"/>
                <w:szCs w:val="24"/>
              </w:rPr>
              <w:t xml:space="preserve"> </w:t>
            </w:r>
            <w:r w:rsidRPr="001541F5">
              <w:rPr>
                <w:rFonts w:ascii="Arial" w:hAnsi="Arial" w:cs="Arial"/>
                <w:sz w:val="24"/>
                <w:szCs w:val="24"/>
              </w:rPr>
              <w:t>and the court should therefore insist on strict compliance with the rules.</w:t>
            </w:r>
            <w:r w:rsidRPr="005D0587">
              <w:rPr>
                <w:rFonts w:ascii="Arial" w:hAnsi="Arial" w:cs="Arial"/>
                <w:sz w:val="24"/>
                <w:szCs w:val="24"/>
              </w:rPr>
              <w:t xml:space="preserve"> Mr </w:t>
            </w:r>
            <w:proofErr w:type="spellStart"/>
            <w:r w:rsidRPr="005D0587">
              <w:rPr>
                <w:rFonts w:ascii="Arial" w:hAnsi="Arial" w:cs="Arial"/>
                <w:sz w:val="24"/>
                <w:szCs w:val="24"/>
              </w:rPr>
              <w:t>Mwakondange</w:t>
            </w:r>
            <w:proofErr w:type="spellEnd"/>
            <w:r w:rsidRPr="005D0587">
              <w:rPr>
                <w:rFonts w:ascii="Arial" w:hAnsi="Arial" w:cs="Arial"/>
                <w:sz w:val="24"/>
                <w:szCs w:val="24"/>
              </w:rPr>
              <w:t xml:space="preserve"> contended that the applicant only paid lip service to the provisions of rule 32(9) as there was no meaningful engagement as envisaged by the rule. </w:t>
            </w:r>
            <w:r w:rsidR="003422F5" w:rsidRPr="001541F5">
              <w:rPr>
                <w:rFonts w:ascii="Arial" w:hAnsi="Arial" w:cs="Arial"/>
                <w:sz w:val="24"/>
                <w:szCs w:val="24"/>
              </w:rPr>
              <w:t>Counsel was of the view that more is required from the applicant than merely writing a letter in an attempt to comply with rule 32(9).</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1541F5">
            <w:pPr>
              <w:pStyle w:val="BodyText"/>
            </w:pPr>
            <w:r w:rsidRPr="005D0587">
              <w:t>[21]</w:t>
            </w:r>
            <w:r w:rsidRPr="005D0587">
              <w:tab/>
            </w:r>
            <w:r w:rsidR="003422F5">
              <w:t xml:space="preserve">It was further his submission </w:t>
            </w:r>
            <w:r w:rsidRPr="005D0587">
              <w:t xml:space="preserve">that the founding affidavit in support of the applicant’s application for summary judgment was deposed to by </w:t>
            </w:r>
            <w:r w:rsidR="00D66F69">
              <w:t xml:space="preserve">Ms Wallace, </w:t>
            </w:r>
            <w:r w:rsidRPr="005D0587">
              <w:t xml:space="preserve">an official of the </w:t>
            </w:r>
            <w:r w:rsidRPr="001541F5">
              <w:t xml:space="preserve">applicant </w:t>
            </w:r>
            <w:r w:rsidR="003970DB" w:rsidRPr="001541F5">
              <w:t>who</w:t>
            </w:r>
            <w:r w:rsidRPr="005D0587">
              <w:t xml:space="preserve"> does not have personal knowledge of the facts</w:t>
            </w:r>
            <w:r w:rsidR="00D66F69">
              <w:t>,</w:t>
            </w:r>
            <w:r w:rsidRPr="005D0587">
              <w:t xml:space="preserve"> as the applicant was represented by someone else at the time </w:t>
            </w:r>
            <w:r w:rsidRPr="00990873">
              <w:t xml:space="preserve">of </w:t>
            </w:r>
            <w:r w:rsidR="00990873" w:rsidRPr="001541F5">
              <w:t xml:space="preserve">concluding </w:t>
            </w:r>
            <w:r w:rsidRPr="001541F5">
              <w:t>the</w:t>
            </w:r>
            <w:r w:rsidRPr="005D0587">
              <w:t xml:space="preserve"> agreement between the parties and that person did not depose to either the founding affidavit or a confirmatory affidavit confirming the </w:t>
            </w:r>
            <w:r w:rsidRPr="001541F5">
              <w:t xml:space="preserve">allegations </w:t>
            </w:r>
            <w:r w:rsidR="00A77ED5" w:rsidRPr="001541F5">
              <w:t>made</w:t>
            </w:r>
            <w:r w:rsidR="00A77ED5">
              <w:t xml:space="preserve"> </w:t>
            </w:r>
            <w:r w:rsidRPr="005D0587">
              <w:t xml:space="preserve">by Ms Wallace.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[22]</w:t>
            </w:r>
            <w:r w:rsidRPr="005D0587">
              <w:rPr>
                <w:rFonts w:ascii="Arial" w:hAnsi="Arial" w:cs="Arial"/>
                <w:sz w:val="24"/>
                <w:szCs w:val="24"/>
              </w:rPr>
              <w:tab/>
              <w:t xml:space="preserve">Counsel submits that all Ms Wallace did was inspect the documents relating to the claim. She is not even </w:t>
            </w:r>
            <w:r w:rsidRPr="001541F5">
              <w:rPr>
                <w:rFonts w:ascii="Arial" w:hAnsi="Arial" w:cs="Arial"/>
                <w:sz w:val="24"/>
                <w:szCs w:val="24"/>
              </w:rPr>
              <w:t xml:space="preserve">in </w:t>
            </w:r>
            <w:r w:rsidR="00A77ED5" w:rsidRPr="001541F5">
              <w:rPr>
                <w:rFonts w:ascii="Arial" w:hAnsi="Arial" w:cs="Arial"/>
                <w:sz w:val="24"/>
                <w:szCs w:val="24"/>
              </w:rPr>
              <w:t xml:space="preserve">a </w:t>
            </w:r>
            <w:r w:rsidRPr="001541F5">
              <w:rPr>
                <w:rFonts w:ascii="Arial" w:hAnsi="Arial" w:cs="Arial"/>
                <w:sz w:val="24"/>
                <w:szCs w:val="24"/>
              </w:rPr>
              <w:t>position</w:t>
            </w:r>
            <w:r w:rsidRPr="005D0587">
              <w:rPr>
                <w:rFonts w:ascii="Arial" w:hAnsi="Arial" w:cs="Arial"/>
                <w:sz w:val="24"/>
                <w:szCs w:val="24"/>
              </w:rPr>
              <w:t xml:space="preserve"> to state that the documents presented to her were all the documents relevant to the matter. As a result, the affidavit deposed to by Ms Wallace constituted inadmissible </w:t>
            </w:r>
            <w:r w:rsidRPr="001541F5">
              <w:rPr>
                <w:rFonts w:ascii="Arial" w:hAnsi="Arial" w:cs="Arial"/>
                <w:sz w:val="24"/>
                <w:szCs w:val="24"/>
              </w:rPr>
              <w:t xml:space="preserve">hearsay </w:t>
            </w:r>
            <w:r w:rsidR="00A77ED5" w:rsidRPr="001541F5">
              <w:rPr>
                <w:rFonts w:ascii="Arial" w:hAnsi="Arial" w:cs="Arial"/>
                <w:sz w:val="24"/>
                <w:szCs w:val="24"/>
              </w:rPr>
              <w:t>evidence</w:t>
            </w:r>
            <w:r w:rsidR="00A77ED5">
              <w:rPr>
                <w:rFonts w:ascii="Arial" w:hAnsi="Arial" w:cs="Arial"/>
                <w:sz w:val="24"/>
                <w:szCs w:val="24"/>
              </w:rPr>
              <w:t xml:space="preserve"> </w:t>
            </w:r>
            <w:r w:rsidRPr="005D0587">
              <w:rPr>
                <w:rFonts w:ascii="Arial" w:hAnsi="Arial" w:cs="Arial"/>
                <w:sz w:val="24"/>
                <w:szCs w:val="24"/>
              </w:rPr>
              <w:t xml:space="preserve">and accordingly, the summary judgment application must be dismissed. </w:t>
            </w:r>
          </w:p>
          <w:p w:rsidR="005D0587" w:rsidRPr="005D0587" w:rsidRDefault="005D0587" w:rsidP="005D0587">
            <w:pPr>
              <w:tabs>
                <w:tab w:val="left" w:pos="729"/>
              </w:tabs>
              <w:spacing w:line="360" w:lineRule="auto"/>
              <w:jc w:val="both"/>
              <w:rPr>
                <w:rFonts w:ascii="Arial" w:hAnsi="Arial" w:cs="Arial"/>
                <w:sz w:val="24"/>
                <w:szCs w:val="24"/>
              </w:rPr>
            </w:pPr>
          </w:p>
          <w:p w:rsidR="0079685C" w:rsidRDefault="0079685C" w:rsidP="001541F5">
            <w:pPr>
              <w:pStyle w:val="BodyText"/>
            </w:pPr>
          </w:p>
          <w:p w:rsidR="005D0587" w:rsidRPr="005D0587" w:rsidRDefault="005D0587" w:rsidP="001541F5">
            <w:pPr>
              <w:pStyle w:val="BodyText"/>
            </w:pPr>
            <w:r w:rsidRPr="005D0587">
              <w:t>[23]</w:t>
            </w:r>
            <w:r w:rsidRPr="005D0587">
              <w:tab/>
              <w:t xml:space="preserve">Mr </w:t>
            </w:r>
            <w:proofErr w:type="spellStart"/>
            <w:r w:rsidRPr="005D0587">
              <w:t>Mwakondange</w:t>
            </w:r>
            <w:proofErr w:type="spellEnd"/>
            <w:r w:rsidRPr="005D0587">
              <w:t xml:space="preserve"> argued that the respondents have a bona fide defence to the applicant's claim. Counsel contends that the founding affidavit did not depict how the amount due was calculated. At this point, it is necessary to refer to arguments put up in the written heads of argument</w:t>
            </w:r>
            <w:r w:rsidR="00990873">
              <w:t xml:space="preserve">. In para 6.4 it is stated that: </w:t>
            </w:r>
            <w:r w:rsidR="00D66F69">
              <w:t>“</w:t>
            </w:r>
            <w:r w:rsidRPr="005D0587">
              <w:t>It is humbly submitted that Plaintiff received monthly payments of N$134 871.24 from the defendants as from February 2021 as per the bank statement annexed to Defendant’s affidavit opposing summary judgment. 6.5 It is on this basis that the amount claimed as per summary judgment is disputed.</w:t>
            </w:r>
            <w:r w:rsidR="00D66F69">
              <w:t>”</w:t>
            </w:r>
            <w:r w:rsidR="00990873" w:rsidRPr="001541F5">
              <w:t xml:space="preserve"> The </w:t>
            </w:r>
            <w:r w:rsidRPr="001541F5">
              <w:t xml:space="preserve">case counsel is trying to make out by this statement escapes me. It is unclear how this argument ties in with </w:t>
            </w:r>
            <w:r w:rsidR="00A77ED5" w:rsidRPr="001541F5">
              <w:t xml:space="preserve">the respondents </w:t>
            </w:r>
            <w:r w:rsidRPr="001541F5">
              <w:t xml:space="preserve">disputing the amount claimed and </w:t>
            </w:r>
            <w:r w:rsidR="009A4CE1" w:rsidRPr="001541F5">
              <w:t xml:space="preserve">whether </w:t>
            </w:r>
            <w:r w:rsidRPr="001541F5">
              <w:t xml:space="preserve">counsel attempts to make out a case </w:t>
            </w:r>
            <w:r w:rsidRPr="005D0587">
              <w:t xml:space="preserve">that the respondents are not in default with their payment.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[24]</w:t>
            </w:r>
            <w:r w:rsidRPr="005D0587">
              <w:rPr>
                <w:rFonts w:ascii="Arial" w:hAnsi="Arial" w:cs="Arial"/>
                <w:sz w:val="24"/>
                <w:szCs w:val="24"/>
              </w:rPr>
              <w:tab/>
              <w:t xml:space="preserve">Finally, on the issue of declaring the properties executable, Mr </w:t>
            </w:r>
            <w:proofErr w:type="spellStart"/>
            <w:r w:rsidRPr="005D0587">
              <w:rPr>
                <w:rFonts w:ascii="Arial" w:hAnsi="Arial" w:cs="Arial"/>
                <w:sz w:val="24"/>
                <w:szCs w:val="24"/>
              </w:rPr>
              <w:t>Mwakondange</w:t>
            </w:r>
            <w:proofErr w:type="spellEnd"/>
            <w:r w:rsidRPr="005D0587">
              <w:rPr>
                <w:rFonts w:ascii="Arial" w:hAnsi="Arial" w:cs="Arial"/>
                <w:sz w:val="24"/>
                <w:szCs w:val="24"/>
              </w:rPr>
              <w:t xml:space="preserve"> submitted that such an order would be improper because </w:t>
            </w:r>
            <w:r w:rsidR="009A4CE1" w:rsidRPr="001541F5">
              <w:rPr>
                <w:rFonts w:ascii="Arial" w:hAnsi="Arial" w:cs="Arial"/>
                <w:sz w:val="24"/>
                <w:szCs w:val="24"/>
              </w:rPr>
              <w:t xml:space="preserve">the property sought to be declared </w:t>
            </w:r>
            <w:proofErr w:type="gramStart"/>
            <w:r w:rsidR="009A4CE1" w:rsidRPr="001541F5">
              <w:rPr>
                <w:rFonts w:ascii="Arial" w:hAnsi="Arial" w:cs="Arial"/>
                <w:sz w:val="24"/>
                <w:szCs w:val="24"/>
              </w:rPr>
              <w:t>specially</w:t>
            </w:r>
            <w:proofErr w:type="gramEnd"/>
            <w:r w:rsidR="009A4CE1" w:rsidRPr="001541F5">
              <w:rPr>
                <w:rFonts w:ascii="Arial" w:hAnsi="Arial" w:cs="Arial"/>
                <w:sz w:val="24"/>
                <w:szCs w:val="24"/>
              </w:rPr>
              <w:t xml:space="preserve"> executable </w:t>
            </w:r>
            <w:r w:rsidRPr="001541F5">
              <w:rPr>
                <w:rFonts w:ascii="Arial" w:hAnsi="Arial" w:cs="Arial"/>
                <w:sz w:val="24"/>
                <w:szCs w:val="24"/>
              </w:rPr>
              <w:t>constitutes the primary residence of the second</w:t>
            </w:r>
            <w:r w:rsidRPr="005D0587">
              <w:rPr>
                <w:rFonts w:ascii="Arial" w:hAnsi="Arial" w:cs="Arial"/>
                <w:sz w:val="24"/>
                <w:szCs w:val="24"/>
              </w:rPr>
              <w:t xml:space="preserve"> respondent</w:t>
            </w:r>
            <w:r w:rsidR="001541F5">
              <w:rPr>
                <w:rFonts w:ascii="Arial" w:hAnsi="Arial" w:cs="Arial"/>
                <w:sz w:val="24"/>
                <w:szCs w:val="24"/>
              </w:rPr>
              <w:t xml:space="preserve"> </w:t>
            </w:r>
            <w:r w:rsidRPr="005D0587">
              <w:rPr>
                <w:rFonts w:ascii="Arial" w:hAnsi="Arial" w:cs="Arial"/>
                <w:sz w:val="24"/>
                <w:szCs w:val="24"/>
              </w:rPr>
              <w:t>and other tenants</w:t>
            </w:r>
            <w:r w:rsidR="001541F5">
              <w:rPr>
                <w:rFonts w:ascii="Arial" w:hAnsi="Arial" w:cs="Arial"/>
                <w:sz w:val="24"/>
                <w:szCs w:val="24"/>
              </w:rPr>
              <w:t>. Therefore</w:t>
            </w:r>
            <w:r w:rsidR="00D66F69">
              <w:rPr>
                <w:rFonts w:ascii="Arial" w:hAnsi="Arial" w:cs="Arial"/>
                <w:sz w:val="24"/>
                <w:szCs w:val="24"/>
              </w:rPr>
              <w:t>,</w:t>
            </w:r>
            <w:r w:rsidRPr="005D0587">
              <w:rPr>
                <w:rFonts w:ascii="Arial" w:hAnsi="Arial" w:cs="Arial"/>
                <w:sz w:val="24"/>
                <w:szCs w:val="24"/>
              </w:rPr>
              <w:t xml:space="preserve"> the applicant must first explore the alternative option offered by the respondents in respect of the possible sale of another property of the respondents</w:t>
            </w:r>
            <w:r w:rsidR="001541F5">
              <w:rPr>
                <w:rFonts w:ascii="Arial" w:hAnsi="Arial" w:cs="Arial"/>
                <w:sz w:val="24"/>
                <w:szCs w:val="24"/>
              </w:rPr>
              <w:t>.</w:t>
            </w:r>
            <w:r w:rsidRPr="005D0587">
              <w:rPr>
                <w:rFonts w:ascii="Arial" w:hAnsi="Arial" w:cs="Arial"/>
                <w:sz w:val="24"/>
                <w:szCs w:val="24"/>
              </w:rPr>
              <w:t xml:space="preserve"> </w:t>
            </w:r>
            <w:r w:rsidR="001541F5">
              <w:rPr>
                <w:rFonts w:ascii="Arial" w:hAnsi="Arial" w:cs="Arial"/>
                <w:sz w:val="24"/>
                <w:szCs w:val="24"/>
              </w:rPr>
              <w:t>T</w:t>
            </w:r>
            <w:r w:rsidRPr="005D0587">
              <w:rPr>
                <w:rFonts w:ascii="Arial" w:hAnsi="Arial" w:cs="Arial"/>
                <w:sz w:val="24"/>
                <w:szCs w:val="24"/>
              </w:rPr>
              <w:t>he proceeds would be sufficient to cover the balance of the applicant’s claim</w:t>
            </w:r>
            <w:r w:rsidR="00B53D16">
              <w:rPr>
                <w:rFonts w:ascii="Arial" w:hAnsi="Arial" w:cs="Arial"/>
                <w:sz w:val="24"/>
                <w:szCs w:val="24"/>
              </w:rPr>
              <w:t>.</w:t>
            </w:r>
            <w:r w:rsidR="00D66F69">
              <w:rPr>
                <w:rFonts w:ascii="Arial" w:hAnsi="Arial" w:cs="Arial"/>
                <w:sz w:val="24"/>
                <w:szCs w:val="24"/>
              </w:rPr>
              <w:t xml:space="preserve"> I</w:t>
            </w:r>
            <w:r w:rsidRPr="005D0587">
              <w:rPr>
                <w:rFonts w:ascii="Arial" w:hAnsi="Arial" w:cs="Arial"/>
                <w:sz w:val="24"/>
                <w:szCs w:val="24"/>
              </w:rPr>
              <w:t xml:space="preserve">n addition, Counsel raised the issue that the lessees of the properties concerned should have been personally served in terms of rule 108(2) as </w:t>
            </w:r>
            <w:r w:rsidRPr="001541F5">
              <w:rPr>
                <w:rFonts w:ascii="Arial" w:hAnsi="Arial" w:cs="Arial"/>
                <w:sz w:val="24"/>
                <w:szCs w:val="24"/>
              </w:rPr>
              <w:t>the</w:t>
            </w:r>
            <w:r w:rsidR="009A4CE1" w:rsidRPr="001541F5">
              <w:rPr>
                <w:rFonts w:ascii="Arial" w:hAnsi="Arial" w:cs="Arial"/>
                <w:sz w:val="24"/>
                <w:szCs w:val="24"/>
              </w:rPr>
              <w:t>se</w:t>
            </w:r>
            <w:r w:rsidRPr="001541F5">
              <w:rPr>
                <w:rFonts w:ascii="Arial" w:hAnsi="Arial" w:cs="Arial"/>
                <w:sz w:val="24"/>
                <w:szCs w:val="24"/>
              </w:rPr>
              <w:t xml:space="preserve"> propertie</w:t>
            </w:r>
            <w:r w:rsidR="009A4CE1" w:rsidRPr="001541F5">
              <w:rPr>
                <w:rFonts w:ascii="Arial" w:hAnsi="Arial" w:cs="Arial"/>
                <w:sz w:val="24"/>
                <w:szCs w:val="24"/>
              </w:rPr>
              <w:t>s</w:t>
            </w:r>
            <w:r w:rsidR="009A4CE1">
              <w:rPr>
                <w:rFonts w:ascii="Arial" w:hAnsi="Arial" w:cs="Arial"/>
                <w:sz w:val="24"/>
                <w:szCs w:val="24"/>
              </w:rPr>
              <w:t xml:space="preserve"> serve as their primary homes.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General principles relating to summary judgment proceedings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[25</w:t>
            </w:r>
            <w:r w:rsidR="005D0587" w:rsidRPr="005D0587">
              <w:rPr>
                <w:rFonts w:ascii="Arial" w:hAnsi="Arial" w:cs="Arial"/>
                <w:sz w:val="24"/>
                <w:szCs w:val="24"/>
              </w:rPr>
              <w:t>]</w:t>
            </w:r>
            <w:r w:rsidR="005D0587" w:rsidRPr="005D0587">
              <w:rPr>
                <w:rFonts w:ascii="Arial" w:hAnsi="Arial" w:cs="Arial"/>
                <w:sz w:val="24"/>
                <w:szCs w:val="24"/>
              </w:rPr>
              <w:tab/>
              <w:t xml:space="preserve">The </w:t>
            </w:r>
            <w:r w:rsidR="005D0587" w:rsidRPr="001541F5">
              <w:rPr>
                <w:rFonts w:ascii="Arial" w:hAnsi="Arial" w:cs="Arial"/>
                <w:sz w:val="24"/>
                <w:szCs w:val="24"/>
              </w:rPr>
              <w:t xml:space="preserve">procedure </w:t>
            </w:r>
            <w:r w:rsidR="00960AE2" w:rsidRPr="001541F5">
              <w:rPr>
                <w:rFonts w:ascii="Arial" w:hAnsi="Arial" w:cs="Arial"/>
                <w:sz w:val="24"/>
                <w:szCs w:val="24"/>
              </w:rPr>
              <w:t xml:space="preserve">set </w:t>
            </w:r>
            <w:r w:rsidR="00990873" w:rsidRPr="001541F5">
              <w:rPr>
                <w:rFonts w:ascii="Arial" w:hAnsi="Arial" w:cs="Arial"/>
                <w:sz w:val="24"/>
                <w:szCs w:val="24"/>
              </w:rPr>
              <w:t xml:space="preserve">out </w:t>
            </w:r>
            <w:r w:rsidR="005D0587" w:rsidRPr="001541F5">
              <w:rPr>
                <w:rFonts w:ascii="Arial" w:hAnsi="Arial" w:cs="Arial"/>
                <w:sz w:val="24"/>
                <w:szCs w:val="24"/>
              </w:rPr>
              <w:t>to</w:t>
            </w:r>
            <w:r w:rsidR="005D0587" w:rsidRPr="005D0587">
              <w:rPr>
                <w:rFonts w:ascii="Arial" w:hAnsi="Arial" w:cs="Arial"/>
                <w:sz w:val="24"/>
                <w:szCs w:val="24"/>
              </w:rPr>
              <w:t xml:space="preserve"> apply for summary judgment is regulated by rule 60 of the Rules of this Court, and the legal principles governing summary judgment proceedings are well-established. They are set out in </w:t>
            </w:r>
            <w:r w:rsidR="005D0587" w:rsidRPr="00960AE2">
              <w:rPr>
                <w:rFonts w:ascii="Arial" w:hAnsi="Arial" w:cs="Arial"/>
                <w:i/>
                <w:sz w:val="24"/>
                <w:szCs w:val="24"/>
              </w:rPr>
              <w:t xml:space="preserve">Di </w:t>
            </w:r>
            <w:proofErr w:type="spellStart"/>
            <w:r w:rsidR="005D0587" w:rsidRPr="00960AE2">
              <w:rPr>
                <w:rFonts w:ascii="Arial" w:hAnsi="Arial" w:cs="Arial"/>
                <w:i/>
                <w:sz w:val="24"/>
                <w:szCs w:val="24"/>
              </w:rPr>
              <w:t>Savino</w:t>
            </w:r>
            <w:proofErr w:type="spellEnd"/>
            <w:r w:rsidR="005D0587" w:rsidRPr="00960AE2">
              <w:rPr>
                <w:rFonts w:ascii="Arial" w:hAnsi="Arial" w:cs="Arial"/>
                <w:i/>
                <w:sz w:val="24"/>
                <w:szCs w:val="24"/>
              </w:rPr>
              <w:t xml:space="preserve"> v </w:t>
            </w:r>
            <w:proofErr w:type="spellStart"/>
            <w:r w:rsidR="005D0587" w:rsidRPr="00960AE2">
              <w:rPr>
                <w:rFonts w:ascii="Arial" w:hAnsi="Arial" w:cs="Arial"/>
                <w:i/>
                <w:sz w:val="24"/>
                <w:szCs w:val="24"/>
              </w:rPr>
              <w:t>Nedbank</w:t>
            </w:r>
            <w:proofErr w:type="spellEnd"/>
            <w:r w:rsidR="005D0587" w:rsidRPr="00960AE2">
              <w:rPr>
                <w:rFonts w:ascii="Arial" w:hAnsi="Arial" w:cs="Arial"/>
                <w:i/>
                <w:sz w:val="24"/>
                <w:szCs w:val="24"/>
              </w:rPr>
              <w:t xml:space="preserve"> Namibia Ltd</w:t>
            </w:r>
            <w:r w:rsidR="00960AE2">
              <w:rPr>
                <w:rStyle w:val="FootnoteReference"/>
                <w:rFonts w:ascii="Arial" w:hAnsi="Arial" w:cs="Arial"/>
                <w:i/>
                <w:sz w:val="24"/>
                <w:szCs w:val="24"/>
              </w:rPr>
              <w:footnoteReference w:id="2"/>
            </w:r>
            <w:r w:rsidR="005D0587" w:rsidRPr="00960AE2">
              <w:rPr>
                <w:rFonts w:ascii="Arial" w:hAnsi="Arial" w:cs="Arial"/>
                <w:sz w:val="24"/>
                <w:szCs w:val="24"/>
              </w:rPr>
              <w:t xml:space="preserve"> </w:t>
            </w:r>
            <w:r w:rsidR="005D0587" w:rsidRPr="005D0587">
              <w:rPr>
                <w:rFonts w:ascii="Arial" w:hAnsi="Arial" w:cs="Arial"/>
                <w:sz w:val="24"/>
                <w:szCs w:val="24"/>
              </w:rPr>
              <w:t xml:space="preserve">as follows: </w:t>
            </w:r>
          </w:p>
          <w:p w:rsidR="005D0587" w:rsidRPr="005D0587" w:rsidRDefault="005D0587" w:rsidP="005D0587">
            <w:pPr>
              <w:tabs>
                <w:tab w:val="left" w:pos="729"/>
              </w:tabs>
              <w:spacing w:line="360" w:lineRule="auto"/>
              <w:jc w:val="both"/>
              <w:rPr>
                <w:rFonts w:ascii="Arial" w:hAnsi="Arial" w:cs="Arial"/>
                <w:sz w:val="24"/>
                <w:szCs w:val="24"/>
              </w:rPr>
            </w:pPr>
          </w:p>
          <w:p w:rsidR="001D7F5F" w:rsidRDefault="005D0587" w:rsidP="005D0587">
            <w:pPr>
              <w:tabs>
                <w:tab w:val="left" w:pos="729"/>
              </w:tabs>
              <w:spacing w:line="360" w:lineRule="auto"/>
              <w:jc w:val="both"/>
              <w:rPr>
                <w:rFonts w:ascii="Arial" w:hAnsi="Arial" w:cs="Arial"/>
              </w:rPr>
            </w:pPr>
            <w:r w:rsidRPr="005D0587">
              <w:rPr>
                <w:rFonts w:ascii="Arial" w:hAnsi="Arial" w:cs="Arial"/>
                <w:sz w:val="24"/>
                <w:szCs w:val="24"/>
              </w:rPr>
              <w:t xml:space="preserve">            </w:t>
            </w:r>
            <w:r w:rsidR="00960AE2">
              <w:rPr>
                <w:rFonts w:ascii="Arial" w:hAnsi="Arial" w:cs="Arial"/>
              </w:rPr>
              <w:t>‘[23]</w:t>
            </w:r>
            <w:r w:rsidR="00960AE2" w:rsidRPr="00960AE2">
              <w:rPr>
                <w:rFonts w:ascii="Arial" w:hAnsi="Arial" w:cs="Arial"/>
              </w:rPr>
              <w:tab/>
            </w:r>
            <w:r w:rsidRPr="00960AE2">
              <w:rPr>
                <w:rFonts w:ascii="Arial" w:hAnsi="Arial" w:cs="Arial"/>
              </w:rPr>
              <w:t>One of the ways in which the defendant may successfully avoid summary judgment is by satisfying the court by affidavit that he or she has a bona fide defence to the action. The defendant would normally do this by deposing to facts which, if true, would establish s</w:t>
            </w:r>
            <w:r w:rsidR="00960AE2">
              <w:rPr>
                <w:rFonts w:ascii="Arial" w:hAnsi="Arial" w:cs="Arial"/>
              </w:rPr>
              <w:t>uch a defence. Under rule 32(3)</w:t>
            </w:r>
            <w:r w:rsidRPr="00960AE2">
              <w:rPr>
                <w:rFonts w:ascii="Arial" w:hAnsi="Arial" w:cs="Arial"/>
              </w:rPr>
              <w:t>(</w:t>
            </w:r>
            <w:r w:rsidRPr="00960AE2">
              <w:rPr>
                <w:rFonts w:ascii="Arial" w:hAnsi="Arial" w:cs="Arial"/>
                <w:i/>
              </w:rPr>
              <w:t>b</w:t>
            </w:r>
            <w:r w:rsidRPr="00960AE2">
              <w:rPr>
                <w:rFonts w:ascii="Arial" w:hAnsi="Arial" w:cs="Arial"/>
              </w:rPr>
              <w:t>)</w:t>
            </w:r>
            <w:r w:rsidR="00FB4837">
              <w:rPr>
                <w:rFonts w:ascii="Arial" w:hAnsi="Arial" w:cs="Arial"/>
              </w:rPr>
              <w:t>,</w:t>
            </w:r>
            <w:r w:rsidR="00D25B16">
              <w:rPr>
                <w:rStyle w:val="FootnoteReference"/>
                <w:rFonts w:ascii="Arial" w:hAnsi="Arial" w:cs="Arial"/>
              </w:rPr>
              <w:footnoteReference w:id="3"/>
            </w:r>
            <w:r w:rsidRPr="00960AE2">
              <w:rPr>
                <w:rFonts w:ascii="Arial" w:hAnsi="Arial" w:cs="Arial"/>
              </w:rPr>
              <w:t xml:space="preserve"> the affidavit must 'disclose fully the nature and grounds of the defence and the material facts relied upon </w:t>
            </w:r>
          </w:p>
          <w:p w:rsidR="005D0587" w:rsidRPr="00960AE2" w:rsidRDefault="005D0587" w:rsidP="005D0587">
            <w:pPr>
              <w:tabs>
                <w:tab w:val="left" w:pos="729"/>
              </w:tabs>
              <w:spacing w:line="360" w:lineRule="auto"/>
              <w:jc w:val="both"/>
              <w:rPr>
                <w:rFonts w:ascii="Arial" w:hAnsi="Arial" w:cs="Arial"/>
              </w:rPr>
            </w:pPr>
            <w:proofErr w:type="gramStart"/>
            <w:r w:rsidRPr="00960AE2">
              <w:rPr>
                <w:rFonts w:ascii="Arial" w:hAnsi="Arial" w:cs="Arial"/>
              </w:rPr>
              <w:lastRenderedPageBreak/>
              <w:t>therefor</w:t>
            </w:r>
            <w:proofErr w:type="gramEnd"/>
            <w:r w:rsidRPr="00960AE2">
              <w:rPr>
                <w:rFonts w:ascii="Arial" w:hAnsi="Arial" w:cs="Arial"/>
              </w:rPr>
              <w:t xml:space="preserve">'. Where the defence is based upon facts and the material facts alleged by the plaintiff are disputed or where the defendant alleges new facts, the duty of the court is not to attempt to resolve these issues or to determine where the probabilities lie. </w:t>
            </w:r>
          </w:p>
          <w:p w:rsidR="005D0587" w:rsidRPr="00960AE2" w:rsidRDefault="005D0587" w:rsidP="005D0587">
            <w:pPr>
              <w:tabs>
                <w:tab w:val="left" w:pos="729"/>
              </w:tabs>
              <w:spacing w:line="360" w:lineRule="auto"/>
              <w:jc w:val="both"/>
              <w:rPr>
                <w:rFonts w:ascii="Arial" w:hAnsi="Arial" w:cs="Arial"/>
              </w:rPr>
            </w:pPr>
          </w:p>
          <w:p w:rsidR="005D0587" w:rsidRDefault="00960AE2" w:rsidP="005D0587">
            <w:pPr>
              <w:tabs>
                <w:tab w:val="left" w:pos="729"/>
              </w:tabs>
              <w:spacing w:line="360" w:lineRule="auto"/>
              <w:jc w:val="both"/>
              <w:rPr>
                <w:rFonts w:ascii="Arial" w:hAnsi="Arial" w:cs="Arial"/>
              </w:rPr>
            </w:pPr>
            <w:r>
              <w:rPr>
                <w:rFonts w:ascii="Arial" w:hAnsi="Arial" w:cs="Arial"/>
              </w:rPr>
              <w:t>[24]</w:t>
            </w:r>
            <w:r w:rsidRPr="00960AE2">
              <w:rPr>
                <w:rFonts w:ascii="Arial" w:hAnsi="Arial" w:cs="Arial"/>
              </w:rPr>
              <w:tab/>
            </w:r>
            <w:r w:rsidR="005D0587" w:rsidRPr="00960AE2">
              <w:rPr>
                <w:rFonts w:ascii="Arial" w:hAnsi="Arial" w:cs="Arial"/>
              </w:rPr>
              <w:t>The enquiry that the court must conduc</w:t>
            </w:r>
            <w:r>
              <w:rPr>
                <w:rFonts w:ascii="Arial" w:hAnsi="Arial" w:cs="Arial"/>
              </w:rPr>
              <w:t>t is foreshadowed in rule 32(3)</w:t>
            </w:r>
            <w:r w:rsidR="005D0587" w:rsidRPr="00960AE2">
              <w:rPr>
                <w:rFonts w:ascii="Arial" w:hAnsi="Arial" w:cs="Arial"/>
              </w:rPr>
              <w:t>(</w:t>
            </w:r>
            <w:r w:rsidR="005D0587" w:rsidRPr="00960AE2">
              <w:rPr>
                <w:rFonts w:ascii="Arial" w:hAnsi="Arial" w:cs="Arial"/>
                <w:i/>
              </w:rPr>
              <w:t>b</w:t>
            </w:r>
            <w:r w:rsidR="005D0587" w:rsidRPr="00960AE2">
              <w:rPr>
                <w:rFonts w:ascii="Arial" w:hAnsi="Arial" w:cs="Arial"/>
              </w:rPr>
              <w:t>) and it is this: first, has the defendant 'fully' disclosed the nature and grounds of the defence to be raised in the action and the material facts upon which it is founded; and, second, on the facts disclosed in the affidavit, does the defendant appear to have, as to either the whole or part of the claim, a defence whi</w:t>
            </w:r>
            <w:r>
              <w:rPr>
                <w:rFonts w:ascii="Arial" w:hAnsi="Arial" w:cs="Arial"/>
              </w:rPr>
              <w:t>ch is bona fide and good in law</w:t>
            </w:r>
            <w:r w:rsidR="005D0587" w:rsidRPr="00960AE2">
              <w:rPr>
                <w:rFonts w:ascii="Arial" w:hAnsi="Arial" w:cs="Arial"/>
              </w:rPr>
              <w:t>.</w:t>
            </w:r>
            <w:r w:rsidR="00D25B16">
              <w:rPr>
                <w:rStyle w:val="FootnoteReference"/>
                <w:rFonts w:ascii="Arial" w:hAnsi="Arial" w:cs="Arial"/>
              </w:rPr>
              <w:footnoteReference w:id="4"/>
            </w:r>
            <w:r w:rsidR="005D0587" w:rsidRPr="00960AE2">
              <w:rPr>
                <w:rFonts w:ascii="Arial" w:hAnsi="Arial" w:cs="Arial"/>
              </w:rPr>
              <w:t xml:space="preserve">   If the court is satisfied with these two grounds, it must refuse summary judgment, either in relation to the whole or part of</w:t>
            </w:r>
            <w:r>
              <w:rPr>
                <w:rFonts w:ascii="Arial" w:hAnsi="Arial" w:cs="Arial"/>
              </w:rPr>
              <w:t xml:space="preserve"> the claim, as the case may be.</w:t>
            </w:r>
          </w:p>
          <w:p w:rsidR="00960AE2" w:rsidRPr="00960AE2" w:rsidRDefault="00960AE2" w:rsidP="005D0587">
            <w:pPr>
              <w:tabs>
                <w:tab w:val="left" w:pos="729"/>
              </w:tabs>
              <w:spacing w:line="360" w:lineRule="auto"/>
              <w:jc w:val="both"/>
              <w:rPr>
                <w:rFonts w:ascii="Arial" w:hAnsi="Arial" w:cs="Arial"/>
              </w:rPr>
            </w:pPr>
          </w:p>
          <w:p w:rsidR="005D0587" w:rsidRPr="005D0587" w:rsidRDefault="00960AE2" w:rsidP="005D0587">
            <w:pPr>
              <w:tabs>
                <w:tab w:val="left" w:pos="729"/>
              </w:tabs>
              <w:spacing w:line="360" w:lineRule="auto"/>
              <w:jc w:val="both"/>
              <w:rPr>
                <w:rFonts w:ascii="Arial" w:hAnsi="Arial" w:cs="Arial"/>
                <w:sz w:val="24"/>
                <w:szCs w:val="24"/>
              </w:rPr>
            </w:pPr>
            <w:r>
              <w:rPr>
                <w:rFonts w:ascii="Arial" w:hAnsi="Arial" w:cs="Arial"/>
              </w:rPr>
              <w:t>[25]</w:t>
            </w:r>
            <w:r w:rsidRPr="00960AE2">
              <w:rPr>
                <w:rFonts w:ascii="Arial" w:hAnsi="Arial" w:cs="Arial"/>
              </w:rPr>
              <w:tab/>
            </w:r>
            <w:r w:rsidR="005D0587" w:rsidRPr="00960AE2">
              <w:rPr>
                <w:rFonts w:ascii="Arial" w:hAnsi="Arial" w:cs="Arial"/>
              </w:rPr>
              <w:t xml:space="preserve">While the defendant is not required to deal 'exhaustively with the facts and the evidence relied upon to substantiate them', </w:t>
            </w:r>
            <w:r w:rsidR="005D0587" w:rsidRPr="00D25B16">
              <w:rPr>
                <w:rFonts w:ascii="Arial" w:hAnsi="Arial" w:cs="Arial"/>
                <w:u w:val="single"/>
              </w:rPr>
              <w:t>the defendant must at least disclose the defence to be raised and the material facts upon which it is based 'with sufficient particularity and completeness to enable the Court to decide whether the affidavit di</w:t>
            </w:r>
            <w:r w:rsidRPr="00D25B16">
              <w:rPr>
                <w:rFonts w:ascii="Arial" w:hAnsi="Arial" w:cs="Arial"/>
                <w:u w:val="single"/>
              </w:rPr>
              <w:t>scloses a bona fide defence'</w:t>
            </w:r>
            <w:r>
              <w:rPr>
                <w:rFonts w:ascii="Arial" w:hAnsi="Arial" w:cs="Arial"/>
              </w:rPr>
              <w:t>.</w:t>
            </w:r>
            <w:r w:rsidR="00D25B16">
              <w:rPr>
                <w:rStyle w:val="FootnoteReference"/>
                <w:rFonts w:ascii="Arial" w:hAnsi="Arial" w:cs="Arial"/>
              </w:rPr>
              <w:footnoteReference w:id="5"/>
            </w:r>
            <w:r>
              <w:rPr>
                <w:rFonts w:ascii="Arial" w:hAnsi="Arial" w:cs="Arial"/>
              </w:rPr>
              <w:t xml:space="preserve"> </w:t>
            </w:r>
            <w:r w:rsidR="005D0587" w:rsidRPr="00960AE2">
              <w:rPr>
                <w:rFonts w:ascii="Arial" w:hAnsi="Arial" w:cs="Arial"/>
              </w:rPr>
              <w:t>Where the statements of fact are ambiguous or fail to canvass matters essential to the defence raised, then the affidavit does not comply with the rule.’</w:t>
            </w:r>
            <w:r w:rsidR="00D25B16">
              <w:rPr>
                <w:rStyle w:val="FootnoteReference"/>
                <w:rFonts w:ascii="Arial" w:hAnsi="Arial" w:cs="Arial"/>
              </w:rPr>
              <w:footnoteReference w:id="6"/>
            </w:r>
            <w:r>
              <w:rPr>
                <w:rFonts w:ascii="Arial" w:hAnsi="Arial" w:cs="Arial"/>
              </w:rPr>
              <w:t xml:space="preserve"> </w:t>
            </w:r>
            <w:r w:rsidR="00D66F69">
              <w:rPr>
                <w:rFonts w:ascii="Arial" w:hAnsi="Arial" w:cs="Arial"/>
              </w:rPr>
              <w:t>(my emphasis)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Discussion</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[2</w:t>
            </w:r>
            <w:r w:rsidR="005D0587" w:rsidRPr="005D0587">
              <w:rPr>
                <w:rFonts w:ascii="Arial" w:hAnsi="Arial" w:cs="Arial"/>
                <w:sz w:val="24"/>
                <w:szCs w:val="24"/>
              </w:rPr>
              <w:t>6]</w:t>
            </w:r>
            <w:r w:rsidR="005D0587" w:rsidRPr="005D0587">
              <w:rPr>
                <w:rFonts w:ascii="Arial" w:hAnsi="Arial" w:cs="Arial"/>
                <w:sz w:val="24"/>
                <w:szCs w:val="24"/>
              </w:rPr>
              <w:tab/>
              <w:t>The purpose of summary judgment is to assist a plaintiff where a defendant who cannot set up a bona fide defence or raise an issue to be tried</w:t>
            </w:r>
            <w:r w:rsidR="00D66F69">
              <w:rPr>
                <w:rFonts w:ascii="Arial" w:hAnsi="Arial" w:cs="Arial"/>
                <w:sz w:val="24"/>
                <w:szCs w:val="24"/>
              </w:rPr>
              <w:t>,</w:t>
            </w:r>
            <w:r w:rsidR="005D0587" w:rsidRPr="005D0587">
              <w:rPr>
                <w:rFonts w:ascii="Arial" w:hAnsi="Arial" w:cs="Arial"/>
                <w:sz w:val="24"/>
                <w:szCs w:val="24"/>
              </w:rPr>
              <w:t xml:space="preserve"> enters appearance simply to delay judgment.</w:t>
            </w:r>
            <w:r w:rsidR="00D51E49">
              <w:rPr>
                <w:rFonts w:ascii="Arial" w:hAnsi="Arial" w:cs="Arial"/>
                <w:sz w:val="24"/>
                <w:szCs w:val="24"/>
              </w:rPr>
              <w:t xml:space="preserve"> </w:t>
            </w:r>
            <w:r w:rsidR="00D51E49">
              <w:rPr>
                <w:rStyle w:val="FootnoteReference"/>
                <w:rFonts w:ascii="Arial" w:hAnsi="Arial" w:cs="Arial"/>
                <w:sz w:val="24"/>
                <w:szCs w:val="24"/>
              </w:rPr>
              <w:footnoteReference w:id="7"/>
            </w:r>
          </w:p>
          <w:p w:rsidR="005D0587" w:rsidRPr="005D0587" w:rsidRDefault="005D0587" w:rsidP="005D0587">
            <w:pPr>
              <w:tabs>
                <w:tab w:val="left" w:pos="729"/>
              </w:tabs>
              <w:spacing w:line="360" w:lineRule="auto"/>
              <w:jc w:val="both"/>
              <w:rPr>
                <w:rFonts w:ascii="Arial" w:hAnsi="Arial" w:cs="Arial"/>
                <w:sz w:val="24"/>
                <w:szCs w:val="24"/>
              </w:rPr>
            </w:pPr>
          </w:p>
          <w:p w:rsidR="005D0587" w:rsidRDefault="001D7F5F" w:rsidP="001541F5">
            <w:pPr>
              <w:pStyle w:val="BodyText"/>
            </w:pPr>
            <w:r>
              <w:t>[2</w:t>
            </w:r>
            <w:r w:rsidR="005D0587" w:rsidRPr="005D0587">
              <w:t>7]</w:t>
            </w:r>
            <w:r w:rsidR="005D0587" w:rsidRPr="005D0587">
              <w:tab/>
              <w:t xml:space="preserve">If the Court doubts whether the applicant’s case is </w:t>
            </w:r>
            <w:r w:rsidR="005D0587" w:rsidRPr="001541F5">
              <w:t>unanswerable</w:t>
            </w:r>
            <w:r w:rsidR="005D0587" w:rsidRPr="005D0587">
              <w:t xml:space="preserve">, such doubt should be exercised in favour of the respondent and the summary judgment should be </w:t>
            </w:r>
            <w:r w:rsidR="001541F5">
              <w:t>refused</w:t>
            </w:r>
            <w:r w:rsidR="005D0587" w:rsidRPr="005D0587">
              <w:t xml:space="preserve">. </w:t>
            </w:r>
          </w:p>
          <w:p w:rsidR="001541F5" w:rsidRPr="005D0587" w:rsidRDefault="001541F5" w:rsidP="005D0587">
            <w:pPr>
              <w:tabs>
                <w:tab w:val="left" w:pos="729"/>
              </w:tabs>
              <w:spacing w:line="360" w:lineRule="auto"/>
              <w:jc w:val="both"/>
              <w:rPr>
                <w:rFonts w:ascii="Arial" w:hAnsi="Arial" w:cs="Arial"/>
                <w:sz w:val="24"/>
                <w:szCs w:val="24"/>
              </w:rPr>
            </w:pPr>
          </w:p>
          <w:p w:rsid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[2</w:t>
            </w:r>
            <w:r w:rsidR="005D0587" w:rsidRPr="005D0587">
              <w:rPr>
                <w:rFonts w:ascii="Arial" w:hAnsi="Arial" w:cs="Arial"/>
                <w:sz w:val="24"/>
                <w:szCs w:val="24"/>
              </w:rPr>
              <w:t>8]</w:t>
            </w:r>
            <w:r w:rsidR="005D0587" w:rsidRPr="005D0587">
              <w:rPr>
                <w:rFonts w:ascii="Arial" w:hAnsi="Arial" w:cs="Arial"/>
                <w:sz w:val="24"/>
                <w:szCs w:val="24"/>
              </w:rPr>
              <w:tab/>
              <w:t xml:space="preserve">To determine if the applicant made out the case on the merits of the application, it is necessary to deal with the various points in </w:t>
            </w:r>
            <w:proofErr w:type="spellStart"/>
            <w:r w:rsidR="005D0587" w:rsidRPr="005D0587">
              <w:rPr>
                <w:rFonts w:ascii="Arial" w:hAnsi="Arial" w:cs="Arial"/>
                <w:sz w:val="24"/>
                <w:szCs w:val="24"/>
              </w:rPr>
              <w:t>limine</w:t>
            </w:r>
            <w:proofErr w:type="spellEnd"/>
            <w:r w:rsidR="005D0587" w:rsidRPr="005D0587">
              <w:rPr>
                <w:rFonts w:ascii="Arial" w:hAnsi="Arial" w:cs="Arial"/>
                <w:sz w:val="24"/>
                <w:szCs w:val="24"/>
              </w:rPr>
              <w:t xml:space="preserve"> raised on behalf of the respondents.</w:t>
            </w:r>
          </w:p>
          <w:p w:rsidR="001D7F5F" w:rsidRPr="005D0587" w:rsidRDefault="001D7F5F"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Compliance with rule 32(9)</w:t>
            </w:r>
          </w:p>
          <w:p w:rsidR="005D0587" w:rsidRPr="005D0587" w:rsidRDefault="005D0587" w:rsidP="005D0587">
            <w:pPr>
              <w:tabs>
                <w:tab w:val="left" w:pos="729"/>
              </w:tabs>
              <w:spacing w:line="360" w:lineRule="auto"/>
              <w:jc w:val="both"/>
              <w:rPr>
                <w:rFonts w:ascii="Arial" w:hAnsi="Arial" w:cs="Arial"/>
                <w:sz w:val="24"/>
                <w:szCs w:val="24"/>
              </w:rPr>
            </w:pPr>
          </w:p>
          <w:p w:rsidR="0079685C"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lastRenderedPageBreak/>
              <w:t>[2</w:t>
            </w:r>
            <w:r w:rsidR="005D0587" w:rsidRPr="005D0587">
              <w:rPr>
                <w:rFonts w:ascii="Arial" w:hAnsi="Arial" w:cs="Arial"/>
                <w:sz w:val="24"/>
                <w:szCs w:val="24"/>
              </w:rPr>
              <w:t>9]</w:t>
            </w:r>
            <w:r w:rsidR="005D0587" w:rsidRPr="005D0587">
              <w:rPr>
                <w:rFonts w:ascii="Arial" w:hAnsi="Arial" w:cs="Arial"/>
                <w:sz w:val="24"/>
                <w:szCs w:val="24"/>
              </w:rPr>
              <w:tab/>
              <w:t>The respondents strongly rely on the fact that rule 32(9) was not duly complied with as directed in this court’s order. The steps taken by the applicant’s legal practitioner to facilitate a meeting between the parties are not in dispute. The respondents also do not dispute the fact that there were engagements with the</w:t>
            </w:r>
            <w:r w:rsidR="00D25B16">
              <w:rPr>
                <w:rFonts w:ascii="Arial" w:hAnsi="Arial" w:cs="Arial"/>
                <w:sz w:val="24"/>
                <w:szCs w:val="24"/>
              </w:rPr>
              <w:t>ir</w:t>
            </w:r>
            <w:r w:rsidR="005D0587" w:rsidRPr="005D0587">
              <w:rPr>
                <w:rFonts w:ascii="Arial" w:hAnsi="Arial" w:cs="Arial"/>
                <w:sz w:val="24"/>
                <w:szCs w:val="24"/>
              </w:rPr>
              <w:t xml:space="preserve"> erstwhile legal practitioner as well as with the counsel of </w:t>
            </w:r>
          </w:p>
          <w:p w:rsidR="0079685C" w:rsidRDefault="0079685C"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proofErr w:type="gramStart"/>
            <w:r w:rsidRPr="005D0587">
              <w:rPr>
                <w:rFonts w:ascii="Arial" w:hAnsi="Arial" w:cs="Arial"/>
                <w:sz w:val="24"/>
                <w:szCs w:val="24"/>
              </w:rPr>
              <w:t>record</w:t>
            </w:r>
            <w:proofErr w:type="gramEnd"/>
            <w:r w:rsidRPr="005D0587">
              <w:rPr>
                <w:rFonts w:ascii="Arial" w:hAnsi="Arial" w:cs="Arial"/>
                <w:sz w:val="24"/>
                <w:szCs w:val="24"/>
              </w:rPr>
              <w:t>. Both the respondents and their legal practitioners were aware of the dates scheduled for the rule 32(9) engagement, and at the time, the current legal practitioners indicated that they were not yet on record.</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0]</w:t>
            </w:r>
            <w:r w:rsidR="005D0587" w:rsidRPr="005D0587">
              <w:rPr>
                <w:rFonts w:ascii="Arial" w:hAnsi="Arial" w:cs="Arial"/>
                <w:sz w:val="24"/>
                <w:szCs w:val="24"/>
              </w:rPr>
              <w:tab/>
              <w:t xml:space="preserve">To determine </w:t>
            </w:r>
            <w:r w:rsidR="00990873" w:rsidRPr="001541F5">
              <w:rPr>
                <w:rFonts w:ascii="Arial" w:hAnsi="Arial" w:cs="Arial"/>
                <w:sz w:val="24"/>
                <w:szCs w:val="24"/>
              </w:rPr>
              <w:t xml:space="preserve">whether </w:t>
            </w:r>
            <w:r w:rsidR="005D0587" w:rsidRPr="001541F5">
              <w:rPr>
                <w:rFonts w:ascii="Arial" w:hAnsi="Arial" w:cs="Arial"/>
                <w:sz w:val="24"/>
                <w:szCs w:val="24"/>
              </w:rPr>
              <w:t>there</w:t>
            </w:r>
            <w:r w:rsidR="005D0587" w:rsidRPr="005D0587">
              <w:rPr>
                <w:rFonts w:ascii="Arial" w:hAnsi="Arial" w:cs="Arial"/>
                <w:sz w:val="24"/>
                <w:szCs w:val="24"/>
              </w:rPr>
              <w:t xml:space="preserve"> was compliance with the rule, it is necessary to look closely at the correspondence filed of record.</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1]</w:t>
            </w:r>
            <w:r w:rsidR="005D0587" w:rsidRPr="005D0587">
              <w:rPr>
                <w:rFonts w:ascii="Arial" w:hAnsi="Arial" w:cs="Arial"/>
                <w:sz w:val="24"/>
                <w:szCs w:val="24"/>
              </w:rPr>
              <w:tab/>
              <w:t xml:space="preserve">The compliance with rules 32(9) and (10) had to be completed by 20 March 2023. On 15 March 2023, the respondents, more specifically the second respondent, </w:t>
            </w:r>
            <w:r w:rsidR="00D25B16" w:rsidRPr="001541F5">
              <w:rPr>
                <w:rFonts w:ascii="Arial" w:hAnsi="Arial" w:cs="Arial"/>
                <w:sz w:val="24"/>
                <w:szCs w:val="24"/>
              </w:rPr>
              <w:t>was</w:t>
            </w:r>
            <w:r w:rsidR="005D0587" w:rsidRPr="005D0587">
              <w:rPr>
                <w:rFonts w:ascii="Arial" w:hAnsi="Arial" w:cs="Arial"/>
                <w:sz w:val="24"/>
                <w:szCs w:val="24"/>
              </w:rPr>
              <w:t xml:space="preserve"> invited to a meeting, either in person or via Teams or Zoom, for either the 15th, 16th or 17th of March 2023 and an agenda was made available to the </w:t>
            </w:r>
            <w:r w:rsidR="00990873" w:rsidRPr="001541F5">
              <w:rPr>
                <w:rFonts w:ascii="Arial" w:hAnsi="Arial" w:cs="Arial"/>
                <w:sz w:val="24"/>
                <w:szCs w:val="24"/>
              </w:rPr>
              <w:t>respondents</w:t>
            </w:r>
            <w:r w:rsidR="005D0587" w:rsidRPr="001541F5">
              <w:rPr>
                <w:rFonts w:ascii="Arial" w:hAnsi="Arial" w:cs="Arial"/>
                <w:sz w:val="24"/>
                <w:szCs w:val="24"/>
              </w:rPr>
              <w: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990873">
              <w:rPr>
                <w:rFonts w:ascii="Arial" w:hAnsi="Arial" w:cs="Arial"/>
                <w:sz w:val="24"/>
                <w:szCs w:val="24"/>
              </w:rPr>
              <w:t>2]</w:t>
            </w:r>
            <w:r w:rsidR="00990873">
              <w:rPr>
                <w:rFonts w:ascii="Arial" w:hAnsi="Arial" w:cs="Arial"/>
                <w:sz w:val="24"/>
                <w:szCs w:val="24"/>
              </w:rPr>
              <w:tab/>
            </w:r>
            <w:r w:rsidR="005D0587" w:rsidRPr="005D0587">
              <w:rPr>
                <w:rFonts w:ascii="Arial" w:hAnsi="Arial" w:cs="Arial"/>
                <w:sz w:val="24"/>
                <w:szCs w:val="24"/>
              </w:rPr>
              <w:t xml:space="preserve">In response, on 17 March 2023, the current legal practitioner, Mr Slogan </w:t>
            </w:r>
            <w:proofErr w:type="spellStart"/>
            <w:r w:rsidR="005D0587" w:rsidRPr="005D0587">
              <w:rPr>
                <w:rFonts w:ascii="Arial" w:hAnsi="Arial" w:cs="Arial"/>
                <w:sz w:val="24"/>
                <w:szCs w:val="24"/>
              </w:rPr>
              <w:t>Matheus</w:t>
            </w:r>
            <w:proofErr w:type="spellEnd"/>
            <w:r w:rsidR="005D0587" w:rsidRPr="005D0587">
              <w:rPr>
                <w:rFonts w:ascii="Arial" w:hAnsi="Arial" w:cs="Arial"/>
                <w:sz w:val="24"/>
                <w:szCs w:val="24"/>
              </w:rPr>
              <w:t xml:space="preserve">, in </w:t>
            </w:r>
            <w:r w:rsidR="00B20587" w:rsidRPr="001541F5">
              <w:rPr>
                <w:rFonts w:ascii="Arial" w:hAnsi="Arial" w:cs="Arial"/>
                <w:sz w:val="24"/>
                <w:szCs w:val="24"/>
              </w:rPr>
              <w:t>an</w:t>
            </w:r>
            <w:r w:rsidR="00B20587">
              <w:rPr>
                <w:rFonts w:ascii="Arial" w:hAnsi="Arial" w:cs="Arial"/>
                <w:sz w:val="24"/>
                <w:szCs w:val="24"/>
              </w:rPr>
              <w:t xml:space="preserve"> </w:t>
            </w:r>
            <w:r w:rsidR="005D0587" w:rsidRPr="005D0587">
              <w:rPr>
                <w:rFonts w:ascii="Arial" w:hAnsi="Arial" w:cs="Arial"/>
                <w:sz w:val="24"/>
                <w:szCs w:val="24"/>
              </w:rPr>
              <w:t xml:space="preserve">email correspondence to Mr </w:t>
            </w:r>
            <w:proofErr w:type="spellStart"/>
            <w:r w:rsidR="005D0587" w:rsidRPr="005D0587">
              <w:rPr>
                <w:rFonts w:ascii="Arial" w:hAnsi="Arial" w:cs="Arial"/>
                <w:sz w:val="24"/>
                <w:szCs w:val="24"/>
              </w:rPr>
              <w:t>Luvindao</w:t>
            </w:r>
            <w:proofErr w:type="spellEnd"/>
            <w:r w:rsidR="005D0587" w:rsidRPr="005D0587">
              <w:rPr>
                <w:rFonts w:ascii="Arial" w:hAnsi="Arial" w:cs="Arial"/>
                <w:sz w:val="24"/>
                <w:szCs w:val="24"/>
              </w:rPr>
              <w:t>, acknowledged the date for the filing of the rule 32(10) report and indicated that the date for the rule 32(9) engagement is in order but that he will only assist the respondents su</w:t>
            </w:r>
            <w:r w:rsidR="004211D2">
              <w:rPr>
                <w:rFonts w:ascii="Arial" w:hAnsi="Arial" w:cs="Arial"/>
                <w:sz w:val="24"/>
                <w:szCs w:val="24"/>
              </w:rPr>
              <w:t xml:space="preserve">bject to him coming on record. </w:t>
            </w:r>
            <w:r w:rsidR="005D0587" w:rsidRPr="005D0587">
              <w:rPr>
                <w:rFonts w:ascii="Arial" w:hAnsi="Arial" w:cs="Arial"/>
                <w:sz w:val="24"/>
                <w:szCs w:val="24"/>
              </w:rPr>
              <w:t xml:space="preserve">To accommodate the respondents’ legal practitioner, the meeting was moved to 20 March 2023. On 20 March 2023, an email was again forwarded to Mr </w:t>
            </w:r>
            <w:proofErr w:type="spellStart"/>
            <w:r w:rsidR="005D0587" w:rsidRPr="005D0587">
              <w:rPr>
                <w:rFonts w:ascii="Arial" w:hAnsi="Arial" w:cs="Arial"/>
                <w:sz w:val="24"/>
                <w:szCs w:val="24"/>
              </w:rPr>
              <w:t>Matheus</w:t>
            </w:r>
            <w:proofErr w:type="spellEnd"/>
            <w:r w:rsidR="005D0587" w:rsidRPr="005D0587">
              <w:rPr>
                <w:rFonts w:ascii="Arial" w:hAnsi="Arial" w:cs="Arial"/>
                <w:sz w:val="24"/>
                <w:szCs w:val="24"/>
              </w:rPr>
              <w:t xml:space="preserve"> to confirm if he would attend the meeting a</w:t>
            </w:r>
            <w:r w:rsidR="00B20587">
              <w:rPr>
                <w:rFonts w:ascii="Arial" w:hAnsi="Arial" w:cs="Arial"/>
                <w:sz w:val="24"/>
                <w:szCs w:val="24"/>
              </w:rPr>
              <w:t xml:space="preserve">s scheduled. </w:t>
            </w:r>
            <w:r w:rsidR="005D0587" w:rsidRPr="005D0587">
              <w:rPr>
                <w:rFonts w:ascii="Arial" w:hAnsi="Arial" w:cs="Arial"/>
                <w:sz w:val="24"/>
                <w:szCs w:val="24"/>
              </w:rPr>
              <w:t xml:space="preserve">Mr </w:t>
            </w:r>
            <w:proofErr w:type="spellStart"/>
            <w:r w:rsidR="005D0587" w:rsidRPr="005D0587">
              <w:rPr>
                <w:rFonts w:ascii="Arial" w:hAnsi="Arial" w:cs="Arial"/>
                <w:sz w:val="24"/>
                <w:szCs w:val="24"/>
              </w:rPr>
              <w:t>Matheus</w:t>
            </w:r>
            <w:proofErr w:type="spellEnd"/>
            <w:r w:rsidR="005D0587" w:rsidRPr="005D0587">
              <w:rPr>
                <w:rFonts w:ascii="Arial" w:hAnsi="Arial" w:cs="Arial"/>
                <w:sz w:val="24"/>
                <w:szCs w:val="24"/>
              </w:rPr>
              <w:t xml:space="preserve"> chose not to attend, even though holding instructio</w:t>
            </w:r>
            <w:r w:rsidR="00D66F69">
              <w:rPr>
                <w:rFonts w:ascii="Arial" w:hAnsi="Arial" w:cs="Arial"/>
                <w:sz w:val="24"/>
                <w:szCs w:val="24"/>
              </w:rPr>
              <w:t>ns to represent the respondents. The reason advance</w:t>
            </w:r>
            <w:r w:rsidR="00B53D16">
              <w:rPr>
                <w:rFonts w:ascii="Arial" w:hAnsi="Arial" w:cs="Arial"/>
                <w:sz w:val="24"/>
                <w:szCs w:val="24"/>
              </w:rPr>
              <w:t>d</w:t>
            </w:r>
            <w:r w:rsidR="00D66F69">
              <w:rPr>
                <w:rFonts w:ascii="Arial" w:hAnsi="Arial" w:cs="Arial"/>
                <w:sz w:val="24"/>
                <w:szCs w:val="24"/>
              </w:rPr>
              <w:t xml:space="preserve"> for not attending the meeting was </w:t>
            </w:r>
            <w:r w:rsidR="005D0587" w:rsidRPr="005D0587">
              <w:rPr>
                <w:rFonts w:ascii="Arial" w:hAnsi="Arial" w:cs="Arial"/>
                <w:sz w:val="24"/>
                <w:szCs w:val="24"/>
              </w:rPr>
              <w:t xml:space="preserve">because the erstwhile legal practitioners did not complete their formal </w:t>
            </w:r>
            <w:r w:rsidR="005D0587" w:rsidRPr="001541F5">
              <w:rPr>
                <w:rFonts w:ascii="Arial" w:hAnsi="Arial" w:cs="Arial"/>
                <w:sz w:val="24"/>
                <w:szCs w:val="24"/>
              </w:rPr>
              <w:t xml:space="preserve">withdrawal </w:t>
            </w:r>
            <w:r w:rsidR="00B20587" w:rsidRPr="001541F5">
              <w:rPr>
                <w:rFonts w:ascii="Arial" w:hAnsi="Arial" w:cs="Arial"/>
                <w:sz w:val="24"/>
                <w:szCs w:val="24"/>
              </w:rPr>
              <w:t>on</w:t>
            </w:r>
            <w:r w:rsidR="005D0587" w:rsidRPr="005D0587">
              <w:rPr>
                <w:rFonts w:ascii="Arial" w:hAnsi="Arial" w:cs="Arial"/>
                <w:sz w:val="24"/>
                <w:szCs w:val="24"/>
              </w:rPr>
              <w:t xml:space="preserve"> </w:t>
            </w:r>
            <w:proofErr w:type="spellStart"/>
            <w:r w:rsidR="005D0587" w:rsidRPr="005D0587">
              <w:rPr>
                <w:rFonts w:ascii="Arial" w:hAnsi="Arial" w:cs="Arial"/>
                <w:sz w:val="24"/>
                <w:szCs w:val="24"/>
              </w:rPr>
              <w:t>eJustice</w:t>
            </w:r>
            <w:proofErr w:type="spellEnd"/>
            <w:r w:rsidR="005D0587" w:rsidRPr="005D0587">
              <w:rPr>
                <w:rFonts w:ascii="Arial" w:hAnsi="Arial" w:cs="Arial"/>
                <w:sz w:val="24"/>
                <w:szCs w:val="24"/>
              </w:rPr>
              <w:t xml:space="preserve">. </w:t>
            </w:r>
          </w:p>
          <w:p w:rsidR="005D0587" w:rsidRPr="005D0587" w:rsidRDefault="005D0587" w:rsidP="005D0587">
            <w:pPr>
              <w:tabs>
                <w:tab w:val="left" w:pos="729"/>
              </w:tabs>
              <w:spacing w:line="360" w:lineRule="auto"/>
              <w:jc w:val="both"/>
              <w:rPr>
                <w:rFonts w:ascii="Arial" w:hAnsi="Arial" w:cs="Arial"/>
                <w:sz w:val="24"/>
                <w:szCs w:val="24"/>
              </w:rPr>
            </w:pPr>
          </w:p>
          <w:p w:rsidR="001D7F5F"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3]</w:t>
            </w:r>
            <w:r w:rsidR="005D0587" w:rsidRPr="005D0587">
              <w:rPr>
                <w:rFonts w:ascii="Arial" w:hAnsi="Arial" w:cs="Arial"/>
                <w:sz w:val="24"/>
                <w:szCs w:val="24"/>
              </w:rPr>
              <w:tab/>
              <w:t xml:space="preserve">The current legal practitioner then came on record on 24 March 2023 and </w:t>
            </w:r>
            <w:r w:rsidR="00D66F69">
              <w:rPr>
                <w:rFonts w:ascii="Arial" w:hAnsi="Arial" w:cs="Arial"/>
                <w:sz w:val="24"/>
                <w:szCs w:val="24"/>
              </w:rPr>
              <w:t>wa</w:t>
            </w:r>
            <w:r w:rsidR="005D0587" w:rsidRPr="005D0587">
              <w:rPr>
                <w:rFonts w:ascii="Arial" w:hAnsi="Arial" w:cs="Arial"/>
                <w:sz w:val="24"/>
                <w:szCs w:val="24"/>
              </w:rPr>
              <w:t xml:space="preserve">s well aware of the rule 32(10) report filed on 20 March 2023 but did not approach the court for a further opportunity to engage the opposing party in an attempt to resolve the matter amicably even though there </w:t>
            </w:r>
            <w:r w:rsidR="00B20587" w:rsidRPr="001541F5">
              <w:rPr>
                <w:rFonts w:ascii="Arial" w:hAnsi="Arial" w:cs="Arial"/>
                <w:sz w:val="24"/>
                <w:szCs w:val="24"/>
              </w:rPr>
              <w:t>w</w:t>
            </w:r>
            <w:r w:rsidR="00D66F69">
              <w:rPr>
                <w:rFonts w:ascii="Arial" w:hAnsi="Arial" w:cs="Arial"/>
                <w:sz w:val="24"/>
                <w:szCs w:val="24"/>
              </w:rPr>
              <w:t>ere</w:t>
            </w:r>
            <w:r w:rsidR="00B20587" w:rsidRPr="001541F5">
              <w:rPr>
                <w:rFonts w:ascii="Arial" w:hAnsi="Arial" w:cs="Arial"/>
                <w:sz w:val="24"/>
                <w:szCs w:val="24"/>
              </w:rPr>
              <w:t xml:space="preserve"> </w:t>
            </w:r>
            <w:r w:rsidR="005D0587" w:rsidRPr="001541F5">
              <w:rPr>
                <w:rFonts w:ascii="Arial" w:hAnsi="Arial" w:cs="Arial"/>
                <w:sz w:val="24"/>
                <w:szCs w:val="24"/>
              </w:rPr>
              <w:t>five</w:t>
            </w:r>
            <w:r w:rsidR="005D0587" w:rsidRPr="005D0587">
              <w:rPr>
                <w:rFonts w:ascii="Arial" w:hAnsi="Arial" w:cs="Arial"/>
                <w:sz w:val="24"/>
                <w:szCs w:val="24"/>
              </w:rPr>
              <w:t xml:space="preserve"> days left before the summary judgment application was due to be filed. The respondents’ legal practitioner then chose to sit back, wait for the summary judgment application to be filed and </w:t>
            </w:r>
            <w:r w:rsidR="00D66F69">
              <w:rPr>
                <w:rFonts w:ascii="Arial" w:hAnsi="Arial" w:cs="Arial"/>
                <w:sz w:val="24"/>
                <w:szCs w:val="24"/>
              </w:rPr>
              <w:t>now</w:t>
            </w:r>
            <w:r w:rsidR="005D0587" w:rsidRPr="005D0587">
              <w:rPr>
                <w:rFonts w:ascii="Arial" w:hAnsi="Arial" w:cs="Arial"/>
                <w:sz w:val="24"/>
                <w:szCs w:val="24"/>
              </w:rPr>
              <w:t xml:space="preserve"> attempt to wield the purported non-compliance with rule 32(9) like a sword to </w:t>
            </w:r>
          </w:p>
          <w:p w:rsidR="005D0587" w:rsidRPr="005D0587" w:rsidRDefault="005D0587" w:rsidP="005D0587">
            <w:pPr>
              <w:tabs>
                <w:tab w:val="left" w:pos="729"/>
              </w:tabs>
              <w:spacing w:line="360" w:lineRule="auto"/>
              <w:jc w:val="both"/>
              <w:rPr>
                <w:rFonts w:ascii="Arial" w:hAnsi="Arial" w:cs="Arial"/>
                <w:sz w:val="24"/>
                <w:szCs w:val="24"/>
              </w:rPr>
            </w:pPr>
            <w:proofErr w:type="gramStart"/>
            <w:r w:rsidRPr="005D0587">
              <w:rPr>
                <w:rFonts w:ascii="Arial" w:hAnsi="Arial" w:cs="Arial"/>
                <w:sz w:val="24"/>
                <w:szCs w:val="24"/>
              </w:rPr>
              <w:t>strike</w:t>
            </w:r>
            <w:proofErr w:type="gramEnd"/>
            <w:r w:rsidRPr="005D0587">
              <w:rPr>
                <w:rFonts w:ascii="Arial" w:hAnsi="Arial" w:cs="Arial"/>
                <w:sz w:val="24"/>
                <w:szCs w:val="24"/>
              </w:rPr>
              <w:t xml:space="preserve"> down the summary judgment application. This is unacceptable as it is not in the spirit of the rules. Rule 19 sets out the obligations of legal practitioners in relation to the judicial case </w:t>
            </w:r>
            <w:r w:rsidRPr="005D0587">
              <w:rPr>
                <w:rFonts w:ascii="Arial" w:hAnsi="Arial" w:cs="Arial"/>
                <w:sz w:val="24"/>
                <w:szCs w:val="24"/>
              </w:rPr>
              <w:lastRenderedPageBreak/>
              <w:t xml:space="preserve">management process. A few sub-rules that spring to mind </w:t>
            </w:r>
            <w:r w:rsidR="008C59B9">
              <w:rPr>
                <w:rFonts w:ascii="Arial" w:hAnsi="Arial" w:cs="Arial"/>
                <w:sz w:val="24"/>
                <w:szCs w:val="24"/>
              </w:rPr>
              <w:t>are, rule 19</w:t>
            </w:r>
            <w:r w:rsidRPr="005D0587">
              <w:rPr>
                <w:rFonts w:ascii="Arial" w:hAnsi="Arial" w:cs="Arial"/>
                <w:sz w:val="24"/>
                <w:szCs w:val="24"/>
              </w:rPr>
              <w:t>(</w:t>
            </w:r>
            <w:r w:rsidRPr="00B53D16">
              <w:rPr>
                <w:rFonts w:ascii="Arial" w:hAnsi="Arial" w:cs="Arial"/>
                <w:i/>
                <w:sz w:val="24"/>
                <w:szCs w:val="24"/>
              </w:rPr>
              <w:t>b</w:t>
            </w:r>
            <w:r w:rsidRPr="005D0587">
              <w:rPr>
                <w:rFonts w:ascii="Arial" w:hAnsi="Arial" w:cs="Arial"/>
                <w:sz w:val="24"/>
                <w:szCs w:val="24"/>
              </w:rPr>
              <w:t xml:space="preserve">) to assist the court in curtailing proceedings; (g) to use reasonable endeavours to resolve a dispute by agreement between the persons in the dispute; </w:t>
            </w:r>
            <w:r w:rsidR="008C59B9">
              <w:rPr>
                <w:rFonts w:ascii="Arial" w:hAnsi="Arial" w:cs="Arial"/>
                <w:sz w:val="24"/>
                <w:szCs w:val="24"/>
              </w:rPr>
              <w:t xml:space="preserve">and </w:t>
            </w:r>
            <w:r w:rsidRPr="005D0587">
              <w:rPr>
                <w:rFonts w:ascii="Arial" w:hAnsi="Arial" w:cs="Arial"/>
                <w:sz w:val="24"/>
                <w:szCs w:val="24"/>
              </w:rPr>
              <w:t>(</w:t>
            </w:r>
            <w:proofErr w:type="spellStart"/>
            <w:r w:rsidRPr="005D0587">
              <w:rPr>
                <w:rFonts w:ascii="Arial" w:hAnsi="Arial" w:cs="Arial"/>
                <w:sz w:val="24"/>
                <w:szCs w:val="24"/>
              </w:rPr>
              <w:t>i</w:t>
            </w:r>
            <w:proofErr w:type="spellEnd"/>
            <w:r w:rsidRPr="005D0587">
              <w:rPr>
                <w:rFonts w:ascii="Arial" w:hAnsi="Arial" w:cs="Arial"/>
                <w:sz w:val="24"/>
                <w:szCs w:val="24"/>
              </w:rPr>
              <w:t>) to act promptly and minimise delay.</w:t>
            </w:r>
          </w:p>
          <w:p w:rsidR="0079685C" w:rsidRDefault="0079685C"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4]</w:t>
            </w:r>
            <w:r w:rsidR="005D0587" w:rsidRPr="005D0587">
              <w:rPr>
                <w:rFonts w:ascii="Arial" w:hAnsi="Arial" w:cs="Arial"/>
                <w:sz w:val="24"/>
                <w:szCs w:val="24"/>
              </w:rPr>
              <w:tab/>
              <w:t xml:space="preserve">I am of the view that the applicant’s legal practitioner did everything he could to constructively engage the legal practitioners of the respondents to resolve the matter amicably, and the correspondence filed of record speaks to that. Therefore, I find substantial compliance with rule 32(9) by the applicant.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5]</w:t>
            </w:r>
            <w:r w:rsidR="005D0587" w:rsidRPr="005D0587">
              <w:rPr>
                <w:rFonts w:ascii="Arial" w:hAnsi="Arial" w:cs="Arial"/>
                <w:sz w:val="24"/>
                <w:szCs w:val="24"/>
              </w:rPr>
              <w:tab/>
              <w:t xml:space="preserve">The issue regarding the late filing of the summary judgment application was duly addressed in a separate application and requires no further discussion.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The founding affidavit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6]</w:t>
            </w:r>
            <w:r w:rsidR="005D0587" w:rsidRPr="005D0587">
              <w:rPr>
                <w:rFonts w:ascii="Arial" w:hAnsi="Arial" w:cs="Arial"/>
                <w:sz w:val="24"/>
                <w:szCs w:val="24"/>
              </w:rPr>
              <w:tab/>
              <w:t xml:space="preserve">The last point in </w:t>
            </w:r>
            <w:proofErr w:type="spellStart"/>
            <w:r w:rsidR="005D0587" w:rsidRPr="005D0587">
              <w:rPr>
                <w:rFonts w:ascii="Arial" w:hAnsi="Arial" w:cs="Arial"/>
                <w:sz w:val="24"/>
                <w:szCs w:val="24"/>
              </w:rPr>
              <w:t>limine</w:t>
            </w:r>
            <w:proofErr w:type="spellEnd"/>
            <w:r w:rsidR="005D0587" w:rsidRPr="005D0587">
              <w:rPr>
                <w:rFonts w:ascii="Arial" w:hAnsi="Arial" w:cs="Arial"/>
                <w:sz w:val="24"/>
                <w:szCs w:val="24"/>
              </w:rPr>
              <w:t xml:space="preserve"> relates to the founding affidavit deposed to by Ms </w:t>
            </w:r>
            <w:proofErr w:type="spellStart"/>
            <w:r w:rsidR="005D0587" w:rsidRPr="005D0587">
              <w:rPr>
                <w:rFonts w:ascii="Arial" w:hAnsi="Arial" w:cs="Arial"/>
                <w:sz w:val="24"/>
                <w:szCs w:val="24"/>
              </w:rPr>
              <w:t>Athalia</w:t>
            </w:r>
            <w:proofErr w:type="spellEnd"/>
            <w:r w:rsidR="005D0587" w:rsidRPr="005D0587">
              <w:rPr>
                <w:rFonts w:ascii="Arial" w:hAnsi="Arial" w:cs="Arial"/>
                <w:sz w:val="24"/>
                <w:szCs w:val="24"/>
              </w:rPr>
              <w:t xml:space="preserve"> Wallace, who is the Acting Head: Legal </w:t>
            </w:r>
            <w:r w:rsidR="005D0587" w:rsidRPr="001541F5">
              <w:rPr>
                <w:rFonts w:ascii="Arial" w:hAnsi="Arial" w:cs="Arial"/>
                <w:sz w:val="24"/>
                <w:szCs w:val="24"/>
              </w:rPr>
              <w:t>Collection</w:t>
            </w:r>
            <w:r w:rsidR="004211D2" w:rsidRPr="001541F5">
              <w:rPr>
                <w:rFonts w:ascii="Arial" w:hAnsi="Arial" w:cs="Arial"/>
                <w:sz w:val="24"/>
                <w:szCs w:val="24"/>
              </w:rPr>
              <w:t>s</w:t>
            </w:r>
            <w:r w:rsidR="005D0587" w:rsidRPr="001541F5">
              <w:rPr>
                <w:rFonts w:ascii="Arial" w:hAnsi="Arial" w:cs="Arial"/>
                <w:sz w:val="24"/>
                <w:szCs w:val="24"/>
              </w:rPr>
              <w:t xml:space="preserve"> of the applicant. The objection </w:t>
            </w:r>
            <w:r w:rsidR="00D51E49" w:rsidRPr="001541F5">
              <w:rPr>
                <w:rFonts w:ascii="Arial" w:hAnsi="Arial" w:cs="Arial"/>
                <w:sz w:val="24"/>
                <w:szCs w:val="24"/>
              </w:rPr>
              <w:t>raised in respect of the</w:t>
            </w:r>
            <w:r w:rsidR="00D51E49">
              <w:rPr>
                <w:rFonts w:ascii="Arial" w:hAnsi="Arial" w:cs="Arial"/>
                <w:sz w:val="24"/>
                <w:szCs w:val="24"/>
              </w:rPr>
              <w:t xml:space="preserve"> </w:t>
            </w:r>
            <w:r w:rsidR="005D0587" w:rsidRPr="005D0587">
              <w:rPr>
                <w:rFonts w:ascii="Arial" w:hAnsi="Arial" w:cs="Arial"/>
                <w:sz w:val="24"/>
                <w:szCs w:val="24"/>
              </w:rPr>
              <w:t>founding affidavit</w:t>
            </w:r>
            <w:r w:rsidR="00D51E49">
              <w:rPr>
                <w:rFonts w:ascii="Arial" w:hAnsi="Arial" w:cs="Arial"/>
                <w:sz w:val="24"/>
                <w:szCs w:val="24"/>
              </w:rPr>
              <w:t xml:space="preserve"> deposed to,</w:t>
            </w:r>
            <w:r w:rsidR="005D0587" w:rsidRPr="005D0587">
              <w:rPr>
                <w:rFonts w:ascii="Arial" w:hAnsi="Arial" w:cs="Arial"/>
                <w:sz w:val="24"/>
                <w:szCs w:val="24"/>
              </w:rPr>
              <w:t xml:space="preserve"> is that Ms Wallace did not have personal knowledge of the fact</w:t>
            </w:r>
            <w:r w:rsidR="00D51E49">
              <w:rPr>
                <w:rFonts w:ascii="Arial" w:hAnsi="Arial" w:cs="Arial"/>
                <w:sz w:val="24"/>
                <w:szCs w:val="24"/>
              </w:rPr>
              <w:t>s</w:t>
            </w:r>
            <w:r w:rsidR="005D0587" w:rsidRPr="005D0587">
              <w:rPr>
                <w:rFonts w:ascii="Arial" w:hAnsi="Arial" w:cs="Arial"/>
                <w:sz w:val="24"/>
                <w:szCs w:val="24"/>
              </w:rPr>
              <w:t xml:space="preserve"> or particulars of the matter.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7]</w:t>
            </w:r>
            <w:r w:rsidR="005D0587" w:rsidRPr="005D0587">
              <w:rPr>
                <w:rFonts w:ascii="Arial" w:hAnsi="Arial" w:cs="Arial"/>
                <w:sz w:val="24"/>
                <w:szCs w:val="24"/>
              </w:rPr>
              <w:tab/>
              <w:t>Ms Wallace stated the following in her affidavit:</w:t>
            </w:r>
          </w:p>
          <w:p w:rsidR="005D0587" w:rsidRPr="005D0587" w:rsidRDefault="005D0587" w:rsidP="005D0587">
            <w:pPr>
              <w:tabs>
                <w:tab w:val="left" w:pos="729"/>
              </w:tabs>
              <w:spacing w:line="360" w:lineRule="auto"/>
              <w:jc w:val="both"/>
              <w:rPr>
                <w:rFonts w:ascii="Arial" w:hAnsi="Arial" w:cs="Arial"/>
                <w:sz w:val="24"/>
                <w:szCs w:val="24"/>
              </w:rPr>
            </w:pPr>
          </w:p>
          <w:p w:rsidR="005D0587" w:rsidRPr="00D51E49" w:rsidRDefault="00D51E49" w:rsidP="005D0587">
            <w:pPr>
              <w:tabs>
                <w:tab w:val="left" w:pos="729"/>
              </w:tabs>
              <w:spacing w:line="360" w:lineRule="auto"/>
              <w:jc w:val="both"/>
              <w:rPr>
                <w:rFonts w:ascii="Arial" w:hAnsi="Arial" w:cs="Arial"/>
              </w:rPr>
            </w:pPr>
            <w:r w:rsidRPr="00D51E49">
              <w:rPr>
                <w:rFonts w:ascii="Arial" w:hAnsi="Arial" w:cs="Arial"/>
                <w:sz w:val="24"/>
                <w:szCs w:val="24"/>
              </w:rPr>
              <w:tab/>
            </w:r>
            <w:r w:rsidR="005D0587" w:rsidRPr="00D51E49">
              <w:rPr>
                <w:rFonts w:ascii="Arial" w:hAnsi="Arial" w:cs="Arial"/>
              </w:rPr>
              <w:t>‘1. I am a major female person and Acting Head: Legal Collections of the Applicant/Plaintiff in this matter and the contents and the facts stated herein fall within my personal knowledge unless indicated otherwise or the contrary appears therefrom and same being true and correct.</w:t>
            </w:r>
          </w:p>
          <w:p w:rsidR="005D0587" w:rsidRPr="00D51E49" w:rsidRDefault="00D51E49" w:rsidP="005D0587">
            <w:pPr>
              <w:tabs>
                <w:tab w:val="left" w:pos="729"/>
              </w:tabs>
              <w:spacing w:line="360" w:lineRule="auto"/>
              <w:jc w:val="both"/>
              <w:rPr>
                <w:rFonts w:ascii="Arial" w:hAnsi="Arial" w:cs="Arial"/>
              </w:rPr>
            </w:pPr>
            <w:r>
              <w:rPr>
                <w:rFonts w:ascii="Arial" w:hAnsi="Arial" w:cs="Arial"/>
              </w:rPr>
              <w:t>2.</w:t>
            </w:r>
            <w:r w:rsidRPr="00D51E49">
              <w:rPr>
                <w:rFonts w:ascii="Arial" w:hAnsi="Arial" w:cs="Arial"/>
              </w:rPr>
              <w:tab/>
            </w:r>
            <w:r w:rsidR="005D0587" w:rsidRPr="00D51E49">
              <w:rPr>
                <w:rFonts w:ascii="Arial" w:hAnsi="Arial" w:cs="Arial"/>
              </w:rPr>
              <w:t>I am duly authorised to depose to this affidavit and to bring this application for summary judgment.</w:t>
            </w:r>
          </w:p>
          <w:p w:rsidR="005D0587" w:rsidRPr="00D51E49" w:rsidRDefault="00D51E49" w:rsidP="005D0587">
            <w:pPr>
              <w:tabs>
                <w:tab w:val="left" w:pos="729"/>
              </w:tabs>
              <w:spacing w:line="360" w:lineRule="auto"/>
              <w:jc w:val="both"/>
              <w:rPr>
                <w:rFonts w:ascii="Arial" w:hAnsi="Arial" w:cs="Arial"/>
              </w:rPr>
            </w:pPr>
            <w:r>
              <w:rPr>
                <w:rFonts w:ascii="Arial" w:hAnsi="Arial" w:cs="Arial"/>
              </w:rPr>
              <w:t>3.</w:t>
            </w:r>
            <w:r w:rsidRPr="00D51E49">
              <w:rPr>
                <w:rFonts w:ascii="Arial" w:hAnsi="Arial" w:cs="Arial"/>
              </w:rPr>
              <w:tab/>
            </w:r>
            <w:r w:rsidR="005D0587" w:rsidRPr="00D51E49">
              <w:rPr>
                <w:rFonts w:ascii="Arial" w:hAnsi="Arial" w:cs="Arial"/>
              </w:rPr>
              <w:t>All the data and records, relating to the Plaintiff’s action against the Defendants are under my control in my capacity as Acting Head: Legal Collections.</w:t>
            </w:r>
          </w:p>
          <w:p w:rsidR="005D0587" w:rsidRPr="00D51E49" w:rsidRDefault="00D51E49" w:rsidP="005D0587">
            <w:pPr>
              <w:tabs>
                <w:tab w:val="left" w:pos="729"/>
              </w:tabs>
              <w:spacing w:line="360" w:lineRule="auto"/>
              <w:jc w:val="both"/>
              <w:rPr>
                <w:rFonts w:ascii="Arial" w:hAnsi="Arial" w:cs="Arial"/>
              </w:rPr>
            </w:pPr>
            <w:r>
              <w:rPr>
                <w:rFonts w:ascii="Arial" w:hAnsi="Arial" w:cs="Arial"/>
              </w:rPr>
              <w:t>4.</w:t>
            </w:r>
            <w:r>
              <w:t xml:space="preserve"> </w:t>
            </w:r>
            <w:r w:rsidRPr="00D51E49">
              <w:rPr>
                <w:rFonts w:ascii="Arial" w:hAnsi="Arial" w:cs="Arial"/>
              </w:rPr>
              <w:tab/>
            </w:r>
            <w:r w:rsidR="005D0587" w:rsidRPr="00D51E49">
              <w:rPr>
                <w:rFonts w:ascii="Arial" w:hAnsi="Arial" w:cs="Arial"/>
              </w:rPr>
              <w:t>I have knowledge of the facts hereinafter stated, either personally or because of my access to all the relevant computer data and documents pertaining to the loan to the Defendant(s).’</w:t>
            </w:r>
          </w:p>
          <w:p w:rsidR="005D0587" w:rsidRPr="005D0587" w:rsidRDefault="005D0587" w:rsidP="005D0587">
            <w:pPr>
              <w:tabs>
                <w:tab w:val="left" w:pos="729"/>
              </w:tabs>
              <w:spacing w:line="360" w:lineRule="auto"/>
              <w:jc w:val="both"/>
              <w:rPr>
                <w:rFonts w:ascii="Arial" w:hAnsi="Arial" w:cs="Arial"/>
                <w:sz w:val="24"/>
                <w:szCs w:val="24"/>
              </w:rPr>
            </w:pPr>
          </w:p>
          <w:p w:rsidR="001D7F5F"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8]</w:t>
            </w:r>
            <w:r w:rsidR="005D0587" w:rsidRPr="005D0587">
              <w:rPr>
                <w:rFonts w:ascii="Arial" w:hAnsi="Arial" w:cs="Arial"/>
                <w:sz w:val="24"/>
                <w:szCs w:val="24"/>
              </w:rPr>
              <w:tab/>
              <w:t>If the deponent lacks personal knowledge of the material facts, the integrity and veracity of the "evidence" placed before the court may be compromised. However, a manager in the collections department of a credit provider deposes to affidavits in summary judgment applications</w:t>
            </w:r>
          </w:p>
          <w:p w:rsidR="005D0587" w:rsidRPr="005D0587" w:rsidRDefault="005D0587" w:rsidP="005D0587">
            <w:pPr>
              <w:tabs>
                <w:tab w:val="left" w:pos="729"/>
              </w:tabs>
              <w:spacing w:line="360" w:lineRule="auto"/>
              <w:jc w:val="both"/>
              <w:rPr>
                <w:rFonts w:ascii="Arial" w:hAnsi="Arial" w:cs="Arial"/>
                <w:sz w:val="24"/>
                <w:szCs w:val="24"/>
              </w:rPr>
            </w:pPr>
            <w:proofErr w:type="gramStart"/>
            <w:r w:rsidRPr="005D0587">
              <w:rPr>
                <w:rFonts w:ascii="Arial" w:hAnsi="Arial" w:cs="Arial"/>
                <w:sz w:val="24"/>
                <w:szCs w:val="24"/>
              </w:rPr>
              <w:t>as</w:t>
            </w:r>
            <w:proofErr w:type="gramEnd"/>
            <w:r w:rsidRPr="005D0587">
              <w:rPr>
                <w:rFonts w:ascii="Arial" w:hAnsi="Arial" w:cs="Arial"/>
                <w:sz w:val="24"/>
                <w:szCs w:val="24"/>
              </w:rPr>
              <w:t xml:space="preserve"> a matter of course. In such cases, the deponent exercises overall control of the relevant accounts and all the necessary information can be found in the relevant files. No reliance is placed</w:t>
            </w:r>
            <w:r w:rsidR="00D51E49">
              <w:rPr>
                <w:rFonts w:ascii="Arial" w:hAnsi="Arial" w:cs="Arial"/>
                <w:sz w:val="24"/>
                <w:szCs w:val="24"/>
              </w:rPr>
              <w:t xml:space="preserve"> </w:t>
            </w:r>
            <w:r w:rsidR="00D51E49" w:rsidRPr="001541F5">
              <w:rPr>
                <w:rFonts w:ascii="Arial" w:hAnsi="Arial" w:cs="Arial"/>
                <w:sz w:val="24"/>
                <w:szCs w:val="24"/>
              </w:rPr>
              <w:lastRenderedPageBreak/>
              <w:t>by the deponent</w:t>
            </w:r>
            <w:r w:rsidRPr="001541F5">
              <w:rPr>
                <w:rFonts w:ascii="Arial" w:hAnsi="Arial" w:cs="Arial"/>
                <w:sz w:val="24"/>
                <w:szCs w:val="24"/>
              </w:rPr>
              <w:t xml:space="preserve"> on</w:t>
            </w:r>
            <w:r w:rsidRPr="005D0587">
              <w:rPr>
                <w:rFonts w:ascii="Arial" w:hAnsi="Arial" w:cs="Arial"/>
                <w:sz w:val="24"/>
                <w:szCs w:val="24"/>
              </w:rPr>
              <w:t xml:space="preserve"> unspecified “extensive” consultation with another person to gain personal knowledge.</w:t>
            </w:r>
          </w:p>
          <w:p w:rsidR="0079685C" w:rsidRDefault="0079685C" w:rsidP="005D0587">
            <w:pPr>
              <w:tabs>
                <w:tab w:val="left" w:pos="729"/>
              </w:tabs>
              <w:spacing w:line="360" w:lineRule="auto"/>
              <w:jc w:val="both"/>
              <w:rPr>
                <w:rFonts w:ascii="Arial" w:hAnsi="Arial" w:cs="Arial"/>
                <w:sz w:val="24"/>
                <w:szCs w:val="24"/>
              </w:rPr>
            </w:pPr>
          </w:p>
          <w:p w:rsid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[3</w:t>
            </w:r>
            <w:r w:rsidR="005D0587" w:rsidRPr="005D0587">
              <w:rPr>
                <w:rFonts w:ascii="Arial" w:hAnsi="Arial" w:cs="Arial"/>
                <w:sz w:val="24"/>
                <w:szCs w:val="24"/>
              </w:rPr>
              <w:t>9]</w:t>
            </w:r>
            <w:r w:rsidR="005D0587" w:rsidRPr="005D0587">
              <w:rPr>
                <w:rFonts w:ascii="Arial" w:hAnsi="Arial" w:cs="Arial"/>
                <w:sz w:val="24"/>
                <w:szCs w:val="24"/>
              </w:rPr>
              <w:tab/>
            </w:r>
            <w:proofErr w:type="spellStart"/>
            <w:r w:rsidR="005D0587" w:rsidRPr="005D0587">
              <w:rPr>
                <w:rFonts w:ascii="Arial" w:hAnsi="Arial" w:cs="Arial"/>
                <w:sz w:val="24"/>
                <w:szCs w:val="24"/>
              </w:rPr>
              <w:t>Rakow</w:t>
            </w:r>
            <w:proofErr w:type="spellEnd"/>
            <w:r w:rsidR="005D0587" w:rsidRPr="005D0587">
              <w:rPr>
                <w:rFonts w:ascii="Arial" w:hAnsi="Arial" w:cs="Arial"/>
                <w:sz w:val="24"/>
                <w:szCs w:val="24"/>
              </w:rPr>
              <w:t xml:space="preserve"> J in </w:t>
            </w:r>
            <w:r w:rsidR="005D0587" w:rsidRPr="00D51E49">
              <w:rPr>
                <w:rFonts w:ascii="Arial" w:hAnsi="Arial" w:cs="Arial"/>
                <w:i/>
                <w:sz w:val="24"/>
                <w:szCs w:val="24"/>
              </w:rPr>
              <w:t xml:space="preserve">Bank Windhoek Limited v </w:t>
            </w:r>
            <w:proofErr w:type="spellStart"/>
            <w:r w:rsidR="005D0587" w:rsidRPr="00D51E49">
              <w:rPr>
                <w:rFonts w:ascii="Arial" w:hAnsi="Arial" w:cs="Arial"/>
                <w:i/>
                <w:sz w:val="24"/>
                <w:szCs w:val="24"/>
              </w:rPr>
              <w:t>Kock</w:t>
            </w:r>
            <w:proofErr w:type="spellEnd"/>
            <w:r w:rsidR="005D0587" w:rsidRPr="00D51E49">
              <w:rPr>
                <w:rFonts w:ascii="Arial" w:hAnsi="Arial" w:cs="Arial"/>
                <w:i/>
                <w:sz w:val="24"/>
                <w:szCs w:val="24"/>
              </w:rPr>
              <w:t xml:space="preserve"> Investments</w:t>
            </w:r>
            <w:r w:rsidR="00D51E49">
              <w:rPr>
                <w:rStyle w:val="FootnoteReference"/>
                <w:rFonts w:ascii="Arial" w:hAnsi="Arial" w:cs="Arial"/>
                <w:sz w:val="24"/>
                <w:szCs w:val="24"/>
              </w:rPr>
              <w:footnoteReference w:id="8"/>
            </w:r>
            <w:r w:rsidR="00D51E49">
              <w:rPr>
                <w:rFonts w:ascii="Arial" w:hAnsi="Arial" w:cs="Arial"/>
                <w:sz w:val="24"/>
                <w:szCs w:val="24"/>
              </w:rPr>
              <w:t xml:space="preserve"> </w:t>
            </w:r>
            <w:r w:rsidR="005D0587" w:rsidRPr="005D0587">
              <w:rPr>
                <w:rFonts w:ascii="Arial" w:hAnsi="Arial" w:cs="Arial"/>
                <w:sz w:val="24"/>
                <w:szCs w:val="24"/>
              </w:rPr>
              <w:t>discussed who can depose to a verifying affidavit as follows:</w:t>
            </w:r>
          </w:p>
          <w:p w:rsidR="00D51E49" w:rsidRPr="005D0587" w:rsidRDefault="00D51E49" w:rsidP="005D0587">
            <w:pPr>
              <w:tabs>
                <w:tab w:val="left" w:pos="729"/>
              </w:tabs>
              <w:spacing w:line="360" w:lineRule="auto"/>
              <w:jc w:val="both"/>
              <w:rPr>
                <w:rFonts w:ascii="Arial" w:hAnsi="Arial" w:cs="Arial"/>
                <w:sz w:val="24"/>
                <w:szCs w:val="24"/>
              </w:rPr>
            </w:pPr>
          </w:p>
          <w:p w:rsidR="005D0587" w:rsidRPr="00D51E49" w:rsidRDefault="00D51E49" w:rsidP="005D0587">
            <w:pPr>
              <w:tabs>
                <w:tab w:val="left" w:pos="729"/>
              </w:tabs>
              <w:spacing w:line="360" w:lineRule="auto"/>
              <w:jc w:val="both"/>
              <w:rPr>
                <w:rFonts w:ascii="Arial" w:hAnsi="Arial" w:cs="Arial"/>
              </w:rPr>
            </w:pPr>
            <w:r w:rsidRPr="00D51E49">
              <w:rPr>
                <w:rFonts w:ascii="Arial" w:hAnsi="Arial" w:cs="Arial"/>
                <w:sz w:val="24"/>
                <w:szCs w:val="24"/>
              </w:rPr>
              <w:tab/>
            </w:r>
            <w:r w:rsidR="005D0587" w:rsidRPr="00D51E49">
              <w:rPr>
                <w:rFonts w:ascii="Arial" w:hAnsi="Arial" w:cs="Arial"/>
              </w:rPr>
              <w:t>‘[16]</w:t>
            </w:r>
            <w:r w:rsidR="005D0587" w:rsidRPr="00D51E49">
              <w:rPr>
                <w:rFonts w:ascii="Arial" w:hAnsi="Arial" w:cs="Arial"/>
              </w:rPr>
              <w:tab/>
              <w:t xml:space="preserve">When dealing with who can depose to the verifying affidavit on behalf of a plaintiff bringing a summary judgement application, the learned authors Van </w:t>
            </w:r>
            <w:proofErr w:type="spellStart"/>
            <w:r w:rsidR="005D0587" w:rsidRPr="00D51E49">
              <w:rPr>
                <w:rFonts w:ascii="Arial" w:hAnsi="Arial" w:cs="Arial"/>
              </w:rPr>
              <w:t>Niekerk</w:t>
            </w:r>
            <w:proofErr w:type="spellEnd"/>
            <w:r w:rsidR="005D0587" w:rsidRPr="00D51E49">
              <w:rPr>
                <w:rFonts w:ascii="Arial" w:hAnsi="Arial" w:cs="Arial"/>
              </w:rPr>
              <w:t xml:space="preserve">, Geyer and </w:t>
            </w:r>
            <w:proofErr w:type="spellStart"/>
            <w:r w:rsidR="005D0587" w:rsidRPr="00D51E49">
              <w:rPr>
                <w:rFonts w:ascii="Arial" w:hAnsi="Arial" w:cs="Arial"/>
              </w:rPr>
              <w:t>Mundell</w:t>
            </w:r>
            <w:proofErr w:type="spellEnd"/>
            <w:r w:rsidR="005D0587" w:rsidRPr="00D51E49">
              <w:rPr>
                <w:rFonts w:ascii="Arial" w:hAnsi="Arial" w:cs="Arial"/>
              </w:rPr>
              <w:t xml:space="preserve"> in Summar</w:t>
            </w:r>
            <w:r>
              <w:rPr>
                <w:rFonts w:ascii="Arial" w:hAnsi="Arial" w:cs="Arial"/>
              </w:rPr>
              <w:t>y Judgment – A practical guide</w:t>
            </w:r>
            <w:r>
              <w:rPr>
                <w:rStyle w:val="FootnoteReference"/>
                <w:rFonts w:ascii="Arial" w:hAnsi="Arial" w:cs="Arial"/>
              </w:rPr>
              <w:footnoteReference w:id="9"/>
            </w:r>
            <w:r>
              <w:rPr>
                <w:rFonts w:ascii="Arial" w:hAnsi="Arial" w:cs="Arial"/>
              </w:rPr>
              <w:t xml:space="preserve"> </w:t>
            </w:r>
            <w:r w:rsidR="005D0587" w:rsidRPr="00D51E49">
              <w:rPr>
                <w:rFonts w:ascii="Arial" w:hAnsi="Arial" w:cs="Arial"/>
              </w:rPr>
              <w:t>said the following when summarizing the requirement of personal knowledge in the case of banks:</w:t>
            </w:r>
          </w:p>
          <w:p w:rsidR="005D0587" w:rsidRPr="00D51E49" w:rsidRDefault="005D0587" w:rsidP="005D0587">
            <w:pPr>
              <w:tabs>
                <w:tab w:val="left" w:pos="729"/>
              </w:tabs>
              <w:spacing w:line="360" w:lineRule="auto"/>
              <w:jc w:val="both"/>
              <w:rPr>
                <w:rFonts w:ascii="Arial" w:hAnsi="Arial" w:cs="Arial"/>
              </w:rPr>
            </w:pPr>
          </w:p>
          <w:p w:rsidR="005D0587" w:rsidRPr="00D51E49" w:rsidRDefault="00D51E49" w:rsidP="005D0587">
            <w:pPr>
              <w:tabs>
                <w:tab w:val="left" w:pos="729"/>
              </w:tabs>
              <w:spacing w:line="360" w:lineRule="auto"/>
              <w:jc w:val="both"/>
              <w:rPr>
                <w:rFonts w:ascii="Arial" w:hAnsi="Arial" w:cs="Arial"/>
              </w:rPr>
            </w:pPr>
            <w:r>
              <w:rPr>
                <w:rFonts w:ascii="Arial" w:hAnsi="Arial" w:cs="Arial"/>
              </w:rPr>
              <w:t>“</w:t>
            </w:r>
            <w:r w:rsidR="005D0587" w:rsidRPr="00D51E49">
              <w:rPr>
                <w:rFonts w:ascii="Arial" w:hAnsi="Arial" w:cs="Arial"/>
              </w:rPr>
              <w:t>A legal manager at regional level who confirms that he is duly authorized to depose to the verifying affidavit and also confirms that the facts fall within his personal knowledge is a competent deponent as he has, by virtue of his office, access to the bank’s records and qua legal manager prima facie has knowledge pertaining to the conclusion of the contract, its terms and effect.</w:t>
            </w:r>
            <w:r>
              <w:rPr>
                <w:rFonts w:ascii="Arial" w:hAnsi="Arial" w:cs="Arial"/>
              </w:rPr>
              <w:t>”’</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4211D2">
              <w:rPr>
                <w:rFonts w:ascii="Arial" w:hAnsi="Arial" w:cs="Arial"/>
                <w:sz w:val="24"/>
                <w:szCs w:val="24"/>
              </w:rPr>
              <w:t>0]</w:t>
            </w:r>
            <w:r w:rsidR="004211D2">
              <w:rPr>
                <w:rFonts w:ascii="Arial" w:hAnsi="Arial" w:cs="Arial"/>
                <w:sz w:val="24"/>
                <w:szCs w:val="24"/>
              </w:rPr>
              <w:tab/>
              <w:t>The deponent</w:t>
            </w:r>
            <w:r w:rsidR="005D0587" w:rsidRPr="005D0587">
              <w:rPr>
                <w:rFonts w:ascii="Arial" w:hAnsi="Arial" w:cs="Arial"/>
                <w:sz w:val="24"/>
                <w:szCs w:val="24"/>
              </w:rPr>
              <w:t xml:space="preserve"> clearly stated in what capacity she deposed to the affidavit and swore positively to the facts, verifying the cause of action. I am satisfied </w:t>
            </w:r>
            <w:r w:rsidR="004211D2" w:rsidRPr="001541F5">
              <w:rPr>
                <w:rFonts w:ascii="Arial" w:hAnsi="Arial" w:cs="Arial"/>
                <w:sz w:val="24"/>
                <w:szCs w:val="24"/>
              </w:rPr>
              <w:t xml:space="preserve">with </w:t>
            </w:r>
            <w:r w:rsidR="005D0587" w:rsidRPr="001541F5">
              <w:rPr>
                <w:rFonts w:ascii="Arial" w:hAnsi="Arial" w:cs="Arial"/>
                <w:sz w:val="24"/>
                <w:szCs w:val="24"/>
              </w:rPr>
              <w:t>the</w:t>
            </w:r>
            <w:r w:rsidR="005D0587" w:rsidRPr="005D0587">
              <w:rPr>
                <w:rFonts w:ascii="Arial" w:hAnsi="Arial" w:cs="Arial"/>
                <w:sz w:val="24"/>
                <w:szCs w:val="24"/>
              </w:rPr>
              <w:t xml:space="preserve"> contents of the verifying affidavit and the capacity in which Ms Wallace deposed to it.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u w:val="single"/>
              </w:rPr>
            </w:pPr>
            <w:r w:rsidRPr="005D0587">
              <w:rPr>
                <w:rFonts w:ascii="Arial" w:hAnsi="Arial" w:cs="Arial"/>
                <w:sz w:val="24"/>
                <w:szCs w:val="24"/>
                <w:u w:val="single"/>
              </w:rPr>
              <w:t>The merits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1]</w:t>
            </w:r>
            <w:r w:rsidR="005D0587" w:rsidRPr="005D0587">
              <w:rPr>
                <w:rFonts w:ascii="Arial" w:hAnsi="Arial" w:cs="Arial"/>
                <w:sz w:val="24"/>
                <w:szCs w:val="24"/>
              </w:rPr>
              <w:tab/>
              <w:t xml:space="preserve">Having considered the merits of the points in </w:t>
            </w:r>
            <w:proofErr w:type="spellStart"/>
            <w:r w:rsidR="005D0587" w:rsidRPr="005D0587">
              <w:rPr>
                <w:rFonts w:ascii="Arial" w:hAnsi="Arial" w:cs="Arial"/>
                <w:sz w:val="24"/>
                <w:szCs w:val="24"/>
              </w:rPr>
              <w:t>limine</w:t>
            </w:r>
            <w:proofErr w:type="spellEnd"/>
            <w:r w:rsidR="005D0587" w:rsidRPr="005D0587">
              <w:rPr>
                <w:rFonts w:ascii="Arial" w:hAnsi="Arial" w:cs="Arial"/>
                <w:sz w:val="24"/>
                <w:szCs w:val="24"/>
              </w:rPr>
              <w:t xml:space="preserve">, I am convinced that the respondents raised </w:t>
            </w:r>
            <w:r w:rsidR="004211D2" w:rsidRPr="001541F5">
              <w:rPr>
                <w:rFonts w:ascii="Arial" w:hAnsi="Arial" w:cs="Arial"/>
                <w:sz w:val="24"/>
                <w:szCs w:val="24"/>
              </w:rPr>
              <w:t>them</w:t>
            </w:r>
            <w:r w:rsidR="004211D2">
              <w:rPr>
                <w:rFonts w:ascii="Arial" w:hAnsi="Arial" w:cs="Arial"/>
                <w:sz w:val="24"/>
                <w:szCs w:val="24"/>
              </w:rPr>
              <w:t xml:space="preserve"> </w:t>
            </w:r>
            <w:r w:rsidR="005D0587" w:rsidRPr="005D0587">
              <w:rPr>
                <w:rFonts w:ascii="Arial" w:hAnsi="Arial" w:cs="Arial"/>
                <w:sz w:val="24"/>
                <w:szCs w:val="24"/>
              </w:rPr>
              <w:t xml:space="preserve">as a red herring to detract from the fact that they did not disclose any defence to the claim of the applicant. The respondents are silent about the default, what gave rise to it, and what their defence could be under the circumstances. The only issue raised is the calculation of the outstanding amount as set out in the balance certificate. However, the respondents make no averments as to what the outstanding amount should be. I fully agree with Mr </w:t>
            </w:r>
            <w:proofErr w:type="spellStart"/>
            <w:r w:rsidR="005D0587" w:rsidRPr="005D0587">
              <w:rPr>
                <w:rFonts w:ascii="Arial" w:hAnsi="Arial" w:cs="Arial"/>
                <w:sz w:val="24"/>
                <w:szCs w:val="24"/>
              </w:rPr>
              <w:t>Luvindao</w:t>
            </w:r>
            <w:proofErr w:type="spellEnd"/>
            <w:r w:rsidR="005D0587" w:rsidRPr="005D0587">
              <w:rPr>
                <w:rFonts w:ascii="Arial" w:hAnsi="Arial" w:cs="Arial"/>
                <w:sz w:val="24"/>
                <w:szCs w:val="24"/>
              </w:rPr>
              <w:t xml:space="preserve"> that Mr Mathias does not make much sense in his founding affidavit. The second respondent wants to imply that although payment was made, presumably in December 2022, a full instalment needs to be reflected in the balance in January 2023. If that is the case, then Mr Mathias lost sight of the interest the loan account attracts. </w:t>
            </w:r>
          </w:p>
          <w:p w:rsidR="0079685C" w:rsidRDefault="0079685C" w:rsidP="005D0587">
            <w:pPr>
              <w:tabs>
                <w:tab w:val="left" w:pos="729"/>
              </w:tabs>
              <w:spacing w:line="360" w:lineRule="auto"/>
              <w:jc w:val="both"/>
              <w:rPr>
                <w:rFonts w:ascii="Arial" w:hAnsi="Arial" w:cs="Arial"/>
                <w:sz w:val="24"/>
                <w:szCs w:val="24"/>
              </w:rPr>
            </w:pPr>
            <w:bookmarkStart w:id="0" w:name="_GoBack"/>
            <w:bookmarkEnd w:id="0"/>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2]</w:t>
            </w:r>
            <w:r w:rsidR="005D0587" w:rsidRPr="005D0587">
              <w:rPr>
                <w:rFonts w:ascii="Arial" w:hAnsi="Arial" w:cs="Arial"/>
                <w:sz w:val="24"/>
                <w:szCs w:val="24"/>
              </w:rPr>
              <w:tab/>
              <w:t>The respondents made the averment that they dispute the certificate of balance but take no issue with the fact that the certificate of balance will be prima facie evidence of their indebtedness.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3]</w:t>
            </w:r>
            <w:r w:rsidR="005D0587" w:rsidRPr="005D0587">
              <w:rPr>
                <w:rFonts w:ascii="Arial" w:hAnsi="Arial" w:cs="Arial"/>
                <w:sz w:val="24"/>
                <w:szCs w:val="24"/>
              </w:rPr>
              <w:tab/>
              <w:t>Clause 17 of the agreement, which is self-explanatory, reads as follows:</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5D0587" w:rsidP="005D0587">
            <w:pPr>
              <w:tabs>
                <w:tab w:val="left" w:pos="729"/>
              </w:tabs>
              <w:spacing w:line="360" w:lineRule="auto"/>
              <w:jc w:val="both"/>
              <w:rPr>
                <w:rFonts w:ascii="Arial" w:hAnsi="Arial" w:cs="Arial"/>
                <w:sz w:val="24"/>
                <w:szCs w:val="24"/>
              </w:rPr>
            </w:pPr>
            <w:r w:rsidRPr="005D0587">
              <w:rPr>
                <w:rFonts w:ascii="Arial" w:hAnsi="Arial" w:cs="Arial"/>
                <w:sz w:val="24"/>
                <w:szCs w:val="24"/>
              </w:rPr>
              <w:tab/>
              <w:t>‘</w:t>
            </w:r>
            <w:r w:rsidRPr="005D0587">
              <w:rPr>
                <w:rFonts w:ascii="Arial" w:hAnsi="Arial" w:cs="Arial"/>
              </w:rPr>
              <w:t>A certificate purporting to be signed by any manager, assistant manager or branch administrator of the Bank, whose appointment need not be proved, stating an amount owing by the Borrower to the Bank, or any other particular in connection with the Agreement, shall, for the purposes of summary judgment, provisional sentence or any other matter in connection with this transaction, be prima facie proof (sufficient evidence unless proved otherwise) that such amount is so owing or of the correctness of such particular thereof.’</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4]</w:t>
            </w:r>
            <w:r w:rsidR="005D0587" w:rsidRPr="005D0587">
              <w:rPr>
                <w:rFonts w:ascii="Arial" w:hAnsi="Arial" w:cs="Arial"/>
                <w:sz w:val="24"/>
                <w:szCs w:val="24"/>
              </w:rPr>
              <w:tab/>
              <w:t xml:space="preserve">In </w:t>
            </w:r>
            <w:r w:rsidR="005D0587" w:rsidRPr="00B03A5D">
              <w:rPr>
                <w:rFonts w:ascii="Arial" w:hAnsi="Arial" w:cs="Arial"/>
                <w:i/>
                <w:sz w:val="24"/>
                <w:szCs w:val="24"/>
              </w:rPr>
              <w:t xml:space="preserve">Small and Medium Enterprises Bank Limited v </w:t>
            </w:r>
            <w:proofErr w:type="spellStart"/>
            <w:r w:rsidR="005D0587" w:rsidRPr="00B03A5D">
              <w:rPr>
                <w:rFonts w:ascii="Arial" w:hAnsi="Arial" w:cs="Arial"/>
                <w:i/>
                <w:sz w:val="24"/>
                <w:szCs w:val="24"/>
              </w:rPr>
              <w:t>Hamukwaya</w:t>
            </w:r>
            <w:proofErr w:type="spellEnd"/>
            <w:r w:rsidR="008C59B9" w:rsidRPr="008C59B9">
              <w:rPr>
                <w:rFonts w:ascii="Arial" w:hAnsi="Arial" w:cs="Arial"/>
                <w:sz w:val="24"/>
                <w:szCs w:val="24"/>
              </w:rPr>
              <w:t>,</w:t>
            </w:r>
            <w:r w:rsidR="00B03A5D">
              <w:rPr>
                <w:rStyle w:val="FootnoteReference"/>
                <w:rFonts w:ascii="Arial" w:hAnsi="Arial" w:cs="Arial"/>
                <w:i/>
                <w:sz w:val="24"/>
                <w:szCs w:val="24"/>
              </w:rPr>
              <w:footnoteReference w:id="10"/>
            </w:r>
            <w:r w:rsidR="005D0587">
              <w:rPr>
                <w:rFonts w:ascii="Arial" w:hAnsi="Arial" w:cs="Arial"/>
                <w:sz w:val="24"/>
                <w:szCs w:val="24"/>
              </w:rPr>
              <w:t xml:space="preserve"> </w:t>
            </w:r>
            <w:r w:rsidR="005D0587" w:rsidRPr="005D0587">
              <w:rPr>
                <w:rFonts w:ascii="Arial" w:hAnsi="Arial" w:cs="Arial"/>
                <w:sz w:val="24"/>
                <w:szCs w:val="24"/>
              </w:rPr>
              <w:t>it was held that a plaintiff does not have to deconstruct how a claim amount was constituted in the pleadings. Only when a claim is sufficiently placed in dispute will the plaintiff be required to deconstruct and prove the manner in which the cl</w:t>
            </w:r>
            <w:r w:rsidR="00B03A5D">
              <w:rPr>
                <w:rFonts w:ascii="Arial" w:hAnsi="Arial" w:cs="Arial"/>
                <w:sz w:val="24"/>
                <w:szCs w:val="24"/>
              </w:rPr>
              <w:t>aim amount has been constituted</w:t>
            </w:r>
            <w:r w:rsidR="005D0587" w:rsidRPr="005D0587">
              <w:rPr>
                <w:rFonts w:ascii="Arial" w:hAnsi="Arial" w:cs="Arial"/>
                <w:sz w:val="24"/>
                <w:szCs w:val="24"/>
              </w:rPr>
              <w:t>.</w:t>
            </w:r>
            <w:r w:rsidR="00B03A5D">
              <w:rPr>
                <w:rStyle w:val="FootnoteReference"/>
                <w:rFonts w:ascii="Arial" w:hAnsi="Arial" w:cs="Arial"/>
                <w:sz w:val="24"/>
                <w:szCs w:val="24"/>
              </w:rPr>
              <w:footnoteReference w:id="11"/>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8C59B9">
            <w:pPr>
              <w:pStyle w:val="BodyText"/>
            </w:pPr>
            <w:r>
              <w:t>[4</w:t>
            </w:r>
            <w:r w:rsidR="00B03A5D">
              <w:t>5]</w:t>
            </w:r>
            <w:r w:rsidR="00B03A5D">
              <w:tab/>
            </w:r>
            <w:r w:rsidR="005D0587" w:rsidRPr="005D0587">
              <w:t xml:space="preserve">Having considered the objections raised by the respondents, I believe that they dismally failed to sufficiently place the claim amount in dispute. </w:t>
            </w:r>
          </w:p>
          <w:p w:rsidR="005D0587" w:rsidRPr="005D0587" w:rsidRDefault="005D0587" w:rsidP="005D0587">
            <w:pPr>
              <w:tabs>
                <w:tab w:val="left" w:pos="729"/>
              </w:tabs>
              <w:spacing w:line="360" w:lineRule="auto"/>
              <w:jc w:val="both"/>
              <w:rPr>
                <w:rFonts w:ascii="Arial" w:hAnsi="Arial" w:cs="Arial"/>
                <w:sz w:val="24"/>
                <w:szCs w:val="24"/>
              </w:rPr>
            </w:pPr>
          </w:p>
          <w:p w:rsidR="005D0587" w:rsidRPr="005D0587"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6]</w:t>
            </w:r>
            <w:r w:rsidR="005D0587" w:rsidRPr="005D0587">
              <w:rPr>
                <w:rFonts w:ascii="Arial" w:hAnsi="Arial" w:cs="Arial"/>
                <w:sz w:val="24"/>
                <w:szCs w:val="24"/>
              </w:rPr>
              <w:tab/>
              <w:t xml:space="preserve">As none of the points in </w:t>
            </w:r>
            <w:proofErr w:type="spellStart"/>
            <w:r w:rsidR="005D0587" w:rsidRPr="005D0587">
              <w:rPr>
                <w:rFonts w:ascii="Arial" w:hAnsi="Arial" w:cs="Arial"/>
                <w:sz w:val="24"/>
                <w:szCs w:val="24"/>
              </w:rPr>
              <w:t>limine</w:t>
            </w:r>
            <w:proofErr w:type="spellEnd"/>
            <w:r w:rsidR="005D0587" w:rsidRPr="005D0587">
              <w:rPr>
                <w:rFonts w:ascii="Arial" w:hAnsi="Arial" w:cs="Arial"/>
                <w:sz w:val="24"/>
                <w:szCs w:val="24"/>
              </w:rPr>
              <w:t xml:space="preserve"> or the issues in respect of the merits hold any water, the summary judgment must be granted. </w:t>
            </w:r>
          </w:p>
          <w:p w:rsidR="005D0587" w:rsidRPr="005D0587" w:rsidRDefault="005D0587" w:rsidP="005D0587">
            <w:pPr>
              <w:tabs>
                <w:tab w:val="left" w:pos="729"/>
              </w:tabs>
              <w:spacing w:line="360" w:lineRule="auto"/>
              <w:jc w:val="both"/>
              <w:rPr>
                <w:rFonts w:ascii="Arial" w:hAnsi="Arial" w:cs="Arial"/>
                <w:sz w:val="24"/>
                <w:szCs w:val="24"/>
              </w:rPr>
            </w:pPr>
          </w:p>
          <w:p w:rsidR="001D7F5F"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7]</w:t>
            </w:r>
            <w:r w:rsidR="005D0587" w:rsidRPr="005D0587">
              <w:rPr>
                <w:rFonts w:ascii="Arial" w:hAnsi="Arial" w:cs="Arial"/>
                <w:sz w:val="24"/>
                <w:szCs w:val="24"/>
              </w:rPr>
              <w:tab/>
              <w:t>The last issue to consider is whether or not to order</w:t>
            </w:r>
            <w:r w:rsidR="00B03A5D">
              <w:rPr>
                <w:rFonts w:ascii="Arial" w:hAnsi="Arial" w:cs="Arial"/>
                <w:sz w:val="24"/>
                <w:szCs w:val="24"/>
              </w:rPr>
              <w:t xml:space="preserve"> </w:t>
            </w:r>
            <w:r w:rsidR="00B03A5D" w:rsidRPr="001541F5">
              <w:rPr>
                <w:rFonts w:ascii="Arial" w:hAnsi="Arial" w:cs="Arial"/>
                <w:sz w:val="24"/>
                <w:szCs w:val="24"/>
              </w:rPr>
              <w:t>that</w:t>
            </w:r>
            <w:r w:rsidR="005D0587" w:rsidRPr="001541F5">
              <w:rPr>
                <w:rFonts w:ascii="Arial" w:hAnsi="Arial" w:cs="Arial"/>
                <w:sz w:val="24"/>
                <w:szCs w:val="24"/>
              </w:rPr>
              <w:t xml:space="preserve"> the</w:t>
            </w:r>
            <w:r w:rsidR="005D0587" w:rsidRPr="005D0587">
              <w:rPr>
                <w:rFonts w:ascii="Arial" w:hAnsi="Arial" w:cs="Arial"/>
                <w:sz w:val="24"/>
                <w:szCs w:val="24"/>
              </w:rPr>
              <w:t xml:space="preserve"> immovable property be declared executable. </w:t>
            </w:r>
          </w:p>
          <w:p w:rsidR="001D7F5F" w:rsidRDefault="001D7F5F" w:rsidP="005D0587">
            <w:pPr>
              <w:tabs>
                <w:tab w:val="left" w:pos="729"/>
              </w:tabs>
              <w:spacing w:line="360" w:lineRule="auto"/>
              <w:jc w:val="both"/>
              <w:rPr>
                <w:rFonts w:ascii="Arial" w:hAnsi="Arial" w:cs="Arial"/>
                <w:sz w:val="24"/>
                <w:szCs w:val="24"/>
              </w:rPr>
            </w:pPr>
          </w:p>
          <w:p w:rsidR="001D7F5F" w:rsidRDefault="001D7F5F" w:rsidP="005D0587">
            <w:pPr>
              <w:tabs>
                <w:tab w:val="left" w:pos="729"/>
              </w:tabs>
              <w:spacing w:line="360" w:lineRule="auto"/>
              <w:jc w:val="both"/>
              <w:rPr>
                <w:rFonts w:ascii="Arial" w:hAnsi="Arial" w:cs="Arial"/>
                <w:sz w:val="24"/>
                <w:szCs w:val="24"/>
              </w:rPr>
            </w:pPr>
            <w:r>
              <w:rPr>
                <w:rFonts w:ascii="Arial" w:hAnsi="Arial" w:cs="Arial"/>
                <w:sz w:val="24"/>
                <w:szCs w:val="24"/>
              </w:rPr>
              <w:t>[4</w:t>
            </w:r>
            <w:r w:rsidR="005D0587" w:rsidRPr="005D0587">
              <w:rPr>
                <w:rFonts w:ascii="Arial" w:hAnsi="Arial" w:cs="Arial"/>
                <w:sz w:val="24"/>
                <w:szCs w:val="24"/>
              </w:rPr>
              <w:t>8]</w:t>
            </w:r>
            <w:r w:rsidR="005D0587" w:rsidRPr="005D0587">
              <w:rPr>
                <w:rFonts w:ascii="Arial" w:hAnsi="Arial" w:cs="Arial"/>
                <w:sz w:val="24"/>
                <w:szCs w:val="24"/>
              </w:rPr>
              <w:tab/>
              <w:t xml:space="preserve">It is unclear to this court what the exact nature of the properties in </w:t>
            </w:r>
            <w:r w:rsidR="005D0587" w:rsidRPr="001541F5">
              <w:rPr>
                <w:rFonts w:ascii="Arial" w:hAnsi="Arial" w:cs="Arial"/>
                <w:sz w:val="24"/>
                <w:szCs w:val="24"/>
              </w:rPr>
              <w:t>question</w:t>
            </w:r>
            <w:r w:rsidR="00B03A5D" w:rsidRPr="001541F5">
              <w:rPr>
                <w:rFonts w:ascii="Arial" w:hAnsi="Arial" w:cs="Arial"/>
                <w:sz w:val="24"/>
                <w:szCs w:val="24"/>
              </w:rPr>
              <w:t xml:space="preserve"> are</w:t>
            </w:r>
            <w:r w:rsidR="005D0587" w:rsidRPr="001541F5">
              <w:rPr>
                <w:rFonts w:ascii="Arial" w:hAnsi="Arial" w:cs="Arial"/>
                <w:sz w:val="24"/>
                <w:szCs w:val="24"/>
              </w:rPr>
              <w:t>. According</w:t>
            </w:r>
            <w:r w:rsidR="005D0587" w:rsidRPr="005D0587">
              <w:rPr>
                <w:rFonts w:ascii="Arial" w:hAnsi="Arial" w:cs="Arial"/>
                <w:sz w:val="24"/>
                <w:szCs w:val="24"/>
              </w:rPr>
              <w:t xml:space="preserve"> to the respondents’ papers, it would appear that there are tenants in some of the buildings who are not commercial tenants because reference is made to the primary homes of the tenants. There </w:t>
            </w:r>
          </w:p>
          <w:p w:rsidR="0079685C" w:rsidRDefault="0079685C" w:rsidP="005D0587">
            <w:pPr>
              <w:tabs>
                <w:tab w:val="left" w:pos="729"/>
              </w:tabs>
              <w:spacing w:line="360" w:lineRule="auto"/>
              <w:jc w:val="both"/>
              <w:rPr>
                <w:rFonts w:ascii="Arial" w:hAnsi="Arial" w:cs="Arial"/>
                <w:sz w:val="24"/>
                <w:szCs w:val="24"/>
              </w:rPr>
            </w:pPr>
          </w:p>
          <w:p w:rsidR="001541F5" w:rsidRDefault="005D0587" w:rsidP="005D0587">
            <w:pPr>
              <w:tabs>
                <w:tab w:val="left" w:pos="729"/>
              </w:tabs>
              <w:spacing w:line="360" w:lineRule="auto"/>
              <w:jc w:val="both"/>
              <w:rPr>
                <w:rFonts w:ascii="Arial" w:hAnsi="Arial" w:cs="Arial"/>
                <w:sz w:val="24"/>
                <w:szCs w:val="24"/>
              </w:rPr>
            </w:pPr>
            <w:proofErr w:type="gramStart"/>
            <w:r w:rsidRPr="005D0587">
              <w:rPr>
                <w:rFonts w:ascii="Arial" w:hAnsi="Arial" w:cs="Arial"/>
                <w:sz w:val="24"/>
                <w:szCs w:val="24"/>
              </w:rPr>
              <w:t>are</w:t>
            </w:r>
            <w:proofErr w:type="gramEnd"/>
            <w:r w:rsidRPr="005D0587">
              <w:rPr>
                <w:rFonts w:ascii="Arial" w:hAnsi="Arial" w:cs="Arial"/>
                <w:sz w:val="24"/>
                <w:szCs w:val="24"/>
              </w:rPr>
              <w:t xml:space="preserve"> several returns of service filed and there are references to specific units in the returns of service. It is unclear how many units there are and whether those units occupied by </w:t>
            </w:r>
            <w:r w:rsidR="00B03A5D">
              <w:rPr>
                <w:rFonts w:ascii="Arial" w:hAnsi="Arial" w:cs="Arial"/>
                <w:sz w:val="24"/>
                <w:szCs w:val="24"/>
              </w:rPr>
              <w:t xml:space="preserve">the </w:t>
            </w:r>
            <w:r w:rsidRPr="005D0587">
              <w:rPr>
                <w:rFonts w:ascii="Arial" w:hAnsi="Arial" w:cs="Arial"/>
                <w:sz w:val="24"/>
                <w:szCs w:val="24"/>
              </w:rPr>
              <w:t xml:space="preserve">tenants were all </w:t>
            </w:r>
            <w:r w:rsidRPr="001541F5">
              <w:rPr>
                <w:rFonts w:ascii="Arial" w:hAnsi="Arial" w:cs="Arial"/>
                <w:sz w:val="24"/>
                <w:szCs w:val="24"/>
              </w:rPr>
              <w:t>served</w:t>
            </w:r>
            <w:r w:rsidR="004211D2" w:rsidRPr="001541F5">
              <w:rPr>
                <w:rFonts w:ascii="Arial" w:hAnsi="Arial" w:cs="Arial"/>
                <w:sz w:val="24"/>
                <w:szCs w:val="24"/>
              </w:rPr>
              <w:t xml:space="preserve"> with the rule 108 application</w:t>
            </w:r>
            <w:r w:rsidR="00AC2D80" w:rsidRPr="001541F5">
              <w:rPr>
                <w:rFonts w:ascii="Arial" w:hAnsi="Arial" w:cs="Arial"/>
                <w:sz w:val="24"/>
                <w:szCs w:val="24"/>
              </w:rPr>
              <w:t xml:space="preserve"> or summary judgment application</w:t>
            </w:r>
            <w:r w:rsidRPr="001541F5">
              <w:rPr>
                <w:rFonts w:ascii="Arial" w:hAnsi="Arial" w:cs="Arial"/>
                <w:sz w:val="24"/>
                <w:szCs w:val="24"/>
              </w:rPr>
              <w:t xml:space="preserve"> and if there was compliance with rule 108(2)(</w:t>
            </w:r>
            <w:r w:rsidRPr="001541F5">
              <w:rPr>
                <w:rFonts w:ascii="Arial" w:hAnsi="Arial" w:cs="Arial"/>
                <w:i/>
                <w:sz w:val="24"/>
                <w:szCs w:val="24"/>
              </w:rPr>
              <w:t>b</w:t>
            </w:r>
            <w:r w:rsidRPr="001541F5">
              <w:rPr>
                <w:rFonts w:ascii="Arial" w:hAnsi="Arial" w:cs="Arial"/>
                <w:sz w:val="24"/>
                <w:szCs w:val="24"/>
              </w:rPr>
              <w:t>) of the Rules of Court.</w:t>
            </w:r>
            <w:r w:rsidR="001541F5" w:rsidRPr="001541F5">
              <w:rPr>
                <w:rFonts w:ascii="Arial" w:hAnsi="Arial" w:cs="Arial"/>
                <w:sz w:val="24"/>
                <w:szCs w:val="24"/>
              </w:rPr>
              <w:t xml:space="preserve"> F</w:t>
            </w:r>
            <w:r w:rsidR="004211D2" w:rsidRPr="001541F5">
              <w:rPr>
                <w:rFonts w:ascii="Arial" w:hAnsi="Arial" w:cs="Arial"/>
                <w:sz w:val="24"/>
                <w:szCs w:val="24"/>
              </w:rPr>
              <w:t>or the above mentioned reasons</w:t>
            </w:r>
            <w:r w:rsidR="008C59B9">
              <w:rPr>
                <w:rFonts w:ascii="Arial" w:hAnsi="Arial" w:cs="Arial"/>
                <w:sz w:val="24"/>
                <w:szCs w:val="24"/>
              </w:rPr>
              <w:t>,</w:t>
            </w:r>
            <w:r w:rsidRPr="001541F5">
              <w:rPr>
                <w:rFonts w:ascii="Arial" w:hAnsi="Arial" w:cs="Arial"/>
                <w:sz w:val="24"/>
                <w:szCs w:val="24"/>
              </w:rPr>
              <w:t xml:space="preserve"> I am not prepared to grant the relief sought </w:t>
            </w:r>
            <w:r w:rsidR="00B03A5D" w:rsidRPr="001541F5">
              <w:rPr>
                <w:rFonts w:ascii="Arial" w:hAnsi="Arial" w:cs="Arial"/>
                <w:sz w:val="24"/>
                <w:szCs w:val="24"/>
              </w:rPr>
              <w:t xml:space="preserve">in respect of </w:t>
            </w:r>
            <w:r w:rsidRPr="001541F5">
              <w:rPr>
                <w:rFonts w:ascii="Arial" w:hAnsi="Arial" w:cs="Arial"/>
                <w:sz w:val="24"/>
                <w:szCs w:val="24"/>
              </w:rPr>
              <w:t>the immovable</w:t>
            </w:r>
            <w:r w:rsidRPr="005D0587">
              <w:rPr>
                <w:rFonts w:ascii="Arial" w:hAnsi="Arial" w:cs="Arial"/>
                <w:sz w:val="24"/>
                <w:szCs w:val="24"/>
              </w:rPr>
              <w:t xml:space="preserve"> property at this stage of the proceedings.</w:t>
            </w:r>
          </w:p>
          <w:p w:rsidR="008C59B9" w:rsidRDefault="008C59B9" w:rsidP="005D0587">
            <w:pPr>
              <w:tabs>
                <w:tab w:val="left" w:pos="729"/>
              </w:tabs>
              <w:spacing w:line="360" w:lineRule="auto"/>
              <w:jc w:val="both"/>
              <w:rPr>
                <w:rFonts w:ascii="Arial" w:hAnsi="Arial" w:cs="Arial"/>
                <w:sz w:val="24"/>
                <w:szCs w:val="24"/>
              </w:rPr>
            </w:pPr>
          </w:p>
          <w:p w:rsidR="0047362B" w:rsidRDefault="0047362B" w:rsidP="005D0587">
            <w:pPr>
              <w:tabs>
                <w:tab w:val="left" w:pos="729"/>
              </w:tabs>
              <w:spacing w:line="360" w:lineRule="auto"/>
              <w:jc w:val="both"/>
              <w:rPr>
                <w:rFonts w:ascii="Arial" w:hAnsi="Arial" w:cs="Arial"/>
                <w:sz w:val="24"/>
                <w:szCs w:val="24"/>
                <w:u w:val="single"/>
              </w:rPr>
            </w:pPr>
            <w:r w:rsidRPr="0047362B">
              <w:rPr>
                <w:rFonts w:ascii="Arial" w:hAnsi="Arial" w:cs="Arial"/>
                <w:sz w:val="24"/>
                <w:szCs w:val="24"/>
                <w:u w:val="single"/>
              </w:rPr>
              <w:t>Order</w:t>
            </w:r>
          </w:p>
          <w:p w:rsidR="0047362B" w:rsidRPr="0047362B" w:rsidRDefault="0047362B" w:rsidP="00E922FB">
            <w:pPr>
              <w:tabs>
                <w:tab w:val="left" w:pos="729"/>
              </w:tabs>
              <w:spacing w:line="360" w:lineRule="auto"/>
              <w:jc w:val="both"/>
              <w:rPr>
                <w:rFonts w:ascii="Arial" w:hAnsi="Arial" w:cs="Arial"/>
                <w:sz w:val="24"/>
                <w:szCs w:val="24"/>
                <w:u w:val="single"/>
              </w:rPr>
            </w:pPr>
          </w:p>
          <w:p w:rsidR="00C04F28" w:rsidRDefault="001D7F5F" w:rsidP="0047362B">
            <w:pPr>
              <w:tabs>
                <w:tab w:val="left" w:pos="729"/>
              </w:tabs>
              <w:spacing w:line="360" w:lineRule="auto"/>
              <w:jc w:val="both"/>
              <w:rPr>
                <w:rFonts w:ascii="Arial" w:hAnsi="Arial" w:cs="Arial"/>
                <w:sz w:val="24"/>
                <w:szCs w:val="24"/>
              </w:rPr>
            </w:pPr>
            <w:r>
              <w:rPr>
                <w:rFonts w:ascii="Arial" w:hAnsi="Arial" w:cs="Arial"/>
                <w:sz w:val="24"/>
                <w:szCs w:val="24"/>
              </w:rPr>
              <w:t>[49</w:t>
            </w:r>
            <w:r w:rsidR="00C85435" w:rsidRPr="00C85435">
              <w:rPr>
                <w:rFonts w:ascii="Arial" w:hAnsi="Arial" w:cs="Arial"/>
                <w:sz w:val="24"/>
                <w:szCs w:val="24"/>
              </w:rPr>
              <w:t>]</w:t>
            </w:r>
            <w:r w:rsidR="00C85435" w:rsidRPr="00C85435">
              <w:rPr>
                <w:rFonts w:ascii="Arial" w:hAnsi="Arial" w:cs="Arial"/>
                <w:sz w:val="24"/>
                <w:szCs w:val="24"/>
              </w:rPr>
              <w:tab/>
              <w:t>As a result, I make the order as set out above.</w:t>
            </w:r>
          </w:p>
          <w:p w:rsidR="0047362B" w:rsidRPr="00CA7995" w:rsidRDefault="0047362B" w:rsidP="0047362B">
            <w:pPr>
              <w:tabs>
                <w:tab w:val="left" w:pos="729"/>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D24453"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00513F"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00513F">
        <w:tc>
          <w:tcPr>
            <w:tcW w:w="5232" w:type="dxa"/>
          </w:tcPr>
          <w:p w:rsidR="00B40844" w:rsidRDefault="005D0587" w:rsidP="00937C89">
            <w:pPr>
              <w:spacing w:line="360" w:lineRule="auto"/>
              <w:jc w:val="center"/>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Luvindao</w:t>
            </w:r>
            <w:proofErr w:type="spellEnd"/>
          </w:p>
          <w:p w:rsidR="005D0587" w:rsidRDefault="005D0587" w:rsidP="00937C89">
            <w:pPr>
              <w:spacing w:line="360" w:lineRule="auto"/>
              <w:jc w:val="center"/>
              <w:rPr>
                <w:rFonts w:ascii="Arial" w:hAnsi="Arial" w:cs="Arial"/>
                <w:sz w:val="24"/>
                <w:szCs w:val="24"/>
              </w:rPr>
            </w:pPr>
            <w:r>
              <w:rPr>
                <w:rFonts w:ascii="Arial" w:hAnsi="Arial" w:cs="Arial"/>
                <w:sz w:val="24"/>
                <w:szCs w:val="24"/>
              </w:rPr>
              <w:t>Of</w:t>
            </w:r>
          </w:p>
          <w:p w:rsidR="00B40844" w:rsidRPr="00C85435" w:rsidRDefault="001D7F5F" w:rsidP="005D0587">
            <w:pPr>
              <w:spacing w:line="360" w:lineRule="auto"/>
              <w:jc w:val="center"/>
              <w:rPr>
                <w:rFonts w:ascii="Arial" w:hAnsi="Arial" w:cs="Arial"/>
                <w:sz w:val="24"/>
                <w:szCs w:val="24"/>
              </w:rPr>
            </w:pPr>
            <w:r>
              <w:rPr>
                <w:rFonts w:ascii="Arial" w:hAnsi="Arial" w:cs="Arial"/>
                <w:sz w:val="24"/>
                <w:szCs w:val="24"/>
              </w:rPr>
              <w:t xml:space="preserve">Dr </w:t>
            </w:r>
            <w:proofErr w:type="spellStart"/>
            <w:r w:rsidR="005D0587">
              <w:rPr>
                <w:rFonts w:ascii="Arial" w:hAnsi="Arial" w:cs="Arial"/>
                <w:sz w:val="24"/>
                <w:szCs w:val="24"/>
              </w:rPr>
              <w:t>W</w:t>
            </w:r>
            <w:r>
              <w:rPr>
                <w:rFonts w:ascii="Arial" w:hAnsi="Arial" w:cs="Arial"/>
                <w:sz w:val="24"/>
                <w:szCs w:val="24"/>
              </w:rPr>
              <w:t>eder</w:t>
            </w:r>
            <w:proofErr w:type="spellEnd"/>
            <w:r>
              <w:rPr>
                <w:rFonts w:ascii="Arial" w:hAnsi="Arial" w:cs="Arial"/>
                <w:sz w:val="24"/>
                <w:szCs w:val="24"/>
              </w:rPr>
              <w:t>,</w:t>
            </w:r>
            <w:r w:rsidR="005D0587">
              <w:rPr>
                <w:rFonts w:ascii="Arial" w:hAnsi="Arial" w:cs="Arial"/>
                <w:sz w:val="24"/>
                <w:szCs w:val="24"/>
              </w:rPr>
              <w:t xml:space="preserve"> </w:t>
            </w:r>
            <w:proofErr w:type="spellStart"/>
            <w:r w:rsidR="005D0587">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sidR="0079685C">
              <w:rPr>
                <w:rFonts w:ascii="Arial" w:hAnsi="Arial" w:cs="Arial"/>
                <w:sz w:val="24"/>
                <w:szCs w:val="24"/>
              </w:rPr>
              <w:t>,</w:t>
            </w:r>
          </w:p>
          <w:p w:rsidR="00B40844" w:rsidRPr="00D24453" w:rsidRDefault="00B40844" w:rsidP="0079685C">
            <w:pPr>
              <w:spacing w:line="360" w:lineRule="auto"/>
              <w:jc w:val="center"/>
              <w:rPr>
                <w:rFonts w:ascii="Arial" w:hAnsi="Arial" w:cs="Arial"/>
                <w:sz w:val="24"/>
                <w:szCs w:val="24"/>
              </w:rPr>
            </w:pPr>
            <w:r w:rsidRPr="00D24453">
              <w:rPr>
                <w:rFonts w:ascii="Arial" w:hAnsi="Arial" w:cs="Arial"/>
                <w:sz w:val="24"/>
                <w:szCs w:val="24"/>
              </w:rPr>
              <w:t>Windhoek</w:t>
            </w:r>
          </w:p>
        </w:tc>
        <w:tc>
          <w:tcPr>
            <w:tcW w:w="5244" w:type="dxa"/>
            <w:gridSpan w:val="2"/>
          </w:tcPr>
          <w:p w:rsidR="00B40844" w:rsidRPr="00CA7995" w:rsidRDefault="005D0587" w:rsidP="00937C89">
            <w:pPr>
              <w:spacing w:line="360" w:lineRule="auto"/>
              <w:jc w:val="center"/>
              <w:rPr>
                <w:rFonts w:ascii="Arial" w:hAnsi="Arial" w:cs="Arial"/>
                <w:sz w:val="24"/>
                <w:szCs w:val="24"/>
              </w:rPr>
            </w:pPr>
            <w:r>
              <w:rPr>
                <w:rFonts w:ascii="Arial" w:hAnsi="Arial" w:cs="Arial"/>
                <w:sz w:val="24"/>
                <w:szCs w:val="24"/>
              </w:rPr>
              <w:t xml:space="preserve">E </w:t>
            </w:r>
            <w:proofErr w:type="spellStart"/>
            <w:r>
              <w:rPr>
                <w:rFonts w:ascii="Arial" w:hAnsi="Arial" w:cs="Arial"/>
                <w:sz w:val="24"/>
                <w:szCs w:val="24"/>
              </w:rPr>
              <w:t>Mwakondange</w:t>
            </w:r>
            <w:proofErr w:type="spellEnd"/>
          </w:p>
          <w:p w:rsidR="00B40844" w:rsidRPr="00C85435" w:rsidRDefault="008C59B9" w:rsidP="00937C89">
            <w:pPr>
              <w:spacing w:line="360" w:lineRule="auto"/>
              <w:jc w:val="center"/>
              <w:rPr>
                <w:rFonts w:ascii="Arial" w:hAnsi="Arial" w:cs="Arial"/>
                <w:sz w:val="24"/>
                <w:szCs w:val="24"/>
              </w:rPr>
            </w:pPr>
            <w:r>
              <w:rPr>
                <w:rFonts w:ascii="Arial" w:hAnsi="Arial" w:cs="Arial"/>
                <w:sz w:val="24"/>
                <w:szCs w:val="24"/>
              </w:rPr>
              <w:t>O</w:t>
            </w:r>
            <w:r w:rsidR="005D0587">
              <w:rPr>
                <w:rFonts w:ascii="Arial" w:hAnsi="Arial" w:cs="Arial"/>
                <w:sz w:val="24"/>
                <w:szCs w:val="24"/>
              </w:rPr>
              <w:t>f</w:t>
            </w:r>
            <w:r w:rsidR="00C85435" w:rsidRPr="00C85435">
              <w:rPr>
                <w:rFonts w:ascii="Arial" w:hAnsi="Arial" w:cs="Arial"/>
                <w:sz w:val="24"/>
                <w:szCs w:val="24"/>
              </w:rPr>
              <w:t xml:space="preserve"> </w:t>
            </w:r>
          </w:p>
          <w:p w:rsidR="00C85435" w:rsidRDefault="001D7F5F" w:rsidP="00937C89">
            <w:pPr>
              <w:spacing w:line="360" w:lineRule="auto"/>
              <w:jc w:val="center"/>
              <w:rPr>
                <w:rFonts w:ascii="Arial" w:hAnsi="Arial" w:cs="Arial"/>
                <w:sz w:val="24"/>
                <w:szCs w:val="24"/>
              </w:rPr>
            </w:pPr>
            <w:r w:rsidRPr="001D7F5F">
              <w:rPr>
                <w:rFonts w:ascii="Arial" w:hAnsi="Arial" w:cs="Arial"/>
                <w:sz w:val="24"/>
                <w:szCs w:val="24"/>
              </w:rPr>
              <w:t xml:space="preserve">Slogan </w:t>
            </w:r>
            <w:proofErr w:type="spellStart"/>
            <w:r w:rsidRPr="001D7F5F">
              <w:rPr>
                <w:rFonts w:ascii="Arial" w:hAnsi="Arial" w:cs="Arial"/>
                <w:sz w:val="24"/>
                <w:szCs w:val="24"/>
              </w:rPr>
              <w:t>Matheus</w:t>
            </w:r>
            <w:proofErr w:type="spellEnd"/>
            <w:r w:rsidRPr="001D7F5F">
              <w:rPr>
                <w:rFonts w:ascii="Arial" w:hAnsi="Arial" w:cs="Arial"/>
                <w:sz w:val="24"/>
                <w:szCs w:val="24"/>
              </w:rPr>
              <w:t xml:space="preserve"> &amp; Associates </w:t>
            </w:r>
            <w:proofErr w:type="spellStart"/>
            <w:r w:rsidRPr="001D7F5F">
              <w:rPr>
                <w:rFonts w:ascii="Arial" w:hAnsi="Arial" w:cs="Arial"/>
                <w:sz w:val="24"/>
                <w:szCs w:val="24"/>
              </w:rPr>
              <w:t>Inc</w:t>
            </w:r>
            <w:proofErr w:type="spellEnd"/>
            <w:r w:rsidR="0000513F">
              <w:rPr>
                <w:rFonts w:ascii="Arial" w:hAnsi="Arial" w:cs="Arial"/>
                <w:sz w:val="24"/>
                <w:szCs w:val="24"/>
              </w:rPr>
              <w:t xml:space="preserve">, </w:t>
            </w:r>
          </w:p>
          <w:p w:rsidR="0000513F" w:rsidRPr="00CA7995" w:rsidRDefault="0000513F" w:rsidP="00937C89">
            <w:pPr>
              <w:spacing w:line="360" w:lineRule="auto"/>
              <w:jc w:val="center"/>
              <w:rPr>
                <w:rFonts w:ascii="Arial" w:hAnsi="Arial" w:cs="Arial"/>
                <w:sz w:val="24"/>
                <w:szCs w:val="24"/>
              </w:rPr>
            </w:pPr>
            <w:r>
              <w:rPr>
                <w:rFonts w:ascii="Arial" w:hAnsi="Arial" w:cs="Arial"/>
                <w:sz w:val="24"/>
                <w:szCs w:val="24"/>
              </w:rPr>
              <w:t>Windhoek</w:t>
            </w:r>
          </w:p>
        </w:tc>
      </w:tr>
    </w:tbl>
    <w:p w:rsidR="00B845CF" w:rsidRDefault="00B845CF"/>
    <w:sectPr w:rsidR="00B845CF" w:rsidSect="00E12D38">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B6" w:rsidRDefault="00E601B6" w:rsidP="00B40844">
      <w:pPr>
        <w:spacing w:after="0" w:line="240" w:lineRule="auto"/>
      </w:pPr>
      <w:r>
        <w:separator/>
      </w:r>
    </w:p>
  </w:endnote>
  <w:endnote w:type="continuationSeparator" w:id="0">
    <w:p w:rsidR="00E601B6" w:rsidRDefault="00E601B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B6" w:rsidRDefault="00E601B6" w:rsidP="00B40844">
      <w:pPr>
        <w:spacing w:after="0" w:line="240" w:lineRule="auto"/>
      </w:pPr>
      <w:r>
        <w:separator/>
      </w:r>
    </w:p>
  </w:footnote>
  <w:footnote w:type="continuationSeparator" w:id="0">
    <w:p w:rsidR="00E601B6" w:rsidRDefault="00E601B6" w:rsidP="00B40844">
      <w:pPr>
        <w:spacing w:after="0" w:line="240" w:lineRule="auto"/>
      </w:pPr>
      <w:r>
        <w:continuationSeparator/>
      </w:r>
    </w:p>
  </w:footnote>
  <w:footnote w:id="1">
    <w:p w:rsidR="0044564D" w:rsidRPr="0044564D" w:rsidRDefault="0044564D">
      <w:pPr>
        <w:pStyle w:val="FootnoteText"/>
        <w:rPr>
          <w:lang w:val="en-US"/>
        </w:rPr>
      </w:pPr>
      <w:r>
        <w:rPr>
          <w:rStyle w:val="FootnoteReference"/>
        </w:rPr>
        <w:footnoteRef/>
      </w:r>
      <w:r>
        <w:t xml:space="preserve"> </w:t>
      </w:r>
      <w:r w:rsidRPr="0044564D">
        <w:rPr>
          <w:rFonts w:ascii="Arial" w:hAnsi="Arial" w:cs="Arial"/>
          <w:i/>
        </w:rPr>
        <w:t xml:space="preserve">Standard Bank Namibia Limited v </w:t>
      </w:r>
      <w:proofErr w:type="spellStart"/>
      <w:r w:rsidRPr="0044564D">
        <w:rPr>
          <w:rFonts w:ascii="Arial" w:hAnsi="Arial" w:cs="Arial"/>
          <w:i/>
        </w:rPr>
        <w:t>Shipila</w:t>
      </w:r>
      <w:proofErr w:type="spellEnd"/>
      <w:r w:rsidRPr="0044564D">
        <w:rPr>
          <w:rFonts w:ascii="Arial" w:hAnsi="Arial" w:cs="Arial"/>
          <w:i/>
        </w:rPr>
        <w:t xml:space="preserve"> and Others</w:t>
      </w:r>
      <w:r w:rsidRPr="0044564D">
        <w:rPr>
          <w:rFonts w:ascii="Arial" w:hAnsi="Arial" w:cs="Arial"/>
        </w:rPr>
        <w:t xml:space="preserve"> [2018] NASC 395 (06 July 2018).</w:t>
      </w:r>
    </w:p>
  </w:footnote>
  <w:footnote w:id="2">
    <w:p w:rsidR="00960AE2" w:rsidRPr="00960AE2" w:rsidRDefault="00960AE2" w:rsidP="001E5A66">
      <w:pPr>
        <w:pStyle w:val="FootnoteText"/>
        <w:spacing w:line="360" w:lineRule="auto"/>
        <w:rPr>
          <w:rFonts w:ascii="Arial" w:hAnsi="Arial" w:cs="Arial"/>
          <w:lang w:val="en-US"/>
        </w:rPr>
      </w:pPr>
      <w:r>
        <w:rPr>
          <w:rStyle w:val="FootnoteReference"/>
        </w:rPr>
        <w:footnoteRef/>
      </w:r>
      <w:r>
        <w:t xml:space="preserve"> </w:t>
      </w:r>
      <w:r w:rsidRPr="00960AE2">
        <w:rPr>
          <w:rFonts w:ascii="Arial" w:hAnsi="Arial" w:cs="Arial"/>
          <w:i/>
        </w:rPr>
        <w:t xml:space="preserve">Di </w:t>
      </w:r>
      <w:proofErr w:type="spellStart"/>
      <w:r w:rsidRPr="00960AE2">
        <w:rPr>
          <w:rFonts w:ascii="Arial" w:hAnsi="Arial" w:cs="Arial"/>
          <w:i/>
        </w:rPr>
        <w:t>Savino</w:t>
      </w:r>
      <w:proofErr w:type="spellEnd"/>
      <w:r w:rsidRPr="00960AE2">
        <w:rPr>
          <w:rFonts w:ascii="Arial" w:hAnsi="Arial" w:cs="Arial"/>
          <w:i/>
        </w:rPr>
        <w:t xml:space="preserve"> v </w:t>
      </w:r>
      <w:proofErr w:type="spellStart"/>
      <w:r w:rsidRPr="00960AE2">
        <w:rPr>
          <w:rFonts w:ascii="Arial" w:hAnsi="Arial" w:cs="Arial"/>
          <w:i/>
        </w:rPr>
        <w:t>Nedbank</w:t>
      </w:r>
      <w:proofErr w:type="spellEnd"/>
      <w:r w:rsidRPr="00960AE2">
        <w:rPr>
          <w:rFonts w:ascii="Arial" w:hAnsi="Arial" w:cs="Arial"/>
          <w:i/>
        </w:rPr>
        <w:t xml:space="preserve"> Namibia</w:t>
      </w:r>
      <w:r w:rsidRPr="00960AE2">
        <w:rPr>
          <w:rFonts w:ascii="Arial" w:hAnsi="Arial" w:cs="Arial"/>
        </w:rPr>
        <w:t xml:space="preserve"> Ltd 2012 (2) NR 507 (SC).</w:t>
      </w:r>
    </w:p>
  </w:footnote>
  <w:footnote w:id="3">
    <w:p w:rsidR="00D25B16" w:rsidRPr="00D25B16" w:rsidRDefault="00D25B16" w:rsidP="001E5A66">
      <w:pPr>
        <w:pStyle w:val="FootnoteText"/>
        <w:spacing w:line="360" w:lineRule="auto"/>
        <w:rPr>
          <w:rFonts w:ascii="Arial" w:hAnsi="Arial" w:cs="Arial"/>
          <w:lang w:val="en-US"/>
        </w:rPr>
      </w:pPr>
      <w:r>
        <w:rPr>
          <w:rStyle w:val="FootnoteReference"/>
        </w:rPr>
        <w:footnoteRef/>
      </w:r>
      <w:r>
        <w:t xml:space="preserve"> </w:t>
      </w:r>
      <w:r w:rsidRPr="00D25B16">
        <w:rPr>
          <w:rFonts w:ascii="Arial" w:hAnsi="Arial" w:cs="Arial"/>
        </w:rPr>
        <w:t>The forerunner of the current Rule 60.</w:t>
      </w:r>
    </w:p>
  </w:footnote>
  <w:footnote w:id="4">
    <w:p w:rsidR="00D25B16" w:rsidRPr="00D25B16" w:rsidRDefault="00D25B16" w:rsidP="00D51E49">
      <w:pPr>
        <w:pStyle w:val="FootnoteText"/>
        <w:spacing w:line="360" w:lineRule="auto"/>
        <w:rPr>
          <w:lang w:val="en-US"/>
        </w:rPr>
      </w:pPr>
      <w:r>
        <w:rPr>
          <w:rStyle w:val="FootnoteReference"/>
        </w:rPr>
        <w:footnoteRef/>
      </w:r>
      <w:r>
        <w:t xml:space="preserve"> </w:t>
      </w:r>
      <w:proofErr w:type="spellStart"/>
      <w:r w:rsidRPr="00D25B16">
        <w:rPr>
          <w:rFonts w:ascii="Arial" w:hAnsi="Arial" w:cs="Arial"/>
          <w:i/>
        </w:rPr>
        <w:t>Maharaj</w:t>
      </w:r>
      <w:proofErr w:type="spellEnd"/>
      <w:r w:rsidRPr="00D25B16">
        <w:rPr>
          <w:rFonts w:ascii="Arial" w:hAnsi="Arial" w:cs="Arial"/>
          <w:i/>
        </w:rPr>
        <w:t xml:space="preserve"> v Barclays National Bank Ltd</w:t>
      </w:r>
      <w:r w:rsidRPr="00D25B16">
        <w:rPr>
          <w:rFonts w:ascii="Arial" w:hAnsi="Arial" w:cs="Arial"/>
        </w:rPr>
        <w:t xml:space="preserve"> 1976 (1) SA 418 (A) at 426A – C.</w:t>
      </w:r>
    </w:p>
  </w:footnote>
  <w:footnote w:id="5">
    <w:p w:rsidR="00D25B16" w:rsidRPr="00D25B16" w:rsidRDefault="00D25B16" w:rsidP="00D51E49">
      <w:pPr>
        <w:pStyle w:val="FootnoteText"/>
        <w:spacing w:line="360" w:lineRule="auto"/>
        <w:rPr>
          <w:rFonts w:ascii="Arial" w:hAnsi="Arial" w:cs="Arial"/>
          <w:lang w:val="en-US"/>
        </w:rPr>
      </w:pPr>
      <w:r>
        <w:rPr>
          <w:rStyle w:val="FootnoteReference"/>
        </w:rPr>
        <w:footnoteRef/>
      </w:r>
      <w:r>
        <w:t xml:space="preserve"> </w:t>
      </w:r>
      <w:r w:rsidRPr="00D25B16">
        <w:rPr>
          <w:rFonts w:ascii="Arial" w:hAnsi="Arial" w:cs="Arial"/>
        </w:rPr>
        <w:t>Supra at 426C – D.</w:t>
      </w:r>
    </w:p>
  </w:footnote>
  <w:footnote w:id="6">
    <w:p w:rsidR="00D25B16" w:rsidRPr="00D25B16" w:rsidRDefault="00D25B16" w:rsidP="00D51E49">
      <w:pPr>
        <w:pStyle w:val="FootnoteText"/>
        <w:spacing w:line="360" w:lineRule="auto"/>
        <w:rPr>
          <w:lang w:val="en-US"/>
        </w:rPr>
      </w:pPr>
      <w:r>
        <w:rPr>
          <w:rStyle w:val="FootnoteReference"/>
        </w:rPr>
        <w:footnoteRef/>
      </w:r>
      <w:r>
        <w:t xml:space="preserve"> </w:t>
      </w:r>
      <w:proofErr w:type="spellStart"/>
      <w:r w:rsidRPr="00D25B16">
        <w:rPr>
          <w:rFonts w:ascii="Arial" w:hAnsi="Arial" w:cs="Arial"/>
          <w:i/>
        </w:rPr>
        <w:t>Arend</w:t>
      </w:r>
      <w:proofErr w:type="spellEnd"/>
      <w:r w:rsidRPr="00D25B16">
        <w:rPr>
          <w:rFonts w:ascii="Arial" w:hAnsi="Arial" w:cs="Arial"/>
          <w:i/>
        </w:rPr>
        <w:t xml:space="preserve"> and Another v Astra Furnishers (Pty) Ltd</w:t>
      </w:r>
      <w:r w:rsidRPr="00D25B16">
        <w:rPr>
          <w:rFonts w:ascii="Arial" w:hAnsi="Arial" w:cs="Arial"/>
        </w:rPr>
        <w:t xml:space="preserve"> 1974 (1) SA 298 (C) at 304A – B.</w:t>
      </w:r>
    </w:p>
  </w:footnote>
  <w:footnote w:id="7">
    <w:p w:rsidR="00D51E49" w:rsidRPr="00D51E49" w:rsidRDefault="00D51E49" w:rsidP="00D51E49">
      <w:pPr>
        <w:pStyle w:val="FootnoteText"/>
        <w:spacing w:line="360" w:lineRule="auto"/>
        <w:rPr>
          <w:rFonts w:ascii="Arial" w:hAnsi="Arial" w:cs="Arial"/>
          <w:lang w:val="en-US"/>
        </w:rPr>
      </w:pPr>
      <w:r>
        <w:rPr>
          <w:rStyle w:val="FootnoteReference"/>
        </w:rPr>
        <w:footnoteRef/>
      </w:r>
      <w:r>
        <w:t xml:space="preserve"> </w:t>
      </w:r>
      <w:r w:rsidRPr="00D51E49">
        <w:rPr>
          <w:rFonts w:ascii="Arial" w:hAnsi="Arial" w:cs="Arial"/>
          <w:i/>
        </w:rPr>
        <w:t>Meek v Kruger</w:t>
      </w:r>
      <w:r w:rsidRPr="00D51E49">
        <w:rPr>
          <w:rFonts w:ascii="Arial" w:hAnsi="Arial" w:cs="Arial"/>
        </w:rPr>
        <w:t xml:space="preserve"> 1958 (3) SA 154 (T) at 159H-160A.</w:t>
      </w:r>
    </w:p>
  </w:footnote>
  <w:footnote w:id="8">
    <w:p w:rsidR="00D51E49" w:rsidRPr="00D51E49" w:rsidRDefault="00D51E49" w:rsidP="00D51E49">
      <w:pPr>
        <w:pStyle w:val="FootnoteText"/>
        <w:spacing w:line="360" w:lineRule="auto"/>
        <w:rPr>
          <w:rFonts w:ascii="Arial" w:hAnsi="Arial" w:cs="Arial"/>
          <w:lang w:val="en-US"/>
        </w:rPr>
      </w:pPr>
      <w:r>
        <w:rPr>
          <w:rStyle w:val="FootnoteReference"/>
        </w:rPr>
        <w:footnoteRef/>
      </w:r>
      <w:r>
        <w:t xml:space="preserve"> </w:t>
      </w:r>
      <w:r w:rsidRPr="00D51E49">
        <w:rPr>
          <w:rFonts w:ascii="Arial" w:hAnsi="Arial" w:cs="Arial"/>
          <w:i/>
        </w:rPr>
        <w:t xml:space="preserve">Bank Windhoek Limited v </w:t>
      </w:r>
      <w:proofErr w:type="spellStart"/>
      <w:r w:rsidRPr="00D51E49">
        <w:rPr>
          <w:rFonts w:ascii="Arial" w:hAnsi="Arial" w:cs="Arial"/>
          <w:i/>
        </w:rPr>
        <w:t>Kock</w:t>
      </w:r>
      <w:proofErr w:type="spellEnd"/>
      <w:r w:rsidRPr="00D51E49">
        <w:rPr>
          <w:rFonts w:ascii="Arial" w:hAnsi="Arial" w:cs="Arial"/>
          <w:i/>
        </w:rPr>
        <w:t xml:space="preserve"> Investments</w:t>
      </w:r>
      <w:r w:rsidRPr="00D51E49">
        <w:rPr>
          <w:rFonts w:ascii="Arial" w:hAnsi="Arial" w:cs="Arial"/>
        </w:rPr>
        <w:t xml:space="preserve"> (HC-MD-CIV-ACT-CON-2020/03329) [2020] NAHCMD 574 (7 December 2020).</w:t>
      </w:r>
    </w:p>
  </w:footnote>
  <w:footnote w:id="9">
    <w:p w:rsidR="00D51E49" w:rsidRPr="00D51E49" w:rsidRDefault="00D51E49">
      <w:pPr>
        <w:pStyle w:val="FootnoteText"/>
        <w:rPr>
          <w:lang w:val="en-US"/>
        </w:rPr>
      </w:pPr>
      <w:r>
        <w:rPr>
          <w:rStyle w:val="FootnoteReference"/>
        </w:rPr>
        <w:footnoteRef/>
      </w:r>
      <w:r w:rsidRPr="00D51E49">
        <w:rPr>
          <w:rFonts w:ascii="Arial" w:hAnsi="Arial" w:cs="Arial"/>
        </w:rPr>
        <w:t xml:space="preserve"> </w:t>
      </w:r>
      <w:r w:rsidR="00EF604A">
        <w:rPr>
          <w:rFonts w:ascii="Arial" w:hAnsi="Arial" w:cs="Arial"/>
        </w:rPr>
        <w:t xml:space="preserve">Van </w:t>
      </w:r>
      <w:proofErr w:type="spellStart"/>
      <w:r w:rsidR="00EF604A">
        <w:rPr>
          <w:rFonts w:ascii="Arial" w:hAnsi="Arial" w:cs="Arial"/>
        </w:rPr>
        <w:t>Niekerk</w:t>
      </w:r>
      <w:proofErr w:type="spellEnd"/>
      <w:r w:rsidR="00EF604A">
        <w:rPr>
          <w:rFonts w:ascii="Arial" w:hAnsi="Arial" w:cs="Arial"/>
        </w:rPr>
        <w:t xml:space="preserve">, Geyer and </w:t>
      </w:r>
      <w:proofErr w:type="spellStart"/>
      <w:r w:rsidR="00EF604A">
        <w:rPr>
          <w:rFonts w:ascii="Arial" w:hAnsi="Arial" w:cs="Arial"/>
        </w:rPr>
        <w:t>Mundell</w:t>
      </w:r>
      <w:proofErr w:type="spellEnd"/>
      <w:r w:rsidR="00EF604A">
        <w:rPr>
          <w:rFonts w:ascii="Arial" w:hAnsi="Arial" w:cs="Arial"/>
        </w:rPr>
        <w:t xml:space="preserve"> </w:t>
      </w:r>
      <w:r w:rsidRPr="00EF604A">
        <w:rPr>
          <w:rFonts w:ascii="Arial" w:hAnsi="Arial" w:cs="Arial"/>
          <w:i/>
        </w:rPr>
        <w:t>Summary Judgment A Practical Guide</w:t>
      </w:r>
      <w:r w:rsidRPr="00D51E49">
        <w:rPr>
          <w:rFonts w:ascii="Arial" w:hAnsi="Arial" w:cs="Arial"/>
        </w:rPr>
        <w:t xml:space="preserve">, LexisNexis, Durban </w:t>
      </w:r>
      <w:r w:rsidR="00EF604A">
        <w:rPr>
          <w:rFonts w:ascii="Arial" w:hAnsi="Arial" w:cs="Arial"/>
        </w:rPr>
        <w:t>(</w:t>
      </w:r>
      <w:r w:rsidRPr="00D51E49">
        <w:rPr>
          <w:rFonts w:ascii="Arial" w:hAnsi="Arial" w:cs="Arial"/>
        </w:rPr>
        <w:t>1998</w:t>
      </w:r>
      <w:r w:rsidR="00EF604A">
        <w:rPr>
          <w:rFonts w:ascii="Arial" w:hAnsi="Arial" w:cs="Arial"/>
        </w:rPr>
        <w:t xml:space="preserve">), </w:t>
      </w:r>
      <w:r w:rsidR="001541F5">
        <w:rPr>
          <w:rFonts w:ascii="Arial" w:hAnsi="Arial" w:cs="Arial"/>
        </w:rPr>
        <w:t xml:space="preserve">Service Issue 12 </w:t>
      </w:r>
      <w:r w:rsidR="00EF604A">
        <w:rPr>
          <w:rFonts w:ascii="Arial" w:hAnsi="Arial" w:cs="Arial"/>
        </w:rPr>
        <w:t>at</w:t>
      </w:r>
      <w:r w:rsidRPr="00D51E49">
        <w:rPr>
          <w:rFonts w:ascii="Arial" w:hAnsi="Arial" w:cs="Arial"/>
        </w:rPr>
        <w:t xml:space="preserve"> 5-4.</w:t>
      </w:r>
      <w:r w:rsidR="00EF604A">
        <w:rPr>
          <w:rFonts w:ascii="Arial" w:hAnsi="Arial" w:cs="Arial"/>
        </w:rPr>
        <w:t xml:space="preserve"> </w:t>
      </w:r>
    </w:p>
  </w:footnote>
  <w:footnote w:id="10">
    <w:p w:rsidR="00B03A5D" w:rsidRPr="00B03A5D" w:rsidRDefault="00B03A5D" w:rsidP="0079685C">
      <w:pPr>
        <w:pStyle w:val="FootnoteText"/>
        <w:spacing w:line="360" w:lineRule="auto"/>
        <w:rPr>
          <w:rFonts w:ascii="Arial" w:hAnsi="Arial" w:cs="Arial"/>
          <w:lang w:val="en-US"/>
        </w:rPr>
      </w:pPr>
      <w:r>
        <w:rPr>
          <w:rStyle w:val="FootnoteReference"/>
        </w:rPr>
        <w:footnoteRef/>
      </w:r>
      <w:r>
        <w:t xml:space="preserve"> </w:t>
      </w:r>
      <w:r w:rsidRPr="00B03A5D">
        <w:rPr>
          <w:rFonts w:ascii="Arial" w:hAnsi="Arial" w:cs="Arial"/>
          <w:i/>
        </w:rPr>
        <w:t xml:space="preserve">Small and Medium Enterprises Bank Limited v </w:t>
      </w:r>
      <w:proofErr w:type="spellStart"/>
      <w:r w:rsidRPr="00B03A5D">
        <w:rPr>
          <w:rFonts w:ascii="Arial" w:hAnsi="Arial" w:cs="Arial"/>
          <w:i/>
        </w:rPr>
        <w:t>Hamukwaya</w:t>
      </w:r>
      <w:proofErr w:type="spellEnd"/>
      <w:r w:rsidRPr="00B03A5D">
        <w:rPr>
          <w:rFonts w:ascii="Arial" w:hAnsi="Arial" w:cs="Arial"/>
        </w:rPr>
        <w:t xml:space="preserve"> (HC-MD-CIV-ACT-CON-2020/03922) [2021] NAHCMD 321 (05 May 2021) at para [60].</w:t>
      </w:r>
    </w:p>
  </w:footnote>
  <w:footnote w:id="11">
    <w:p w:rsidR="00B03A5D" w:rsidRPr="00B03A5D" w:rsidRDefault="00B03A5D" w:rsidP="0079685C">
      <w:pPr>
        <w:pStyle w:val="FootnoteText"/>
        <w:spacing w:line="360" w:lineRule="auto"/>
        <w:rPr>
          <w:rFonts w:ascii="Arial" w:hAnsi="Arial" w:cs="Arial"/>
          <w:lang w:val="en-US"/>
        </w:rPr>
      </w:pPr>
      <w:r w:rsidRPr="00B03A5D">
        <w:rPr>
          <w:rStyle w:val="FootnoteReference"/>
          <w:rFonts w:ascii="Arial" w:hAnsi="Arial" w:cs="Arial"/>
        </w:rPr>
        <w:footnoteRef/>
      </w:r>
      <w:r w:rsidRPr="00B03A5D">
        <w:rPr>
          <w:rFonts w:ascii="Arial" w:hAnsi="Arial" w:cs="Arial"/>
        </w:rPr>
        <w:t xml:space="preserve"> </w:t>
      </w:r>
      <w:r w:rsidRPr="00B03A5D">
        <w:rPr>
          <w:rFonts w:ascii="Arial" w:hAnsi="Arial" w:cs="Arial"/>
          <w:i/>
        </w:rPr>
        <w:t>FI Ad</w:t>
      </w:r>
      <w:r w:rsidR="004211D2">
        <w:rPr>
          <w:rFonts w:ascii="Arial" w:hAnsi="Arial" w:cs="Arial"/>
          <w:i/>
        </w:rPr>
        <w:t>visers (</w:t>
      </w:r>
      <w:proofErr w:type="spellStart"/>
      <w:r w:rsidR="004211D2">
        <w:rPr>
          <w:rFonts w:ascii="Arial" w:hAnsi="Arial" w:cs="Arial"/>
          <w:i/>
        </w:rPr>
        <w:t>Edms</w:t>
      </w:r>
      <w:proofErr w:type="spellEnd"/>
      <w:r w:rsidR="004211D2">
        <w:rPr>
          <w:rFonts w:ascii="Arial" w:hAnsi="Arial" w:cs="Arial"/>
          <w:i/>
        </w:rPr>
        <w:t xml:space="preserve">) </w:t>
      </w:r>
      <w:proofErr w:type="spellStart"/>
      <w:r w:rsidR="004211D2">
        <w:rPr>
          <w:rFonts w:ascii="Arial" w:hAnsi="Arial" w:cs="Arial"/>
          <w:i/>
        </w:rPr>
        <w:t>Bp</w:t>
      </w:r>
      <w:proofErr w:type="spellEnd"/>
      <w:r w:rsidR="004211D2">
        <w:rPr>
          <w:rFonts w:ascii="Arial" w:hAnsi="Arial" w:cs="Arial"/>
          <w:i/>
        </w:rPr>
        <w:t xml:space="preserve"> ken `n Ander v</w:t>
      </w:r>
      <w:r w:rsidRPr="00B03A5D">
        <w:rPr>
          <w:rFonts w:ascii="Arial" w:hAnsi="Arial" w:cs="Arial"/>
          <w:i/>
        </w:rPr>
        <w:t xml:space="preserve"> </w:t>
      </w:r>
      <w:proofErr w:type="spellStart"/>
      <w:r w:rsidRPr="00B03A5D">
        <w:rPr>
          <w:rFonts w:ascii="Arial" w:hAnsi="Arial" w:cs="Arial"/>
          <w:i/>
        </w:rPr>
        <w:t>Eerste</w:t>
      </w:r>
      <w:proofErr w:type="spellEnd"/>
      <w:r w:rsidRPr="00B03A5D">
        <w:rPr>
          <w:rFonts w:ascii="Arial" w:hAnsi="Arial" w:cs="Arial"/>
          <w:i/>
        </w:rPr>
        <w:t xml:space="preserve"> </w:t>
      </w:r>
      <w:proofErr w:type="spellStart"/>
      <w:r w:rsidRPr="00B03A5D">
        <w:rPr>
          <w:rFonts w:ascii="Arial" w:hAnsi="Arial" w:cs="Arial"/>
          <w:i/>
        </w:rPr>
        <w:t>Nasionale</w:t>
      </w:r>
      <w:proofErr w:type="spellEnd"/>
      <w:r w:rsidRPr="00B03A5D">
        <w:rPr>
          <w:rFonts w:ascii="Arial" w:hAnsi="Arial" w:cs="Arial"/>
          <w:i/>
        </w:rPr>
        <w:t xml:space="preserve"> Bank van </w:t>
      </w:r>
      <w:proofErr w:type="spellStart"/>
      <w:r w:rsidRPr="00B03A5D">
        <w:rPr>
          <w:rFonts w:ascii="Arial" w:hAnsi="Arial" w:cs="Arial"/>
          <w:i/>
        </w:rPr>
        <w:t>Suidelike</w:t>
      </w:r>
      <w:proofErr w:type="spellEnd"/>
      <w:r w:rsidRPr="00B03A5D">
        <w:rPr>
          <w:rFonts w:ascii="Arial" w:hAnsi="Arial" w:cs="Arial"/>
          <w:i/>
        </w:rPr>
        <w:t xml:space="preserve"> </w:t>
      </w:r>
      <w:proofErr w:type="spellStart"/>
      <w:r w:rsidRPr="00B03A5D">
        <w:rPr>
          <w:rFonts w:ascii="Arial" w:hAnsi="Arial" w:cs="Arial"/>
          <w:i/>
        </w:rPr>
        <w:t>Afrika</w:t>
      </w:r>
      <w:proofErr w:type="spellEnd"/>
      <w:r w:rsidRPr="00B03A5D">
        <w:rPr>
          <w:rFonts w:ascii="Arial" w:hAnsi="Arial" w:cs="Arial"/>
          <w:i/>
        </w:rPr>
        <w:t xml:space="preserve"> </w:t>
      </w:r>
      <w:proofErr w:type="spellStart"/>
      <w:r w:rsidRPr="00B03A5D">
        <w:rPr>
          <w:rFonts w:ascii="Arial" w:hAnsi="Arial" w:cs="Arial"/>
          <w:i/>
        </w:rPr>
        <w:t>Bpk</w:t>
      </w:r>
      <w:proofErr w:type="spellEnd"/>
      <w:r w:rsidRPr="00B03A5D">
        <w:rPr>
          <w:rFonts w:ascii="Arial" w:hAnsi="Arial" w:cs="Arial"/>
        </w:rPr>
        <w:t xml:space="preserve"> 1999(1) SA 515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2913"/>
      <w:docPartObj>
        <w:docPartGallery w:val="Page Numbers (Top of Page)"/>
        <w:docPartUnique/>
      </w:docPartObj>
    </w:sdtPr>
    <w:sdtEndPr>
      <w:rPr>
        <w:rFonts w:ascii="Arial" w:hAnsi="Arial" w:cs="Arial"/>
        <w:noProof/>
        <w:sz w:val="24"/>
        <w:szCs w:val="24"/>
      </w:rPr>
    </w:sdtEndPr>
    <w:sdtContent>
      <w:p w:rsidR="00E12D38" w:rsidRPr="00E12D38" w:rsidRDefault="00E12D38">
        <w:pPr>
          <w:pStyle w:val="Header"/>
          <w:jc w:val="right"/>
          <w:rPr>
            <w:rFonts w:ascii="Arial" w:hAnsi="Arial" w:cs="Arial"/>
            <w:sz w:val="24"/>
            <w:szCs w:val="24"/>
          </w:rPr>
        </w:pPr>
        <w:r w:rsidRPr="00E12D38">
          <w:rPr>
            <w:rFonts w:ascii="Arial" w:hAnsi="Arial" w:cs="Arial"/>
            <w:sz w:val="24"/>
            <w:szCs w:val="24"/>
          </w:rPr>
          <w:fldChar w:fldCharType="begin"/>
        </w:r>
        <w:r w:rsidRPr="00E12D38">
          <w:rPr>
            <w:rFonts w:ascii="Arial" w:hAnsi="Arial" w:cs="Arial"/>
            <w:sz w:val="24"/>
            <w:szCs w:val="24"/>
          </w:rPr>
          <w:instrText xml:space="preserve"> PAGE   \* MERGEFORMAT </w:instrText>
        </w:r>
        <w:r w:rsidRPr="00E12D38">
          <w:rPr>
            <w:rFonts w:ascii="Arial" w:hAnsi="Arial" w:cs="Arial"/>
            <w:sz w:val="24"/>
            <w:szCs w:val="24"/>
          </w:rPr>
          <w:fldChar w:fldCharType="separate"/>
        </w:r>
        <w:r w:rsidR="001E5A66">
          <w:rPr>
            <w:rFonts w:ascii="Arial" w:hAnsi="Arial" w:cs="Arial"/>
            <w:noProof/>
            <w:sz w:val="24"/>
            <w:szCs w:val="24"/>
          </w:rPr>
          <w:t>13</w:t>
        </w:r>
        <w:r w:rsidRPr="00E12D38">
          <w:rPr>
            <w:rFonts w:ascii="Arial" w:hAnsi="Arial" w:cs="Arial"/>
            <w:noProof/>
            <w:sz w:val="24"/>
            <w:szCs w:val="24"/>
          </w:rPr>
          <w:fldChar w:fldCharType="end"/>
        </w:r>
      </w:p>
    </w:sdtContent>
  </w:sdt>
  <w:p w:rsidR="00E12D38" w:rsidRDefault="00E1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929C5"/>
    <w:rsid w:val="000A6E7F"/>
    <w:rsid w:val="000D3C9C"/>
    <w:rsid w:val="000F39A3"/>
    <w:rsid w:val="000F4C86"/>
    <w:rsid w:val="000F681E"/>
    <w:rsid w:val="00116AFB"/>
    <w:rsid w:val="001223B7"/>
    <w:rsid w:val="00124C63"/>
    <w:rsid w:val="00152FEA"/>
    <w:rsid w:val="001541F5"/>
    <w:rsid w:val="0018718C"/>
    <w:rsid w:val="001B3825"/>
    <w:rsid w:val="001D7F5F"/>
    <w:rsid w:val="001E097B"/>
    <w:rsid w:val="001E5A66"/>
    <w:rsid w:val="00212EC4"/>
    <w:rsid w:val="00214B00"/>
    <w:rsid w:val="00217744"/>
    <w:rsid w:val="002206B7"/>
    <w:rsid w:val="00222FF1"/>
    <w:rsid w:val="00224808"/>
    <w:rsid w:val="002317B0"/>
    <w:rsid w:val="00232E65"/>
    <w:rsid w:val="0023549A"/>
    <w:rsid w:val="002536EA"/>
    <w:rsid w:val="00276736"/>
    <w:rsid w:val="002A36E4"/>
    <w:rsid w:val="002A4AA3"/>
    <w:rsid w:val="002A5816"/>
    <w:rsid w:val="002B38E0"/>
    <w:rsid w:val="002C1EF6"/>
    <w:rsid w:val="002D20C5"/>
    <w:rsid w:val="002E738E"/>
    <w:rsid w:val="0031523D"/>
    <w:rsid w:val="00322F39"/>
    <w:rsid w:val="00323AAF"/>
    <w:rsid w:val="00323E22"/>
    <w:rsid w:val="00340EA6"/>
    <w:rsid w:val="003422F5"/>
    <w:rsid w:val="0035617B"/>
    <w:rsid w:val="00371B8F"/>
    <w:rsid w:val="003814D7"/>
    <w:rsid w:val="0038382D"/>
    <w:rsid w:val="003970DB"/>
    <w:rsid w:val="003A18AD"/>
    <w:rsid w:val="003A49EA"/>
    <w:rsid w:val="003C2574"/>
    <w:rsid w:val="003D165C"/>
    <w:rsid w:val="003D3059"/>
    <w:rsid w:val="00404B70"/>
    <w:rsid w:val="00412278"/>
    <w:rsid w:val="004211D2"/>
    <w:rsid w:val="00426C60"/>
    <w:rsid w:val="00431A65"/>
    <w:rsid w:val="004352E5"/>
    <w:rsid w:val="004358E2"/>
    <w:rsid w:val="00436C2B"/>
    <w:rsid w:val="00442FA7"/>
    <w:rsid w:val="0044564D"/>
    <w:rsid w:val="00463486"/>
    <w:rsid w:val="004665B1"/>
    <w:rsid w:val="00466B36"/>
    <w:rsid w:val="0047362B"/>
    <w:rsid w:val="00474C2A"/>
    <w:rsid w:val="00475B7A"/>
    <w:rsid w:val="004907E4"/>
    <w:rsid w:val="004936A7"/>
    <w:rsid w:val="004A1B08"/>
    <w:rsid w:val="004A2D48"/>
    <w:rsid w:val="004C646F"/>
    <w:rsid w:val="00503F36"/>
    <w:rsid w:val="00535F29"/>
    <w:rsid w:val="00536EFF"/>
    <w:rsid w:val="00552964"/>
    <w:rsid w:val="005629DA"/>
    <w:rsid w:val="005676AD"/>
    <w:rsid w:val="00594F6C"/>
    <w:rsid w:val="005A4D90"/>
    <w:rsid w:val="005B62A0"/>
    <w:rsid w:val="005C0E24"/>
    <w:rsid w:val="005C21D7"/>
    <w:rsid w:val="005C3354"/>
    <w:rsid w:val="005D0587"/>
    <w:rsid w:val="005D7BD0"/>
    <w:rsid w:val="005F325C"/>
    <w:rsid w:val="005F32EB"/>
    <w:rsid w:val="00610BF1"/>
    <w:rsid w:val="006115E2"/>
    <w:rsid w:val="006165CC"/>
    <w:rsid w:val="006275BB"/>
    <w:rsid w:val="00652898"/>
    <w:rsid w:val="00672C76"/>
    <w:rsid w:val="00695745"/>
    <w:rsid w:val="006976D9"/>
    <w:rsid w:val="006A0BA4"/>
    <w:rsid w:val="006A3F5E"/>
    <w:rsid w:val="006B7521"/>
    <w:rsid w:val="006D0991"/>
    <w:rsid w:val="006D7450"/>
    <w:rsid w:val="006E0FD4"/>
    <w:rsid w:val="006E61BC"/>
    <w:rsid w:val="00702C62"/>
    <w:rsid w:val="00703171"/>
    <w:rsid w:val="00732939"/>
    <w:rsid w:val="00736DA4"/>
    <w:rsid w:val="00737C3D"/>
    <w:rsid w:val="00746C0C"/>
    <w:rsid w:val="0075139D"/>
    <w:rsid w:val="00753EBB"/>
    <w:rsid w:val="00766C68"/>
    <w:rsid w:val="0078274D"/>
    <w:rsid w:val="007853D8"/>
    <w:rsid w:val="007950C8"/>
    <w:rsid w:val="0079685C"/>
    <w:rsid w:val="00796B9C"/>
    <w:rsid w:val="007D0792"/>
    <w:rsid w:val="007D6C74"/>
    <w:rsid w:val="007F68C4"/>
    <w:rsid w:val="008006A3"/>
    <w:rsid w:val="00805692"/>
    <w:rsid w:val="00812409"/>
    <w:rsid w:val="00815ED1"/>
    <w:rsid w:val="00816D5D"/>
    <w:rsid w:val="00821A0C"/>
    <w:rsid w:val="008275AC"/>
    <w:rsid w:val="00835300"/>
    <w:rsid w:val="0084304C"/>
    <w:rsid w:val="0084650C"/>
    <w:rsid w:val="00882F73"/>
    <w:rsid w:val="00890A20"/>
    <w:rsid w:val="00892D9A"/>
    <w:rsid w:val="008A1447"/>
    <w:rsid w:val="008B171D"/>
    <w:rsid w:val="008C2200"/>
    <w:rsid w:val="008C59B9"/>
    <w:rsid w:val="008E0730"/>
    <w:rsid w:val="008F5871"/>
    <w:rsid w:val="008F59A0"/>
    <w:rsid w:val="0091061F"/>
    <w:rsid w:val="009279BE"/>
    <w:rsid w:val="00937C89"/>
    <w:rsid w:val="00960AE2"/>
    <w:rsid w:val="00967209"/>
    <w:rsid w:val="00970745"/>
    <w:rsid w:val="009733A9"/>
    <w:rsid w:val="00990873"/>
    <w:rsid w:val="009919F6"/>
    <w:rsid w:val="00997C11"/>
    <w:rsid w:val="009A4CE1"/>
    <w:rsid w:val="009A7A59"/>
    <w:rsid w:val="009C35C9"/>
    <w:rsid w:val="009C6F3F"/>
    <w:rsid w:val="009D27E8"/>
    <w:rsid w:val="00A00050"/>
    <w:rsid w:val="00A10E40"/>
    <w:rsid w:val="00A15CD1"/>
    <w:rsid w:val="00A22E0F"/>
    <w:rsid w:val="00A26B7B"/>
    <w:rsid w:val="00A3327E"/>
    <w:rsid w:val="00A50F13"/>
    <w:rsid w:val="00A66511"/>
    <w:rsid w:val="00A75ED6"/>
    <w:rsid w:val="00A77ED5"/>
    <w:rsid w:val="00AA3ECB"/>
    <w:rsid w:val="00AC2D80"/>
    <w:rsid w:val="00AD72DD"/>
    <w:rsid w:val="00B01B6C"/>
    <w:rsid w:val="00B03A5D"/>
    <w:rsid w:val="00B121EA"/>
    <w:rsid w:val="00B20587"/>
    <w:rsid w:val="00B40844"/>
    <w:rsid w:val="00B45971"/>
    <w:rsid w:val="00B463CA"/>
    <w:rsid w:val="00B47800"/>
    <w:rsid w:val="00B50C99"/>
    <w:rsid w:val="00B53D16"/>
    <w:rsid w:val="00B56E34"/>
    <w:rsid w:val="00B5737E"/>
    <w:rsid w:val="00B61AC7"/>
    <w:rsid w:val="00B675BA"/>
    <w:rsid w:val="00B808CB"/>
    <w:rsid w:val="00B845CF"/>
    <w:rsid w:val="00B92DE7"/>
    <w:rsid w:val="00B9407E"/>
    <w:rsid w:val="00BB13F4"/>
    <w:rsid w:val="00BB3273"/>
    <w:rsid w:val="00BC5931"/>
    <w:rsid w:val="00BE31AD"/>
    <w:rsid w:val="00BF77C2"/>
    <w:rsid w:val="00C04F28"/>
    <w:rsid w:val="00C06EB4"/>
    <w:rsid w:val="00C2633E"/>
    <w:rsid w:val="00C267D4"/>
    <w:rsid w:val="00C50AB1"/>
    <w:rsid w:val="00C73D5D"/>
    <w:rsid w:val="00C765F2"/>
    <w:rsid w:val="00C85435"/>
    <w:rsid w:val="00CA7995"/>
    <w:rsid w:val="00CC7431"/>
    <w:rsid w:val="00CD62C0"/>
    <w:rsid w:val="00D113DD"/>
    <w:rsid w:val="00D14EF6"/>
    <w:rsid w:val="00D16BB2"/>
    <w:rsid w:val="00D24453"/>
    <w:rsid w:val="00D25285"/>
    <w:rsid w:val="00D25B16"/>
    <w:rsid w:val="00D27404"/>
    <w:rsid w:val="00D30D4D"/>
    <w:rsid w:val="00D37DAA"/>
    <w:rsid w:val="00D5070E"/>
    <w:rsid w:val="00D51E49"/>
    <w:rsid w:val="00D547B6"/>
    <w:rsid w:val="00D6224D"/>
    <w:rsid w:val="00D66488"/>
    <w:rsid w:val="00D66F69"/>
    <w:rsid w:val="00D80947"/>
    <w:rsid w:val="00D960EA"/>
    <w:rsid w:val="00DB5AA2"/>
    <w:rsid w:val="00DD76E7"/>
    <w:rsid w:val="00E0573A"/>
    <w:rsid w:val="00E12D38"/>
    <w:rsid w:val="00E221FD"/>
    <w:rsid w:val="00E33022"/>
    <w:rsid w:val="00E41BE5"/>
    <w:rsid w:val="00E533BE"/>
    <w:rsid w:val="00E540B7"/>
    <w:rsid w:val="00E601B6"/>
    <w:rsid w:val="00E62DB3"/>
    <w:rsid w:val="00E922FB"/>
    <w:rsid w:val="00E96F9E"/>
    <w:rsid w:val="00EA2DE2"/>
    <w:rsid w:val="00EB1AE0"/>
    <w:rsid w:val="00EC29B1"/>
    <w:rsid w:val="00ED5B76"/>
    <w:rsid w:val="00ED7008"/>
    <w:rsid w:val="00ED76B2"/>
    <w:rsid w:val="00EF184A"/>
    <w:rsid w:val="00EF2FFD"/>
    <w:rsid w:val="00EF604A"/>
    <w:rsid w:val="00F0235A"/>
    <w:rsid w:val="00F05CAB"/>
    <w:rsid w:val="00F0783D"/>
    <w:rsid w:val="00F46776"/>
    <w:rsid w:val="00F502F0"/>
    <w:rsid w:val="00F65529"/>
    <w:rsid w:val="00F65903"/>
    <w:rsid w:val="00F72231"/>
    <w:rsid w:val="00F7691A"/>
    <w:rsid w:val="00F82EDF"/>
    <w:rsid w:val="00F92D04"/>
    <w:rsid w:val="00FA07D9"/>
    <w:rsid w:val="00FB2E9E"/>
    <w:rsid w:val="00FB4837"/>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6A3F5E"/>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6A3F5E"/>
    <w:rPr>
      <w:rFonts w:ascii="Arial" w:hAnsi="Arial" w:cs="Arial"/>
      <w:sz w:val="24"/>
      <w:szCs w:val="24"/>
      <w:lang w:val="en-ZA"/>
    </w:rPr>
  </w:style>
  <w:style w:type="paragraph" w:styleId="Header">
    <w:name w:val="header"/>
    <w:basedOn w:val="Normal"/>
    <w:link w:val="HeaderChar"/>
    <w:uiPriority w:val="99"/>
    <w:unhideWhenUsed/>
    <w:rsid w:val="00E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38"/>
    <w:rPr>
      <w:lang w:val="en-ZA"/>
    </w:rPr>
  </w:style>
  <w:style w:type="paragraph" w:styleId="Title">
    <w:name w:val="Title"/>
    <w:basedOn w:val="Normal"/>
    <w:next w:val="Normal"/>
    <w:link w:val="TitleChar"/>
    <w:uiPriority w:val="10"/>
    <w:qFormat/>
    <w:rsid w:val="002A5816"/>
    <w:pPr>
      <w:spacing w:after="0" w:line="360" w:lineRule="auto"/>
      <w:jc w:val="center"/>
    </w:pPr>
    <w:rPr>
      <w:rFonts w:ascii="Arial" w:hAnsi="Arial" w:cs="Arial"/>
      <w:b/>
      <w:sz w:val="24"/>
      <w:szCs w:val="24"/>
    </w:rPr>
  </w:style>
  <w:style w:type="character" w:customStyle="1" w:styleId="TitleChar">
    <w:name w:val="Title Char"/>
    <w:basedOn w:val="DefaultParagraphFont"/>
    <w:link w:val="Title"/>
    <w:uiPriority w:val="10"/>
    <w:rsid w:val="002A5816"/>
    <w:rPr>
      <w:rFonts w:ascii="Arial" w:hAnsi="Arial" w:cs="Arial"/>
      <w:b/>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2023-07-27T18:30:00+00:00</Judgment_x0020_Date>
    <Year xmlns="c1afb1bd-f2fb-40fd-9abb-aea55b4d7662">2023</Year>
  </documentManagement>
</p:properties>
</file>

<file path=customXml/itemProps1.xml><?xml version="1.0" encoding="utf-8"?>
<ds:datastoreItem xmlns:ds="http://schemas.openxmlformats.org/officeDocument/2006/customXml" ds:itemID="{6451BF3C-2F8D-49EA-A75D-7247CC888673}"/>
</file>

<file path=customXml/itemProps2.xml><?xml version="1.0" encoding="utf-8"?>
<ds:datastoreItem xmlns:ds="http://schemas.openxmlformats.org/officeDocument/2006/customXml" ds:itemID="{716B9076-E09D-4F6E-98FB-94A331A14301}"/>
</file>

<file path=customXml/itemProps3.xml><?xml version="1.0" encoding="utf-8"?>
<ds:datastoreItem xmlns:ds="http://schemas.openxmlformats.org/officeDocument/2006/customXml" ds:itemID="{DB240FD5-5098-43E3-8894-8620460AB863}"/>
</file>

<file path=customXml/itemProps4.xml><?xml version="1.0" encoding="utf-8"?>
<ds:datastoreItem xmlns:ds="http://schemas.openxmlformats.org/officeDocument/2006/customXml" ds:itemID="{DE98ECAB-3510-4197-B3F6-4A3B4FBB6CE8}"/>
</file>

<file path=docProps/app.xml><?xml version="1.0" encoding="utf-8"?>
<Properties xmlns="http://schemas.openxmlformats.org/officeDocument/2006/extended-properties" xmlns:vt="http://schemas.openxmlformats.org/officeDocument/2006/docPropsVTypes">
  <Template>Normal</Template>
  <TotalTime>1</TotalTime>
  <Pages>13</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Limited v JP Investment CC (INT-HC-SUMJUD-2023-00189) [2023] NAHCMD 455 (28 July 2023)</dc:title>
  <dc:subject/>
  <dc:creator>shomany keister</dc:creator>
  <cp:keywords/>
  <dc:description/>
  <cp:lastModifiedBy>Charlet Mokomele</cp:lastModifiedBy>
  <cp:revision>3</cp:revision>
  <cp:lastPrinted>2023-07-26T09:57:00Z</cp:lastPrinted>
  <dcterms:created xsi:type="dcterms:W3CDTF">2023-07-28T12:24:00Z</dcterms:created>
  <dcterms:modified xsi:type="dcterms:W3CDTF">2023-07-28T12:25:00Z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3f772c309a9ad030a27b9669272ce1ebc8f4ae1590c9438bd4e7e51bc9337b28</vt:lpwstr>
  </property>
  <property fmtid="{D5CDD505-2E9C-101B-9397-08002B2CF9AE}" pid="3" name="ContentTypeId">
    <vt:lpwstr>0x0101000ECE0F99B3F8644397ECB0C536651393</vt:lpwstr>
  </property>
</Properties>
</file>