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E2178" w:rsidRDefault="00FE2178"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E2178" w:rsidRDefault="00FE2178" w:rsidP="00FE2178">
                      <w:pPr>
                        <w:jc w:val="center"/>
                      </w:pP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A35552"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w:t>
      </w:r>
      <w:r w:rsidR="00884AF8">
        <w:rPr>
          <w:rFonts w:ascii="Arial" w:hAnsi="Arial" w:cs="Arial"/>
          <w:sz w:val="24"/>
          <w:szCs w:val="24"/>
        </w:rPr>
        <w:t>ACT</w:t>
      </w:r>
      <w:r w:rsidR="00422A1F">
        <w:rPr>
          <w:rFonts w:ascii="Arial" w:hAnsi="Arial" w:cs="Arial"/>
          <w:sz w:val="24"/>
          <w:szCs w:val="24"/>
        </w:rPr>
        <w:t>-</w:t>
      </w:r>
      <w:r w:rsidR="00884AF8">
        <w:rPr>
          <w:rFonts w:ascii="Arial" w:hAnsi="Arial" w:cs="Arial"/>
          <w:sz w:val="24"/>
          <w:szCs w:val="24"/>
        </w:rPr>
        <w:t>CON-2021/02570</w:t>
      </w:r>
    </w:p>
    <w:p w:rsidR="004B6D07" w:rsidRDefault="004B6D07" w:rsidP="004B6D07">
      <w:pPr>
        <w:tabs>
          <w:tab w:val="right" w:pos="9000"/>
        </w:tabs>
        <w:spacing w:after="0" w:line="360" w:lineRule="auto"/>
        <w:jc w:val="center"/>
        <w:rPr>
          <w:rFonts w:ascii="Arial" w:hAnsi="Arial" w:cs="Arial"/>
          <w:sz w:val="24"/>
          <w:szCs w:val="24"/>
        </w:rPr>
      </w:pPr>
    </w:p>
    <w:p w:rsidR="00FE2178" w:rsidRPr="00C2360F" w:rsidRDefault="00FE2178" w:rsidP="00CF67A1">
      <w:pPr>
        <w:spacing w:after="0" w:line="360" w:lineRule="auto"/>
        <w:rPr>
          <w:rFonts w:ascii="Arial" w:hAnsi="Arial" w:cs="Arial"/>
          <w:sz w:val="24"/>
          <w:szCs w:val="24"/>
        </w:rPr>
      </w:pPr>
      <w:r w:rsidRPr="00C2360F">
        <w:rPr>
          <w:rFonts w:ascii="Arial" w:hAnsi="Arial" w:cs="Arial"/>
          <w:sz w:val="24"/>
          <w:szCs w:val="24"/>
        </w:rPr>
        <w:t>In the matter between:</w:t>
      </w:r>
    </w:p>
    <w:p w:rsidR="00BD5A89" w:rsidRDefault="00BD5A89" w:rsidP="00CF67A1">
      <w:pPr>
        <w:tabs>
          <w:tab w:val="right" w:pos="9360"/>
        </w:tabs>
        <w:spacing w:after="0" w:line="360" w:lineRule="auto"/>
        <w:rPr>
          <w:rFonts w:ascii="Arial" w:hAnsi="Arial" w:cs="Arial"/>
          <w:b/>
          <w:sz w:val="24"/>
          <w:szCs w:val="24"/>
        </w:rPr>
      </w:pPr>
    </w:p>
    <w:p w:rsidR="00FE2178" w:rsidRDefault="00884AF8" w:rsidP="00CF67A1">
      <w:pPr>
        <w:tabs>
          <w:tab w:val="right" w:pos="9360"/>
        </w:tabs>
        <w:spacing w:after="0" w:line="360" w:lineRule="auto"/>
        <w:rPr>
          <w:rFonts w:ascii="Arial" w:hAnsi="Arial" w:cs="Arial"/>
          <w:b/>
          <w:sz w:val="24"/>
          <w:szCs w:val="24"/>
        </w:rPr>
      </w:pPr>
      <w:r w:rsidRPr="00884AF8">
        <w:rPr>
          <w:rFonts w:ascii="Arial" w:hAnsi="Arial" w:cs="Arial"/>
          <w:b/>
          <w:sz w:val="24"/>
          <w:szCs w:val="24"/>
        </w:rPr>
        <w:t>STANDARD BANK NAMIBIA LIMITED</w:t>
      </w:r>
      <w:r w:rsidR="002A2C41">
        <w:rPr>
          <w:rFonts w:ascii="Arial" w:hAnsi="Arial" w:cs="Arial"/>
          <w:b/>
          <w:sz w:val="24"/>
          <w:szCs w:val="24"/>
        </w:rPr>
        <w:t xml:space="preserve">                      </w:t>
      </w:r>
      <w:r w:rsidR="00784B5D">
        <w:rPr>
          <w:rFonts w:ascii="Arial" w:hAnsi="Arial" w:cs="Arial"/>
          <w:b/>
          <w:sz w:val="24"/>
          <w:szCs w:val="24"/>
        </w:rPr>
        <w:tab/>
      </w:r>
      <w:r w:rsidR="002A2C41">
        <w:rPr>
          <w:rFonts w:ascii="Arial" w:hAnsi="Arial" w:cs="Arial"/>
          <w:b/>
          <w:sz w:val="24"/>
          <w:szCs w:val="24"/>
        </w:rPr>
        <w:t xml:space="preserve"> </w:t>
      </w:r>
      <w:r w:rsidR="009E2B4D">
        <w:rPr>
          <w:rFonts w:ascii="Arial" w:hAnsi="Arial" w:cs="Arial"/>
          <w:b/>
          <w:sz w:val="24"/>
          <w:szCs w:val="24"/>
        </w:rPr>
        <w:t xml:space="preserve">APPLICANT/PLAINTIFF </w:t>
      </w:r>
    </w:p>
    <w:p w:rsidR="002A2C41" w:rsidRDefault="002A2C41" w:rsidP="00CF67A1">
      <w:pPr>
        <w:tabs>
          <w:tab w:val="right" w:pos="9360"/>
        </w:tabs>
        <w:spacing w:after="0" w:line="360" w:lineRule="auto"/>
        <w:rPr>
          <w:rFonts w:ascii="Arial" w:hAnsi="Arial" w:cs="Arial"/>
          <w:sz w:val="24"/>
          <w:szCs w:val="24"/>
        </w:rPr>
      </w:pPr>
    </w:p>
    <w:p w:rsidR="00BD5A89" w:rsidRDefault="00BD5A89" w:rsidP="00CF67A1">
      <w:pPr>
        <w:tabs>
          <w:tab w:val="right" w:pos="9360"/>
        </w:tabs>
        <w:spacing w:after="0" w:line="360" w:lineRule="auto"/>
        <w:rPr>
          <w:rFonts w:ascii="Arial" w:hAnsi="Arial" w:cs="Arial"/>
          <w:sz w:val="24"/>
          <w:szCs w:val="24"/>
        </w:rPr>
      </w:pPr>
      <w:r>
        <w:rPr>
          <w:rFonts w:ascii="Arial" w:hAnsi="Arial" w:cs="Arial"/>
          <w:sz w:val="24"/>
          <w:szCs w:val="24"/>
        </w:rPr>
        <w:t>And</w:t>
      </w:r>
    </w:p>
    <w:p w:rsidR="002742F5" w:rsidRDefault="002742F5" w:rsidP="00CF67A1">
      <w:pPr>
        <w:tabs>
          <w:tab w:val="right" w:pos="9360"/>
        </w:tabs>
        <w:spacing w:after="0" w:line="360" w:lineRule="auto"/>
        <w:rPr>
          <w:rFonts w:ascii="Arial" w:hAnsi="Arial" w:cs="Arial"/>
          <w:b/>
          <w:sz w:val="24"/>
          <w:szCs w:val="24"/>
        </w:rPr>
      </w:pPr>
    </w:p>
    <w:p w:rsidR="00884AF8" w:rsidRDefault="00884AF8" w:rsidP="00CF67A1">
      <w:pPr>
        <w:tabs>
          <w:tab w:val="right" w:pos="9360"/>
        </w:tabs>
        <w:spacing w:after="0" w:line="360" w:lineRule="auto"/>
        <w:rPr>
          <w:rFonts w:ascii="Arial" w:hAnsi="Arial" w:cs="Arial"/>
          <w:b/>
          <w:sz w:val="24"/>
          <w:szCs w:val="24"/>
        </w:rPr>
      </w:pPr>
      <w:r w:rsidRPr="00884AF8">
        <w:rPr>
          <w:rFonts w:ascii="Arial" w:hAnsi="Arial" w:cs="Arial"/>
          <w:b/>
          <w:sz w:val="24"/>
          <w:szCs w:val="24"/>
        </w:rPr>
        <w:t xml:space="preserve">EMBASSY OF THE REPUBLIC OF ANGOLA: </w:t>
      </w:r>
    </w:p>
    <w:p w:rsidR="00BD5A89" w:rsidRDefault="00884AF8" w:rsidP="00CF67A1">
      <w:pPr>
        <w:tabs>
          <w:tab w:val="right" w:pos="9360"/>
        </w:tabs>
        <w:spacing w:after="0" w:line="360" w:lineRule="auto"/>
        <w:rPr>
          <w:rFonts w:ascii="Arial" w:hAnsi="Arial" w:cs="Arial"/>
          <w:b/>
          <w:sz w:val="24"/>
          <w:szCs w:val="24"/>
        </w:rPr>
      </w:pPr>
      <w:r w:rsidRPr="00884AF8">
        <w:rPr>
          <w:rFonts w:ascii="Arial" w:hAnsi="Arial" w:cs="Arial"/>
          <w:b/>
          <w:sz w:val="24"/>
          <w:szCs w:val="24"/>
        </w:rPr>
        <w:t>WINDHOEK-NAMIBIA</w:t>
      </w:r>
      <w:r w:rsidR="00BD5A89">
        <w:rPr>
          <w:rFonts w:ascii="Arial" w:hAnsi="Arial" w:cs="Arial"/>
          <w:b/>
          <w:sz w:val="24"/>
          <w:szCs w:val="24"/>
        </w:rPr>
        <w:tab/>
      </w:r>
      <w:r w:rsidR="009E2B4D">
        <w:rPr>
          <w:rFonts w:ascii="Arial" w:hAnsi="Arial" w:cs="Arial"/>
          <w:b/>
          <w:sz w:val="24"/>
          <w:szCs w:val="24"/>
        </w:rPr>
        <w:t>1</w:t>
      </w:r>
      <w:r w:rsidR="009E2B4D" w:rsidRPr="009E2B4D">
        <w:rPr>
          <w:rFonts w:ascii="Arial" w:hAnsi="Arial" w:cs="Arial"/>
          <w:b/>
          <w:sz w:val="24"/>
          <w:szCs w:val="24"/>
          <w:vertAlign w:val="superscript"/>
        </w:rPr>
        <w:t>ST</w:t>
      </w:r>
      <w:r w:rsidR="009E2B4D">
        <w:rPr>
          <w:rFonts w:ascii="Arial" w:hAnsi="Arial" w:cs="Arial"/>
          <w:b/>
          <w:sz w:val="24"/>
          <w:szCs w:val="24"/>
        </w:rPr>
        <w:t xml:space="preserve"> REPONDENT/DEFENDANT</w:t>
      </w:r>
    </w:p>
    <w:p w:rsidR="009E2B4D" w:rsidRDefault="002A2C41" w:rsidP="00CF67A1">
      <w:pPr>
        <w:tabs>
          <w:tab w:val="right" w:pos="9360"/>
        </w:tabs>
        <w:spacing w:after="0" w:line="360" w:lineRule="auto"/>
        <w:rPr>
          <w:rFonts w:ascii="Arial" w:hAnsi="Arial" w:cs="Arial"/>
          <w:b/>
          <w:sz w:val="24"/>
          <w:szCs w:val="24"/>
        </w:rPr>
      </w:pPr>
      <w:r>
        <w:rPr>
          <w:rFonts w:ascii="Arial" w:hAnsi="Arial" w:cs="Arial"/>
          <w:b/>
          <w:sz w:val="24"/>
          <w:szCs w:val="24"/>
        </w:rPr>
        <w:t xml:space="preserve">RODRIGUES MANUEL ALEXANDRE                          </w:t>
      </w:r>
      <w:r w:rsidR="00784B5D">
        <w:rPr>
          <w:rFonts w:ascii="Arial" w:hAnsi="Arial" w:cs="Arial"/>
          <w:b/>
          <w:sz w:val="24"/>
          <w:szCs w:val="24"/>
        </w:rPr>
        <w:tab/>
      </w:r>
      <w:r w:rsidR="009E2B4D">
        <w:rPr>
          <w:rFonts w:ascii="Arial" w:hAnsi="Arial" w:cs="Arial"/>
          <w:b/>
          <w:sz w:val="24"/>
          <w:szCs w:val="24"/>
        </w:rPr>
        <w:t>2</w:t>
      </w:r>
      <w:r w:rsidR="009E2B4D" w:rsidRPr="009E2B4D">
        <w:rPr>
          <w:rFonts w:ascii="Arial" w:hAnsi="Arial" w:cs="Arial"/>
          <w:b/>
          <w:sz w:val="24"/>
          <w:szCs w:val="24"/>
          <w:vertAlign w:val="superscript"/>
        </w:rPr>
        <w:t>ND</w:t>
      </w:r>
      <w:r w:rsidR="009E2B4D">
        <w:rPr>
          <w:rFonts w:ascii="Arial" w:hAnsi="Arial" w:cs="Arial"/>
          <w:b/>
          <w:sz w:val="24"/>
          <w:szCs w:val="24"/>
        </w:rPr>
        <w:t xml:space="preserve"> RESPONDENT</w:t>
      </w:r>
    </w:p>
    <w:p w:rsidR="009E2B4D" w:rsidRDefault="009E2B4D" w:rsidP="00FE2178">
      <w:pPr>
        <w:tabs>
          <w:tab w:val="right" w:pos="9360"/>
        </w:tabs>
        <w:spacing w:after="0" w:line="360" w:lineRule="auto"/>
        <w:jc w:val="both"/>
        <w:rPr>
          <w:rFonts w:ascii="Arial" w:hAnsi="Arial" w:cs="Arial"/>
          <w:b/>
          <w:sz w:val="24"/>
          <w:szCs w:val="24"/>
        </w:rPr>
      </w:pPr>
    </w:p>
    <w:p w:rsidR="00FE2178" w:rsidRPr="00C2360F" w:rsidRDefault="00FE2178" w:rsidP="00FE2178">
      <w:pPr>
        <w:spacing w:after="0" w:line="360" w:lineRule="auto"/>
        <w:jc w:val="both"/>
        <w:rPr>
          <w:rFonts w:ascii="Arial" w:hAnsi="Arial" w:cs="Arial"/>
          <w:sz w:val="20"/>
          <w:szCs w:val="20"/>
        </w:rPr>
      </w:pPr>
    </w:p>
    <w:p w:rsidR="00E15AC1" w:rsidRPr="00C2360F" w:rsidRDefault="006801D6" w:rsidP="006801D6">
      <w:pPr>
        <w:tabs>
          <w:tab w:val="left" w:pos="3285"/>
        </w:tabs>
        <w:spacing w:after="0" w:line="360" w:lineRule="auto"/>
        <w:ind w:left="2160" w:hanging="21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422A1F">
        <w:rPr>
          <w:rFonts w:ascii="Arial" w:hAnsi="Arial" w:cs="Arial"/>
          <w:i/>
          <w:sz w:val="24"/>
          <w:szCs w:val="24"/>
        </w:rPr>
        <w:t xml:space="preserve">Standard Bank Namibia Limited </w:t>
      </w:r>
      <w:r w:rsidR="0047522E">
        <w:rPr>
          <w:rFonts w:ascii="Arial" w:hAnsi="Arial" w:cs="Arial"/>
          <w:i/>
          <w:sz w:val="24"/>
          <w:szCs w:val="24"/>
        </w:rPr>
        <w:t xml:space="preserve">v </w:t>
      </w:r>
      <w:r w:rsidR="00422A1F">
        <w:rPr>
          <w:rFonts w:ascii="Arial" w:hAnsi="Arial" w:cs="Arial"/>
          <w:i/>
          <w:sz w:val="24"/>
          <w:szCs w:val="24"/>
        </w:rPr>
        <w:t xml:space="preserve">Embassy of the Republic of Angola: Windhoek Namibia </w:t>
      </w:r>
      <w:r w:rsidRPr="00C2360F">
        <w:rPr>
          <w:rFonts w:ascii="Arial" w:hAnsi="Arial" w:cs="Arial"/>
          <w:sz w:val="24"/>
          <w:szCs w:val="24"/>
        </w:rPr>
        <w:t>(</w:t>
      </w:r>
      <w:r w:rsidR="00884AF8">
        <w:rPr>
          <w:rFonts w:ascii="Arial" w:hAnsi="Arial" w:cs="Arial"/>
          <w:sz w:val="24"/>
          <w:szCs w:val="24"/>
        </w:rPr>
        <w:t>HC-MD-CIV-ACT</w:t>
      </w:r>
      <w:r w:rsidR="00422A1F">
        <w:rPr>
          <w:rFonts w:ascii="Arial" w:hAnsi="Arial" w:cs="Arial"/>
          <w:sz w:val="24"/>
          <w:szCs w:val="24"/>
        </w:rPr>
        <w:t>-</w:t>
      </w:r>
      <w:r w:rsidR="00884AF8">
        <w:rPr>
          <w:rFonts w:ascii="Arial" w:hAnsi="Arial" w:cs="Arial"/>
          <w:sz w:val="24"/>
          <w:szCs w:val="24"/>
        </w:rPr>
        <w:t>CON-2021/02570</w:t>
      </w:r>
      <w:r w:rsidR="00565405">
        <w:rPr>
          <w:rFonts w:ascii="Arial" w:hAnsi="Arial" w:cs="Arial"/>
          <w:sz w:val="24"/>
          <w:szCs w:val="24"/>
        </w:rPr>
        <w:t xml:space="preserve"> </w:t>
      </w:r>
      <w:r w:rsidR="008711A7">
        <w:rPr>
          <w:rFonts w:ascii="Arial" w:hAnsi="Arial" w:cs="Arial"/>
          <w:sz w:val="24"/>
          <w:szCs w:val="24"/>
        </w:rPr>
        <w:t>[</w:t>
      </w:r>
      <w:r w:rsidRPr="00C2360F">
        <w:rPr>
          <w:rFonts w:ascii="Arial" w:hAnsi="Arial" w:cs="Arial"/>
          <w:sz w:val="24"/>
          <w:szCs w:val="24"/>
        </w:rPr>
        <w:t>20</w:t>
      </w:r>
      <w:r w:rsidR="004B6D07">
        <w:rPr>
          <w:rFonts w:ascii="Arial" w:hAnsi="Arial" w:cs="Arial"/>
          <w:sz w:val="24"/>
          <w:szCs w:val="24"/>
        </w:rPr>
        <w:t>2</w:t>
      </w:r>
      <w:r w:rsidR="00565405">
        <w:rPr>
          <w:rFonts w:ascii="Arial" w:hAnsi="Arial" w:cs="Arial"/>
          <w:sz w:val="24"/>
          <w:szCs w:val="24"/>
        </w:rPr>
        <w:t>3</w:t>
      </w:r>
      <w:r w:rsidRPr="00C2360F">
        <w:rPr>
          <w:rFonts w:ascii="Arial" w:hAnsi="Arial" w:cs="Arial"/>
          <w:sz w:val="24"/>
          <w:szCs w:val="24"/>
        </w:rPr>
        <w:t>] NAHCMD</w:t>
      </w:r>
      <w:r w:rsidR="00042D0A" w:rsidRPr="004D5573">
        <w:rPr>
          <w:rFonts w:ascii="Arial" w:hAnsi="Arial" w:cs="Arial"/>
          <w:sz w:val="24"/>
          <w:szCs w:val="24"/>
        </w:rPr>
        <w:t xml:space="preserve"> </w:t>
      </w:r>
      <w:r w:rsidR="004D5573" w:rsidRPr="004D5573">
        <w:rPr>
          <w:rFonts w:ascii="Arial" w:hAnsi="Arial" w:cs="Arial"/>
          <w:sz w:val="24"/>
          <w:szCs w:val="24"/>
        </w:rPr>
        <w:t>456</w:t>
      </w:r>
      <w:r w:rsidR="002A2C41">
        <w:rPr>
          <w:rFonts w:ascii="Arial" w:hAnsi="Arial" w:cs="Arial"/>
          <w:sz w:val="24"/>
          <w:szCs w:val="24"/>
        </w:rPr>
        <w:t xml:space="preserve"> </w:t>
      </w:r>
      <w:r w:rsidRPr="00C2360F">
        <w:rPr>
          <w:rFonts w:ascii="Arial" w:hAnsi="Arial" w:cs="Arial"/>
          <w:sz w:val="24"/>
          <w:szCs w:val="24"/>
        </w:rPr>
        <w:t>(</w:t>
      </w:r>
      <w:r w:rsidR="00565405">
        <w:rPr>
          <w:rFonts w:ascii="Arial" w:hAnsi="Arial" w:cs="Arial"/>
          <w:sz w:val="24"/>
          <w:szCs w:val="24"/>
        </w:rPr>
        <w:t>31 July 2023</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565405" w:rsidRPr="002A2C41">
        <w:rPr>
          <w:rFonts w:ascii="Arial" w:hAnsi="Arial" w:cs="Arial"/>
          <w:b/>
          <w:sz w:val="24"/>
          <w:szCs w:val="24"/>
        </w:rPr>
        <w:t>28 June 2023</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565405" w:rsidRPr="002A2C41">
        <w:rPr>
          <w:rFonts w:ascii="Arial" w:hAnsi="Arial" w:cs="Arial"/>
          <w:b/>
          <w:sz w:val="24"/>
          <w:szCs w:val="24"/>
        </w:rPr>
        <w:t>31 July 2023</w:t>
      </w:r>
    </w:p>
    <w:p w:rsidR="00422A1F"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422A1F" w:rsidRPr="00422A1F">
        <w:rPr>
          <w:rFonts w:ascii="Arial" w:hAnsi="Arial" w:cs="Arial"/>
          <w:sz w:val="24"/>
          <w:szCs w:val="24"/>
        </w:rPr>
        <w:t>Execution — Sale in execution — Immovable property — Order to declare property specially executable —</w:t>
      </w:r>
      <w:r w:rsidR="00784B5D">
        <w:rPr>
          <w:rFonts w:ascii="Arial" w:hAnsi="Arial" w:cs="Arial"/>
          <w:sz w:val="24"/>
          <w:szCs w:val="24"/>
        </w:rPr>
        <w:t xml:space="preserve"> </w:t>
      </w:r>
      <w:r w:rsidR="00422A1F" w:rsidRPr="00422A1F">
        <w:rPr>
          <w:rFonts w:ascii="Arial" w:hAnsi="Arial" w:cs="Arial"/>
          <w:sz w:val="24"/>
          <w:szCs w:val="24"/>
        </w:rPr>
        <w:t>Rules of the High Court, rule 108</w:t>
      </w:r>
      <w:r w:rsidR="00422A1F">
        <w:rPr>
          <w:rFonts w:ascii="Arial" w:hAnsi="Arial" w:cs="Arial"/>
          <w:sz w:val="24"/>
          <w:szCs w:val="24"/>
        </w:rPr>
        <w:t xml:space="preserve"> —</w:t>
      </w:r>
      <w:r w:rsidR="00021DEF">
        <w:rPr>
          <w:rFonts w:ascii="Arial" w:hAnsi="Arial" w:cs="Arial"/>
          <w:sz w:val="24"/>
          <w:szCs w:val="24"/>
        </w:rPr>
        <w:t xml:space="preserve">  </w:t>
      </w:r>
      <w:r w:rsidR="00906946">
        <w:rPr>
          <w:rFonts w:ascii="Arial" w:hAnsi="Arial" w:cs="Arial"/>
          <w:sz w:val="24"/>
          <w:szCs w:val="24"/>
        </w:rPr>
        <w:t>second respondent a pensioner who claims that the property</w:t>
      </w:r>
      <w:r w:rsidR="00565405">
        <w:rPr>
          <w:rFonts w:ascii="Arial" w:hAnsi="Arial" w:cs="Arial"/>
          <w:sz w:val="24"/>
          <w:szCs w:val="24"/>
        </w:rPr>
        <w:t>,</w:t>
      </w:r>
      <w:r w:rsidR="00906946">
        <w:rPr>
          <w:rFonts w:ascii="Arial" w:hAnsi="Arial" w:cs="Arial"/>
          <w:sz w:val="24"/>
          <w:szCs w:val="24"/>
        </w:rPr>
        <w:t xml:space="preserve"> is his</w:t>
      </w:r>
      <w:r w:rsidR="00784B5D">
        <w:rPr>
          <w:rFonts w:ascii="Arial" w:hAnsi="Arial" w:cs="Arial"/>
          <w:sz w:val="24"/>
          <w:szCs w:val="24"/>
        </w:rPr>
        <w:t>,</w:t>
      </w:r>
      <w:r w:rsidR="00906946">
        <w:rPr>
          <w:rFonts w:ascii="Arial" w:hAnsi="Arial" w:cs="Arial"/>
          <w:sz w:val="24"/>
          <w:szCs w:val="24"/>
        </w:rPr>
        <w:t xml:space="preserve"> offered </w:t>
      </w:r>
      <w:r w:rsidR="00C36D1E" w:rsidRPr="00C36D1E">
        <w:rPr>
          <w:rFonts w:ascii="Arial" w:hAnsi="Arial" w:cs="Arial"/>
          <w:sz w:val="24"/>
          <w:szCs w:val="24"/>
        </w:rPr>
        <w:t>less drastic measures than sale in execution of the primary home under attachment</w:t>
      </w:r>
      <w:r w:rsidR="00C36D1E">
        <w:rPr>
          <w:rFonts w:ascii="Arial" w:hAnsi="Arial" w:cs="Arial"/>
          <w:sz w:val="24"/>
          <w:szCs w:val="24"/>
        </w:rPr>
        <w:t xml:space="preserve"> — </w:t>
      </w:r>
      <w:r w:rsidR="00906946">
        <w:rPr>
          <w:rFonts w:ascii="Arial" w:hAnsi="Arial" w:cs="Arial"/>
          <w:sz w:val="24"/>
          <w:szCs w:val="24"/>
        </w:rPr>
        <w:t xml:space="preserve">second respondent however not the execution debtor nor the tenant — court having judicial oversight cannot ignore the plight of the second respondent but must also consider the commercial interest </w:t>
      </w:r>
      <w:r w:rsidR="00C36D1E">
        <w:rPr>
          <w:rFonts w:ascii="Arial" w:hAnsi="Arial" w:cs="Arial"/>
          <w:sz w:val="24"/>
          <w:szCs w:val="24"/>
        </w:rPr>
        <w:t xml:space="preserve"> </w:t>
      </w:r>
      <w:r w:rsidR="00906946">
        <w:rPr>
          <w:rFonts w:ascii="Arial" w:hAnsi="Arial" w:cs="Arial"/>
          <w:sz w:val="24"/>
          <w:szCs w:val="24"/>
        </w:rPr>
        <w:t>of the applicant.</w:t>
      </w:r>
    </w:p>
    <w:p w:rsidR="00C36D1E" w:rsidRDefault="00C36D1E" w:rsidP="00FE2178">
      <w:pPr>
        <w:spacing w:after="0" w:line="360" w:lineRule="auto"/>
        <w:jc w:val="both"/>
        <w:rPr>
          <w:rFonts w:ascii="Arial" w:hAnsi="Arial" w:cs="Arial"/>
          <w:b/>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b/>
          <w:sz w:val="24"/>
          <w:szCs w:val="24"/>
        </w:rPr>
        <w:t>Summary:</w:t>
      </w:r>
      <w:r w:rsidRPr="00C2360F">
        <w:rPr>
          <w:rFonts w:ascii="Arial" w:hAnsi="Arial" w:cs="Arial"/>
          <w:sz w:val="24"/>
          <w:szCs w:val="24"/>
        </w:rPr>
        <w:tab/>
      </w:r>
      <w:r w:rsidR="00C36D1E">
        <w:rPr>
          <w:rFonts w:ascii="Arial" w:hAnsi="Arial" w:cs="Arial"/>
          <w:sz w:val="24"/>
          <w:szCs w:val="24"/>
        </w:rPr>
        <w:t xml:space="preserve">The applicant entered into an agreement with the first respondent, the previous employer of the second intervening respondent. Second respondent avers that the home is his primary home and has made an offer to the applicant to pay the mortgage bond of the first respondent which offer was declined by the applicant. The first respondent confirmed in writing that the home belongs to the second respondent. </w:t>
      </w:r>
    </w:p>
    <w:p w:rsidR="00784B5D" w:rsidRPr="00784B5D" w:rsidRDefault="00784B5D" w:rsidP="00FE2178">
      <w:pPr>
        <w:spacing w:after="0" w:line="360" w:lineRule="auto"/>
        <w:jc w:val="both"/>
        <w:rPr>
          <w:rFonts w:ascii="Arial" w:hAnsi="Arial" w:cs="Arial"/>
          <w:i/>
          <w:sz w:val="24"/>
          <w:szCs w:val="24"/>
        </w:rPr>
      </w:pPr>
    </w:p>
    <w:p w:rsidR="00906946" w:rsidRDefault="00784B5D" w:rsidP="00FE2178">
      <w:pPr>
        <w:spacing w:after="0" w:line="360" w:lineRule="auto"/>
        <w:jc w:val="both"/>
        <w:rPr>
          <w:rFonts w:ascii="Arial" w:hAnsi="Arial" w:cs="Arial"/>
          <w:sz w:val="24"/>
          <w:szCs w:val="24"/>
        </w:rPr>
      </w:pPr>
      <w:r w:rsidRPr="00784B5D">
        <w:rPr>
          <w:rFonts w:ascii="Arial" w:hAnsi="Arial" w:cs="Arial"/>
          <w:i/>
          <w:sz w:val="24"/>
          <w:szCs w:val="24"/>
        </w:rPr>
        <w:t>Held that</w:t>
      </w:r>
      <w:r>
        <w:rPr>
          <w:rFonts w:ascii="Arial" w:hAnsi="Arial" w:cs="Arial"/>
          <w:i/>
          <w:sz w:val="24"/>
          <w:szCs w:val="24"/>
        </w:rPr>
        <w:t>,</w:t>
      </w:r>
      <w:r>
        <w:rPr>
          <w:rFonts w:ascii="Arial" w:hAnsi="Arial" w:cs="Arial"/>
          <w:sz w:val="24"/>
          <w:szCs w:val="24"/>
        </w:rPr>
        <w:t xml:space="preserve"> t</w:t>
      </w:r>
      <w:r w:rsidR="00906946">
        <w:rPr>
          <w:rFonts w:ascii="Arial" w:hAnsi="Arial" w:cs="Arial"/>
          <w:sz w:val="24"/>
          <w:szCs w:val="24"/>
        </w:rPr>
        <w:t>he court in exercising its judicial oversight</w:t>
      </w:r>
      <w:r w:rsidR="00565405">
        <w:rPr>
          <w:rFonts w:ascii="Arial" w:hAnsi="Arial" w:cs="Arial"/>
          <w:sz w:val="24"/>
          <w:szCs w:val="24"/>
        </w:rPr>
        <w:t>,</w:t>
      </w:r>
      <w:r w:rsidR="00906946">
        <w:rPr>
          <w:rFonts w:ascii="Arial" w:hAnsi="Arial" w:cs="Arial"/>
          <w:sz w:val="24"/>
          <w:szCs w:val="24"/>
        </w:rPr>
        <w:t xml:space="preserve"> cannot ignore the claim of the second respondent that he is in fact the owner of the property and that it is his primary home</w:t>
      </w:r>
      <w:r>
        <w:rPr>
          <w:rFonts w:ascii="Arial" w:hAnsi="Arial" w:cs="Arial"/>
          <w:sz w:val="24"/>
          <w:szCs w:val="24"/>
        </w:rPr>
        <w:t>,</w:t>
      </w:r>
      <w:r w:rsidR="00906946">
        <w:rPr>
          <w:rFonts w:ascii="Arial" w:hAnsi="Arial" w:cs="Arial"/>
          <w:sz w:val="24"/>
          <w:szCs w:val="24"/>
        </w:rPr>
        <w:t xml:space="preserve"> but neither can it deny the applicant its right to have the property declared </w:t>
      </w:r>
      <w:proofErr w:type="gramStart"/>
      <w:r w:rsidR="00906946">
        <w:rPr>
          <w:rFonts w:ascii="Arial" w:hAnsi="Arial" w:cs="Arial"/>
          <w:sz w:val="24"/>
          <w:szCs w:val="24"/>
        </w:rPr>
        <w:t>specially</w:t>
      </w:r>
      <w:proofErr w:type="gramEnd"/>
      <w:r w:rsidR="00906946">
        <w:rPr>
          <w:rFonts w:ascii="Arial" w:hAnsi="Arial" w:cs="Arial"/>
          <w:sz w:val="24"/>
          <w:szCs w:val="24"/>
        </w:rPr>
        <w:t xml:space="preserve"> executable.</w:t>
      </w:r>
    </w:p>
    <w:p w:rsidR="00BD3164" w:rsidRDefault="00BD3164" w:rsidP="00FE2178">
      <w:pPr>
        <w:spacing w:after="0" w:line="360" w:lineRule="auto"/>
        <w:jc w:val="both"/>
        <w:rPr>
          <w:rFonts w:ascii="Arial" w:hAnsi="Arial" w:cs="Arial"/>
          <w:sz w:val="24"/>
          <w:szCs w:val="24"/>
        </w:rPr>
      </w:pPr>
    </w:p>
    <w:p w:rsidR="00FE2178" w:rsidRPr="00C2360F" w:rsidRDefault="004832C2"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4832C2"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581EE2" w:rsidRDefault="00581EE2" w:rsidP="00581EE2">
      <w:pPr>
        <w:pStyle w:val="ListParagraph"/>
        <w:spacing w:after="0" w:line="360" w:lineRule="auto"/>
        <w:jc w:val="both"/>
        <w:rPr>
          <w:rFonts w:ascii="Arial" w:hAnsi="Arial" w:cs="Arial"/>
          <w:sz w:val="24"/>
          <w:szCs w:val="24"/>
        </w:rPr>
      </w:pPr>
    </w:p>
    <w:p w:rsidR="00906946" w:rsidRDefault="00784B5D" w:rsidP="00906946">
      <w:pPr>
        <w:numPr>
          <w:ilvl w:val="0"/>
          <w:numId w:val="5"/>
        </w:numPr>
        <w:spacing w:after="0" w:line="360" w:lineRule="auto"/>
        <w:jc w:val="both"/>
        <w:rPr>
          <w:rFonts w:ascii="Arial" w:hAnsi="Arial" w:cs="Arial"/>
          <w:sz w:val="24"/>
          <w:szCs w:val="24"/>
        </w:rPr>
      </w:pPr>
      <w:r>
        <w:rPr>
          <w:rFonts w:ascii="Arial" w:hAnsi="Arial" w:cs="Arial"/>
          <w:sz w:val="24"/>
          <w:szCs w:val="24"/>
        </w:rPr>
        <w:t>The application in terms of r</w:t>
      </w:r>
      <w:r w:rsidR="00906946" w:rsidRPr="00A931ED">
        <w:rPr>
          <w:rFonts w:ascii="Arial" w:hAnsi="Arial" w:cs="Arial"/>
          <w:sz w:val="24"/>
          <w:szCs w:val="24"/>
        </w:rPr>
        <w:t xml:space="preserve">ule 108 of the Rules of the High Court, for the declaration of the property described as certain: remaining extent of portion </w:t>
      </w:r>
      <w:r w:rsidR="00906946">
        <w:rPr>
          <w:rFonts w:ascii="Arial" w:hAnsi="Arial" w:cs="Arial"/>
          <w:sz w:val="24"/>
          <w:szCs w:val="24"/>
        </w:rPr>
        <w:t>of Erf 22 Klein W</w:t>
      </w:r>
      <w:r w:rsidR="00906946" w:rsidRPr="00A931ED">
        <w:rPr>
          <w:rFonts w:ascii="Arial" w:hAnsi="Arial" w:cs="Arial"/>
          <w:sz w:val="24"/>
          <w:szCs w:val="24"/>
        </w:rPr>
        <w:t xml:space="preserve">indhoek situate: in the </w:t>
      </w:r>
      <w:r w:rsidR="00906946">
        <w:rPr>
          <w:rFonts w:ascii="Arial" w:hAnsi="Arial" w:cs="Arial"/>
          <w:sz w:val="24"/>
          <w:szCs w:val="24"/>
        </w:rPr>
        <w:t>M</w:t>
      </w:r>
      <w:r w:rsidR="00906946" w:rsidRPr="00A931ED">
        <w:rPr>
          <w:rFonts w:ascii="Arial" w:hAnsi="Arial" w:cs="Arial"/>
          <w:sz w:val="24"/>
          <w:szCs w:val="24"/>
        </w:rPr>
        <w:t xml:space="preserve">unicipality of </w:t>
      </w:r>
      <w:r w:rsidR="00906946">
        <w:rPr>
          <w:rFonts w:ascii="Arial" w:hAnsi="Arial" w:cs="Arial"/>
          <w:sz w:val="24"/>
          <w:szCs w:val="24"/>
        </w:rPr>
        <w:t>W</w:t>
      </w:r>
      <w:r w:rsidR="00906946" w:rsidRPr="00A931ED">
        <w:rPr>
          <w:rFonts w:ascii="Arial" w:hAnsi="Arial" w:cs="Arial"/>
          <w:sz w:val="24"/>
          <w:szCs w:val="24"/>
        </w:rPr>
        <w:t>indhoek registration division “</w:t>
      </w:r>
      <w:r w:rsidR="00906946">
        <w:rPr>
          <w:rFonts w:ascii="Arial" w:hAnsi="Arial" w:cs="Arial"/>
          <w:sz w:val="24"/>
          <w:szCs w:val="24"/>
        </w:rPr>
        <w:t>K</w:t>
      </w:r>
      <w:r w:rsidR="00906946" w:rsidRPr="00A931ED">
        <w:rPr>
          <w:rFonts w:ascii="Arial" w:hAnsi="Arial" w:cs="Arial"/>
          <w:sz w:val="24"/>
          <w:szCs w:val="24"/>
        </w:rPr>
        <w:t>” measuring: 4218</w:t>
      </w:r>
      <w:proofErr w:type="gramStart"/>
      <w:r w:rsidR="00906946" w:rsidRPr="00A931ED">
        <w:rPr>
          <w:rFonts w:ascii="Arial" w:hAnsi="Arial" w:cs="Arial"/>
          <w:sz w:val="24"/>
          <w:szCs w:val="24"/>
        </w:rPr>
        <w:t>,13</w:t>
      </w:r>
      <w:proofErr w:type="gramEnd"/>
      <w:r w:rsidR="00906946" w:rsidRPr="00A931ED">
        <w:rPr>
          <w:rFonts w:ascii="Arial" w:hAnsi="Arial" w:cs="Arial"/>
          <w:sz w:val="24"/>
          <w:szCs w:val="24"/>
        </w:rPr>
        <w:t xml:space="preserve"> (four two one eight comma one three) square metres</w:t>
      </w:r>
      <w:r w:rsidR="00906946">
        <w:rPr>
          <w:rFonts w:ascii="Arial" w:hAnsi="Arial" w:cs="Arial"/>
          <w:sz w:val="24"/>
          <w:szCs w:val="24"/>
        </w:rPr>
        <w:t xml:space="preserve"> held: by deed of transfer no. T</w:t>
      </w:r>
      <w:r w:rsidR="00906946" w:rsidRPr="00A931ED">
        <w:rPr>
          <w:rFonts w:ascii="Arial" w:hAnsi="Arial" w:cs="Arial"/>
          <w:sz w:val="24"/>
          <w:szCs w:val="24"/>
        </w:rPr>
        <w:t xml:space="preserve"> 7975/2002</w:t>
      </w:r>
      <w:r w:rsidR="00906946">
        <w:rPr>
          <w:rFonts w:ascii="Arial" w:hAnsi="Arial" w:cs="Arial"/>
          <w:sz w:val="24"/>
          <w:szCs w:val="24"/>
        </w:rPr>
        <w:t>,</w:t>
      </w:r>
      <w:r w:rsidR="00906946" w:rsidRPr="00A931ED">
        <w:rPr>
          <w:rFonts w:ascii="Arial" w:hAnsi="Arial" w:cs="Arial"/>
          <w:sz w:val="24"/>
          <w:szCs w:val="24"/>
        </w:rPr>
        <w:t xml:space="preserve"> is </w:t>
      </w:r>
      <w:r w:rsidR="00906946">
        <w:rPr>
          <w:rFonts w:ascii="Arial" w:hAnsi="Arial" w:cs="Arial"/>
          <w:sz w:val="24"/>
          <w:szCs w:val="24"/>
        </w:rPr>
        <w:t>granted on the following conditions:</w:t>
      </w:r>
    </w:p>
    <w:p w:rsidR="00784B5D" w:rsidRDefault="00784B5D" w:rsidP="00784B5D">
      <w:pPr>
        <w:spacing w:after="0" w:line="360" w:lineRule="auto"/>
        <w:ind w:left="720"/>
        <w:jc w:val="both"/>
        <w:rPr>
          <w:rFonts w:ascii="Arial" w:hAnsi="Arial" w:cs="Arial"/>
          <w:sz w:val="24"/>
          <w:szCs w:val="24"/>
        </w:rPr>
      </w:pPr>
    </w:p>
    <w:p w:rsidR="00906946" w:rsidRDefault="00906946" w:rsidP="00906946">
      <w:pPr>
        <w:pStyle w:val="ListParagraph"/>
        <w:numPr>
          <w:ilvl w:val="0"/>
          <w:numId w:val="7"/>
        </w:numPr>
        <w:spacing w:after="0" w:line="360" w:lineRule="auto"/>
        <w:jc w:val="both"/>
        <w:rPr>
          <w:rFonts w:ascii="Arial" w:hAnsi="Arial" w:cs="Arial"/>
          <w:sz w:val="24"/>
          <w:szCs w:val="24"/>
        </w:rPr>
      </w:pPr>
      <w:r w:rsidRPr="00906946">
        <w:rPr>
          <w:rFonts w:ascii="Arial" w:hAnsi="Arial" w:cs="Arial"/>
          <w:sz w:val="24"/>
          <w:szCs w:val="24"/>
        </w:rPr>
        <w:t xml:space="preserve">The applicant may only sell the property in execution without further notice thereof to the second respondent, if the second respondent fails to pay the amount of N$150 000 </w:t>
      </w:r>
      <w:r w:rsidR="00565405">
        <w:rPr>
          <w:rFonts w:ascii="Arial" w:hAnsi="Arial" w:cs="Arial"/>
          <w:sz w:val="24"/>
          <w:szCs w:val="24"/>
        </w:rPr>
        <w:t xml:space="preserve">to the applicant </w:t>
      </w:r>
      <w:r w:rsidRPr="00906946">
        <w:rPr>
          <w:rFonts w:ascii="Arial" w:hAnsi="Arial" w:cs="Arial"/>
          <w:sz w:val="24"/>
          <w:szCs w:val="24"/>
        </w:rPr>
        <w:t xml:space="preserve">before or on 7 August 2023 and fails to pay the remaining part of the judgment debt in monthly instalments of N$50 000 </w:t>
      </w:r>
      <w:r w:rsidR="00565405">
        <w:rPr>
          <w:rFonts w:ascii="Arial" w:hAnsi="Arial" w:cs="Arial"/>
          <w:sz w:val="24"/>
          <w:szCs w:val="24"/>
        </w:rPr>
        <w:t xml:space="preserve">to the applicant </w:t>
      </w:r>
      <w:r w:rsidRPr="00906946">
        <w:rPr>
          <w:rFonts w:ascii="Arial" w:hAnsi="Arial" w:cs="Arial"/>
          <w:sz w:val="24"/>
          <w:szCs w:val="24"/>
        </w:rPr>
        <w:t>payable on or before the 7</w:t>
      </w:r>
      <w:r w:rsidRPr="00906946">
        <w:rPr>
          <w:rFonts w:ascii="Arial" w:hAnsi="Arial" w:cs="Arial"/>
          <w:sz w:val="24"/>
          <w:szCs w:val="24"/>
          <w:vertAlign w:val="superscript"/>
        </w:rPr>
        <w:t>th</w:t>
      </w:r>
      <w:r w:rsidRPr="00906946">
        <w:rPr>
          <w:rFonts w:ascii="Arial" w:hAnsi="Arial" w:cs="Arial"/>
          <w:sz w:val="24"/>
          <w:szCs w:val="24"/>
        </w:rPr>
        <w:t xml:space="preserve"> day of September 2023 and on or before the 7</w:t>
      </w:r>
      <w:r w:rsidRPr="00906946">
        <w:rPr>
          <w:rFonts w:ascii="Arial" w:hAnsi="Arial" w:cs="Arial"/>
          <w:sz w:val="24"/>
          <w:szCs w:val="24"/>
          <w:vertAlign w:val="superscript"/>
        </w:rPr>
        <w:t>th</w:t>
      </w:r>
      <w:r w:rsidRPr="00906946">
        <w:rPr>
          <w:rFonts w:ascii="Arial" w:hAnsi="Arial" w:cs="Arial"/>
          <w:sz w:val="24"/>
          <w:szCs w:val="24"/>
        </w:rPr>
        <w:t xml:space="preserve"> day of each consecutive month thereafter</w:t>
      </w:r>
      <w:r w:rsidR="00565405">
        <w:rPr>
          <w:rFonts w:ascii="Arial" w:hAnsi="Arial" w:cs="Arial"/>
          <w:sz w:val="24"/>
          <w:szCs w:val="24"/>
        </w:rPr>
        <w:t xml:space="preserve"> until the judgment debt has been paid in full</w:t>
      </w:r>
      <w:r w:rsidRPr="00906946">
        <w:rPr>
          <w:rFonts w:ascii="Arial" w:hAnsi="Arial" w:cs="Arial"/>
          <w:sz w:val="24"/>
          <w:szCs w:val="24"/>
        </w:rPr>
        <w:t xml:space="preserve">. </w:t>
      </w:r>
    </w:p>
    <w:p w:rsidR="00784B5D" w:rsidRPr="00906946" w:rsidRDefault="00784B5D" w:rsidP="00784B5D">
      <w:pPr>
        <w:pStyle w:val="ListParagraph"/>
        <w:spacing w:after="0" w:line="360" w:lineRule="auto"/>
        <w:ind w:left="1440"/>
        <w:jc w:val="both"/>
        <w:rPr>
          <w:rFonts w:ascii="Arial" w:hAnsi="Arial" w:cs="Arial"/>
          <w:sz w:val="24"/>
          <w:szCs w:val="24"/>
        </w:rPr>
      </w:pPr>
    </w:p>
    <w:p w:rsidR="00906946" w:rsidRDefault="00906946" w:rsidP="00906946">
      <w:pPr>
        <w:numPr>
          <w:ilvl w:val="0"/>
          <w:numId w:val="5"/>
        </w:numPr>
        <w:spacing w:after="0" w:line="360" w:lineRule="auto"/>
        <w:jc w:val="both"/>
        <w:rPr>
          <w:rFonts w:ascii="Arial" w:hAnsi="Arial" w:cs="Arial"/>
          <w:sz w:val="24"/>
          <w:szCs w:val="24"/>
        </w:rPr>
      </w:pPr>
      <w:r w:rsidRPr="00A931ED">
        <w:rPr>
          <w:rFonts w:ascii="Arial" w:hAnsi="Arial" w:cs="Arial"/>
          <w:sz w:val="24"/>
          <w:szCs w:val="24"/>
        </w:rPr>
        <w:t xml:space="preserve">The </w:t>
      </w:r>
      <w:r>
        <w:rPr>
          <w:rFonts w:ascii="Arial" w:hAnsi="Arial" w:cs="Arial"/>
          <w:sz w:val="24"/>
          <w:szCs w:val="24"/>
        </w:rPr>
        <w:t xml:space="preserve">second respondent </w:t>
      </w:r>
      <w:r w:rsidRPr="00A931ED">
        <w:rPr>
          <w:rFonts w:ascii="Arial" w:hAnsi="Arial" w:cs="Arial"/>
          <w:sz w:val="24"/>
          <w:szCs w:val="24"/>
        </w:rPr>
        <w:t xml:space="preserve">is ordered to pay the </w:t>
      </w:r>
      <w:r>
        <w:rPr>
          <w:rFonts w:ascii="Arial" w:hAnsi="Arial" w:cs="Arial"/>
          <w:sz w:val="24"/>
          <w:szCs w:val="24"/>
        </w:rPr>
        <w:t xml:space="preserve">applicant’s </w:t>
      </w:r>
      <w:r w:rsidRPr="00A931ED">
        <w:rPr>
          <w:rFonts w:ascii="Arial" w:hAnsi="Arial" w:cs="Arial"/>
          <w:sz w:val="24"/>
          <w:szCs w:val="24"/>
        </w:rPr>
        <w:t>costs of the application.</w:t>
      </w:r>
    </w:p>
    <w:p w:rsidR="00784B5D" w:rsidRPr="00A931ED" w:rsidRDefault="00784B5D" w:rsidP="00784B5D">
      <w:pPr>
        <w:spacing w:after="0" w:line="360" w:lineRule="auto"/>
        <w:ind w:left="720"/>
        <w:jc w:val="both"/>
        <w:rPr>
          <w:rFonts w:ascii="Arial" w:hAnsi="Arial" w:cs="Arial"/>
          <w:sz w:val="24"/>
          <w:szCs w:val="24"/>
        </w:rPr>
      </w:pPr>
    </w:p>
    <w:p w:rsidR="00906946" w:rsidRPr="00A931ED" w:rsidRDefault="00906946" w:rsidP="00906946">
      <w:pPr>
        <w:numPr>
          <w:ilvl w:val="0"/>
          <w:numId w:val="5"/>
        </w:numPr>
        <w:spacing w:after="0" w:line="360" w:lineRule="auto"/>
        <w:jc w:val="both"/>
        <w:rPr>
          <w:rFonts w:ascii="Arial" w:hAnsi="Arial" w:cs="Arial"/>
          <w:sz w:val="24"/>
          <w:szCs w:val="24"/>
        </w:rPr>
      </w:pPr>
      <w:r w:rsidRPr="00A931ED">
        <w:rPr>
          <w:rFonts w:ascii="Arial" w:hAnsi="Arial" w:cs="Arial"/>
          <w:sz w:val="24"/>
          <w:szCs w:val="24"/>
        </w:rPr>
        <w:t>The matter is removed from the roll and is regarded as finalised.</w:t>
      </w:r>
    </w:p>
    <w:p w:rsidR="00F65A80" w:rsidRDefault="00F65A80" w:rsidP="00581EE2">
      <w:pPr>
        <w:pStyle w:val="ListParagraph"/>
        <w:spacing w:after="0" w:line="360" w:lineRule="auto"/>
        <w:jc w:val="both"/>
        <w:rPr>
          <w:rFonts w:ascii="Arial" w:hAnsi="Arial" w:cs="Arial"/>
          <w:sz w:val="24"/>
          <w:szCs w:val="24"/>
        </w:rPr>
      </w:pPr>
    </w:p>
    <w:p w:rsidR="00FE2178" w:rsidRPr="00C2360F" w:rsidRDefault="004832C2"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4832C2"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2A2C41" w:rsidRDefault="002A2C41" w:rsidP="00FE2178">
      <w:pPr>
        <w:spacing w:after="0" w:line="360" w:lineRule="auto"/>
        <w:ind w:left="1440" w:hanging="1440"/>
        <w:jc w:val="both"/>
        <w:rPr>
          <w:rFonts w:ascii="Arial" w:hAnsi="Arial" w:cs="Arial"/>
          <w:sz w:val="24"/>
          <w:szCs w:val="24"/>
        </w:rPr>
      </w:pPr>
    </w:p>
    <w:p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rsidR="005E02C7" w:rsidRDefault="005E02C7" w:rsidP="00FE2178">
      <w:pPr>
        <w:spacing w:after="0" w:line="360" w:lineRule="auto"/>
        <w:ind w:left="1440" w:hanging="1440"/>
        <w:jc w:val="both"/>
        <w:rPr>
          <w:rFonts w:ascii="Arial" w:hAnsi="Arial" w:cs="Arial"/>
          <w:sz w:val="24"/>
          <w:szCs w:val="24"/>
        </w:rPr>
      </w:pPr>
    </w:p>
    <w:p w:rsidR="00553930" w:rsidRDefault="005E02C7" w:rsidP="00884AF8">
      <w:pPr>
        <w:spacing w:after="0" w:line="360" w:lineRule="auto"/>
        <w:jc w:val="both"/>
        <w:rPr>
          <w:rFonts w:ascii="Arial" w:hAnsi="Arial" w:cs="Arial"/>
          <w:sz w:val="24"/>
          <w:szCs w:val="24"/>
        </w:rPr>
      </w:pPr>
      <w:r>
        <w:rPr>
          <w:rFonts w:ascii="Arial" w:hAnsi="Arial" w:cs="Arial"/>
          <w:sz w:val="24"/>
          <w:szCs w:val="24"/>
        </w:rPr>
        <w:t>[1]</w:t>
      </w:r>
      <w:r w:rsidR="00884AF8" w:rsidRPr="00884AF8">
        <w:rPr>
          <w:rFonts w:ascii="Arial" w:hAnsi="Arial" w:cs="Arial"/>
          <w:sz w:val="24"/>
          <w:szCs w:val="24"/>
        </w:rPr>
        <w:t xml:space="preserve"> </w:t>
      </w:r>
      <w:r w:rsidR="00884AF8">
        <w:rPr>
          <w:rFonts w:ascii="Arial" w:hAnsi="Arial" w:cs="Arial"/>
          <w:sz w:val="24"/>
          <w:szCs w:val="24"/>
        </w:rPr>
        <w:tab/>
      </w:r>
      <w:r w:rsidR="00553930">
        <w:rPr>
          <w:rFonts w:ascii="Arial" w:hAnsi="Arial" w:cs="Arial"/>
          <w:sz w:val="24"/>
          <w:szCs w:val="24"/>
        </w:rPr>
        <w:t>This</w:t>
      </w:r>
      <w:r w:rsidR="00784B5D">
        <w:rPr>
          <w:rFonts w:ascii="Arial" w:hAnsi="Arial" w:cs="Arial"/>
          <w:sz w:val="24"/>
          <w:szCs w:val="24"/>
        </w:rPr>
        <w:t xml:space="preserve"> is an application in terms of r</w:t>
      </w:r>
      <w:r w:rsidR="00553930">
        <w:rPr>
          <w:rFonts w:ascii="Arial" w:hAnsi="Arial" w:cs="Arial"/>
          <w:sz w:val="24"/>
          <w:szCs w:val="24"/>
        </w:rPr>
        <w:t xml:space="preserve">ule 108 for the execution of the immovable property situate at </w:t>
      </w:r>
      <w:r w:rsidR="00553930" w:rsidRPr="00553930">
        <w:rPr>
          <w:rFonts w:ascii="Arial" w:hAnsi="Arial" w:cs="Arial"/>
          <w:sz w:val="24"/>
          <w:szCs w:val="24"/>
        </w:rPr>
        <w:t>Erf 22, Klein Windhoek (the property).</w:t>
      </w:r>
      <w:r w:rsidR="00553930">
        <w:rPr>
          <w:rFonts w:ascii="Arial" w:hAnsi="Arial" w:cs="Arial"/>
          <w:sz w:val="24"/>
          <w:szCs w:val="24"/>
        </w:rPr>
        <w:t xml:space="preserve"> The second respondent brought an application to intervene and such application was granted. The application is not opposed by the first respondent but is opposed by the second respondent.</w:t>
      </w:r>
    </w:p>
    <w:p w:rsidR="00553930" w:rsidRDefault="00553930" w:rsidP="00884AF8">
      <w:pPr>
        <w:spacing w:after="0" w:line="360" w:lineRule="auto"/>
        <w:jc w:val="both"/>
        <w:rPr>
          <w:rFonts w:ascii="Arial" w:hAnsi="Arial" w:cs="Arial"/>
          <w:sz w:val="24"/>
          <w:szCs w:val="24"/>
        </w:rPr>
      </w:pPr>
    </w:p>
    <w:p w:rsidR="005E02C7" w:rsidRDefault="00553930"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 and the first respondent </w:t>
      </w:r>
      <w:r w:rsidR="00884AF8" w:rsidRPr="00AC2152">
        <w:rPr>
          <w:rFonts w:ascii="Arial" w:hAnsi="Arial" w:cs="Arial"/>
          <w:sz w:val="24"/>
          <w:szCs w:val="24"/>
        </w:rPr>
        <w:t xml:space="preserve">(the Embassy of the Republic of Angola), entered into an agreement of waiver of diplomatic immunity and the defendant consented to the jurisdiction of this court. On 20 November 2002 the </w:t>
      </w:r>
      <w:r w:rsidR="00AC4645">
        <w:rPr>
          <w:rFonts w:ascii="Arial" w:hAnsi="Arial" w:cs="Arial"/>
          <w:sz w:val="24"/>
          <w:szCs w:val="24"/>
        </w:rPr>
        <w:t xml:space="preserve">applicant </w:t>
      </w:r>
      <w:r w:rsidR="00884AF8" w:rsidRPr="00AC2152">
        <w:rPr>
          <w:rFonts w:ascii="Arial" w:hAnsi="Arial" w:cs="Arial"/>
          <w:sz w:val="24"/>
          <w:szCs w:val="24"/>
        </w:rPr>
        <w:t xml:space="preserve">granted a home loan to the </w:t>
      </w:r>
      <w:r w:rsidR="00AC4645">
        <w:rPr>
          <w:rFonts w:ascii="Arial" w:hAnsi="Arial" w:cs="Arial"/>
          <w:sz w:val="24"/>
          <w:szCs w:val="24"/>
        </w:rPr>
        <w:t xml:space="preserve">first </w:t>
      </w:r>
      <w:r w:rsidR="00784B5D">
        <w:rPr>
          <w:rFonts w:ascii="Arial" w:hAnsi="Arial" w:cs="Arial"/>
          <w:sz w:val="24"/>
          <w:szCs w:val="24"/>
        </w:rPr>
        <w:t xml:space="preserve">defendant in the sum of N$3 800 </w:t>
      </w:r>
      <w:r w:rsidR="00884AF8" w:rsidRPr="00AC2152">
        <w:rPr>
          <w:rFonts w:ascii="Arial" w:hAnsi="Arial" w:cs="Arial"/>
          <w:sz w:val="24"/>
          <w:szCs w:val="24"/>
        </w:rPr>
        <w:t>000 and for an additional sum of N$950 000. The loan is secured by the passing and registration of a first continuing covering mortgage bond</w:t>
      </w:r>
      <w:r w:rsidR="009E2B4D">
        <w:rPr>
          <w:rFonts w:ascii="Arial" w:hAnsi="Arial" w:cs="Arial"/>
          <w:sz w:val="24"/>
          <w:szCs w:val="24"/>
        </w:rPr>
        <w:t xml:space="preserve"> over property</w:t>
      </w:r>
      <w:r>
        <w:rPr>
          <w:rFonts w:ascii="Arial" w:hAnsi="Arial" w:cs="Arial"/>
          <w:sz w:val="24"/>
          <w:szCs w:val="24"/>
        </w:rPr>
        <w:t xml:space="preserve">. The </w:t>
      </w:r>
      <w:r w:rsidR="00AC4645">
        <w:rPr>
          <w:rFonts w:ascii="Arial" w:hAnsi="Arial" w:cs="Arial"/>
          <w:sz w:val="24"/>
          <w:szCs w:val="24"/>
        </w:rPr>
        <w:t xml:space="preserve">applicant claimed </w:t>
      </w:r>
      <w:r>
        <w:rPr>
          <w:rFonts w:ascii="Arial" w:hAnsi="Arial" w:cs="Arial"/>
          <w:sz w:val="24"/>
          <w:szCs w:val="24"/>
        </w:rPr>
        <w:t xml:space="preserve">that the </w:t>
      </w:r>
      <w:r w:rsidR="00AC4645">
        <w:rPr>
          <w:rFonts w:ascii="Arial" w:hAnsi="Arial" w:cs="Arial"/>
          <w:sz w:val="24"/>
          <w:szCs w:val="24"/>
        </w:rPr>
        <w:t xml:space="preserve">first respondent </w:t>
      </w:r>
      <w:r>
        <w:rPr>
          <w:rFonts w:ascii="Arial" w:hAnsi="Arial" w:cs="Arial"/>
          <w:sz w:val="24"/>
          <w:szCs w:val="24"/>
        </w:rPr>
        <w:t xml:space="preserve">breached the agreement and an amount of </w:t>
      </w:r>
      <w:r w:rsidR="00784B5D">
        <w:rPr>
          <w:rFonts w:ascii="Arial" w:hAnsi="Arial" w:cs="Arial"/>
          <w:sz w:val="24"/>
          <w:szCs w:val="24"/>
        </w:rPr>
        <w:t xml:space="preserve">N$ 1 235 </w:t>
      </w:r>
      <w:r w:rsidRPr="00553930">
        <w:rPr>
          <w:rFonts w:ascii="Arial" w:hAnsi="Arial" w:cs="Arial"/>
          <w:sz w:val="24"/>
          <w:szCs w:val="24"/>
        </w:rPr>
        <w:t>486.34</w:t>
      </w:r>
      <w:r>
        <w:rPr>
          <w:rFonts w:ascii="Arial" w:hAnsi="Arial" w:cs="Arial"/>
          <w:sz w:val="24"/>
          <w:szCs w:val="24"/>
        </w:rPr>
        <w:t xml:space="preserve"> </w:t>
      </w:r>
      <w:r w:rsidR="00AC4645">
        <w:rPr>
          <w:rFonts w:ascii="Arial" w:hAnsi="Arial" w:cs="Arial"/>
          <w:sz w:val="24"/>
          <w:szCs w:val="24"/>
        </w:rPr>
        <w:t>was</w:t>
      </w:r>
      <w:r>
        <w:rPr>
          <w:rFonts w:ascii="Arial" w:hAnsi="Arial" w:cs="Arial"/>
          <w:sz w:val="24"/>
          <w:szCs w:val="24"/>
        </w:rPr>
        <w:t xml:space="preserve"> due and payable. </w:t>
      </w:r>
    </w:p>
    <w:p w:rsidR="000228D3" w:rsidRDefault="000228D3" w:rsidP="00884AF8">
      <w:pPr>
        <w:spacing w:after="0" w:line="360" w:lineRule="auto"/>
        <w:jc w:val="both"/>
        <w:rPr>
          <w:rFonts w:ascii="Arial" w:hAnsi="Arial" w:cs="Arial"/>
          <w:sz w:val="24"/>
          <w:szCs w:val="24"/>
        </w:rPr>
      </w:pPr>
    </w:p>
    <w:p w:rsidR="009E2B4D" w:rsidRDefault="000228D3"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3</w:t>
      </w:r>
      <w:r>
        <w:rPr>
          <w:rFonts w:ascii="Arial" w:hAnsi="Arial" w:cs="Arial"/>
          <w:sz w:val="24"/>
          <w:szCs w:val="24"/>
        </w:rPr>
        <w:t>]</w:t>
      </w:r>
      <w:r>
        <w:rPr>
          <w:rFonts w:ascii="Arial" w:hAnsi="Arial" w:cs="Arial"/>
          <w:sz w:val="24"/>
          <w:szCs w:val="24"/>
        </w:rPr>
        <w:tab/>
      </w:r>
      <w:r w:rsidR="009E2B4D">
        <w:rPr>
          <w:rFonts w:ascii="Arial" w:hAnsi="Arial" w:cs="Arial"/>
          <w:sz w:val="24"/>
          <w:szCs w:val="24"/>
        </w:rPr>
        <w:t>On 27 July 2021</w:t>
      </w:r>
      <w:r w:rsidR="00784B5D">
        <w:rPr>
          <w:rFonts w:ascii="Arial" w:hAnsi="Arial" w:cs="Arial"/>
          <w:sz w:val="24"/>
          <w:szCs w:val="24"/>
        </w:rPr>
        <w:t>, the Deputy Sheriff served the s</w:t>
      </w:r>
      <w:r w:rsidR="009E2B4D">
        <w:rPr>
          <w:rFonts w:ascii="Arial" w:hAnsi="Arial" w:cs="Arial"/>
          <w:sz w:val="24"/>
          <w:szCs w:val="24"/>
        </w:rPr>
        <w:t xml:space="preserve">ummons by leaving a copy thereof at </w:t>
      </w:r>
      <w:r w:rsidR="00784B5D">
        <w:rPr>
          <w:rFonts w:ascii="Arial" w:hAnsi="Arial" w:cs="Arial"/>
          <w:sz w:val="24"/>
          <w:szCs w:val="24"/>
        </w:rPr>
        <w:t xml:space="preserve">the </w:t>
      </w:r>
      <w:r w:rsidR="009E2B4D">
        <w:rPr>
          <w:rFonts w:ascii="Arial" w:hAnsi="Arial" w:cs="Arial"/>
          <w:sz w:val="24"/>
          <w:szCs w:val="24"/>
        </w:rPr>
        <w:t>property</w:t>
      </w:r>
      <w:r w:rsidR="0088491E">
        <w:rPr>
          <w:rFonts w:ascii="Arial" w:hAnsi="Arial" w:cs="Arial"/>
          <w:sz w:val="24"/>
          <w:szCs w:val="24"/>
        </w:rPr>
        <w:t xml:space="preserve"> as nobody was willing to accept service</w:t>
      </w:r>
      <w:r w:rsidR="009E2B4D">
        <w:rPr>
          <w:rFonts w:ascii="Arial" w:hAnsi="Arial" w:cs="Arial"/>
          <w:sz w:val="24"/>
          <w:szCs w:val="24"/>
        </w:rPr>
        <w:t xml:space="preserve">. </w:t>
      </w:r>
      <w:r>
        <w:rPr>
          <w:rFonts w:ascii="Arial" w:hAnsi="Arial" w:cs="Arial"/>
          <w:sz w:val="24"/>
          <w:szCs w:val="24"/>
        </w:rPr>
        <w:t xml:space="preserve">On </w:t>
      </w:r>
      <w:r w:rsidR="009E2B4D">
        <w:rPr>
          <w:rFonts w:ascii="Arial" w:hAnsi="Arial" w:cs="Arial"/>
          <w:sz w:val="24"/>
          <w:szCs w:val="24"/>
        </w:rPr>
        <w:t xml:space="preserve">15 December 2021 the court granted default judgment in favour of the applicant and against the first respondent in the sum of </w:t>
      </w:r>
      <w:r w:rsidR="00553930" w:rsidRPr="00553930">
        <w:rPr>
          <w:rFonts w:ascii="Arial" w:hAnsi="Arial" w:cs="Arial"/>
          <w:sz w:val="24"/>
          <w:szCs w:val="24"/>
        </w:rPr>
        <w:t>N$ 1,235,486.34</w:t>
      </w:r>
      <w:r w:rsidR="00553930">
        <w:rPr>
          <w:rFonts w:ascii="Arial" w:hAnsi="Arial" w:cs="Arial"/>
          <w:sz w:val="24"/>
          <w:szCs w:val="24"/>
        </w:rPr>
        <w:t xml:space="preserve"> </w:t>
      </w:r>
      <w:r w:rsidR="009E2B4D">
        <w:rPr>
          <w:rFonts w:ascii="Arial" w:hAnsi="Arial" w:cs="Arial"/>
          <w:sz w:val="24"/>
          <w:szCs w:val="24"/>
        </w:rPr>
        <w:t xml:space="preserve">together with interest </w:t>
      </w:r>
      <w:r w:rsidR="009E2B4D" w:rsidRPr="009E2B4D">
        <w:rPr>
          <w:rFonts w:ascii="Arial" w:hAnsi="Arial" w:cs="Arial"/>
          <w:sz w:val="24"/>
          <w:szCs w:val="24"/>
        </w:rPr>
        <w:t>of 6.75</w:t>
      </w:r>
      <w:r w:rsidR="009E2B4D">
        <w:rPr>
          <w:rFonts w:ascii="Arial" w:hAnsi="Arial" w:cs="Arial"/>
          <w:sz w:val="24"/>
          <w:szCs w:val="24"/>
        </w:rPr>
        <w:t xml:space="preserve"> percent </w:t>
      </w:r>
      <w:r w:rsidR="009E2B4D" w:rsidRPr="009E2B4D">
        <w:rPr>
          <w:rFonts w:ascii="Arial" w:hAnsi="Arial" w:cs="Arial"/>
          <w:sz w:val="24"/>
          <w:szCs w:val="24"/>
        </w:rPr>
        <w:t>per annum as from 1 October 2020 until date of final payment</w:t>
      </w:r>
      <w:r w:rsidR="009E2B4D">
        <w:rPr>
          <w:rFonts w:ascii="Arial" w:hAnsi="Arial" w:cs="Arial"/>
          <w:sz w:val="24"/>
          <w:szCs w:val="24"/>
        </w:rPr>
        <w:t xml:space="preserve"> and cost of suit. </w:t>
      </w:r>
      <w:r w:rsidR="0088491E">
        <w:rPr>
          <w:rFonts w:ascii="Arial" w:hAnsi="Arial" w:cs="Arial"/>
          <w:sz w:val="24"/>
          <w:szCs w:val="24"/>
        </w:rPr>
        <w:t xml:space="preserve">On 17 September </w:t>
      </w:r>
      <w:r w:rsidR="002177FC">
        <w:rPr>
          <w:rFonts w:ascii="Arial" w:hAnsi="Arial" w:cs="Arial"/>
          <w:sz w:val="24"/>
          <w:szCs w:val="24"/>
        </w:rPr>
        <w:t xml:space="preserve">2021 </w:t>
      </w:r>
      <w:r w:rsidR="0088491E">
        <w:rPr>
          <w:rFonts w:ascii="Arial" w:hAnsi="Arial" w:cs="Arial"/>
          <w:sz w:val="24"/>
          <w:szCs w:val="24"/>
        </w:rPr>
        <w:t xml:space="preserve">the court issued a writ of execution for the movable </w:t>
      </w:r>
      <w:r w:rsidR="00553930">
        <w:rPr>
          <w:rFonts w:ascii="Arial" w:hAnsi="Arial" w:cs="Arial"/>
          <w:sz w:val="24"/>
          <w:szCs w:val="24"/>
        </w:rPr>
        <w:t>property.</w:t>
      </w:r>
    </w:p>
    <w:p w:rsidR="009E2B4D" w:rsidRDefault="009E2B4D" w:rsidP="00884AF8">
      <w:pPr>
        <w:spacing w:after="0" w:line="360" w:lineRule="auto"/>
        <w:jc w:val="both"/>
        <w:rPr>
          <w:rFonts w:ascii="Arial" w:hAnsi="Arial" w:cs="Arial"/>
          <w:sz w:val="24"/>
          <w:szCs w:val="24"/>
        </w:rPr>
      </w:pPr>
    </w:p>
    <w:p w:rsidR="002177FC" w:rsidRDefault="009E2B4D"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4</w:t>
      </w:r>
      <w:r>
        <w:rPr>
          <w:rFonts w:ascii="Arial" w:hAnsi="Arial" w:cs="Arial"/>
          <w:sz w:val="24"/>
          <w:szCs w:val="24"/>
        </w:rPr>
        <w:t>]</w:t>
      </w:r>
      <w:r>
        <w:rPr>
          <w:rFonts w:ascii="Arial" w:hAnsi="Arial" w:cs="Arial"/>
          <w:sz w:val="24"/>
          <w:szCs w:val="24"/>
        </w:rPr>
        <w:tab/>
      </w:r>
      <w:r w:rsidR="00AC4645">
        <w:rPr>
          <w:rFonts w:ascii="Arial" w:hAnsi="Arial" w:cs="Arial"/>
          <w:sz w:val="24"/>
          <w:szCs w:val="24"/>
        </w:rPr>
        <w:t>The applicant brought this application</w:t>
      </w:r>
      <w:r w:rsidR="002177FC">
        <w:rPr>
          <w:rFonts w:ascii="Arial" w:hAnsi="Arial" w:cs="Arial"/>
          <w:sz w:val="24"/>
          <w:szCs w:val="24"/>
        </w:rPr>
        <w:t xml:space="preserve"> and attached thereto </w:t>
      </w:r>
      <w:r w:rsidR="002177FC" w:rsidRPr="002177FC">
        <w:rPr>
          <w:rFonts w:ascii="Arial" w:hAnsi="Arial" w:cs="Arial"/>
          <w:sz w:val="24"/>
          <w:szCs w:val="24"/>
        </w:rPr>
        <w:t>a</w:t>
      </w:r>
      <w:r w:rsidR="002177FC">
        <w:rPr>
          <w:rFonts w:ascii="Arial" w:hAnsi="Arial" w:cs="Arial"/>
          <w:sz w:val="24"/>
          <w:szCs w:val="24"/>
        </w:rPr>
        <w:t xml:space="preserve"> return of service from which it appears that the </w:t>
      </w:r>
      <w:r w:rsidR="002177FC" w:rsidRPr="002177FC">
        <w:rPr>
          <w:rFonts w:ascii="Arial" w:hAnsi="Arial" w:cs="Arial"/>
          <w:sz w:val="24"/>
          <w:szCs w:val="24"/>
        </w:rPr>
        <w:t>execution debtor or person has insufficient movable property to satisfy the wri</w:t>
      </w:r>
      <w:r w:rsidR="002177FC">
        <w:rPr>
          <w:rFonts w:ascii="Arial" w:hAnsi="Arial" w:cs="Arial"/>
          <w:sz w:val="24"/>
          <w:szCs w:val="24"/>
        </w:rPr>
        <w:t xml:space="preserve">t (a </w:t>
      </w:r>
      <w:r w:rsidR="002177FC" w:rsidRPr="002177FC">
        <w:rPr>
          <w:rFonts w:ascii="Arial" w:hAnsi="Arial" w:cs="Arial"/>
          <w:i/>
          <w:sz w:val="24"/>
          <w:szCs w:val="24"/>
        </w:rPr>
        <w:t>nulla bona</w:t>
      </w:r>
      <w:r w:rsidR="002177FC">
        <w:rPr>
          <w:rFonts w:ascii="Arial" w:hAnsi="Arial" w:cs="Arial"/>
          <w:sz w:val="24"/>
          <w:szCs w:val="24"/>
        </w:rPr>
        <w:t xml:space="preserve"> return). It appears further that the writ of execution was served on Bianca De Almeida on 16 May 2022. </w:t>
      </w:r>
      <w:r w:rsidR="00AC4645">
        <w:rPr>
          <w:rFonts w:ascii="Arial" w:hAnsi="Arial" w:cs="Arial"/>
          <w:sz w:val="24"/>
          <w:szCs w:val="24"/>
        </w:rPr>
        <w:t xml:space="preserve"> </w:t>
      </w:r>
      <w:r w:rsidR="002177FC">
        <w:rPr>
          <w:rFonts w:ascii="Arial" w:hAnsi="Arial" w:cs="Arial"/>
          <w:sz w:val="24"/>
          <w:szCs w:val="24"/>
        </w:rPr>
        <w:t xml:space="preserve">The application was </w:t>
      </w:r>
      <w:r w:rsidR="00784B5D">
        <w:rPr>
          <w:rFonts w:ascii="Arial" w:hAnsi="Arial" w:cs="Arial"/>
          <w:sz w:val="24"/>
          <w:szCs w:val="24"/>
        </w:rPr>
        <w:t>served i</w:t>
      </w:r>
      <w:r w:rsidR="00AC4645">
        <w:rPr>
          <w:rFonts w:ascii="Arial" w:hAnsi="Arial" w:cs="Arial"/>
          <w:sz w:val="24"/>
          <w:szCs w:val="24"/>
        </w:rPr>
        <w:t xml:space="preserve">on 5 October </w:t>
      </w:r>
      <w:r w:rsidR="002177FC">
        <w:rPr>
          <w:rFonts w:ascii="Arial" w:hAnsi="Arial" w:cs="Arial"/>
          <w:sz w:val="24"/>
          <w:szCs w:val="24"/>
        </w:rPr>
        <w:t xml:space="preserve">2022 </w:t>
      </w:r>
      <w:r w:rsidR="00AC4645">
        <w:rPr>
          <w:rFonts w:ascii="Arial" w:hAnsi="Arial" w:cs="Arial"/>
          <w:sz w:val="24"/>
          <w:szCs w:val="24"/>
        </w:rPr>
        <w:t>at the property on Gloria Da Silva, who was apparently in charge of the property.</w:t>
      </w:r>
      <w:r w:rsidR="00565405">
        <w:rPr>
          <w:rFonts w:ascii="Arial" w:hAnsi="Arial" w:cs="Arial"/>
          <w:sz w:val="24"/>
          <w:szCs w:val="24"/>
        </w:rPr>
        <w:t xml:space="preserve"> </w:t>
      </w:r>
      <w:r w:rsidR="00784B5D">
        <w:rPr>
          <w:rFonts w:ascii="Arial" w:hAnsi="Arial" w:cs="Arial"/>
          <w:sz w:val="24"/>
          <w:szCs w:val="24"/>
        </w:rPr>
        <w:t>The applica</w:t>
      </w:r>
      <w:r w:rsidR="002177FC">
        <w:rPr>
          <w:rFonts w:ascii="Arial" w:hAnsi="Arial" w:cs="Arial"/>
          <w:sz w:val="24"/>
          <w:szCs w:val="24"/>
        </w:rPr>
        <w:t>t</w:t>
      </w:r>
      <w:r w:rsidR="00784B5D">
        <w:rPr>
          <w:rFonts w:ascii="Arial" w:hAnsi="Arial" w:cs="Arial"/>
          <w:sz w:val="24"/>
          <w:szCs w:val="24"/>
        </w:rPr>
        <w:t>ion</w:t>
      </w:r>
      <w:r w:rsidR="002177FC">
        <w:rPr>
          <w:rFonts w:ascii="Arial" w:hAnsi="Arial" w:cs="Arial"/>
          <w:sz w:val="24"/>
          <w:szCs w:val="24"/>
        </w:rPr>
        <w:t xml:space="preserve"> was enrolled to be heard on 11 November 2022.</w:t>
      </w:r>
    </w:p>
    <w:p w:rsidR="00DC6462" w:rsidRDefault="00DC6462" w:rsidP="00884AF8">
      <w:pPr>
        <w:spacing w:after="0" w:line="360" w:lineRule="auto"/>
        <w:jc w:val="both"/>
        <w:rPr>
          <w:rFonts w:ascii="Arial" w:hAnsi="Arial" w:cs="Arial"/>
          <w:sz w:val="24"/>
          <w:szCs w:val="24"/>
        </w:rPr>
      </w:pPr>
    </w:p>
    <w:p w:rsidR="00DC6462" w:rsidRDefault="00DC6462"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5</w:t>
      </w:r>
      <w:r>
        <w:rPr>
          <w:rFonts w:ascii="Arial" w:hAnsi="Arial" w:cs="Arial"/>
          <w:sz w:val="24"/>
          <w:szCs w:val="24"/>
        </w:rPr>
        <w:t>]</w:t>
      </w:r>
      <w:r>
        <w:rPr>
          <w:rFonts w:ascii="Arial" w:hAnsi="Arial" w:cs="Arial"/>
          <w:sz w:val="24"/>
          <w:szCs w:val="24"/>
        </w:rPr>
        <w:tab/>
        <w:t>The deponent on behalf of the app</w:t>
      </w:r>
      <w:r w:rsidR="00784B5D">
        <w:rPr>
          <w:rFonts w:ascii="Arial" w:hAnsi="Arial" w:cs="Arial"/>
          <w:sz w:val="24"/>
          <w:szCs w:val="24"/>
        </w:rPr>
        <w:t>licant indicated that the first respondent</w:t>
      </w:r>
      <w:r>
        <w:rPr>
          <w:rFonts w:ascii="Arial" w:hAnsi="Arial" w:cs="Arial"/>
          <w:sz w:val="24"/>
          <w:szCs w:val="24"/>
        </w:rPr>
        <w:t xml:space="preserve"> has made no attempt to repay the debt which is substantial. The applicant further aver</w:t>
      </w:r>
      <w:r w:rsidR="002A2C41">
        <w:rPr>
          <w:rFonts w:ascii="Arial" w:hAnsi="Arial" w:cs="Arial"/>
          <w:sz w:val="24"/>
          <w:szCs w:val="24"/>
        </w:rPr>
        <w:t>s</w:t>
      </w:r>
      <w:r w:rsidR="00784B5D">
        <w:rPr>
          <w:rFonts w:ascii="Arial" w:hAnsi="Arial" w:cs="Arial"/>
          <w:sz w:val="24"/>
          <w:szCs w:val="24"/>
        </w:rPr>
        <w:t xml:space="preserve"> that</w:t>
      </w:r>
      <w:r>
        <w:rPr>
          <w:rFonts w:ascii="Arial" w:hAnsi="Arial" w:cs="Arial"/>
          <w:sz w:val="24"/>
          <w:szCs w:val="24"/>
        </w:rPr>
        <w:t xml:space="preserve"> </w:t>
      </w:r>
      <w:r w:rsidR="00784B5D">
        <w:rPr>
          <w:rFonts w:ascii="Arial" w:hAnsi="Arial" w:cs="Arial"/>
          <w:sz w:val="24"/>
          <w:szCs w:val="24"/>
        </w:rPr>
        <w:t xml:space="preserve">first respondent </w:t>
      </w:r>
      <w:r>
        <w:rPr>
          <w:rFonts w:ascii="Arial" w:hAnsi="Arial" w:cs="Arial"/>
          <w:sz w:val="24"/>
          <w:szCs w:val="24"/>
        </w:rPr>
        <w:t>did not adhere to the further commitments and all</w:t>
      </w:r>
      <w:r w:rsidR="00784B5D">
        <w:rPr>
          <w:rFonts w:ascii="Arial" w:hAnsi="Arial" w:cs="Arial"/>
          <w:sz w:val="24"/>
          <w:szCs w:val="24"/>
        </w:rPr>
        <w:t xml:space="preserve"> arrangements made by the</w:t>
      </w:r>
      <w:r w:rsidR="00784B5D" w:rsidRPr="00784B5D">
        <w:rPr>
          <w:rFonts w:ascii="Arial" w:hAnsi="Arial" w:cs="Arial"/>
          <w:sz w:val="24"/>
          <w:szCs w:val="24"/>
        </w:rPr>
        <w:t xml:space="preserve"> </w:t>
      </w:r>
      <w:r w:rsidR="00784B5D">
        <w:rPr>
          <w:rFonts w:ascii="Arial" w:hAnsi="Arial" w:cs="Arial"/>
          <w:sz w:val="24"/>
          <w:szCs w:val="24"/>
        </w:rPr>
        <w:t>first respondent</w:t>
      </w:r>
      <w:r>
        <w:rPr>
          <w:rFonts w:ascii="Arial" w:hAnsi="Arial" w:cs="Arial"/>
          <w:sz w:val="24"/>
          <w:szCs w:val="24"/>
        </w:rPr>
        <w:t xml:space="preserve"> did not realise. </w:t>
      </w:r>
      <w:r w:rsidR="00B14270">
        <w:rPr>
          <w:rFonts w:ascii="Arial" w:hAnsi="Arial" w:cs="Arial"/>
          <w:sz w:val="24"/>
          <w:szCs w:val="24"/>
        </w:rPr>
        <w:t>The applicant aver</w:t>
      </w:r>
      <w:r w:rsidR="002A2C41">
        <w:rPr>
          <w:rFonts w:ascii="Arial" w:hAnsi="Arial" w:cs="Arial"/>
          <w:sz w:val="24"/>
          <w:szCs w:val="24"/>
        </w:rPr>
        <w:t>s</w:t>
      </w:r>
      <w:r w:rsidR="00B14270">
        <w:rPr>
          <w:rFonts w:ascii="Arial" w:hAnsi="Arial" w:cs="Arial"/>
          <w:sz w:val="24"/>
          <w:szCs w:val="24"/>
        </w:rPr>
        <w:t xml:space="preserve"> that there were no movable prop</w:t>
      </w:r>
      <w:r w:rsidR="00784B5D">
        <w:rPr>
          <w:rFonts w:ascii="Arial" w:hAnsi="Arial" w:cs="Arial"/>
          <w:sz w:val="24"/>
          <w:szCs w:val="24"/>
        </w:rPr>
        <w:t>erties which they could attach</w:t>
      </w:r>
      <w:r w:rsidR="00B14270">
        <w:rPr>
          <w:rFonts w:ascii="Arial" w:hAnsi="Arial" w:cs="Arial"/>
          <w:sz w:val="24"/>
          <w:szCs w:val="24"/>
        </w:rPr>
        <w:t>.</w:t>
      </w:r>
    </w:p>
    <w:p w:rsidR="002177FC" w:rsidRDefault="002177FC" w:rsidP="00884AF8">
      <w:pPr>
        <w:spacing w:after="0" w:line="360" w:lineRule="auto"/>
        <w:jc w:val="both"/>
        <w:rPr>
          <w:rFonts w:ascii="Arial" w:hAnsi="Arial" w:cs="Arial"/>
          <w:sz w:val="24"/>
          <w:szCs w:val="24"/>
        </w:rPr>
      </w:pPr>
    </w:p>
    <w:p w:rsidR="00177039" w:rsidRDefault="002177FC"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6</w:t>
      </w:r>
      <w:r>
        <w:rPr>
          <w:rFonts w:ascii="Arial" w:hAnsi="Arial" w:cs="Arial"/>
          <w:sz w:val="24"/>
          <w:szCs w:val="24"/>
        </w:rPr>
        <w:t>]</w:t>
      </w:r>
      <w:r>
        <w:rPr>
          <w:rFonts w:ascii="Arial" w:hAnsi="Arial" w:cs="Arial"/>
          <w:sz w:val="24"/>
          <w:szCs w:val="24"/>
        </w:rPr>
        <w:tab/>
      </w:r>
      <w:r w:rsidR="00AC4645">
        <w:rPr>
          <w:rFonts w:ascii="Arial" w:hAnsi="Arial" w:cs="Arial"/>
          <w:sz w:val="24"/>
          <w:szCs w:val="24"/>
        </w:rPr>
        <w:t xml:space="preserve">On </w:t>
      </w:r>
      <w:r w:rsidR="000228D3">
        <w:rPr>
          <w:rFonts w:ascii="Arial" w:hAnsi="Arial" w:cs="Arial"/>
          <w:sz w:val="24"/>
          <w:szCs w:val="24"/>
        </w:rPr>
        <w:t>31 October 2020 the</w:t>
      </w:r>
      <w:r w:rsidR="009E2B4D">
        <w:rPr>
          <w:rFonts w:ascii="Arial" w:hAnsi="Arial" w:cs="Arial"/>
          <w:sz w:val="24"/>
          <w:szCs w:val="24"/>
        </w:rPr>
        <w:t xml:space="preserve"> second respondent entered an</w:t>
      </w:r>
      <w:r w:rsidR="00AC4645">
        <w:rPr>
          <w:rFonts w:ascii="Arial" w:hAnsi="Arial" w:cs="Arial"/>
          <w:sz w:val="24"/>
          <w:szCs w:val="24"/>
        </w:rPr>
        <w:t xml:space="preserve"> appearance to oppose the application</w:t>
      </w:r>
      <w:r w:rsidR="00784B5D">
        <w:rPr>
          <w:rFonts w:ascii="Arial" w:hAnsi="Arial" w:cs="Arial"/>
          <w:sz w:val="24"/>
          <w:szCs w:val="24"/>
        </w:rPr>
        <w:t xml:space="preserve"> and the matter was</w:t>
      </w:r>
      <w:r>
        <w:rPr>
          <w:rFonts w:ascii="Arial" w:hAnsi="Arial" w:cs="Arial"/>
          <w:sz w:val="24"/>
          <w:szCs w:val="24"/>
        </w:rPr>
        <w:t xml:space="preserve"> postponed to 25 November</w:t>
      </w:r>
      <w:r w:rsidR="00177039">
        <w:rPr>
          <w:rFonts w:ascii="Arial" w:hAnsi="Arial" w:cs="Arial"/>
          <w:sz w:val="24"/>
          <w:szCs w:val="24"/>
        </w:rPr>
        <w:t xml:space="preserve"> 2022</w:t>
      </w:r>
      <w:r>
        <w:rPr>
          <w:rFonts w:ascii="Arial" w:hAnsi="Arial" w:cs="Arial"/>
          <w:sz w:val="24"/>
          <w:szCs w:val="24"/>
        </w:rPr>
        <w:t xml:space="preserve"> for the exchange of further affidavits.  The applicant filed a status report</w:t>
      </w:r>
      <w:r w:rsidR="00177039">
        <w:rPr>
          <w:rFonts w:ascii="Arial" w:hAnsi="Arial" w:cs="Arial"/>
          <w:sz w:val="24"/>
          <w:szCs w:val="24"/>
        </w:rPr>
        <w:t xml:space="preserve"> on 21 November 2022</w:t>
      </w:r>
      <w:r>
        <w:rPr>
          <w:rFonts w:ascii="Arial" w:hAnsi="Arial" w:cs="Arial"/>
          <w:sz w:val="24"/>
          <w:szCs w:val="24"/>
        </w:rPr>
        <w:t>. Of interest to this matter is the fact that there were some discussion</w:t>
      </w:r>
      <w:r w:rsidR="00784B5D">
        <w:rPr>
          <w:rFonts w:ascii="Arial" w:hAnsi="Arial" w:cs="Arial"/>
          <w:sz w:val="24"/>
          <w:szCs w:val="24"/>
        </w:rPr>
        <w:t>s</w:t>
      </w:r>
      <w:r>
        <w:rPr>
          <w:rFonts w:ascii="Arial" w:hAnsi="Arial" w:cs="Arial"/>
          <w:sz w:val="24"/>
          <w:szCs w:val="24"/>
        </w:rPr>
        <w:t xml:space="preserve"> held and the applicant was prepared to grant </w:t>
      </w:r>
      <w:r w:rsidR="00565405">
        <w:rPr>
          <w:rFonts w:ascii="Arial" w:hAnsi="Arial" w:cs="Arial"/>
          <w:sz w:val="24"/>
          <w:szCs w:val="24"/>
        </w:rPr>
        <w:t xml:space="preserve">the second respondent </w:t>
      </w:r>
      <w:r>
        <w:rPr>
          <w:rFonts w:ascii="Arial" w:hAnsi="Arial" w:cs="Arial"/>
          <w:sz w:val="24"/>
          <w:szCs w:val="24"/>
        </w:rPr>
        <w:t>an extension of 12 months</w:t>
      </w:r>
      <w:r w:rsidR="00177039">
        <w:rPr>
          <w:rFonts w:ascii="Arial" w:hAnsi="Arial" w:cs="Arial"/>
          <w:sz w:val="24"/>
          <w:szCs w:val="24"/>
        </w:rPr>
        <w:t xml:space="preserve"> to conclude and to adhere to any payment arrangement. </w:t>
      </w:r>
    </w:p>
    <w:p w:rsidR="00DC6462" w:rsidRDefault="00DC6462" w:rsidP="00884AF8">
      <w:pPr>
        <w:spacing w:after="0" w:line="360" w:lineRule="auto"/>
        <w:jc w:val="both"/>
        <w:rPr>
          <w:rFonts w:ascii="Arial" w:hAnsi="Arial" w:cs="Arial"/>
          <w:sz w:val="24"/>
          <w:szCs w:val="24"/>
        </w:rPr>
      </w:pPr>
    </w:p>
    <w:p w:rsidR="00177039" w:rsidRDefault="00177039"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7</w:t>
      </w:r>
      <w:r>
        <w:rPr>
          <w:rFonts w:ascii="Arial" w:hAnsi="Arial" w:cs="Arial"/>
          <w:sz w:val="24"/>
          <w:szCs w:val="24"/>
        </w:rPr>
        <w:t>]</w:t>
      </w:r>
      <w:r>
        <w:rPr>
          <w:rFonts w:ascii="Arial" w:hAnsi="Arial" w:cs="Arial"/>
          <w:sz w:val="24"/>
          <w:szCs w:val="24"/>
        </w:rPr>
        <w:tab/>
        <w:t>The</w:t>
      </w:r>
      <w:r w:rsidR="00DC6462">
        <w:rPr>
          <w:rFonts w:ascii="Arial" w:hAnsi="Arial" w:cs="Arial"/>
          <w:sz w:val="24"/>
          <w:szCs w:val="24"/>
        </w:rPr>
        <w:t xml:space="preserve"> second respondent’s affidavit </w:t>
      </w:r>
      <w:r w:rsidR="00784B5D">
        <w:rPr>
          <w:rFonts w:ascii="Arial" w:hAnsi="Arial" w:cs="Arial"/>
          <w:sz w:val="24"/>
          <w:szCs w:val="24"/>
        </w:rPr>
        <w:t xml:space="preserve">answering </w:t>
      </w:r>
      <w:r w:rsidR="00DC6462">
        <w:rPr>
          <w:rFonts w:ascii="Arial" w:hAnsi="Arial" w:cs="Arial"/>
          <w:sz w:val="24"/>
          <w:szCs w:val="24"/>
        </w:rPr>
        <w:t>filed in answer to the application may be summarised as follow: The second respondent was in the employ of the first r</w:t>
      </w:r>
      <w:r w:rsidR="00784B5D">
        <w:rPr>
          <w:rFonts w:ascii="Arial" w:hAnsi="Arial" w:cs="Arial"/>
          <w:sz w:val="24"/>
          <w:szCs w:val="24"/>
        </w:rPr>
        <w:t>espondent as the ambassador from</w:t>
      </w:r>
      <w:r w:rsidR="00DC6462">
        <w:rPr>
          <w:rFonts w:ascii="Arial" w:hAnsi="Arial" w:cs="Arial"/>
          <w:sz w:val="24"/>
          <w:szCs w:val="24"/>
        </w:rPr>
        <w:t xml:space="preserve"> 2013 to 2019 when he retired. </w:t>
      </w:r>
      <w:r w:rsidR="00834111">
        <w:rPr>
          <w:rFonts w:ascii="Arial" w:hAnsi="Arial" w:cs="Arial"/>
          <w:sz w:val="24"/>
          <w:szCs w:val="24"/>
        </w:rPr>
        <w:t xml:space="preserve">At the time he deposed to the affidavit he was a pensioner. </w:t>
      </w:r>
      <w:r>
        <w:rPr>
          <w:rFonts w:ascii="Arial" w:hAnsi="Arial" w:cs="Arial"/>
          <w:sz w:val="24"/>
          <w:szCs w:val="24"/>
        </w:rPr>
        <w:t xml:space="preserve">  </w:t>
      </w:r>
    </w:p>
    <w:p w:rsidR="00B14270" w:rsidRDefault="00B14270" w:rsidP="00884AF8">
      <w:pPr>
        <w:spacing w:after="0" w:line="360" w:lineRule="auto"/>
        <w:jc w:val="both"/>
        <w:rPr>
          <w:rFonts w:ascii="Arial" w:hAnsi="Arial" w:cs="Arial"/>
          <w:sz w:val="24"/>
          <w:szCs w:val="24"/>
        </w:rPr>
      </w:pPr>
    </w:p>
    <w:p w:rsidR="00635063" w:rsidRDefault="00834111" w:rsidP="00884AF8">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8</w:t>
      </w:r>
      <w:r>
        <w:rPr>
          <w:rFonts w:ascii="Arial" w:hAnsi="Arial" w:cs="Arial"/>
          <w:sz w:val="24"/>
          <w:szCs w:val="24"/>
        </w:rPr>
        <w:t>]</w:t>
      </w:r>
      <w:r>
        <w:rPr>
          <w:rFonts w:ascii="Arial" w:hAnsi="Arial" w:cs="Arial"/>
          <w:sz w:val="24"/>
          <w:szCs w:val="24"/>
        </w:rPr>
        <w:tab/>
      </w:r>
      <w:r w:rsidR="00565405" w:rsidRPr="00565405">
        <w:rPr>
          <w:rFonts w:ascii="Arial" w:hAnsi="Arial" w:cs="Arial"/>
          <w:sz w:val="24"/>
          <w:szCs w:val="24"/>
        </w:rPr>
        <w:t>The second respondent avers that the application was not served on him personally. He also stated that the application was in any event not served on the property as per the return of service</w:t>
      </w:r>
      <w:r w:rsidR="00784B5D">
        <w:rPr>
          <w:rFonts w:ascii="Arial" w:hAnsi="Arial" w:cs="Arial"/>
          <w:sz w:val="24"/>
          <w:szCs w:val="24"/>
        </w:rPr>
        <w:t>,</w:t>
      </w:r>
      <w:r w:rsidR="00565405" w:rsidRPr="00565405">
        <w:rPr>
          <w:rFonts w:ascii="Arial" w:hAnsi="Arial" w:cs="Arial"/>
          <w:sz w:val="24"/>
          <w:szCs w:val="24"/>
        </w:rPr>
        <w:t xml:space="preserve"> as Ms Da Silva does not reside at the property but is employed by the first respondent</w:t>
      </w:r>
      <w:r w:rsidR="00565405">
        <w:rPr>
          <w:rFonts w:ascii="Arial" w:hAnsi="Arial" w:cs="Arial"/>
          <w:sz w:val="24"/>
          <w:szCs w:val="24"/>
        </w:rPr>
        <w:t xml:space="preserve">. </w:t>
      </w:r>
      <w:r>
        <w:rPr>
          <w:rFonts w:ascii="Arial" w:hAnsi="Arial" w:cs="Arial"/>
          <w:sz w:val="24"/>
          <w:szCs w:val="24"/>
        </w:rPr>
        <w:t xml:space="preserve">The </w:t>
      </w:r>
      <w:r w:rsidR="00565405">
        <w:rPr>
          <w:rFonts w:ascii="Arial" w:hAnsi="Arial" w:cs="Arial"/>
          <w:sz w:val="24"/>
          <w:szCs w:val="24"/>
        </w:rPr>
        <w:t>second</w:t>
      </w:r>
      <w:r>
        <w:rPr>
          <w:rFonts w:ascii="Arial" w:hAnsi="Arial" w:cs="Arial"/>
          <w:sz w:val="24"/>
          <w:szCs w:val="24"/>
        </w:rPr>
        <w:t xml:space="preserve"> respondent </w:t>
      </w:r>
      <w:r w:rsidR="00565405">
        <w:rPr>
          <w:rFonts w:ascii="Arial" w:hAnsi="Arial" w:cs="Arial"/>
          <w:sz w:val="24"/>
          <w:szCs w:val="24"/>
        </w:rPr>
        <w:t xml:space="preserve">however states that he became aware of the application and thereafter consulted a legal practitioner. He does not indicate how he became aware. </w:t>
      </w:r>
      <w:r>
        <w:rPr>
          <w:rFonts w:ascii="Arial" w:hAnsi="Arial" w:cs="Arial"/>
          <w:sz w:val="24"/>
          <w:szCs w:val="24"/>
        </w:rPr>
        <w:t>His legal practitioner of record drafted a letter to the applicant’s legal practitioners advising them that</w:t>
      </w:r>
      <w:r w:rsidR="00635063">
        <w:rPr>
          <w:rFonts w:ascii="Arial" w:hAnsi="Arial" w:cs="Arial"/>
          <w:sz w:val="24"/>
          <w:szCs w:val="24"/>
        </w:rPr>
        <w:t>:</w:t>
      </w:r>
    </w:p>
    <w:p w:rsidR="00784B5D" w:rsidRDefault="00784B5D" w:rsidP="00884AF8">
      <w:pPr>
        <w:spacing w:after="0" w:line="360" w:lineRule="auto"/>
        <w:jc w:val="both"/>
        <w:rPr>
          <w:rFonts w:ascii="Arial" w:hAnsi="Arial" w:cs="Arial"/>
          <w:sz w:val="24"/>
          <w:szCs w:val="24"/>
        </w:rPr>
      </w:pPr>
    </w:p>
    <w:p w:rsidR="00635063" w:rsidRDefault="00834111" w:rsidP="00635063">
      <w:pPr>
        <w:pStyle w:val="ListParagraph"/>
        <w:numPr>
          <w:ilvl w:val="0"/>
          <w:numId w:val="4"/>
        </w:numPr>
        <w:spacing w:after="0" w:line="360" w:lineRule="auto"/>
        <w:jc w:val="both"/>
        <w:rPr>
          <w:rFonts w:ascii="Arial" w:hAnsi="Arial" w:cs="Arial"/>
          <w:sz w:val="24"/>
          <w:szCs w:val="24"/>
        </w:rPr>
      </w:pPr>
      <w:r w:rsidRPr="00635063">
        <w:rPr>
          <w:rFonts w:ascii="Arial" w:hAnsi="Arial" w:cs="Arial"/>
          <w:sz w:val="24"/>
          <w:szCs w:val="24"/>
        </w:rPr>
        <w:t xml:space="preserve"> </w:t>
      </w:r>
      <w:r w:rsidR="00635063">
        <w:rPr>
          <w:rFonts w:ascii="Arial" w:hAnsi="Arial" w:cs="Arial"/>
          <w:sz w:val="24"/>
          <w:szCs w:val="24"/>
        </w:rPr>
        <w:t>T</w:t>
      </w:r>
      <w:r w:rsidRPr="00635063">
        <w:rPr>
          <w:rFonts w:ascii="Arial" w:hAnsi="Arial" w:cs="Arial"/>
          <w:sz w:val="24"/>
          <w:szCs w:val="24"/>
        </w:rPr>
        <w:t>he property has been allocated to him by the first respondent</w:t>
      </w:r>
      <w:r w:rsidR="00635063" w:rsidRPr="00635063">
        <w:rPr>
          <w:rFonts w:ascii="Arial" w:hAnsi="Arial" w:cs="Arial"/>
          <w:sz w:val="24"/>
          <w:szCs w:val="24"/>
        </w:rPr>
        <w:t xml:space="preserve"> </w:t>
      </w:r>
      <w:r w:rsidR="00635063">
        <w:rPr>
          <w:rFonts w:ascii="Arial" w:hAnsi="Arial" w:cs="Arial"/>
          <w:sz w:val="24"/>
          <w:szCs w:val="24"/>
        </w:rPr>
        <w:t>attaching a confirmatory letter t</w:t>
      </w:r>
      <w:r w:rsidR="00635063" w:rsidRPr="00635063">
        <w:rPr>
          <w:rFonts w:ascii="Arial" w:hAnsi="Arial" w:cs="Arial"/>
          <w:sz w:val="24"/>
          <w:szCs w:val="24"/>
        </w:rPr>
        <w:t>hat</w:t>
      </w:r>
      <w:r w:rsidRPr="00635063">
        <w:rPr>
          <w:rFonts w:ascii="Arial" w:hAnsi="Arial" w:cs="Arial"/>
          <w:sz w:val="24"/>
          <w:szCs w:val="24"/>
        </w:rPr>
        <w:t xml:space="preserve">, although the property is registered in the name of the first respondent, it belongs to the second respondent. </w:t>
      </w:r>
    </w:p>
    <w:p w:rsidR="00784B5D" w:rsidRDefault="00784B5D" w:rsidP="00784B5D">
      <w:pPr>
        <w:pStyle w:val="ListParagraph"/>
        <w:spacing w:after="0" w:line="360" w:lineRule="auto"/>
        <w:jc w:val="both"/>
        <w:rPr>
          <w:rFonts w:ascii="Arial" w:hAnsi="Arial" w:cs="Arial"/>
          <w:sz w:val="24"/>
          <w:szCs w:val="24"/>
        </w:rPr>
      </w:pPr>
    </w:p>
    <w:p w:rsidR="00635063" w:rsidRDefault="00635063" w:rsidP="0063506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w:t>
      </w:r>
      <w:r w:rsidRPr="00635063">
        <w:rPr>
          <w:rFonts w:ascii="Arial" w:hAnsi="Arial" w:cs="Arial"/>
          <w:sz w:val="24"/>
          <w:szCs w:val="24"/>
        </w:rPr>
        <w:t xml:space="preserve">he second respondent has commenced with preparations to settle the outstanding debt of the applicant.  </w:t>
      </w:r>
    </w:p>
    <w:p w:rsidR="00784B5D" w:rsidRPr="00784B5D" w:rsidRDefault="00784B5D" w:rsidP="00784B5D">
      <w:pPr>
        <w:spacing w:after="0" w:line="360" w:lineRule="auto"/>
        <w:jc w:val="both"/>
        <w:rPr>
          <w:rFonts w:ascii="Arial" w:hAnsi="Arial" w:cs="Arial"/>
          <w:sz w:val="24"/>
          <w:szCs w:val="24"/>
        </w:rPr>
      </w:pPr>
    </w:p>
    <w:p w:rsidR="00B14270" w:rsidRDefault="00635063" w:rsidP="0063506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He currently has N$150 000 in trust and is prepared to pay a monthly instalment of N$50 000 toward the settlement of the outstanding </w:t>
      </w:r>
      <w:r w:rsidR="00B14270">
        <w:rPr>
          <w:rFonts w:ascii="Arial" w:hAnsi="Arial" w:cs="Arial"/>
          <w:sz w:val="24"/>
          <w:szCs w:val="24"/>
        </w:rPr>
        <w:t>bond which in essence is the offer made to settle the matter.</w:t>
      </w:r>
    </w:p>
    <w:p w:rsidR="00B14270" w:rsidRDefault="00B14270" w:rsidP="00B14270">
      <w:pPr>
        <w:spacing w:after="0" w:line="360" w:lineRule="auto"/>
        <w:jc w:val="both"/>
        <w:rPr>
          <w:rFonts w:ascii="Arial" w:hAnsi="Arial" w:cs="Arial"/>
          <w:sz w:val="24"/>
          <w:szCs w:val="24"/>
        </w:rPr>
      </w:pPr>
    </w:p>
    <w:p w:rsidR="00B14270" w:rsidRDefault="00B14270" w:rsidP="00B14270">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9</w:t>
      </w:r>
      <w:r>
        <w:rPr>
          <w:rFonts w:ascii="Arial" w:hAnsi="Arial" w:cs="Arial"/>
          <w:sz w:val="24"/>
          <w:szCs w:val="24"/>
        </w:rPr>
        <w:t>]</w:t>
      </w:r>
      <w:r>
        <w:rPr>
          <w:rFonts w:ascii="Arial" w:hAnsi="Arial" w:cs="Arial"/>
          <w:sz w:val="24"/>
          <w:szCs w:val="24"/>
        </w:rPr>
        <w:tab/>
        <w:t xml:space="preserve">The response of the applicant to this offer was to accept the payment of N$150 000 </w:t>
      </w:r>
      <w:r w:rsidR="00565405">
        <w:rPr>
          <w:rFonts w:ascii="Arial" w:hAnsi="Arial" w:cs="Arial"/>
          <w:sz w:val="24"/>
          <w:szCs w:val="24"/>
        </w:rPr>
        <w:t xml:space="preserve">but </w:t>
      </w:r>
      <w:r>
        <w:rPr>
          <w:rFonts w:ascii="Arial" w:hAnsi="Arial" w:cs="Arial"/>
          <w:sz w:val="24"/>
          <w:szCs w:val="24"/>
        </w:rPr>
        <w:t xml:space="preserve">rejected the rest of the offer. </w:t>
      </w:r>
    </w:p>
    <w:p w:rsidR="00B14270" w:rsidRDefault="00B14270" w:rsidP="00B14270">
      <w:pPr>
        <w:spacing w:after="0" w:line="360" w:lineRule="auto"/>
        <w:jc w:val="both"/>
        <w:rPr>
          <w:rFonts w:ascii="Arial" w:hAnsi="Arial" w:cs="Arial"/>
          <w:sz w:val="24"/>
          <w:szCs w:val="24"/>
        </w:rPr>
      </w:pPr>
    </w:p>
    <w:p w:rsidR="00B14270" w:rsidRDefault="00B14270" w:rsidP="00B14270">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10</w:t>
      </w:r>
      <w:r>
        <w:rPr>
          <w:rFonts w:ascii="Arial" w:hAnsi="Arial" w:cs="Arial"/>
          <w:sz w:val="24"/>
          <w:szCs w:val="24"/>
        </w:rPr>
        <w:t>]</w:t>
      </w:r>
      <w:r>
        <w:rPr>
          <w:rFonts w:ascii="Arial" w:hAnsi="Arial" w:cs="Arial"/>
          <w:sz w:val="24"/>
          <w:szCs w:val="24"/>
        </w:rPr>
        <w:tab/>
        <w:t>The applicant aver</w:t>
      </w:r>
      <w:r w:rsidR="00784B5D">
        <w:rPr>
          <w:rFonts w:ascii="Arial" w:hAnsi="Arial" w:cs="Arial"/>
          <w:sz w:val="24"/>
          <w:szCs w:val="24"/>
        </w:rPr>
        <w:t>s</w:t>
      </w:r>
      <w:r>
        <w:rPr>
          <w:rFonts w:ascii="Arial" w:hAnsi="Arial" w:cs="Arial"/>
          <w:sz w:val="24"/>
          <w:szCs w:val="24"/>
        </w:rPr>
        <w:t xml:space="preserve"> that he has been trying since May 2022 to have the property transferred into his name but this process has been complicated due to the fact that the property was registered in the name of the first respondent. He indicated that he was also in the process to repatriate funds from Angola but the process is very slow due to strict restrictions imposed by the Government of Angola on the transfer of money outside of Angola. </w:t>
      </w:r>
    </w:p>
    <w:p w:rsidR="00B14270" w:rsidRDefault="00B14270" w:rsidP="00B14270">
      <w:pPr>
        <w:spacing w:after="0" w:line="360" w:lineRule="auto"/>
        <w:jc w:val="both"/>
        <w:rPr>
          <w:rFonts w:ascii="Arial" w:hAnsi="Arial" w:cs="Arial"/>
          <w:sz w:val="24"/>
          <w:szCs w:val="24"/>
        </w:rPr>
      </w:pPr>
    </w:p>
    <w:p w:rsidR="00B14270" w:rsidRDefault="00B14270" w:rsidP="00B14270">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11</w:t>
      </w:r>
      <w:r>
        <w:rPr>
          <w:rFonts w:ascii="Arial" w:hAnsi="Arial" w:cs="Arial"/>
          <w:sz w:val="24"/>
          <w:szCs w:val="24"/>
        </w:rPr>
        <w:t>]</w:t>
      </w:r>
      <w:r>
        <w:rPr>
          <w:rFonts w:ascii="Arial" w:hAnsi="Arial" w:cs="Arial"/>
          <w:sz w:val="24"/>
          <w:szCs w:val="24"/>
        </w:rPr>
        <w:tab/>
      </w:r>
      <w:r w:rsidR="00FE313A">
        <w:rPr>
          <w:rFonts w:ascii="Arial" w:hAnsi="Arial" w:cs="Arial"/>
          <w:sz w:val="24"/>
          <w:szCs w:val="24"/>
        </w:rPr>
        <w:t xml:space="preserve">The second respondent stated </w:t>
      </w:r>
      <w:r>
        <w:rPr>
          <w:rFonts w:ascii="Arial" w:hAnsi="Arial" w:cs="Arial"/>
          <w:sz w:val="24"/>
          <w:szCs w:val="24"/>
        </w:rPr>
        <w:t xml:space="preserve">that the property is his primary home and that of his children and nephews. He denies that the applicant ever attempted to execute the movable property of the first respondent at the </w:t>
      </w:r>
      <w:r w:rsidR="00FE313A">
        <w:rPr>
          <w:rFonts w:ascii="Arial" w:hAnsi="Arial" w:cs="Arial"/>
          <w:sz w:val="24"/>
          <w:szCs w:val="24"/>
        </w:rPr>
        <w:t>offices of the E</w:t>
      </w:r>
      <w:r>
        <w:rPr>
          <w:rFonts w:ascii="Arial" w:hAnsi="Arial" w:cs="Arial"/>
          <w:sz w:val="24"/>
          <w:szCs w:val="24"/>
        </w:rPr>
        <w:t xml:space="preserve">mbassy. </w:t>
      </w:r>
      <w:r w:rsidR="002977EA">
        <w:rPr>
          <w:rFonts w:ascii="Arial" w:hAnsi="Arial" w:cs="Arial"/>
          <w:sz w:val="24"/>
          <w:szCs w:val="24"/>
        </w:rPr>
        <w:t xml:space="preserve">He </w:t>
      </w:r>
      <w:proofErr w:type="gramStart"/>
      <w:r w:rsidR="002977EA">
        <w:rPr>
          <w:rFonts w:ascii="Arial" w:hAnsi="Arial" w:cs="Arial"/>
          <w:sz w:val="24"/>
          <w:szCs w:val="24"/>
        </w:rPr>
        <w:t>submit</w:t>
      </w:r>
      <w:proofErr w:type="gramEnd"/>
      <w:r w:rsidR="002977EA">
        <w:rPr>
          <w:rFonts w:ascii="Arial" w:hAnsi="Arial" w:cs="Arial"/>
          <w:sz w:val="24"/>
          <w:szCs w:val="24"/>
        </w:rPr>
        <w:t xml:space="preserve"> that he has made a reasonable offer and as soon as the money is repatriated, he would settle the outstanding balance of the mortgage bond. He submitted that the bond would be settled in full within one year and 10 months if he repays it</w:t>
      </w:r>
      <w:r w:rsidR="00784B5D">
        <w:rPr>
          <w:rFonts w:ascii="Arial" w:hAnsi="Arial" w:cs="Arial"/>
          <w:sz w:val="24"/>
          <w:szCs w:val="24"/>
        </w:rPr>
        <w:t>,</w:t>
      </w:r>
      <w:r w:rsidR="002977EA">
        <w:rPr>
          <w:rFonts w:ascii="Arial" w:hAnsi="Arial" w:cs="Arial"/>
          <w:sz w:val="24"/>
          <w:szCs w:val="24"/>
        </w:rPr>
        <w:t xml:space="preserve"> as undertaken. </w:t>
      </w:r>
    </w:p>
    <w:p w:rsidR="002B65BD" w:rsidRDefault="002B65BD" w:rsidP="00B14270">
      <w:pPr>
        <w:spacing w:after="0" w:line="360" w:lineRule="auto"/>
        <w:jc w:val="both"/>
        <w:rPr>
          <w:rFonts w:ascii="Arial" w:hAnsi="Arial" w:cs="Arial"/>
          <w:sz w:val="24"/>
          <w:szCs w:val="24"/>
        </w:rPr>
      </w:pPr>
    </w:p>
    <w:p w:rsidR="002B65BD" w:rsidRDefault="002B65BD" w:rsidP="00B14270">
      <w:pPr>
        <w:spacing w:after="0" w:line="360" w:lineRule="auto"/>
        <w:jc w:val="both"/>
        <w:rPr>
          <w:rFonts w:ascii="Arial" w:hAnsi="Arial" w:cs="Arial"/>
          <w:sz w:val="24"/>
          <w:szCs w:val="24"/>
        </w:rPr>
      </w:pPr>
      <w:r>
        <w:rPr>
          <w:rFonts w:ascii="Arial" w:hAnsi="Arial" w:cs="Arial"/>
          <w:sz w:val="24"/>
          <w:szCs w:val="24"/>
        </w:rPr>
        <w:t>[</w:t>
      </w:r>
      <w:r w:rsidR="00565405">
        <w:rPr>
          <w:rFonts w:ascii="Arial" w:hAnsi="Arial" w:cs="Arial"/>
          <w:sz w:val="24"/>
          <w:szCs w:val="24"/>
        </w:rPr>
        <w:t>12</w:t>
      </w:r>
      <w:r>
        <w:rPr>
          <w:rFonts w:ascii="Arial" w:hAnsi="Arial" w:cs="Arial"/>
          <w:sz w:val="24"/>
          <w:szCs w:val="24"/>
        </w:rPr>
        <w:t>]</w:t>
      </w:r>
      <w:r>
        <w:rPr>
          <w:rFonts w:ascii="Arial" w:hAnsi="Arial" w:cs="Arial"/>
          <w:sz w:val="24"/>
          <w:szCs w:val="24"/>
        </w:rPr>
        <w:tab/>
        <w:t xml:space="preserve">The applicant raises the fact that the second respondent is not part of the </w:t>
      </w:r>
      <w:proofErr w:type="gramStart"/>
      <w:r>
        <w:rPr>
          <w:rFonts w:ascii="Arial" w:hAnsi="Arial" w:cs="Arial"/>
          <w:sz w:val="24"/>
          <w:szCs w:val="24"/>
        </w:rPr>
        <w:t>agreement which exist</w:t>
      </w:r>
      <w:proofErr w:type="gramEnd"/>
      <w:r>
        <w:rPr>
          <w:rFonts w:ascii="Arial" w:hAnsi="Arial" w:cs="Arial"/>
          <w:sz w:val="24"/>
          <w:szCs w:val="24"/>
        </w:rPr>
        <w:t xml:space="preserve"> between the applicant and </w:t>
      </w:r>
      <w:r w:rsidR="00784B5D">
        <w:rPr>
          <w:rFonts w:ascii="Arial" w:hAnsi="Arial" w:cs="Arial"/>
          <w:sz w:val="24"/>
          <w:szCs w:val="24"/>
        </w:rPr>
        <w:t xml:space="preserve">the </w:t>
      </w:r>
      <w:r>
        <w:rPr>
          <w:rFonts w:ascii="Arial" w:hAnsi="Arial" w:cs="Arial"/>
          <w:sz w:val="24"/>
          <w:szCs w:val="24"/>
        </w:rPr>
        <w:t xml:space="preserve">first respondent and cannot therefore dictate the contractual terms of the home loan agreement with the applicant. The applicant persisted that a proper case has been made out for </w:t>
      </w:r>
      <w:r w:rsidR="00FE313A">
        <w:rPr>
          <w:rFonts w:ascii="Arial" w:hAnsi="Arial" w:cs="Arial"/>
          <w:sz w:val="24"/>
          <w:szCs w:val="24"/>
        </w:rPr>
        <w:t>the court to grant an order declaring the property executable.</w:t>
      </w:r>
    </w:p>
    <w:p w:rsidR="00933C39" w:rsidRDefault="00933C39" w:rsidP="00B14270">
      <w:pPr>
        <w:spacing w:after="0" w:line="360" w:lineRule="auto"/>
        <w:jc w:val="both"/>
        <w:rPr>
          <w:rFonts w:ascii="Arial" w:hAnsi="Arial" w:cs="Arial"/>
          <w:sz w:val="24"/>
          <w:szCs w:val="24"/>
        </w:rPr>
      </w:pPr>
    </w:p>
    <w:p w:rsidR="00FE313A" w:rsidRDefault="00FE313A" w:rsidP="00B14270">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13</w:t>
      </w:r>
      <w:r>
        <w:rPr>
          <w:rFonts w:ascii="Arial" w:hAnsi="Arial" w:cs="Arial"/>
          <w:sz w:val="24"/>
          <w:szCs w:val="24"/>
        </w:rPr>
        <w:t>]</w:t>
      </w:r>
      <w:r>
        <w:rPr>
          <w:rFonts w:ascii="Arial" w:hAnsi="Arial" w:cs="Arial"/>
          <w:sz w:val="24"/>
          <w:szCs w:val="24"/>
        </w:rPr>
        <w:tab/>
        <w:t>Rule 108 (2) provides as follow:</w:t>
      </w:r>
    </w:p>
    <w:p w:rsidR="00417546" w:rsidRDefault="00417546" w:rsidP="00B14270">
      <w:pPr>
        <w:spacing w:after="0" w:line="360" w:lineRule="auto"/>
        <w:jc w:val="both"/>
        <w:rPr>
          <w:rFonts w:ascii="Arial" w:hAnsi="Arial" w:cs="Arial"/>
          <w:sz w:val="24"/>
          <w:szCs w:val="24"/>
        </w:rPr>
      </w:pPr>
    </w:p>
    <w:p w:rsidR="00FE313A" w:rsidRPr="00933C39" w:rsidRDefault="00FE313A" w:rsidP="00FE313A">
      <w:pPr>
        <w:spacing w:after="0" w:line="360" w:lineRule="auto"/>
        <w:ind w:firstLine="720"/>
        <w:jc w:val="both"/>
        <w:rPr>
          <w:rFonts w:ascii="Arial" w:hAnsi="Arial" w:cs="Arial"/>
        </w:rPr>
      </w:pPr>
      <w:r w:rsidRPr="00933C39">
        <w:rPr>
          <w:rFonts w:ascii="Arial" w:hAnsi="Arial" w:cs="Arial"/>
        </w:rPr>
        <w:t xml:space="preserve">‘If the immovable property sought to be attached </w:t>
      </w:r>
      <w:r w:rsidRPr="00933C39">
        <w:rPr>
          <w:rFonts w:ascii="Arial" w:hAnsi="Arial" w:cs="Arial"/>
          <w:u w:val="single"/>
        </w:rPr>
        <w:t>is the primary home of</w:t>
      </w:r>
      <w:r w:rsidRPr="00933C39">
        <w:rPr>
          <w:rFonts w:ascii="Arial" w:hAnsi="Arial" w:cs="Arial"/>
        </w:rPr>
        <w:t xml:space="preserve"> the execution </w:t>
      </w:r>
      <w:r w:rsidRPr="00933C39">
        <w:rPr>
          <w:rFonts w:ascii="Arial" w:hAnsi="Arial" w:cs="Arial"/>
          <w:u w:val="single"/>
        </w:rPr>
        <w:t>debtor</w:t>
      </w:r>
      <w:r w:rsidRPr="00933C39">
        <w:rPr>
          <w:rFonts w:ascii="Arial" w:hAnsi="Arial" w:cs="Arial"/>
        </w:rPr>
        <w:t xml:space="preserve"> or </w:t>
      </w:r>
      <w:r w:rsidRPr="00933C39">
        <w:rPr>
          <w:rFonts w:ascii="Arial" w:hAnsi="Arial" w:cs="Arial"/>
          <w:u w:val="single"/>
        </w:rPr>
        <w:t>is leased to a third party as home</w:t>
      </w:r>
      <w:r w:rsidRPr="00933C39">
        <w:rPr>
          <w:rFonts w:ascii="Arial" w:hAnsi="Arial" w:cs="Arial"/>
        </w:rPr>
        <w:t xml:space="preserve"> the court may not declare that property to be specially executable unless – </w:t>
      </w:r>
    </w:p>
    <w:p w:rsidR="00FE313A" w:rsidRPr="00933C39" w:rsidRDefault="00FE313A" w:rsidP="00784B5D">
      <w:pPr>
        <w:spacing w:after="0" w:line="360" w:lineRule="auto"/>
        <w:jc w:val="both"/>
        <w:rPr>
          <w:rFonts w:ascii="Arial" w:hAnsi="Arial" w:cs="Arial"/>
        </w:rPr>
      </w:pPr>
      <w:r w:rsidRPr="00933C39">
        <w:rPr>
          <w:rFonts w:ascii="Arial" w:hAnsi="Arial" w:cs="Arial"/>
        </w:rPr>
        <w:t xml:space="preserve">(a) the execution creditor has by means of personal service effected by the deputy sheriff given notice on Form 24 to the execution debtor that application will be made to the court for an order declaring the property executable and calling on the execution debtor to provide reasons to the court why such an order should not be granted; </w:t>
      </w:r>
    </w:p>
    <w:p w:rsidR="00FE313A" w:rsidRPr="00933C39" w:rsidRDefault="00FE313A" w:rsidP="00784B5D">
      <w:pPr>
        <w:spacing w:after="0" w:line="360" w:lineRule="auto"/>
        <w:jc w:val="both"/>
        <w:rPr>
          <w:rFonts w:ascii="Arial" w:hAnsi="Arial" w:cs="Arial"/>
        </w:rPr>
      </w:pPr>
      <w:r w:rsidRPr="00933C39">
        <w:rPr>
          <w:rFonts w:ascii="Arial" w:hAnsi="Arial" w:cs="Arial"/>
        </w:rPr>
        <w:t xml:space="preserve">(b) the execution creditor has caused the notice referred to in paragraph (a) </w:t>
      </w:r>
      <w:r w:rsidRPr="00933C39">
        <w:rPr>
          <w:rFonts w:ascii="Arial" w:hAnsi="Arial" w:cs="Arial"/>
          <w:u w:val="single"/>
        </w:rPr>
        <w:t>to be served personally on any lessee of the property so sought to be declared executable;</w:t>
      </w:r>
      <w:r w:rsidRPr="00933C39">
        <w:rPr>
          <w:rFonts w:ascii="Arial" w:hAnsi="Arial" w:cs="Arial"/>
        </w:rPr>
        <w:t xml:space="preserve"> and</w:t>
      </w:r>
    </w:p>
    <w:p w:rsidR="00B14270" w:rsidRPr="00933C39" w:rsidRDefault="00FE313A" w:rsidP="00784B5D">
      <w:pPr>
        <w:spacing w:after="0" w:line="360" w:lineRule="auto"/>
        <w:jc w:val="both"/>
        <w:rPr>
          <w:rFonts w:ascii="Arial" w:hAnsi="Arial" w:cs="Arial"/>
        </w:rPr>
      </w:pPr>
      <w:r w:rsidRPr="00933C39">
        <w:rPr>
          <w:rFonts w:ascii="Arial" w:hAnsi="Arial" w:cs="Arial"/>
        </w:rPr>
        <w:t xml:space="preserve">(c) the court so orders, </w:t>
      </w:r>
      <w:r w:rsidRPr="00933C39">
        <w:rPr>
          <w:rFonts w:ascii="Arial" w:hAnsi="Arial" w:cs="Arial"/>
          <w:u w:val="single"/>
        </w:rPr>
        <w:t xml:space="preserve">having considered all the relevant circumstances with specific reference to less drastic measures than sale in execution of the primary home under attachment, which measures may include attachment of an alternative immovable property to the immovable property serving as the </w:t>
      </w:r>
      <w:r w:rsidRPr="00933C39">
        <w:rPr>
          <w:rFonts w:ascii="Arial" w:hAnsi="Arial" w:cs="Arial"/>
          <w:b/>
          <w:u w:val="single"/>
        </w:rPr>
        <w:t>primary home of the execution debtor</w:t>
      </w:r>
      <w:r w:rsidRPr="00933C39">
        <w:rPr>
          <w:rFonts w:ascii="Arial" w:hAnsi="Arial" w:cs="Arial"/>
          <w:u w:val="single"/>
        </w:rPr>
        <w:t xml:space="preserve"> or </w:t>
      </w:r>
      <w:r w:rsidRPr="00933C39">
        <w:rPr>
          <w:rFonts w:ascii="Arial" w:hAnsi="Arial" w:cs="Arial"/>
          <w:b/>
          <w:u w:val="single"/>
        </w:rPr>
        <w:t>any third party making claim thereto</w:t>
      </w:r>
      <w:r w:rsidRPr="00933C39">
        <w:rPr>
          <w:rFonts w:ascii="Arial" w:hAnsi="Arial" w:cs="Arial"/>
        </w:rPr>
        <w:t>.</w:t>
      </w:r>
      <w:r w:rsidR="00933C39">
        <w:rPr>
          <w:rFonts w:ascii="Arial" w:hAnsi="Arial" w:cs="Arial"/>
        </w:rPr>
        <w:t>’ [</w:t>
      </w:r>
      <w:proofErr w:type="gramStart"/>
      <w:r w:rsidR="00933C39">
        <w:rPr>
          <w:rFonts w:ascii="Arial" w:hAnsi="Arial" w:cs="Arial"/>
        </w:rPr>
        <w:t>my</w:t>
      </w:r>
      <w:proofErr w:type="gramEnd"/>
      <w:r w:rsidR="00933C39">
        <w:rPr>
          <w:rFonts w:ascii="Arial" w:hAnsi="Arial" w:cs="Arial"/>
        </w:rPr>
        <w:t xml:space="preserve"> emphasis]</w:t>
      </w:r>
    </w:p>
    <w:p w:rsidR="00B14270" w:rsidRDefault="00B14270" w:rsidP="00B14270">
      <w:pPr>
        <w:spacing w:after="0" w:line="360" w:lineRule="auto"/>
        <w:jc w:val="both"/>
        <w:rPr>
          <w:rFonts w:ascii="Arial" w:hAnsi="Arial" w:cs="Arial"/>
          <w:sz w:val="24"/>
          <w:szCs w:val="24"/>
        </w:rPr>
      </w:pPr>
    </w:p>
    <w:p w:rsidR="009562F3" w:rsidRDefault="00FE313A" w:rsidP="009562F3">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14</w:t>
      </w:r>
      <w:r>
        <w:rPr>
          <w:rFonts w:ascii="Arial" w:hAnsi="Arial" w:cs="Arial"/>
          <w:sz w:val="24"/>
          <w:szCs w:val="24"/>
        </w:rPr>
        <w:t>]</w:t>
      </w:r>
      <w:r>
        <w:rPr>
          <w:rFonts w:ascii="Arial" w:hAnsi="Arial" w:cs="Arial"/>
          <w:sz w:val="24"/>
          <w:szCs w:val="24"/>
        </w:rPr>
        <w:tab/>
      </w:r>
      <w:r w:rsidR="000C0F6B">
        <w:rPr>
          <w:rFonts w:ascii="Arial" w:hAnsi="Arial" w:cs="Arial"/>
          <w:sz w:val="24"/>
          <w:szCs w:val="24"/>
        </w:rPr>
        <w:t>It is common cause that the underly</w:t>
      </w:r>
      <w:r w:rsidR="00EA18D6">
        <w:rPr>
          <w:rFonts w:ascii="Arial" w:hAnsi="Arial" w:cs="Arial"/>
          <w:sz w:val="24"/>
          <w:szCs w:val="24"/>
        </w:rPr>
        <w:t>ing issue</w:t>
      </w:r>
      <w:r w:rsidR="000C0F6B">
        <w:rPr>
          <w:rFonts w:ascii="Arial" w:hAnsi="Arial" w:cs="Arial"/>
          <w:sz w:val="24"/>
          <w:szCs w:val="24"/>
        </w:rPr>
        <w:t xml:space="preserve"> in this matter is the agreement between the applicant and the first respondent. </w:t>
      </w:r>
      <w:r w:rsidR="009562F3">
        <w:rPr>
          <w:rFonts w:ascii="Arial" w:hAnsi="Arial" w:cs="Arial"/>
          <w:sz w:val="24"/>
          <w:szCs w:val="24"/>
        </w:rPr>
        <w:t>The loan was to be repaid by the first respondent in monthly instalments of N$</w:t>
      </w:r>
      <w:r w:rsidR="009562F3" w:rsidRPr="00AC2152">
        <w:rPr>
          <w:rFonts w:ascii="Arial" w:hAnsi="Arial" w:cs="Arial"/>
          <w:sz w:val="24"/>
          <w:szCs w:val="24"/>
        </w:rPr>
        <w:t>50</w:t>
      </w:r>
      <w:r w:rsidR="009562F3">
        <w:rPr>
          <w:rFonts w:ascii="Arial" w:hAnsi="Arial" w:cs="Arial"/>
          <w:sz w:val="24"/>
          <w:szCs w:val="24"/>
        </w:rPr>
        <w:t> </w:t>
      </w:r>
      <w:r w:rsidR="009562F3" w:rsidRPr="00AC2152">
        <w:rPr>
          <w:rFonts w:ascii="Arial" w:hAnsi="Arial" w:cs="Arial"/>
          <w:sz w:val="24"/>
          <w:szCs w:val="24"/>
        </w:rPr>
        <w:t>730</w:t>
      </w:r>
      <w:r w:rsidR="009562F3">
        <w:rPr>
          <w:rFonts w:ascii="Arial" w:hAnsi="Arial" w:cs="Arial"/>
          <w:sz w:val="24"/>
          <w:szCs w:val="24"/>
        </w:rPr>
        <w:t>.</w:t>
      </w:r>
      <w:r>
        <w:rPr>
          <w:rFonts w:ascii="Arial" w:hAnsi="Arial" w:cs="Arial"/>
          <w:sz w:val="24"/>
          <w:szCs w:val="24"/>
        </w:rPr>
        <w:t xml:space="preserve"> </w:t>
      </w:r>
      <w:r w:rsidR="009562F3">
        <w:rPr>
          <w:rFonts w:ascii="Arial" w:hAnsi="Arial" w:cs="Arial"/>
          <w:sz w:val="24"/>
          <w:szCs w:val="24"/>
        </w:rPr>
        <w:t xml:space="preserve"> The first respondent fell in arrears as from 20 November 2019.</w:t>
      </w:r>
      <w:r w:rsidR="009562F3" w:rsidRPr="009562F3">
        <w:t xml:space="preserve"> </w:t>
      </w:r>
      <w:r w:rsidR="009562F3">
        <w:rPr>
          <w:rFonts w:ascii="Arial" w:hAnsi="Arial" w:cs="Arial"/>
          <w:sz w:val="24"/>
          <w:szCs w:val="24"/>
        </w:rPr>
        <w:t xml:space="preserve"> The </w:t>
      </w:r>
      <w:r w:rsidR="009562F3" w:rsidRPr="009562F3">
        <w:rPr>
          <w:rFonts w:ascii="Arial" w:hAnsi="Arial" w:cs="Arial"/>
          <w:sz w:val="24"/>
          <w:szCs w:val="24"/>
        </w:rPr>
        <w:t>full amount</w:t>
      </w:r>
      <w:r w:rsidR="009562F3">
        <w:rPr>
          <w:rFonts w:ascii="Arial" w:hAnsi="Arial" w:cs="Arial"/>
          <w:sz w:val="24"/>
          <w:szCs w:val="24"/>
        </w:rPr>
        <w:t xml:space="preserve"> </w:t>
      </w:r>
      <w:r w:rsidR="009562F3" w:rsidRPr="009562F3">
        <w:rPr>
          <w:rFonts w:ascii="Arial" w:hAnsi="Arial" w:cs="Arial"/>
          <w:sz w:val="24"/>
          <w:szCs w:val="24"/>
        </w:rPr>
        <w:t>(capital, and additional sum and interest) still owi</w:t>
      </w:r>
      <w:r w:rsidR="00AD6110">
        <w:rPr>
          <w:rFonts w:ascii="Arial" w:hAnsi="Arial" w:cs="Arial"/>
          <w:sz w:val="24"/>
          <w:szCs w:val="24"/>
        </w:rPr>
        <w:t>ng to the applicant, became due and</w:t>
      </w:r>
      <w:r w:rsidR="009562F3" w:rsidRPr="009562F3">
        <w:rPr>
          <w:rFonts w:ascii="Arial" w:hAnsi="Arial" w:cs="Arial"/>
          <w:sz w:val="24"/>
          <w:szCs w:val="24"/>
        </w:rPr>
        <w:t xml:space="preserve"> owing</w:t>
      </w:r>
      <w:r w:rsidR="00EA18D6">
        <w:rPr>
          <w:rFonts w:ascii="Arial" w:hAnsi="Arial" w:cs="Arial"/>
          <w:sz w:val="24"/>
          <w:szCs w:val="24"/>
        </w:rPr>
        <w:t>. Default j</w:t>
      </w:r>
      <w:r w:rsidR="009562F3">
        <w:rPr>
          <w:rFonts w:ascii="Arial" w:hAnsi="Arial" w:cs="Arial"/>
          <w:sz w:val="24"/>
          <w:szCs w:val="24"/>
        </w:rPr>
        <w:t xml:space="preserve">udgment was obtained in the sum of </w:t>
      </w:r>
      <w:r w:rsidR="00EA18D6">
        <w:rPr>
          <w:rFonts w:ascii="Arial" w:hAnsi="Arial" w:cs="Arial"/>
          <w:sz w:val="24"/>
          <w:szCs w:val="24"/>
        </w:rPr>
        <w:t xml:space="preserve">N$ 1 235 </w:t>
      </w:r>
      <w:r w:rsidR="009562F3" w:rsidRPr="009562F3">
        <w:rPr>
          <w:rFonts w:ascii="Arial" w:hAnsi="Arial" w:cs="Arial"/>
          <w:sz w:val="24"/>
          <w:szCs w:val="24"/>
        </w:rPr>
        <w:t>486.34</w:t>
      </w:r>
      <w:r w:rsidR="009562F3">
        <w:rPr>
          <w:rFonts w:ascii="Arial" w:hAnsi="Arial" w:cs="Arial"/>
          <w:sz w:val="24"/>
          <w:szCs w:val="24"/>
        </w:rPr>
        <w:t>. These facts are not in dispute.</w:t>
      </w:r>
    </w:p>
    <w:p w:rsidR="00D419C1" w:rsidRDefault="00D419C1" w:rsidP="009562F3">
      <w:pPr>
        <w:spacing w:after="0" w:line="360" w:lineRule="auto"/>
        <w:jc w:val="both"/>
        <w:rPr>
          <w:rFonts w:ascii="Arial" w:hAnsi="Arial" w:cs="Arial"/>
          <w:sz w:val="24"/>
          <w:szCs w:val="24"/>
        </w:rPr>
      </w:pPr>
    </w:p>
    <w:p w:rsidR="00B14270" w:rsidRDefault="009562F3" w:rsidP="006C31E2">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15</w:t>
      </w:r>
      <w:r>
        <w:rPr>
          <w:rFonts w:ascii="Arial" w:hAnsi="Arial" w:cs="Arial"/>
          <w:sz w:val="24"/>
          <w:szCs w:val="24"/>
        </w:rPr>
        <w:t>]</w:t>
      </w:r>
      <w:r>
        <w:rPr>
          <w:rFonts w:ascii="Arial" w:hAnsi="Arial" w:cs="Arial"/>
          <w:sz w:val="24"/>
          <w:szCs w:val="24"/>
        </w:rPr>
        <w:tab/>
        <w:t>The applicant submit</w:t>
      </w:r>
      <w:r w:rsidR="00EA18D6">
        <w:rPr>
          <w:rFonts w:ascii="Arial" w:hAnsi="Arial" w:cs="Arial"/>
          <w:sz w:val="24"/>
          <w:szCs w:val="24"/>
        </w:rPr>
        <w:t>s</w:t>
      </w:r>
      <w:r>
        <w:rPr>
          <w:rFonts w:ascii="Arial" w:hAnsi="Arial" w:cs="Arial"/>
          <w:sz w:val="24"/>
          <w:szCs w:val="24"/>
        </w:rPr>
        <w:t xml:space="preserve"> that the home is not the primary home of the respondent. </w:t>
      </w:r>
      <w:r w:rsidR="006C31E2">
        <w:rPr>
          <w:rFonts w:ascii="Arial" w:hAnsi="Arial" w:cs="Arial"/>
          <w:sz w:val="24"/>
          <w:szCs w:val="24"/>
        </w:rPr>
        <w:t>The applicant submit</w:t>
      </w:r>
      <w:r w:rsidR="002A2C41">
        <w:rPr>
          <w:rFonts w:ascii="Arial" w:hAnsi="Arial" w:cs="Arial"/>
          <w:sz w:val="24"/>
          <w:szCs w:val="24"/>
        </w:rPr>
        <w:t>s</w:t>
      </w:r>
      <w:r w:rsidR="006C31E2">
        <w:rPr>
          <w:rFonts w:ascii="Arial" w:hAnsi="Arial" w:cs="Arial"/>
          <w:sz w:val="24"/>
          <w:szCs w:val="24"/>
        </w:rPr>
        <w:t xml:space="preserve"> </w:t>
      </w:r>
      <w:r w:rsidR="00933C39">
        <w:rPr>
          <w:rFonts w:ascii="Arial" w:hAnsi="Arial" w:cs="Arial"/>
          <w:sz w:val="24"/>
          <w:szCs w:val="24"/>
        </w:rPr>
        <w:t xml:space="preserve">further </w:t>
      </w:r>
      <w:r w:rsidR="006C31E2">
        <w:rPr>
          <w:rFonts w:ascii="Arial" w:hAnsi="Arial" w:cs="Arial"/>
          <w:sz w:val="24"/>
          <w:szCs w:val="24"/>
        </w:rPr>
        <w:t xml:space="preserve">that the second respondent in any </w:t>
      </w:r>
      <w:proofErr w:type="gramStart"/>
      <w:r w:rsidR="006C31E2">
        <w:rPr>
          <w:rFonts w:ascii="Arial" w:hAnsi="Arial" w:cs="Arial"/>
          <w:sz w:val="24"/>
          <w:szCs w:val="24"/>
        </w:rPr>
        <w:t>way</w:t>
      </w:r>
      <w:r w:rsidR="00EA18D6">
        <w:rPr>
          <w:rFonts w:ascii="Arial" w:hAnsi="Arial" w:cs="Arial"/>
          <w:sz w:val="24"/>
          <w:szCs w:val="24"/>
        </w:rPr>
        <w:t>,</w:t>
      </w:r>
      <w:proofErr w:type="gramEnd"/>
      <w:r w:rsidR="006C31E2">
        <w:rPr>
          <w:rFonts w:ascii="Arial" w:hAnsi="Arial" w:cs="Arial"/>
          <w:sz w:val="24"/>
          <w:szCs w:val="24"/>
        </w:rPr>
        <w:t xml:space="preserve"> does not have money to repay the debt and has not offered any other property for sale. The applicant argues that a</w:t>
      </w:r>
      <w:r w:rsidR="00EA18D6">
        <w:rPr>
          <w:rFonts w:ascii="Arial" w:hAnsi="Arial" w:cs="Arial"/>
          <w:sz w:val="24"/>
          <w:szCs w:val="24"/>
        </w:rPr>
        <w:t>n application in terms of r</w:t>
      </w:r>
      <w:r w:rsidR="006C31E2" w:rsidRPr="006C31E2">
        <w:rPr>
          <w:rFonts w:ascii="Arial" w:hAnsi="Arial" w:cs="Arial"/>
          <w:sz w:val="24"/>
          <w:szCs w:val="24"/>
        </w:rPr>
        <w:t>ule 108 of</w:t>
      </w:r>
      <w:r w:rsidR="006C31E2">
        <w:rPr>
          <w:rFonts w:ascii="Arial" w:hAnsi="Arial" w:cs="Arial"/>
          <w:sz w:val="24"/>
          <w:szCs w:val="24"/>
        </w:rPr>
        <w:t xml:space="preserve"> </w:t>
      </w:r>
      <w:r w:rsidR="006C31E2" w:rsidRPr="006C31E2">
        <w:rPr>
          <w:rFonts w:ascii="Arial" w:hAnsi="Arial" w:cs="Arial"/>
          <w:sz w:val="24"/>
          <w:szCs w:val="24"/>
        </w:rPr>
        <w:t>the Rules of this Honourable Court cannot be used to obtain an extension of time to satisfy</w:t>
      </w:r>
      <w:r w:rsidR="006C31E2">
        <w:rPr>
          <w:rFonts w:ascii="Arial" w:hAnsi="Arial" w:cs="Arial"/>
          <w:sz w:val="24"/>
          <w:szCs w:val="24"/>
        </w:rPr>
        <w:t xml:space="preserve"> </w:t>
      </w:r>
      <w:r w:rsidR="006C31E2" w:rsidRPr="006C31E2">
        <w:rPr>
          <w:rFonts w:ascii="Arial" w:hAnsi="Arial" w:cs="Arial"/>
          <w:sz w:val="24"/>
          <w:szCs w:val="24"/>
        </w:rPr>
        <w:t>the judgment debt</w:t>
      </w:r>
      <w:r w:rsidR="006C31E2">
        <w:rPr>
          <w:rFonts w:ascii="Arial" w:hAnsi="Arial" w:cs="Arial"/>
          <w:sz w:val="24"/>
          <w:szCs w:val="24"/>
        </w:rPr>
        <w:t>.  Referring to</w:t>
      </w:r>
      <w:r w:rsidR="006C31E2" w:rsidRPr="006C31E2">
        <w:rPr>
          <w:rFonts w:ascii="Arial" w:hAnsi="Arial" w:cs="Arial"/>
          <w:sz w:val="24"/>
          <w:szCs w:val="24"/>
        </w:rPr>
        <w:t xml:space="preserve"> </w:t>
      </w:r>
      <w:r w:rsidR="006C31E2" w:rsidRPr="006C31E2">
        <w:rPr>
          <w:rFonts w:ascii="Arial" w:hAnsi="Arial" w:cs="Arial"/>
          <w:i/>
          <w:sz w:val="24"/>
          <w:szCs w:val="24"/>
        </w:rPr>
        <w:t>Standard Bank Namibia Limited v MGM Properties CC</w:t>
      </w:r>
      <w:r w:rsidR="006C31E2">
        <w:rPr>
          <w:rStyle w:val="FootnoteReference"/>
          <w:rFonts w:ascii="Arial" w:hAnsi="Arial" w:cs="Arial"/>
          <w:i/>
          <w:sz w:val="24"/>
          <w:szCs w:val="24"/>
        </w:rPr>
        <w:footnoteReference w:id="1"/>
      </w:r>
      <w:r w:rsidR="006C31E2" w:rsidRPr="006C31E2">
        <w:rPr>
          <w:rFonts w:ascii="Arial" w:hAnsi="Arial" w:cs="Arial"/>
          <w:sz w:val="24"/>
          <w:szCs w:val="24"/>
        </w:rPr>
        <w:t xml:space="preserve"> </w:t>
      </w:r>
      <w:r w:rsidR="00933C39">
        <w:rPr>
          <w:rFonts w:ascii="Arial" w:hAnsi="Arial" w:cs="Arial"/>
          <w:sz w:val="24"/>
          <w:szCs w:val="24"/>
        </w:rPr>
        <w:t>wherein it states that t</w:t>
      </w:r>
      <w:r w:rsidR="006C31E2" w:rsidRPr="006C31E2">
        <w:rPr>
          <w:rFonts w:ascii="Arial" w:hAnsi="Arial" w:cs="Arial"/>
          <w:sz w:val="24"/>
          <w:szCs w:val="24"/>
        </w:rPr>
        <w:t>he business of property finance is based on the assurance that the lender will, without unreasonable delay, recoup its money from the judgment debtor who defaulted by selling the bonded property.</w:t>
      </w:r>
      <w:r w:rsidR="00FC1FD9">
        <w:rPr>
          <w:rFonts w:ascii="Arial" w:hAnsi="Arial" w:cs="Arial"/>
          <w:sz w:val="24"/>
          <w:szCs w:val="24"/>
        </w:rPr>
        <w:t xml:space="preserve"> The applicant submits that the</w:t>
      </w:r>
      <w:r w:rsidR="00EA18D6">
        <w:rPr>
          <w:rFonts w:ascii="Arial" w:hAnsi="Arial" w:cs="Arial"/>
          <w:sz w:val="24"/>
          <w:szCs w:val="24"/>
        </w:rPr>
        <w:t xml:space="preserve"> first</w:t>
      </w:r>
      <w:r w:rsidR="00FC1FD9">
        <w:rPr>
          <w:rFonts w:ascii="Arial" w:hAnsi="Arial" w:cs="Arial"/>
          <w:sz w:val="24"/>
          <w:szCs w:val="24"/>
        </w:rPr>
        <w:t xml:space="preserve"> </w:t>
      </w:r>
      <w:r w:rsidR="00FC1FD9" w:rsidRPr="00FC1FD9">
        <w:rPr>
          <w:rFonts w:ascii="Arial" w:hAnsi="Arial" w:cs="Arial"/>
          <w:sz w:val="24"/>
          <w:szCs w:val="24"/>
        </w:rPr>
        <w:t>respondent was unable and remains unable to satisfy the judgment debt and more than a year has passed since the applicant obtained judgment against the</w:t>
      </w:r>
      <w:r w:rsidR="00EA18D6">
        <w:rPr>
          <w:rFonts w:ascii="Arial" w:hAnsi="Arial" w:cs="Arial"/>
          <w:sz w:val="24"/>
          <w:szCs w:val="24"/>
        </w:rPr>
        <w:t xml:space="preserve"> first </w:t>
      </w:r>
      <w:r w:rsidR="00FC1FD9" w:rsidRPr="00FC1FD9">
        <w:rPr>
          <w:rFonts w:ascii="Arial" w:hAnsi="Arial" w:cs="Arial"/>
          <w:sz w:val="24"/>
          <w:szCs w:val="24"/>
        </w:rPr>
        <w:t>respondent. The only remaining relief for the applicant is to have the property declared executable.</w:t>
      </w:r>
      <w:r w:rsidR="00FC1FD9">
        <w:rPr>
          <w:rFonts w:ascii="Arial" w:hAnsi="Arial" w:cs="Arial"/>
          <w:sz w:val="24"/>
          <w:szCs w:val="24"/>
        </w:rPr>
        <w:t xml:space="preserve"> </w:t>
      </w:r>
    </w:p>
    <w:p w:rsidR="00AD6110" w:rsidRDefault="00AD6110" w:rsidP="006C31E2">
      <w:pPr>
        <w:spacing w:after="0" w:line="360" w:lineRule="auto"/>
        <w:jc w:val="both"/>
        <w:rPr>
          <w:rFonts w:ascii="Arial" w:hAnsi="Arial" w:cs="Arial"/>
          <w:sz w:val="24"/>
          <w:szCs w:val="24"/>
        </w:rPr>
      </w:pPr>
    </w:p>
    <w:p w:rsidR="00FC1FD9" w:rsidRDefault="00AD6110" w:rsidP="006C31E2">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applicant raised the issue that the second respondent did not sign the affidavit in accordance with Rule 128. The affidavit was signed by the second respondent at the embassy of Namibia in Luanda in the presence of Andreas Nelumbu who is a Police Attaché at the said embassy. He appears to be a person who is authorised to authenticate documents in Angola. I am satisfied that there has been compliance with Rule 128.</w:t>
      </w:r>
    </w:p>
    <w:p w:rsidR="00AD6110" w:rsidRDefault="00AD6110" w:rsidP="006C31E2">
      <w:pPr>
        <w:spacing w:after="0" w:line="360" w:lineRule="auto"/>
        <w:jc w:val="both"/>
        <w:rPr>
          <w:rFonts w:ascii="Arial" w:hAnsi="Arial" w:cs="Arial"/>
          <w:sz w:val="24"/>
          <w:szCs w:val="24"/>
        </w:rPr>
      </w:pPr>
    </w:p>
    <w:p w:rsidR="000175FA" w:rsidRDefault="000175FA" w:rsidP="006C31E2">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17</w:t>
      </w:r>
      <w:r>
        <w:rPr>
          <w:rFonts w:ascii="Arial" w:hAnsi="Arial" w:cs="Arial"/>
          <w:sz w:val="24"/>
          <w:szCs w:val="24"/>
        </w:rPr>
        <w:t>]</w:t>
      </w:r>
      <w:r>
        <w:rPr>
          <w:rFonts w:ascii="Arial" w:hAnsi="Arial" w:cs="Arial"/>
          <w:sz w:val="24"/>
          <w:szCs w:val="24"/>
        </w:rPr>
        <w:tab/>
      </w:r>
      <w:r w:rsidR="00FC1FD9">
        <w:rPr>
          <w:rFonts w:ascii="Arial" w:hAnsi="Arial" w:cs="Arial"/>
          <w:sz w:val="24"/>
          <w:szCs w:val="24"/>
        </w:rPr>
        <w:t xml:space="preserve">The second respondent’s counsel submitted that it is a jurisdictional requirement that there must have been personal service on the occupants of the premises. </w:t>
      </w:r>
      <w:r>
        <w:rPr>
          <w:rFonts w:ascii="Arial" w:hAnsi="Arial" w:cs="Arial"/>
          <w:sz w:val="24"/>
          <w:szCs w:val="24"/>
        </w:rPr>
        <w:t xml:space="preserve">He argued that the court ought to determine who ought to get personal notice and in this regard referred </w:t>
      </w:r>
      <w:r w:rsidR="00FC1FD9">
        <w:rPr>
          <w:rFonts w:ascii="Arial" w:hAnsi="Arial" w:cs="Arial"/>
          <w:sz w:val="24"/>
          <w:szCs w:val="24"/>
        </w:rPr>
        <w:t xml:space="preserve">this court to </w:t>
      </w:r>
      <w:r w:rsidRPr="000175FA">
        <w:rPr>
          <w:rFonts w:ascii="Arial" w:hAnsi="Arial" w:cs="Arial"/>
          <w:i/>
          <w:sz w:val="24"/>
          <w:szCs w:val="24"/>
        </w:rPr>
        <w:t>Standard Bank Namibia Ltd v Bock</w:t>
      </w:r>
      <w:r>
        <w:rPr>
          <w:rStyle w:val="FootnoteReference"/>
          <w:rFonts w:ascii="Arial" w:hAnsi="Arial" w:cs="Arial"/>
          <w:i/>
          <w:sz w:val="24"/>
          <w:szCs w:val="24"/>
        </w:rPr>
        <w:footnoteReference w:id="2"/>
      </w:r>
      <w:r w:rsidR="00F601B5">
        <w:rPr>
          <w:rFonts w:ascii="Arial" w:hAnsi="Arial" w:cs="Arial"/>
          <w:sz w:val="24"/>
          <w:szCs w:val="24"/>
        </w:rPr>
        <w:t xml:space="preserve"> where the court stated </w:t>
      </w:r>
      <w:r w:rsidR="00FC1FD9">
        <w:rPr>
          <w:rFonts w:ascii="Arial" w:hAnsi="Arial" w:cs="Arial"/>
          <w:sz w:val="24"/>
          <w:szCs w:val="24"/>
        </w:rPr>
        <w:t>the following</w:t>
      </w:r>
      <w:r>
        <w:rPr>
          <w:rFonts w:ascii="Arial" w:hAnsi="Arial" w:cs="Arial"/>
          <w:sz w:val="24"/>
          <w:szCs w:val="24"/>
        </w:rPr>
        <w:t>:</w:t>
      </w:r>
    </w:p>
    <w:p w:rsidR="000175FA" w:rsidRPr="000175FA" w:rsidRDefault="000175FA" w:rsidP="000175FA">
      <w:pPr>
        <w:spacing w:after="0" w:line="360" w:lineRule="auto"/>
        <w:jc w:val="both"/>
        <w:rPr>
          <w:rFonts w:ascii="Arial" w:hAnsi="Arial" w:cs="Arial"/>
          <w:sz w:val="24"/>
          <w:szCs w:val="24"/>
        </w:rPr>
      </w:pPr>
      <w:r>
        <w:rPr>
          <w:rFonts w:ascii="Arial" w:hAnsi="Arial" w:cs="Arial"/>
          <w:sz w:val="24"/>
          <w:szCs w:val="24"/>
        </w:rPr>
        <w:tab/>
        <w:t>‘</w:t>
      </w:r>
      <w:r w:rsidRPr="000175FA">
        <w:rPr>
          <w:rFonts w:ascii="Arial" w:hAnsi="Arial" w:cs="Arial"/>
        </w:rPr>
        <w:t>In this connection, I incline to the view that the person who is entitled to notice in terms of the rule, is a person who is able to bring to the court’s attention less drastic measures than the attachment of the property. It must, in other words, be a person with means, either to put up another property, or who can suggest other modes of payment, including instalments that may be seen as acceptable to the judgment creditor</w:t>
      </w:r>
      <w:r w:rsidRPr="000175FA">
        <w:rPr>
          <w:rFonts w:ascii="Arial" w:hAnsi="Arial" w:cs="Arial"/>
          <w:sz w:val="24"/>
          <w:szCs w:val="24"/>
        </w:rPr>
        <w:t>.</w:t>
      </w:r>
      <w:r>
        <w:rPr>
          <w:rFonts w:ascii="Arial" w:hAnsi="Arial" w:cs="Arial"/>
          <w:sz w:val="24"/>
          <w:szCs w:val="24"/>
        </w:rPr>
        <w:t>’</w:t>
      </w:r>
    </w:p>
    <w:p w:rsidR="000175FA" w:rsidRDefault="000175FA" w:rsidP="006C31E2">
      <w:pPr>
        <w:spacing w:after="0" w:line="360" w:lineRule="auto"/>
        <w:jc w:val="both"/>
        <w:rPr>
          <w:rFonts w:ascii="Arial" w:hAnsi="Arial" w:cs="Arial"/>
          <w:sz w:val="24"/>
          <w:szCs w:val="24"/>
        </w:rPr>
      </w:pPr>
    </w:p>
    <w:p w:rsidR="00FC1FD9" w:rsidRDefault="000175FA" w:rsidP="006C31E2">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18</w:t>
      </w:r>
      <w:r>
        <w:rPr>
          <w:rFonts w:ascii="Arial" w:hAnsi="Arial" w:cs="Arial"/>
          <w:sz w:val="24"/>
          <w:szCs w:val="24"/>
        </w:rPr>
        <w:t>]</w:t>
      </w:r>
      <w:r>
        <w:rPr>
          <w:rFonts w:ascii="Arial" w:hAnsi="Arial" w:cs="Arial"/>
          <w:sz w:val="24"/>
          <w:szCs w:val="24"/>
        </w:rPr>
        <w:tab/>
        <w:t xml:space="preserve">Counsel for the second respondent makes the following remarks when it comes to the inquiry itself. </w:t>
      </w:r>
      <w:r w:rsidR="00FC1FD9">
        <w:rPr>
          <w:rFonts w:ascii="Arial" w:hAnsi="Arial" w:cs="Arial"/>
          <w:sz w:val="24"/>
          <w:szCs w:val="24"/>
        </w:rPr>
        <w:t xml:space="preserve"> </w:t>
      </w:r>
      <w:r w:rsidR="0034165B">
        <w:rPr>
          <w:rFonts w:ascii="Arial" w:hAnsi="Arial" w:cs="Arial"/>
          <w:sz w:val="24"/>
          <w:szCs w:val="24"/>
        </w:rPr>
        <w:t>He submit</w:t>
      </w:r>
      <w:r w:rsidR="002A2C41">
        <w:rPr>
          <w:rFonts w:ascii="Arial" w:hAnsi="Arial" w:cs="Arial"/>
          <w:sz w:val="24"/>
          <w:szCs w:val="24"/>
        </w:rPr>
        <w:t>s</w:t>
      </w:r>
      <w:r w:rsidR="0034165B">
        <w:rPr>
          <w:rFonts w:ascii="Arial" w:hAnsi="Arial" w:cs="Arial"/>
          <w:sz w:val="24"/>
          <w:szCs w:val="24"/>
        </w:rPr>
        <w:t xml:space="preserve"> that the respondent has provided an option that is less drastic measure than the sale of the property in execution which is the offer made. He submits that the full outstanding balance will be paid within 2</w:t>
      </w:r>
      <w:r w:rsidR="004E1CAB">
        <w:rPr>
          <w:rFonts w:ascii="Arial" w:hAnsi="Arial" w:cs="Arial"/>
          <w:sz w:val="24"/>
          <w:szCs w:val="24"/>
        </w:rPr>
        <w:t>2</w:t>
      </w:r>
      <w:r w:rsidR="0034165B">
        <w:rPr>
          <w:rFonts w:ascii="Arial" w:hAnsi="Arial" w:cs="Arial"/>
          <w:sz w:val="24"/>
          <w:szCs w:val="24"/>
        </w:rPr>
        <w:t xml:space="preserve"> months</w:t>
      </w:r>
      <w:r w:rsidR="004E1CAB">
        <w:rPr>
          <w:rFonts w:ascii="Arial" w:hAnsi="Arial" w:cs="Arial"/>
          <w:sz w:val="24"/>
          <w:szCs w:val="24"/>
        </w:rPr>
        <w:t xml:space="preserve"> from date of acceptance of offer</w:t>
      </w:r>
      <w:r w:rsidR="0034165B">
        <w:rPr>
          <w:rFonts w:ascii="Arial" w:hAnsi="Arial" w:cs="Arial"/>
          <w:sz w:val="24"/>
          <w:szCs w:val="24"/>
        </w:rPr>
        <w:t xml:space="preserve">. </w:t>
      </w:r>
      <w:r w:rsidR="004F7411">
        <w:rPr>
          <w:rFonts w:ascii="Arial" w:hAnsi="Arial" w:cs="Arial"/>
          <w:sz w:val="24"/>
          <w:szCs w:val="24"/>
        </w:rPr>
        <w:t>Citing a list of cases where this court expressed concern that vulnerable persons would be left homeless if no proper</w:t>
      </w:r>
      <w:r w:rsidR="00AA2811">
        <w:rPr>
          <w:rFonts w:ascii="Arial" w:hAnsi="Arial" w:cs="Arial"/>
          <w:sz w:val="24"/>
          <w:szCs w:val="24"/>
        </w:rPr>
        <w:t xml:space="preserve"> consideration is given to the less drastic measures offered by the respondent.</w:t>
      </w:r>
    </w:p>
    <w:p w:rsidR="00933C39" w:rsidRDefault="00933C39" w:rsidP="006C31E2">
      <w:pPr>
        <w:spacing w:after="0" w:line="360" w:lineRule="auto"/>
        <w:jc w:val="both"/>
        <w:rPr>
          <w:rFonts w:ascii="Arial" w:hAnsi="Arial" w:cs="Arial"/>
          <w:sz w:val="24"/>
          <w:szCs w:val="24"/>
        </w:rPr>
      </w:pPr>
    </w:p>
    <w:p w:rsidR="00B14270" w:rsidRDefault="00933C39" w:rsidP="00B14270">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19</w:t>
      </w:r>
      <w:r>
        <w:rPr>
          <w:rFonts w:ascii="Arial" w:hAnsi="Arial" w:cs="Arial"/>
          <w:sz w:val="24"/>
          <w:szCs w:val="24"/>
        </w:rPr>
        <w:t>]</w:t>
      </w:r>
      <w:r>
        <w:rPr>
          <w:rFonts w:ascii="Arial" w:hAnsi="Arial" w:cs="Arial"/>
          <w:sz w:val="24"/>
          <w:szCs w:val="24"/>
        </w:rPr>
        <w:tab/>
        <w:t xml:space="preserve">The facts in the matter of </w:t>
      </w:r>
      <w:r w:rsidRPr="00933C39">
        <w:rPr>
          <w:rFonts w:ascii="Arial" w:hAnsi="Arial" w:cs="Arial"/>
          <w:i/>
          <w:sz w:val="24"/>
          <w:szCs w:val="24"/>
        </w:rPr>
        <w:t xml:space="preserve">Standard Bank Namibia Ltd v Bock </w:t>
      </w:r>
      <w:r>
        <w:rPr>
          <w:rStyle w:val="FootnoteReference"/>
          <w:rFonts w:ascii="Arial" w:hAnsi="Arial" w:cs="Arial"/>
          <w:i/>
          <w:sz w:val="24"/>
          <w:szCs w:val="24"/>
        </w:rPr>
        <w:footnoteReference w:id="3"/>
      </w:r>
      <w:r>
        <w:rPr>
          <w:rFonts w:ascii="Arial" w:hAnsi="Arial" w:cs="Arial"/>
          <w:sz w:val="24"/>
          <w:szCs w:val="24"/>
        </w:rPr>
        <w:t xml:space="preserve"> are comparable to the case at hand</w:t>
      </w:r>
      <w:r w:rsidR="002A2C41">
        <w:rPr>
          <w:rFonts w:ascii="Arial" w:hAnsi="Arial" w:cs="Arial"/>
          <w:sz w:val="24"/>
          <w:szCs w:val="24"/>
        </w:rPr>
        <w:t>. In that case the property was</w:t>
      </w:r>
      <w:r>
        <w:rPr>
          <w:rFonts w:ascii="Arial" w:hAnsi="Arial" w:cs="Arial"/>
          <w:sz w:val="24"/>
          <w:szCs w:val="24"/>
        </w:rPr>
        <w:t xml:space="preserve"> also not the primary residence of the respondents but it was the primary residence of their family members. In respect of service the court held that </w:t>
      </w:r>
      <w:r w:rsidR="00EA18D6">
        <w:rPr>
          <w:rFonts w:ascii="Arial" w:hAnsi="Arial" w:cs="Arial"/>
          <w:sz w:val="24"/>
          <w:szCs w:val="24"/>
        </w:rPr>
        <w:t>in terms of r</w:t>
      </w:r>
      <w:r w:rsidR="00AB404B" w:rsidRPr="00AB404B">
        <w:rPr>
          <w:rFonts w:ascii="Arial" w:hAnsi="Arial" w:cs="Arial"/>
          <w:sz w:val="24"/>
          <w:szCs w:val="24"/>
        </w:rPr>
        <w:t>ule 108</w:t>
      </w:r>
      <w:r w:rsidR="00EA18D6">
        <w:rPr>
          <w:rFonts w:ascii="Arial" w:hAnsi="Arial" w:cs="Arial"/>
          <w:sz w:val="24"/>
          <w:szCs w:val="24"/>
        </w:rPr>
        <w:t>,</w:t>
      </w:r>
      <w:r w:rsidR="00AB404B" w:rsidRPr="00AB404B">
        <w:rPr>
          <w:rFonts w:ascii="Arial" w:hAnsi="Arial" w:cs="Arial"/>
          <w:sz w:val="24"/>
          <w:szCs w:val="24"/>
        </w:rPr>
        <w:t xml:space="preserve"> people entitled to be personally served with the notice are the execution debtor and/or their tenants.</w:t>
      </w:r>
      <w:r w:rsidR="00AB404B">
        <w:rPr>
          <w:rFonts w:ascii="Arial" w:hAnsi="Arial" w:cs="Arial"/>
          <w:sz w:val="24"/>
          <w:szCs w:val="24"/>
        </w:rPr>
        <w:t xml:space="preserve"> In this matter likewise the second respondent is not a tenant but this court recognised that he is a party making claim to the property.  The court is satisfied that the second respondent has been given every opportunity to state his case before the court and is not in the least prejudiced by the fact that he received no personal service.</w:t>
      </w:r>
      <w:r w:rsidR="009D5CD0">
        <w:rPr>
          <w:rStyle w:val="FootnoteReference"/>
          <w:rFonts w:ascii="Arial" w:hAnsi="Arial" w:cs="Arial"/>
          <w:sz w:val="24"/>
          <w:szCs w:val="24"/>
        </w:rPr>
        <w:footnoteReference w:id="4"/>
      </w:r>
      <w:r w:rsidR="00AB404B">
        <w:rPr>
          <w:rFonts w:ascii="Arial" w:hAnsi="Arial" w:cs="Arial"/>
          <w:sz w:val="24"/>
          <w:szCs w:val="24"/>
        </w:rPr>
        <w:t xml:space="preserve"> </w:t>
      </w:r>
    </w:p>
    <w:p w:rsidR="009D5CD0" w:rsidRDefault="009D5CD0" w:rsidP="00B14270">
      <w:pPr>
        <w:spacing w:after="0" w:line="360" w:lineRule="auto"/>
        <w:jc w:val="both"/>
        <w:rPr>
          <w:rFonts w:ascii="Arial" w:hAnsi="Arial" w:cs="Arial"/>
          <w:sz w:val="24"/>
          <w:szCs w:val="24"/>
        </w:rPr>
      </w:pPr>
    </w:p>
    <w:p w:rsidR="008E6545" w:rsidRDefault="009D5CD0" w:rsidP="00B14270">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20</w:t>
      </w:r>
      <w:r>
        <w:rPr>
          <w:rFonts w:ascii="Arial" w:hAnsi="Arial" w:cs="Arial"/>
          <w:sz w:val="24"/>
          <w:szCs w:val="24"/>
        </w:rPr>
        <w:t>]</w:t>
      </w:r>
      <w:r>
        <w:rPr>
          <w:rFonts w:ascii="Arial" w:hAnsi="Arial" w:cs="Arial"/>
          <w:sz w:val="24"/>
          <w:szCs w:val="24"/>
        </w:rPr>
        <w:tab/>
      </w:r>
      <w:r w:rsidR="008E6545">
        <w:rPr>
          <w:rFonts w:ascii="Arial" w:hAnsi="Arial" w:cs="Arial"/>
          <w:sz w:val="24"/>
          <w:szCs w:val="24"/>
        </w:rPr>
        <w:t>The second respondent aver</w:t>
      </w:r>
      <w:r w:rsidR="00EA18D6">
        <w:rPr>
          <w:rFonts w:ascii="Arial" w:hAnsi="Arial" w:cs="Arial"/>
          <w:sz w:val="24"/>
          <w:szCs w:val="24"/>
        </w:rPr>
        <w:t>s</w:t>
      </w:r>
      <w:r w:rsidR="008E6545">
        <w:rPr>
          <w:rFonts w:ascii="Arial" w:hAnsi="Arial" w:cs="Arial"/>
          <w:sz w:val="24"/>
          <w:szCs w:val="24"/>
        </w:rPr>
        <w:t xml:space="preserve"> that he is a pensioner and the property is his </w:t>
      </w:r>
      <w:r w:rsidR="00EA18D6">
        <w:rPr>
          <w:rFonts w:ascii="Arial" w:hAnsi="Arial" w:cs="Arial"/>
          <w:sz w:val="24"/>
          <w:szCs w:val="24"/>
        </w:rPr>
        <w:t>primary home. This court has no</w:t>
      </w:r>
      <w:r w:rsidR="008E6545">
        <w:rPr>
          <w:rFonts w:ascii="Arial" w:hAnsi="Arial" w:cs="Arial"/>
          <w:sz w:val="24"/>
          <w:szCs w:val="24"/>
        </w:rPr>
        <w:t xml:space="preserve"> reason to doubt this fact on the mere say so of the applicant. The applicant is clearly aware of th</w:t>
      </w:r>
      <w:r w:rsidR="00EA18D6">
        <w:rPr>
          <w:rFonts w:ascii="Arial" w:hAnsi="Arial" w:cs="Arial"/>
          <w:sz w:val="24"/>
          <w:szCs w:val="24"/>
        </w:rPr>
        <w:t>e fact that the second respondent</w:t>
      </w:r>
      <w:r w:rsidR="008E6545">
        <w:rPr>
          <w:rFonts w:ascii="Arial" w:hAnsi="Arial" w:cs="Arial"/>
          <w:sz w:val="24"/>
          <w:szCs w:val="24"/>
        </w:rPr>
        <w:t xml:space="preserve"> has a claim against the property but it maintains that the second respondent does not have the necessary money to make the offer it did. It is indeed so that the first respondent could have provided the court with more information regarding his ability to pay the outstanding amount in the instalments of N$50 000 per month. </w:t>
      </w:r>
    </w:p>
    <w:p w:rsidR="00D419C1" w:rsidRDefault="00D419C1" w:rsidP="00B14270">
      <w:pPr>
        <w:spacing w:after="0" w:line="360" w:lineRule="auto"/>
        <w:jc w:val="both"/>
        <w:rPr>
          <w:rFonts w:ascii="Arial" w:hAnsi="Arial" w:cs="Arial"/>
          <w:sz w:val="24"/>
          <w:szCs w:val="24"/>
        </w:rPr>
      </w:pPr>
    </w:p>
    <w:p w:rsidR="00D419C1" w:rsidRDefault="00D419C1" w:rsidP="00B14270">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21</w:t>
      </w:r>
      <w:r>
        <w:rPr>
          <w:rFonts w:ascii="Arial" w:hAnsi="Arial" w:cs="Arial"/>
          <w:sz w:val="24"/>
          <w:szCs w:val="24"/>
        </w:rPr>
        <w:t>]</w:t>
      </w:r>
      <w:r>
        <w:rPr>
          <w:rFonts w:ascii="Arial" w:hAnsi="Arial" w:cs="Arial"/>
          <w:sz w:val="24"/>
          <w:szCs w:val="24"/>
        </w:rPr>
        <w:tab/>
        <w:t>The second applicant however is not the execution debtor nor is he the lessee. There is no agreement between the applicant and the second respondent. The applicant</w:t>
      </w:r>
      <w:r w:rsidR="00EA18D6">
        <w:rPr>
          <w:rFonts w:ascii="Arial" w:hAnsi="Arial" w:cs="Arial"/>
          <w:sz w:val="24"/>
          <w:szCs w:val="24"/>
        </w:rPr>
        <w:t>’s</w:t>
      </w:r>
      <w:r>
        <w:rPr>
          <w:rFonts w:ascii="Arial" w:hAnsi="Arial" w:cs="Arial"/>
          <w:sz w:val="24"/>
          <w:szCs w:val="24"/>
        </w:rPr>
        <w:t xml:space="preserve"> commercial interest herein must also be protected. Rule 108 (5) provides that a</w:t>
      </w:r>
      <w:r w:rsidRPr="00D419C1">
        <w:rPr>
          <w:rFonts w:ascii="Arial" w:hAnsi="Arial" w:cs="Arial"/>
          <w:sz w:val="24"/>
          <w:szCs w:val="24"/>
        </w:rPr>
        <w:t xml:space="preserve"> further application may not be made in respect of the same immovable property which previously formed the subject matter of any earlier application made in terms of subrule (1</w:t>
      </w:r>
      <w:proofErr w:type="gramStart"/>
      <w:r w:rsidRPr="00D419C1">
        <w:rPr>
          <w:rFonts w:ascii="Arial" w:hAnsi="Arial" w:cs="Arial"/>
          <w:sz w:val="24"/>
          <w:szCs w:val="24"/>
        </w:rPr>
        <w:t>)</w:t>
      </w:r>
      <w:r w:rsidRPr="002A2C41">
        <w:rPr>
          <w:rFonts w:ascii="Arial" w:hAnsi="Arial" w:cs="Arial"/>
          <w:i/>
          <w:sz w:val="24"/>
          <w:szCs w:val="24"/>
        </w:rPr>
        <w:t>(</w:t>
      </w:r>
      <w:proofErr w:type="gramEnd"/>
      <w:r w:rsidRPr="002A2C41">
        <w:rPr>
          <w:rFonts w:ascii="Arial" w:hAnsi="Arial" w:cs="Arial"/>
          <w:i/>
          <w:sz w:val="24"/>
          <w:szCs w:val="24"/>
        </w:rPr>
        <w:t xml:space="preserve">b) </w:t>
      </w:r>
      <w:r w:rsidRPr="00D419C1">
        <w:rPr>
          <w:rFonts w:ascii="Arial" w:hAnsi="Arial" w:cs="Arial"/>
          <w:sz w:val="24"/>
          <w:szCs w:val="24"/>
        </w:rPr>
        <w:t>or (4)</w:t>
      </w:r>
      <w:r w:rsidRPr="002A2C41">
        <w:rPr>
          <w:rFonts w:ascii="Arial" w:hAnsi="Arial" w:cs="Arial"/>
          <w:i/>
          <w:sz w:val="24"/>
          <w:szCs w:val="24"/>
        </w:rPr>
        <w:t xml:space="preserve">(b), </w:t>
      </w:r>
      <w:r w:rsidRPr="00D419C1">
        <w:rPr>
          <w:rFonts w:ascii="Arial" w:hAnsi="Arial" w:cs="Arial"/>
          <w:sz w:val="24"/>
          <w:szCs w:val="24"/>
        </w:rPr>
        <w:t>unless the immovable property which previously formed the subject matter of the application is no longer the primary home of the execution debtor</w:t>
      </w:r>
      <w:r>
        <w:rPr>
          <w:rFonts w:ascii="Arial" w:hAnsi="Arial" w:cs="Arial"/>
          <w:sz w:val="24"/>
          <w:szCs w:val="24"/>
        </w:rPr>
        <w:t xml:space="preserve"> for the applicant. </w:t>
      </w:r>
    </w:p>
    <w:p w:rsidR="00D419C1" w:rsidRDefault="00D419C1" w:rsidP="00B14270">
      <w:pPr>
        <w:spacing w:after="0" w:line="360" w:lineRule="auto"/>
        <w:jc w:val="both"/>
        <w:rPr>
          <w:rFonts w:ascii="Arial" w:hAnsi="Arial" w:cs="Arial"/>
          <w:sz w:val="24"/>
          <w:szCs w:val="24"/>
        </w:rPr>
      </w:pPr>
    </w:p>
    <w:p w:rsidR="008E6545" w:rsidRDefault="00D419C1" w:rsidP="00B14270">
      <w:pPr>
        <w:spacing w:after="0" w:line="360" w:lineRule="auto"/>
        <w:jc w:val="both"/>
        <w:rPr>
          <w:rFonts w:ascii="Arial" w:hAnsi="Arial" w:cs="Arial"/>
          <w:sz w:val="24"/>
          <w:szCs w:val="24"/>
        </w:rPr>
      </w:pPr>
      <w:r>
        <w:rPr>
          <w:rFonts w:ascii="Arial" w:hAnsi="Arial" w:cs="Arial"/>
          <w:sz w:val="24"/>
          <w:szCs w:val="24"/>
        </w:rPr>
        <w:t>[</w:t>
      </w:r>
      <w:r w:rsidR="00AD6110">
        <w:rPr>
          <w:rFonts w:ascii="Arial" w:hAnsi="Arial" w:cs="Arial"/>
          <w:sz w:val="24"/>
          <w:szCs w:val="24"/>
        </w:rPr>
        <w:t>22</w:t>
      </w:r>
      <w:r>
        <w:rPr>
          <w:rFonts w:ascii="Arial" w:hAnsi="Arial" w:cs="Arial"/>
          <w:sz w:val="24"/>
          <w:szCs w:val="24"/>
        </w:rPr>
        <w:t>]</w:t>
      </w:r>
      <w:r>
        <w:rPr>
          <w:rFonts w:ascii="Arial" w:hAnsi="Arial" w:cs="Arial"/>
          <w:sz w:val="24"/>
          <w:szCs w:val="24"/>
        </w:rPr>
        <w:tab/>
      </w:r>
      <w:r w:rsidR="008E6545">
        <w:rPr>
          <w:rFonts w:ascii="Arial" w:hAnsi="Arial" w:cs="Arial"/>
          <w:sz w:val="24"/>
          <w:szCs w:val="24"/>
        </w:rPr>
        <w:t xml:space="preserve">The offer made by the second respondent offers a less drastic alternative to declaring the property </w:t>
      </w:r>
      <w:proofErr w:type="gramStart"/>
      <w:r w:rsidR="008E6545">
        <w:rPr>
          <w:rFonts w:ascii="Arial" w:hAnsi="Arial" w:cs="Arial"/>
          <w:sz w:val="24"/>
          <w:szCs w:val="24"/>
        </w:rPr>
        <w:t>specially</w:t>
      </w:r>
      <w:proofErr w:type="gramEnd"/>
      <w:r w:rsidR="008E6545">
        <w:rPr>
          <w:rFonts w:ascii="Arial" w:hAnsi="Arial" w:cs="Arial"/>
          <w:sz w:val="24"/>
          <w:szCs w:val="24"/>
        </w:rPr>
        <w:t xml:space="preserve"> executable and the applicant would be able to recover its interest in a relatively short period of time. </w:t>
      </w:r>
      <w:r w:rsidR="00A0105B">
        <w:rPr>
          <w:rFonts w:ascii="Arial" w:hAnsi="Arial" w:cs="Arial"/>
          <w:sz w:val="24"/>
          <w:szCs w:val="24"/>
        </w:rPr>
        <w:t>It is preferable to</w:t>
      </w:r>
      <w:r w:rsidR="00AD6110">
        <w:rPr>
          <w:rFonts w:ascii="Arial" w:hAnsi="Arial" w:cs="Arial"/>
          <w:sz w:val="24"/>
          <w:szCs w:val="24"/>
        </w:rPr>
        <w:t xml:space="preserve"> leaving </w:t>
      </w:r>
      <w:r w:rsidR="00EA18D6">
        <w:rPr>
          <w:rFonts w:ascii="Arial" w:hAnsi="Arial" w:cs="Arial"/>
          <w:sz w:val="24"/>
          <w:szCs w:val="24"/>
        </w:rPr>
        <w:t>the second</w:t>
      </w:r>
      <w:r w:rsidR="00A0105B">
        <w:rPr>
          <w:rFonts w:ascii="Arial" w:hAnsi="Arial" w:cs="Arial"/>
          <w:sz w:val="24"/>
          <w:szCs w:val="24"/>
        </w:rPr>
        <w:t xml:space="preserve"> respondent, a pensioner, who would have difficulty acquiring another property at his age, without a roof over his head. </w:t>
      </w:r>
      <w:r>
        <w:rPr>
          <w:rFonts w:ascii="Arial" w:hAnsi="Arial" w:cs="Arial"/>
          <w:sz w:val="24"/>
          <w:szCs w:val="24"/>
        </w:rPr>
        <w:t xml:space="preserve">Ordinarily this would mean that the court may not declare the property </w:t>
      </w:r>
      <w:proofErr w:type="gramStart"/>
      <w:r>
        <w:rPr>
          <w:rFonts w:ascii="Arial" w:hAnsi="Arial" w:cs="Arial"/>
          <w:sz w:val="24"/>
          <w:szCs w:val="24"/>
        </w:rPr>
        <w:t>specially</w:t>
      </w:r>
      <w:proofErr w:type="gramEnd"/>
      <w:r>
        <w:rPr>
          <w:rFonts w:ascii="Arial" w:hAnsi="Arial" w:cs="Arial"/>
          <w:sz w:val="24"/>
          <w:szCs w:val="24"/>
        </w:rPr>
        <w:t xml:space="preserve"> executable. The second respondent is however not the execution debtor nor the tenant. The court in exercising its judicial oversight cannot ignore the claim of the second respondent that he is in fact the owner of the property and that it is his primary home but neither can it deny the applicant its right to </w:t>
      </w:r>
      <w:r w:rsidR="00906946">
        <w:rPr>
          <w:rFonts w:ascii="Arial" w:hAnsi="Arial" w:cs="Arial"/>
          <w:sz w:val="24"/>
          <w:szCs w:val="24"/>
        </w:rPr>
        <w:t xml:space="preserve">haver the property declared </w:t>
      </w:r>
      <w:proofErr w:type="gramStart"/>
      <w:r w:rsidR="00906946">
        <w:rPr>
          <w:rFonts w:ascii="Arial" w:hAnsi="Arial" w:cs="Arial"/>
          <w:sz w:val="24"/>
          <w:szCs w:val="24"/>
        </w:rPr>
        <w:t>specially</w:t>
      </w:r>
      <w:proofErr w:type="gramEnd"/>
      <w:r w:rsidR="00906946">
        <w:rPr>
          <w:rFonts w:ascii="Arial" w:hAnsi="Arial" w:cs="Arial"/>
          <w:sz w:val="24"/>
          <w:szCs w:val="24"/>
        </w:rPr>
        <w:t xml:space="preserve"> </w:t>
      </w:r>
      <w:r>
        <w:rPr>
          <w:rFonts w:ascii="Arial" w:hAnsi="Arial" w:cs="Arial"/>
          <w:sz w:val="24"/>
          <w:szCs w:val="24"/>
        </w:rPr>
        <w:t>execut</w:t>
      </w:r>
      <w:r w:rsidR="00906946">
        <w:rPr>
          <w:rFonts w:ascii="Arial" w:hAnsi="Arial" w:cs="Arial"/>
          <w:sz w:val="24"/>
          <w:szCs w:val="24"/>
        </w:rPr>
        <w:t>able.</w:t>
      </w:r>
      <w:r>
        <w:rPr>
          <w:rFonts w:ascii="Arial" w:hAnsi="Arial" w:cs="Arial"/>
          <w:sz w:val="24"/>
          <w:szCs w:val="24"/>
        </w:rPr>
        <w:t xml:space="preserve"> The court must therefore find a solution which would afford bot</w:t>
      </w:r>
      <w:r w:rsidR="00EA18D6">
        <w:rPr>
          <w:rFonts w:ascii="Arial" w:hAnsi="Arial" w:cs="Arial"/>
          <w:sz w:val="24"/>
          <w:szCs w:val="24"/>
        </w:rPr>
        <w:t>h parties the relief it seeks</w:t>
      </w:r>
      <w:r>
        <w:rPr>
          <w:rFonts w:ascii="Arial" w:hAnsi="Arial" w:cs="Arial"/>
          <w:sz w:val="24"/>
          <w:szCs w:val="24"/>
        </w:rPr>
        <w:t xml:space="preserve">. </w:t>
      </w:r>
      <w:r w:rsidR="00AD6110">
        <w:rPr>
          <w:rFonts w:ascii="Arial" w:hAnsi="Arial" w:cs="Arial"/>
          <w:sz w:val="24"/>
          <w:szCs w:val="24"/>
        </w:rPr>
        <w:t>In this regard I am fortified by the applicant’s willingness to consid</w:t>
      </w:r>
      <w:r w:rsidR="00EA18D6">
        <w:rPr>
          <w:rFonts w:ascii="Arial" w:hAnsi="Arial" w:cs="Arial"/>
          <w:sz w:val="24"/>
          <w:szCs w:val="24"/>
        </w:rPr>
        <w:t>er granting the second respondent</w:t>
      </w:r>
      <w:r w:rsidR="00AD6110">
        <w:rPr>
          <w:rFonts w:ascii="Arial" w:hAnsi="Arial" w:cs="Arial"/>
          <w:sz w:val="24"/>
          <w:szCs w:val="24"/>
        </w:rPr>
        <w:t xml:space="preserve"> a period of extension to afford him time to repay the judgment debt of the first respondent.</w:t>
      </w:r>
    </w:p>
    <w:p w:rsidR="008E6545" w:rsidRDefault="008E6545" w:rsidP="00B14270">
      <w:pPr>
        <w:spacing w:after="0" w:line="360" w:lineRule="auto"/>
        <w:jc w:val="both"/>
        <w:rPr>
          <w:rFonts w:ascii="Arial" w:hAnsi="Arial" w:cs="Arial"/>
          <w:sz w:val="24"/>
          <w:szCs w:val="24"/>
        </w:rPr>
      </w:pPr>
    </w:p>
    <w:p w:rsidR="00A931ED" w:rsidRPr="00EA18D6" w:rsidRDefault="00A931ED" w:rsidP="00B14270">
      <w:pPr>
        <w:spacing w:after="0" w:line="360" w:lineRule="auto"/>
        <w:jc w:val="both"/>
        <w:rPr>
          <w:rFonts w:ascii="Arial" w:hAnsi="Arial" w:cs="Arial"/>
          <w:b/>
          <w:sz w:val="24"/>
          <w:szCs w:val="24"/>
          <w:u w:val="single"/>
        </w:rPr>
      </w:pPr>
      <w:r w:rsidRPr="00EA18D6">
        <w:rPr>
          <w:rFonts w:ascii="Arial" w:hAnsi="Arial" w:cs="Arial"/>
          <w:b/>
          <w:sz w:val="24"/>
          <w:szCs w:val="24"/>
          <w:u w:val="single"/>
        </w:rPr>
        <w:t>Costs</w:t>
      </w:r>
    </w:p>
    <w:p w:rsidR="002A2C41" w:rsidRPr="00A931ED" w:rsidRDefault="002A2C41" w:rsidP="00B14270">
      <w:pPr>
        <w:spacing w:after="0" w:line="360" w:lineRule="auto"/>
        <w:jc w:val="both"/>
        <w:rPr>
          <w:rFonts w:ascii="Arial" w:hAnsi="Arial" w:cs="Arial"/>
          <w:sz w:val="24"/>
          <w:szCs w:val="24"/>
          <w:u w:val="single"/>
        </w:rPr>
      </w:pPr>
    </w:p>
    <w:p w:rsidR="00A931ED" w:rsidRDefault="00A931ED" w:rsidP="00B14270">
      <w:pPr>
        <w:spacing w:after="0" w:line="360" w:lineRule="auto"/>
        <w:jc w:val="both"/>
        <w:rPr>
          <w:rFonts w:ascii="Arial" w:hAnsi="Arial" w:cs="Arial"/>
          <w:sz w:val="24"/>
          <w:szCs w:val="24"/>
        </w:rPr>
      </w:pPr>
      <w:r>
        <w:rPr>
          <w:rFonts w:ascii="Arial" w:hAnsi="Arial" w:cs="Arial"/>
          <w:sz w:val="24"/>
          <w:szCs w:val="24"/>
        </w:rPr>
        <w:t>[</w:t>
      </w:r>
      <w:r w:rsidR="002A2C41">
        <w:rPr>
          <w:rFonts w:ascii="Arial" w:hAnsi="Arial" w:cs="Arial"/>
          <w:sz w:val="24"/>
          <w:szCs w:val="24"/>
        </w:rPr>
        <w:t>23</w:t>
      </w:r>
      <w:r>
        <w:rPr>
          <w:rFonts w:ascii="Arial" w:hAnsi="Arial" w:cs="Arial"/>
          <w:sz w:val="24"/>
          <w:szCs w:val="24"/>
        </w:rPr>
        <w:t>]</w:t>
      </w:r>
      <w:r>
        <w:rPr>
          <w:rFonts w:ascii="Arial" w:hAnsi="Arial" w:cs="Arial"/>
          <w:sz w:val="24"/>
          <w:szCs w:val="24"/>
        </w:rPr>
        <w:tab/>
        <w:t xml:space="preserve">The cost in this matter follows the event and the </w:t>
      </w:r>
      <w:r w:rsidR="00EA18D6">
        <w:rPr>
          <w:rFonts w:ascii="Arial" w:hAnsi="Arial" w:cs="Arial"/>
          <w:sz w:val="24"/>
          <w:szCs w:val="24"/>
        </w:rPr>
        <w:t xml:space="preserve">second </w:t>
      </w:r>
      <w:r w:rsidR="000A6C3E">
        <w:rPr>
          <w:rFonts w:ascii="Arial" w:hAnsi="Arial" w:cs="Arial"/>
          <w:sz w:val="24"/>
          <w:szCs w:val="24"/>
        </w:rPr>
        <w:t xml:space="preserve">respondent </w:t>
      </w:r>
      <w:r>
        <w:rPr>
          <w:rFonts w:ascii="Arial" w:hAnsi="Arial" w:cs="Arial"/>
          <w:sz w:val="24"/>
          <w:szCs w:val="24"/>
        </w:rPr>
        <w:t>must ther</w:t>
      </w:r>
      <w:r w:rsidR="00EA18D6">
        <w:rPr>
          <w:rFonts w:ascii="Arial" w:hAnsi="Arial" w:cs="Arial"/>
          <w:sz w:val="24"/>
          <w:szCs w:val="24"/>
        </w:rPr>
        <w:t>efore pay the applicant’s</w:t>
      </w:r>
      <w:r>
        <w:rPr>
          <w:rFonts w:ascii="Arial" w:hAnsi="Arial" w:cs="Arial"/>
          <w:sz w:val="24"/>
          <w:szCs w:val="24"/>
        </w:rPr>
        <w:t xml:space="preserve"> cost of the application.</w:t>
      </w:r>
    </w:p>
    <w:p w:rsidR="00AB404B" w:rsidRDefault="00AB404B" w:rsidP="00B14270">
      <w:pPr>
        <w:spacing w:after="0" w:line="360" w:lineRule="auto"/>
        <w:jc w:val="both"/>
        <w:rPr>
          <w:rFonts w:ascii="Arial" w:hAnsi="Arial" w:cs="Arial"/>
          <w:sz w:val="24"/>
          <w:szCs w:val="24"/>
        </w:rPr>
      </w:pPr>
    </w:p>
    <w:p w:rsidR="00A0105B" w:rsidRDefault="00A0105B" w:rsidP="00B14270">
      <w:pPr>
        <w:spacing w:after="0" w:line="360" w:lineRule="auto"/>
        <w:jc w:val="both"/>
        <w:rPr>
          <w:rFonts w:ascii="Arial" w:hAnsi="Arial" w:cs="Arial"/>
          <w:sz w:val="24"/>
          <w:szCs w:val="24"/>
        </w:rPr>
      </w:pPr>
      <w:r>
        <w:rPr>
          <w:rFonts w:ascii="Arial" w:hAnsi="Arial" w:cs="Arial"/>
          <w:sz w:val="24"/>
          <w:szCs w:val="24"/>
        </w:rPr>
        <w:t>[</w:t>
      </w:r>
      <w:r w:rsidR="002A2C41">
        <w:rPr>
          <w:rFonts w:ascii="Arial" w:hAnsi="Arial" w:cs="Arial"/>
          <w:sz w:val="24"/>
          <w:szCs w:val="24"/>
        </w:rPr>
        <w:t>24</w:t>
      </w:r>
      <w:r>
        <w:rPr>
          <w:rFonts w:ascii="Arial" w:hAnsi="Arial" w:cs="Arial"/>
          <w:sz w:val="24"/>
          <w:szCs w:val="24"/>
        </w:rPr>
        <w:t>]</w:t>
      </w:r>
      <w:r>
        <w:rPr>
          <w:rFonts w:ascii="Arial" w:hAnsi="Arial" w:cs="Arial"/>
          <w:sz w:val="24"/>
          <w:szCs w:val="24"/>
        </w:rPr>
        <w:tab/>
        <w:t>In the result the following order is made:</w:t>
      </w:r>
    </w:p>
    <w:p w:rsidR="00906946" w:rsidRDefault="00906946" w:rsidP="00B14270">
      <w:pPr>
        <w:spacing w:after="0" w:line="360" w:lineRule="auto"/>
        <w:jc w:val="both"/>
        <w:rPr>
          <w:rFonts w:ascii="Arial" w:hAnsi="Arial" w:cs="Arial"/>
          <w:sz w:val="24"/>
          <w:szCs w:val="24"/>
        </w:rPr>
      </w:pPr>
    </w:p>
    <w:p w:rsidR="000A6C3E" w:rsidRDefault="00EA18D6" w:rsidP="00906946">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application in terms of r</w:t>
      </w:r>
      <w:r w:rsidR="00A931ED" w:rsidRPr="00906946">
        <w:rPr>
          <w:rFonts w:ascii="Arial" w:hAnsi="Arial" w:cs="Arial"/>
          <w:sz w:val="24"/>
          <w:szCs w:val="24"/>
        </w:rPr>
        <w:t>ule 108 of the Rules of the High Court, for the declaration of the property described as certain: remaining extent of portion of Erf 22 Klein Windhoek situate: in the Municipality of Windhoek registration division “K” measuring: 4218</w:t>
      </w:r>
      <w:proofErr w:type="gramStart"/>
      <w:r w:rsidR="00A931ED" w:rsidRPr="00906946">
        <w:rPr>
          <w:rFonts w:ascii="Arial" w:hAnsi="Arial" w:cs="Arial"/>
          <w:sz w:val="24"/>
          <w:szCs w:val="24"/>
        </w:rPr>
        <w:t>,13</w:t>
      </w:r>
      <w:proofErr w:type="gramEnd"/>
      <w:r w:rsidR="00A931ED" w:rsidRPr="00906946">
        <w:rPr>
          <w:rFonts w:ascii="Arial" w:hAnsi="Arial" w:cs="Arial"/>
          <w:sz w:val="24"/>
          <w:szCs w:val="24"/>
        </w:rPr>
        <w:t xml:space="preserve"> (four two one eight comma one three) square metres</w:t>
      </w:r>
      <w:r w:rsidR="000A6C3E" w:rsidRPr="00906946">
        <w:rPr>
          <w:rFonts w:ascii="Arial" w:hAnsi="Arial" w:cs="Arial"/>
          <w:sz w:val="24"/>
          <w:szCs w:val="24"/>
        </w:rPr>
        <w:t xml:space="preserve"> held: by deed of transfer no. T</w:t>
      </w:r>
      <w:r w:rsidR="00A931ED" w:rsidRPr="00906946">
        <w:rPr>
          <w:rFonts w:ascii="Arial" w:hAnsi="Arial" w:cs="Arial"/>
          <w:sz w:val="24"/>
          <w:szCs w:val="24"/>
        </w:rPr>
        <w:t xml:space="preserve"> 7975/2002, is </w:t>
      </w:r>
      <w:r w:rsidR="000A6C3E" w:rsidRPr="00906946">
        <w:rPr>
          <w:rFonts w:ascii="Arial" w:hAnsi="Arial" w:cs="Arial"/>
          <w:sz w:val="24"/>
          <w:szCs w:val="24"/>
        </w:rPr>
        <w:t>granted on the following conditions</w:t>
      </w:r>
      <w:r w:rsidR="00C67026">
        <w:rPr>
          <w:rFonts w:ascii="Arial" w:hAnsi="Arial" w:cs="Arial"/>
          <w:sz w:val="24"/>
          <w:szCs w:val="24"/>
        </w:rPr>
        <w:t>:</w:t>
      </w:r>
    </w:p>
    <w:p w:rsidR="00C67026" w:rsidRPr="00906946" w:rsidRDefault="00C67026" w:rsidP="00C67026">
      <w:pPr>
        <w:pStyle w:val="ListParagraph"/>
        <w:spacing w:after="0" w:line="360" w:lineRule="auto"/>
        <w:ind w:left="1080"/>
        <w:jc w:val="both"/>
        <w:rPr>
          <w:rFonts w:ascii="Arial" w:hAnsi="Arial" w:cs="Arial"/>
          <w:sz w:val="24"/>
          <w:szCs w:val="24"/>
        </w:rPr>
      </w:pPr>
    </w:p>
    <w:p w:rsidR="00A931ED" w:rsidRDefault="000A6C3E" w:rsidP="00906946">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 xml:space="preserve">The applicant may only sell the property in execution without further notice thereof to the second respondent, if the second respondent fails to pay the amount of N$150 000 </w:t>
      </w:r>
      <w:r w:rsidR="00AD6110">
        <w:rPr>
          <w:rFonts w:ascii="Arial" w:hAnsi="Arial" w:cs="Arial"/>
          <w:sz w:val="24"/>
          <w:szCs w:val="24"/>
        </w:rPr>
        <w:t xml:space="preserve">to the applicant </w:t>
      </w:r>
      <w:r>
        <w:rPr>
          <w:rFonts w:ascii="Arial" w:hAnsi="Arial" w:cs="Arial"/>
          <w:sz w:val="24"/>
          <w:szCs w:val="24"/>
        </w:rPr>
        <w:t xml:space="preserve">before or on 7 August 2023 and fails to pay the remaining part of the judgement debt in monthly instalments of N$50 000 </w:t>
      </w:r>
      <w:r w:rsidR="00AD6110">
        <w:rPr>
          <w:rFonts w:ascii="Arial" w:hAnsi="Arial" w:cs="Arial"/>
          <w:sz w:val="24"/>
          <w:szCs w:val="24"/>
        </w:rPr>
        <w:t xml:space="preserve">to the applicant </w:t>
      </w:r>
      <w:r>
        <w:rPr>
          <w:rFonts w:ascii="Arial" w:hAnsi="Arial" w:cs="Arial"/>
          <w:sz w:val="24"/>
          <w:szCs w:val="24"/>
        </w:rPr>
        <w:t>payable on or before the 7</w:t>
      </w:r>
      <w:r w:rsidRPr="000A6C3E">
        <w:rPr>
          <w:rFonts w:ascii="Arial" w:hAnsi="Arial" w:cs="Arial"/>
          <w:sz w:val="24"/>
          <w:szCs w:val="24"/>
          <w:vertAlign w:val="superscript"/>
        </w:rPr>
        <w:t>th</w:t>
      </w:r>
      <w:r>
        <w:rPr>
          <w:rFonts w:ascii="Arial" w:hAnsi="Arial" w:cs="Arial"/>
          <w:sz w:val="24"/>
          <w:szCs w:val="24"/>
        </w:rPr>
        <w:t xml:space="preserve"> day of September 2023 and on or before the 7</w:t>
      </w:r>
      <w:r w:rsidRPr="000A6C3E">
        <w:rPr>
          <w:rFonts w:ascii="Arial" w:hAnsi="Arial" w:cs="Arial"/>
          <w:sz w:val="24"/>
          <w:szCs w:val="24"/>
          <w:vertAlign w:val="superscript"/>
        </w:rPr>
        <w:t>th</w:t>
      </w:r>
      <w:r>
        <w:rPr>
          <w:rFonts w:ascii="Arial" w:hAnsi="Arial" w:cs="Arial"/>
          <w:sz w:val="24"/>
          <w:szCs w:val="24"/>
        </w:rPr>
        <w:t xml:space="preserve"> day of each consecutive month thereafter</w:t>
      </w:r>
      <w:r w:rsidR="00AD6110">
        <w:rPr>
          <w:rFonts w:ascii="Arial" w:hAnsi="Arial" w:cs="Arial"/>
          <w:sz w:val="24"/>
          <w:szCs w:val="24"/>
        </w:rPr>
        <w:t xml:space="preserve"> until the judgment debt has been paid in full</w:t>
      </w:r>
      <w:r>
        <w:rPr>
          <w:rFonts w:ascii="Arial" w:hAnsi="Arial" w:cs="Arial"/>
          <w:sz w:val="24"/>
          <w:szCs w:val="24"/>
        </w:rPr>
        <w:t xml:space="preserve">. </w:t>
      </w:r>
    </w:p>
    <w:p w:rsidR="00C67026" w:rsidRPr="000A6C3E" w:rsidRDefault="00C67026" w:rsidP="00C67026">
      <w:pPr>
        <w:pStyle w:val="ListParagraph"/>
        <w:spacing w:after="0" w:line="360" w:lineRule="auto"/>
        <w:ind w:left="1800"/>
        <w:jc w:val="both"/>
        <w:rPr>
          <w:rFonts w:ascii="Arial" w:hAnsi="Arial" w:cs="Arial"/>
          <w:sz w:val="24"/>
          <w:szCs w:val="24"/>
        </w:rPr>
      </w:pPr>
    </w:p>
    <w:p w:rsidR="00A931ED" w:rsidRDefault="00A931ED" w:rsidP="00906946">
      <w:pPr>
        <w:numPr>
          <w:ilvl w:val="0"/>
          <w:numId w:val="6"/>
        </w:numPr>
        <w:spacing w:after="0" w:line="360" w:lineRule="auto"/>
        <w:jc w:val="both"/>
        <w:rPr>
          <w:rFonts w:ascii="Arial" w:hAnsi="Arial" w:cs="Arial"/>
          <w:sz w:val="24"/>
          <w:szCs w:val="24"/>
        </w:rPr>
      </w:pPr>
      <w:r w:rsidRPr="00A931ED">
        <w:rPr>
          <w:rFonts w:ascii="Arial" w:hAnsi="Arial" w:cs="Arial"/>
          <w:sz w:val="24"/>
          <w:szCs w:val="24"/>
        </w:rPr>
        <w:t xml:space="preserve">The </w:t>
      </w:r>
      <w:r w:rsidR="000A6C3E">
        <w:rPr>
          <w:rFonts w:ascii="Arial" w:hAnsi="Arial" w:cs="Arial"/>
          <w:sz w:val="24"/>
          <w:szCs w:val="24"/>
        </w:rPr>
        <w:t xml:space="preserve">second respondent </w:t>
      </w:r>
      <w:r w:rsidRPr="00A931ED">
        <w:rPr>
          <w:rFonts w:ascii="Arial" w:hAnsi="Arial" w:cs="Arial"/>
          <w:sz w:val="24"/>
          <w:szCs w:val="24"/>
        </w:rPr>
        <w:t xml:space="preserve">is ordered to pay the </w:t>
      </w:r>
      <w:r w:rsidR="000A6C3E">
        <w:rPr>
          <w:rFonts w:ascii="Arial" w:hAnsi="Arial" w:cs="Arial"/>
          <w:sz w:val="24"/>
          <w:szCs w:val="24"/>
        </w:rPr>
        <w:t>applicant</w:t>
      </w:r>
      <w:r>
        <w:rPr>
          <w:rFonts w:ascii="Arial" w:hAnsi="Arial" w:cs="Arial"/>
          <w:sz w:val="24"/>
          <w:szCs w:val="24"/>
        </w:rPr>
        <w:t xml:space="preserve">’s </w:t>
      </w:r>
      <w:r w:rsidRPr="00A931ED">
        <w:rPr>
          <w:rFonts w:ascii="Arial" w:hAnsi="Arial" w:cs="Arial"/>
          <w:sz w:val="24"/>
          <w:szCs w:val="24"/>
        </w:rPr>
        <w:t>costs of the application.</w:t>
      </w:r>
    </w:p>
    <w:p w:rsidR="00C67026" w:rsidRPr="00A931ED" w:rsidRDefault="00C67026" w:rsidP="00C67026">
      <w:pPr>
        <w:spacing w:after="0" w:line="360" w:lineRule="auto"/>
        <w:ind w:left="1080"/>
        <w:jc w:val="both"/>
        <w:rPr>
          <w:rFonts w:ascii="Arial" w:hAnsi="Arial" w:cs="Arial"/>
          <w:sz w:val="24"/>
          <w:szCs w:val="24"/>
        </w:rPr>
      </w:pPr>
    </w:p>
    <w:p w:rsidR="00A931ED" w:rsidRPr="00A931ED" w:rsidRDefault="00A931ED" w:rsidP="00906946">
      <w:pPr>
        <w:numPr>
          <w:ilvl w:val="0"/>
          <w:numId w:val="6"/>
        </w:numPr>
        <w:spacing w:after="0" w:line="360" w:lineRule="auto"/>
        <w:jc w:val="both"/>
        <w:rPr>
          <w:rFonts w:ascii="Arial" w:hAnsi="Arial" w:cs="Arial"/>
          <w:sz w:val="24"/>
          <w:szCs w:val="24"/>
        </w:rPr>
      </w:pPr>
      <w:r w:rsidRPr="00A931ED">
        <w:rPr>
          <w:rFonts w:ascii="Arial" w:hAnsi="Arial" w:cs="Arial"/>
          <w:sz w:val="24"/>
          <w:szCs w:val="24"/>
        </w:rPr>
        <w:t>The matter is removed from the roll and is regarded as finalised.</w:t>
      </w:r>
    </w:p>
    <w:p w:rsidR="00A0105B" w:rsidRDefault="00A0105B" w:rsidP="00B14270">
      <w:pPr>
        <w:spacing w:after="0" w:line="360" w:lineRule="auto"/>
        <w:jc w:val="both"/>
        <w:rPr>
          <w:rFonts w:ascii="Arial" w:hAnsi="Arial" w:cs="Arial"/>
          <w:sz w:val="24"/>
          <w:szCs w:val="24"/>
        </w:rPr>
      </w:pPr>
    </w:p>
    <w:p w:rsidR="00AB404B" w:rsidRDefault="00AB404B" w:rsidP="00B14270">
      <w:pPr>
        <w:spacing w:after="0" w:line="360" w:lineRule="auto"/>
        <w:jc w:val="both"/>
        <w:rPr>
          <w:rFonts w:ascii="Arial" w:hAnsi="Arial" w:cs="Arial"/>
          <w:sz w:val="24"/>
          <w:szCs w:val="24"/>
        </w:rPr>
      </w:pPr>
    </w:p>
    <w:p w:rsidR="005E02C7" w:rsidRPr="00C2360F" w:rsidRDefault="005E02C7" w:rsidP="00FE2178">
      <w:pPr>
        <w:spacing w:after="0" w:line="360" w:lineRule="auto"/>
        <w:jc w:val="right"/>
        <w:rPr>
          <w:rFonts w:ascii="Arial" w:hAnsi="Arial" w:cs="Arial"/>
          <w:sz w:val="24"/>
          <w:szCs w:val="24"/>
        </w:rPr>
      </w:pPr>
    </w:p>
    <w:p w:rsidR="00FE2178" w:rsidRPr="00C2360F" w:rsidRDefault="002A2C41" w:rsidP="00FE2178">
      <w:pPr>
        <w:spacing w:after="0" w:line="360" w:lineRule="auto"/>
        <w:jc w:val="right"/>
        <w:rPr>
          <w:rFonts w:ascii="Arial" w:hAnsi="Arial" w:cs="Arial"/>
          <w:sz w:val="24"/>
          <w:szCs w:val="24"/>
        </w:rPr>
      </w:pPr>
      <w:r>
        <w:rPr>
          <w:rFonts w:ascii="Arial" w:hAnsi="Arial" w:cs="Arial"/>
          <w:sz w:val="24"/>
          <w:szCs w:val="24"/>
        </w:rPr>
        <w:t>______________</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65A80" w:rsidRDefault="00F65A80" w:rsidP="00FE2178">
      <w:pPr>
        <w:pStyle w:val="BodyText"/>
        <w:autoSpaceDE w:val="0"/>
        <w:autoSpaceDN w:val="0"/>
        <w:adjustRightInd w:val="0"/>
        <w:spacing w:line="360" w:lineRule="auto"/>
        <w:jc w:val="both"/>
        <w:rPr>
          <w:rFonts w:ascii="Arial" w:hAnsi="Arial" w:cs="Arial"/>
        </w:rPr>
      </w:pPr>
    </w:p>
    <w:p w:rsidR="00F65A80" w:rsidRDefault="00F65A80" w:rsidP="00FE2178">
      <w:pPr>
        <w:pStyle w:val="BodyText"/>
        <w:autoSpaceDE w:val="0"/>
        <w:autoSpaceDN w:val="0"/>
        <w:adjustRightInd w:val="0"/>
        <w:spacing w:line="360" w:lineRule="auto"/>
        <w:jc w:val="both"/>
        <w:rPr>
          <w:rFonts w:ascii="Arial" w:hAnsi="Arial" w:cs="Arial"/>
        </w:rPr>
      </w:pPr>
    </w:p>
    <w:p w:rsidR="00A93943" w:rsidRDefault="00A93943"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2A2C41" w:rsidRDefault="00FE2178" w:rsidP="00BD3164">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Pr="00C2360F">
        <w:rPr>
          <w:rFonts w:ascii="Arial" w:hAnsi="Arial" w:cs="Arial"/>
          <w:sz w:val="24"/>
          <w:szCs w:val="24"/>
        </w:rPr>
        <w:tab/>
      </w:r>
      <w:r w:rsidR="0061770C">
        <w:rPr>
          <w:rFonts w:ascii="Arial" w:hAnsi="Arial" w:cs="Arial"/>
          <w:sz w:val="24"/>
          <w:szCs w:val="24"/>
        </w:rPr>
        <w:t xml:space="preserve">    C Visser</w:t>
      </w:r>
    </w:p>
    <w:p w:rsidR="0061770C" w:rsidRDefault="0061770C" w:rsidP="00BD3164">
      <w:pPr>
        <w:tabs>
          <w:tab w:val="left" w:pos="1394"/>
          <w:tab w:val="left" w:pos="2250"/>
          <w:tab w:val="left" w:pos="2880"/>
        </w:tabs>
        <w:spacing w:after="0" w:line="360" w:lineRule="auto"/>
        <w:jc w:val="both"/>
        <w:rPr>
          <w:rFonts w:ascii="Arial" w:hAnsi="Arial" w:cs="Arial"/>
          <w:color w:val="333333"/>
          <w:sz w:val="24"/>
          <w:szCs w:val="24"/>
          <w:shd w:val="clear" w:color="auto" w:fill="FFFFFF"/>
        </w:rPr>
      </w:pP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t xml:space="preserve">    </w:t>
      </w:r>
      <w:r w:rsidR="00C67026">
        <w:rPr>
          <w:rFonts w:ascii="Arial" w:hAnsi="Arial" w:cs="Arial"/>
          <w:color w:val="333333"/>
          <w:sz w:val="24"/>
          <w:szCs w:val="24"/>
          <w:shd w:val="clear" w:color="auto" w:fill="FFFFFF"/>
        </w:rPr>
        <w:t>Of LorentzAngula Inc,</w:t>
      </w:r>
      <w:r w:rsidRPr="0061770C">
        <w:rPr>
          <w:rFonts w:ascii="Arial" w:hAnsi="Arial" w:cs="Arial"/>
          <w:color w:val="333333"/>
          <w:sz w:val="24"/>
          <w:szCs w:val="24"/>
          <w:shd w:val="clear" w:color="auto" w:fill="FFFFFF"/>
        </w:rPr>
        <w:t xml:space="preserve"> Windhoek</w:t>
      </w:r>
    </w:p>
    <w:p w:rsidR="0061770C" w:rsidRDefault="0061770C" w:rsidP="00BD3164">
      <w:pPr>
        <w:tabs>
          <w:tab w:val="left" w:pos="1394"/>
          <w:tab w:val="left" w:pos="2250"/>
          <w:tab w:val="left" w:pos="2880"/>
        </w:tabs>
        <w:spacing w:after="0" w:line="360" w:lineRule="auto"/>
        <w:jc w:val="both"/>
        <w:rPr>
          <w:rFonts w:ascii="Arial" w:hAnsi="Arial" w:cs="Arial"/>
          <w:color w:val="333333"/>
          <w:sz w:val="24"/>
          <w:szCs w:val="24"/>
          <w:shd w:val="clear" w:color="auto" w:fill="FFFFFF"/>
        </w:rPr>
      </w:pPr>
    </w:p>
    <w:p w:rsidR="0061770C" w:rsidRDefault="0061770C" w:rsidP="0061770C">
      <w:pPr>
        <w:tabs>
          <w:tab w:val="right" w:pos="9360"/>
        </w:tabs>
        <w:spacing w:after="0" w:line="360" w:lineRule="auto"/>
        <w:jc w:val="both"/>
        <w:rPr>
          <w:rFonts w:ascii="Arial" w:hAnsi="Arial" w:cs="Arial"/>
          <w:sz w:val="24"/>
          <w:szCs w:val="24"/>
        </w:rPr>
      </w:pPr>
      <w:r>
        <w:rPr>
          <w:rFonts w:ascii="Arial" w:hAnsi="Arial" w:cs="Arial"/>
          <w:color w:val="333333"/>
          <w:sz w:val="24"/>
          <w:szCs w:val="24"/>
          <w:shd w:val="clear" w:color="auto" w:fill="FFFFFF"/>
        </w:rPr>
        <w:t>1</w:t>
      </w:r>
      <w:r w:rsidRPr="0061770C">
        <w:rPr>
          <w:rFonts w:ascii="Arial" w:hAnsi="Arial" w:cs="Arial"/>
          <w:color w:val="333333"/>
          <w:sz w:val="24"/>
          <w:szCs w:val="24"/>
          <w:shd w:val="clear" w:color="auto" w:fill="FFFFFF"/>
          <w:vertAlign w:val="superscript"/>
        </w:rPr>
        <w:t>ST</w:t>
      </w:r>
      <w:r w:rsidR="00C67026">
        <w:rPr>
          <w:rFonts w:ascii="Arial" w:hAnsi="Arial" w:cs="Arial"/>
          <w:color w:val="333333"/>
          <w:sz w:val="24"/>
          <w:szCs w:val="24"/>
          <w:shd w:val="clear" w:color="auto" w:fill="FFFFFF"/>
        </w:rPr>
        <w:t xml:space="preserve"> RESPONDENT</w:t>
      </w:r>
      <w:r>
        <w:rPr>
          <w:rFonts w:ascii="Arial" w:hAnsi="Arial" w:cs="Arial"/>
          <w:color w:val="333333"/>
          <w:sz w:val="24"/>
          <w:szCs w:val="24"/>
          <w:shd w:val="clear" w:color="auto" w:fill="FFFFFF"/>
        </w:rPr>
        <w:t xml:space="preserve">      </w:t>
      </w:r>
      <w:r>
        <w:rPr>
          <w:rFonts w:ascii="Arial" w:hAnsi="Arial" w:cs="Arial"/>
          <w:sz w:val="24"/>
          <w:szCs w:val="24"/>
        </w:rPr>
        <w:t>Embassy of the Republic of A</w:t>
      </w:r>
      <w:r w:rsidRPr="0061770C">
        <w:rPr>
          <w:rFonts w:ascii="Arial" w:hAnsi="Arial" w:cs="Arial"/>
          <w:sz w:val="24"/>
          <w:szCs w:val="24"/>
        </w:rPr>
        <w:t xml:space="preserve">ngola: </w:t>
      </w:r>
    </w:p>
    <w:p w:rsidR="0061770C" w:rsidRPr="0061770C" w:rsidRDefault="0061770C" w:rsidP="0061770C">
      <w:pPr>
        <w:tabs>
          <w:tab w:val="right" w:pos="9360"/>
        </w:tabs>
        <w:spacing w:after="0" w:line="360" w:lineRule="auto"/>
        <w:jc w:val="both"/>
        <w:rPr>
          <w:rFonts w:ascii="Arial" w:hAnsi="Arial" w:cs="Arial"/>
          <w:sz w:val="24"/>
          <w:szCs w:val="24"/>
        </w:rPr>
      </w:pPr>
      <w:r>
        <w:rPr>
          <w:rFonts w:ascii="Arial" w:hAnsi="Arial" w:cs="Arial"/>
          <w:sz w:val="24"/>
          <w:szCs w:val="24"/>
        </w:rPr>
        <w:t xml:space="preserve">                                     Windhoek-N</w:t>
      </w:r>
      <w:r w:rsidRPr="0061770C">
        <w:rPr>
          <w:rFonts w:ascii="Arial" w:hAnsi="Arial" w:cs="Arial"/>
          <w:sz w:val="24"/>
          <w:szCs w:val="24"/>
        </w:rPr>
        <w:t>amibia</w:t>
      </w:r>
    </w:p>
    <w:p w:rsidR="00FE2178" w:rsidRPr="00C2360F" w:rsidRDefault="00FE2178" w:rsidP="00BD3164">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ab/>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53907" w:rsidRDefault="00F53907"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vertAlign w:val="superscript"/>
        </w:rPr>
        <w:t xml:space="preserve">ND </w:t>
      </w:r>
      <w:r w:rsidR="00C67026">
        <w:rPr>
          <w:rFonts w:ascii="Arial" w:hAnsi="Arial" w:cs="Arial"/>
          <w:sz w:val="24"/>
          <w:szCs w:val="24"/>
        </w:rPr>
        <w:t>RESPONDENT</w:t>
      </w:r>
      <w:r w:rsidR="00FE2178" w:rsidRPr="00C2360F">
        <w:rPr>
          <w:rFonts w:ascii="Arial" w:hAnsi="Arial" w:cs="Arial"/>
          <w:sz w:val="24"/>
          <w:szCs w:val="24"/>
        </w:rPr>
        <w:t>:</w:t>
      </w:r>
      <w:r w:rsidR="00FE2178" w:rsidRPr="00C2360F">
        <w:rPr>
          <w:rFonts w:ascii="Arial" w:hAnsi="Arial" w:cs="Arial"/>
          <w:sz w:val="24"/>
          <w:szCs w:val="24"/>
        </w:rPr>
        <w:tab/>
      </w:r>
      <w:r>
        <w:rPr>
          <w:rFonts w:ascii="Arial" w:hAnsi="Arial" w:cs="Arial"/>
          <w:sz w:val="24"/>
          <w:szCs w:val="24"/>
        </w:rPr>
        <w:t>J Arnolds</w:t>
      </w:r>
    </w:p>
    <w:p w:rsidR="00FE2178" w:rsidRPr="00C2360F" w:rsidRDefault="00F53907"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Of Sisa Namandje Inc</w:t>
      </w:r>
      <w:r w:rsidR="00C67026">
        <w:rPr>
          <w:rFonts w:ascii="Arial" w:hAnsi="Arial" w:cs="Arial"/>
          <w:sz w:val="24"/>
          <w:szCs w:val="24"/>
        </w:rPr>
        <w:t>,</w:t>
      </w:r>
      <w:r>
        <w:rPr>
          <w:rFonts w:ascii="Arial" w:hAnsi="Arial" w:cs="Arial"/>
          <w:sz w:val="24"/>
          <w:szCs w:val="24"/>
        </w:rPr>
        <w:t xml:space="preserve"> Windhoek</w:t>
      </w:r>
      <w:r w:rsidR="00FE2178" w:rsidRPr="00C2360F">
        <w:rPr>
          <w:rFonts w:ascii="Arial" w:hAnsi="Arial" w:cs="Arial"/>
          <w:sz w:val="24"/>
          <w:szCs w:val="24"/>
        </w:rPr>
        <w:tab/>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C2" w:rsidRDefault="004832C2" w:rsidP="002A43E6">
      <w:pPr>
        <w:spacing w:after="0" w:line="240" w:lineRule="auto"/>
      </w:pPr>
      <w:r>
        <w:separator/>
      </w:r>
    </w:p>
  </w:endnote>
  <w:endnote w:type="continuationSeparator" w:id="0">
    <w:p w:rsidR="004832C2" w:rsidRDefault="004832C2"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C2" w:rsidRDefault="004832C2" w:rsidP="002A43E6">
      <w:pPr>
        <w:spacing w:after="0" w:line="240" w:lineRule="auto"/>
      </w:pPr>
      <w:r>
        <w:separator/>
      </w:r>
    </w:p>
  </w:footnote>
  <w:footnote w:type="continuationSeparator" w:id="0">
    <w:p w:rsidR="004832C2" w:rsidRDefault="004832C2" w:rsidP="002A43E6">
      <w:pPr>
        <w:spacing w:after="0" w:line="240" w:lineRule="auto"/>
      </w:pPr>
      <w:r>
        <w:continuationSeparator/>
      </w:r>
    </w:p>
  </w:footnote>
  <w:footnote w:id="1">
    <w:p w:rsidR="006C31E2" w:rsidRPr="006C31E2" w:rsidRDefault="006C31E2">
      <w:pPr>
        <w:pStyle w:val="FootnoteText"/>
        <w:rPr>
          <w:lang w:val="en-ZA"/>
        </w:rPr>
      </w:pPr>
      <w:r>
        <w:rPr>
          <w:rStyle w:val="FootnoteReference"/>
        </w:rPr>
        <w:footnoteRef/>
      </w:r>
      <w:r>
        <w:t xml:space="preserve"> </w:t>
      </w:r>
      <w:proofErr w:type="gramStart"/>
      <w:r w:rsidRPr="006C31E2">
        <w:t>2 Standard Bank Namibia Limited v MGM Properties CC (HC-MD-CIV-ACT-CON-2018-00405) [2020] NAHCMD 28 (30 January 2020)</w:t>
      </w:r>
      <w:r w:rsidR="002A2C41">
        <w:t>.</w:t>
      </w:r>
      <w:proofErr w:type="gramEnd"/>
    </w:p>
  </w:footnote>
  <w:footnote w:id="2">
    <w:p w:rsidR="000175FA" w:rsidRPr="000175FA" w:rsidRDefault="000175FA">
      <w:pPr>
        <w:pStyle w:val="FootnoteText"/>
        <w:rPr>
          <w:lang w:val="en-ZA"/>
        </w:rPr>
      </w:pPr>
      <w:r>
        <w:rPr>
          <w:rStyle w:val="FootnoteReference"/>
        </w:rPr>
        <w:footnoteRef/>
      </w:r>
      <w:r>
        <w:t xml:space="preserve"> </w:t>
      </w:r>
      <w:proofErr w:type="gramStart"/>
      <w:r w:rsidRPr="000175FA">
        <w:rPr>
          <w:i/>
        </w:rPr>
        <w:t xml:space="preserve">Standard Bank Namibia Ltd v Bock </w:t>
      </w:r>
      <w:r w:rsidRPr="000175FA">
        <w:t>(HC-MD-CIV-ACT-CON-2018/04032 [2021] NAHCMD 78 (25 February 2021)</w:t>
      </w:r>
      <w:r>
        <w:t xml:space="preserve"> at </w:t>
      </w:r>
      <w:r w:rsidR="002A2C41">
        <w:t xml:space="preserve">   </w:t>
      </w:r>
      <w:r>
        <w:t>paragraph 29</w:t>
      </w:r>
      <w:r w:rsidRPr="000175FA">
        <w:t>.</w:t>
      </w:r>
      <w:proofErr w:type="gramEnd"/>
    </w:p>
  </w:footnote>
  <w:footnote w:id="3">
    <w:p w:rsidR="00933C39" w:rsidRPr="00EA18D6" w:rsidRDefault="00933C39" w:rsidP="002A2C41">
      <w:pPr>
        <w:spacing w:after="0" w:line="360" w:lineRule="auto"/>
        <w:jc w:val="both"/>
        <w:rPr>
          <w:rFonts w:ascii="Arial" w:hAnsi="Arial" w:cs="Arial"/>
          <w:sz w:val="20"/>
          <w:szCs w:val="20"/>
        </w:rPr>
      </w:pPr>
      <w:r w:rsidRPr="00EA18D6">
        <w:rPr>
          <w:rStyle w:val="FootnoteReference"/>
          <w:sz w:val="20"/>
          <w:szCs w:val="20"/>
        </w:rPr>
        <w:footnoteRef/>
      </w:r>
      <w:r w:rsidRPr="00EA18D6">
        <w:rPr>
          <w:sz w:val="20"/>
          <w:szCs w:val="20"/>
        </w:rPr>
        <w:t xml:space="preserve"> </w:t>
      </w:r>
      <w:proofErr w:type="gramStart"/>
      <w:r w:rsidR="002A2C41" w:rsidRPr="00EA18D6">
        <w:rPr>
          <w:rFonts w:ascii="Arial" w:hAnsi="Arial" w:cs="Arial"/>
          <w:i/>
          <w:sz w:val="20"/>
          <w:szCs w:val="20"/>
        </w:rPr>
        <w:t xml:space="preserve">Standard Bank Namibia Ltd v Bock </w:t>
      </w:r>
      <w:r w:rsidRPr="00EA18D6">
        <w:rPr>
          <w:rFonts w:asciiTheme="minorHAnsi" w:hAnsiTheme="minorHAnsi" w:cstheme="minorHAnsi"/>
          <w:sz w:val="20"/>
          <w:szCs w:val="20"/>
        </w:rPr>
        <w:t>(HC-MD-CIV-ACT-CON-2018/04032 [2021] NAHCMD 78 (25 February 2021).</w:t>
      </w:r>
      <w:proofErr w:type="gramEnd"/>
    </w:p>
  </w:footnote>
  <w:footnote w:id="4">
    <w:p w:rsidR="009D5CD0" w:rsidRPr="009D5CD0" w:rsidRDefault="009D5CD0">
      <w:pPr>
        <w:pStyle w:val="FootnoteText"/>
        <w:rPr>
          <w:lang w:val="en-ZA"/>
        </w:rPr>
      </w:pPr>
      <w:r w:rsidRPr="00EA18D6">
        <w:rPr>
          <w:rStyle w:val="FootnoteReference"/>
        </w:rPr>
        <w:footnoteRef/>
      </w:r>
      <w:r w:rsidRPr="00EA18D6">
        <w:t xml:space="preserve">  </w:t>
      </w:r>
      <w:proofErr w:type="gramStart"/>
      <w:r w:rsidRPr="00EA18D6">
        <w:t xml:space="preserve">See </w:t>
      </w:r>
      <w:r w:rsidRPr="00EA18D6">
        <w:rPr>
          <w:i/>
        </w:rPr>
        <w:t>Standard Bank Namibia Ltd and Others v Maletzky and Others</w:t>
      </w:r>
      <w:r w:rsidRPr="00EA18D6">
        <w:t xml:space="preserve"> 2015 (3) NR 753 (SC)</w:t>
      </w:r>
      <w:r w:rsidR="002A2C41" w:rsidRPr="00EA18D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EB3E96">
          <w:rPr>
            <w:noProof/>
          </w:rPr>
          <w:t>11</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BE0"/>
    <w:multiLevelType w:val="hybridMultilevel"/>
    <w:tmpl w:val="794819B4"/>
    <w:lvl w:ilvl="0" w:tplc="AE66062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C0406F7"/>
    <w:multiLevelType w:val="hybridMultilevel"/>
    <w:tmpl w:val="0A6417B6"/>
    <w:lvl w:ilvl="0" w:tplc="A4B07E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88C3C92"/>
    <w:multiLevelType w:val="multilevel"/>
    <w:tmpl w:val="A0EE6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8CF1E7B"/>
    <w:multiLevelType w:val="hybridMultilevel"/>
    <w:tmpl w:val="09624F98"/>
    <w:lvl w:ilvl="0" w:tplc="5956B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175FA"/>
    <w:rsid w:val="00021DEF"/>
    <w:rsid w:val="000228D3"/>
    <w:rsid w:val="00035AD1"/>
    <w:rsid w:val="00035F83"/>
    <w:rsid w:val="00042D0A"/>
    <w:rsid w:val="00051FF5"/>
    <w:rsid w:val="00054F24"/>
    <w:rsid w:val="000A4851"/>
    <w:rsid w:val="000A6C3E"/>
    <w:rsid w:val="000B50C7"/>
    <w:rsid w:val="000C0F6B"/>
    <w:rsid w:val="000C56BA"/>
    <w:rsid w:val="000C740D"/>
    <w:rsid w:val="000C7CA5"/>
    <w:rsid w:val="000D0C68"/>
    <w:rsid w:val="000D4513"/>
    <w:rsid w:val="00106FD8"/>
    <w:rsid w:val="00123549"/>
    <w:rsid w:val="00131F38"/>
    <w:rsid w:val="00177039"/>
    <w:rsid w:val="00196B00"/>
    <w:rsid w:val="001A05DE"/>
    <w:rsid w:val="001D3AEC"/>
    <w:rsid w:val="001E7287"/>
    <w:rsid w:val="0021079D"/>
    <w:rsid w:val="002177FC"/>
    <w:rsid w:val="00222DE9"/>
    <w:rsid w:val="00247AE5"/>
    <w:rsid w:val="00263E21"/>
    <w:rsid w:val="002742F5"/>
    <w:rsid w:val="00274409"/>
    <w:rsid w:val="0027468D"/>
    <w:rsid w:val="002977EA"/>
    <w:rsid w:val="002A2C41"/>
    <w:rsid w:val="002A43E6"/>
    <w:rsid w:val="002A6E64"/>
    <w:rsid w:val="002B65BD"/>
    <w:rsid w:val="002E1F67"/>
    <w:rsid w:val="002E3B75"/>
    <w:rsid w:val="002E5DA0"/>
    <w:rsid w:val="0030688E"/>
    <w:rsid w:val="00317026"/>
    <w:rsid w:val="00335BE7"/>
    <w:rsid w:val="0034165B"/>
    <w:rsid w:val="00345423"/>
    <w:rsid w:val="00353EB8"/>
    <w:rsid w:val="0037692D"/>
    <w:rsid w:val="00386460"/>
    <w:rsid w:val="003922A0"/>
    <w:rsid w:val="00397682"/>
    <w:rsid w:val="003B32EB"/>
    <w:rsid w:val="003E2251"/>
    <w:rsid w:val="003F269C"/>
    <w:rsid w:val="0040283B"/>
    <w:rsid w:val="00411659"/>
    <w:rsid w:val="00417546"/>
    <w:rsid w:val="00421118"/>
    <w:rsid w:val="00422A1F"/>
    <w:rsid w:val="00440824"/>
    <w:rsid w:val="00452C38"/>
    <w:rsid w:val="00453775"/>
    <w:rsid w:val="0045494E"/>
    <w:rsid w:val="00466602"/>
    <w:rsid w:val="0047522E"/>
    <w:rsid w:val="004832C2"/>
    <w:rsid w:val="004943E5"/>
    <w:rsid w:val="004A3309"/>
    <w:rsid w:val="004B6D07"/>
    <w:rsid w:val="004C14DE"/>
    <w:rsid w:val="004C699B"/>
    <w:rsid w:val="004D5573"/>
    <w:rsid w:val="004E1CAB"/>
    <w:rsid w:val="004E5570"/>
    <w:rsid w:val="004E7B8B"/>
    <w:rsid w:val="004F7411"/>
    <w:rsid w:val="0054076F"/>
    <w:rsid w:val="00553930"/>
    <w:rsid w:val="00565405"/>
    <w:rsid w:val="00581EE2"/>
    <w:rsid w:val="00587100"/>
    <w:rsid w:val="005A235B"/>
    <w:rsid w:val="005B45FF"/>
    <w:rsid w:val="005B5FFF"/>
    <w:rsid w:val="005C31BB"/>
    <w:rsid w:val="005E02C7"/>
    <w:rsid w:val="005F397F"/>
    <w:rsid w:val="005F454E"/>
    <w:rsid w:val="0061742B"/>
    <w:rsid w:val="0061770C"/>
    <w:rsid w:val="00635063"/>
    <w:rsid w:val="00671F5B"/>
    <w:rsid w:val="006801D6"/>
    <w:rsid w:val="00685EA3"/>
    <w:rsid w:val="0069301A"/>
    <w:rsid w:val="006C2F17"/>
    <w:rsid w:val="006C31E2"/>
    <w:rsid w:val="00700C07"/>
    <w:rsid w:val="007031A5"/>
    <w:rsid w:val="00703E37"/>
    <w:rsid w:val="00704DDC"/>
    <w:rsid w:val="007300F3"/>
    <w:rsid w:val="00730DA7"/>
    <w:rsid w:val="00733BD4"/>
    <w:rsid w:val="007548D9"/>
    <w:rsid w:val="007611FE"/>
    <w:rsid w:val="00762D31"/>
    <w:rsid w:val="007702D7"/>
    <w:rsid w:val="00780F98"/>
    <w:rsid w:val="0078329D"/>
    <w:rsid w:val="00784B5D"/>
    <w:rsid w:val="007C08E1"/>
    <w:rsid w:val="007C5CC4"/>
    <w:rsid w:val="007D03FB"/>
    <w:rsid w:val="007D4CA9"/>
    <w:rsid w:val="007F232C"/>
    <w:rsid w:val="007F7A2E"/>
    <w:rsid w:val="00805107"/>
    <w:rsid w:val="00831649"/>
    <w:rsid w:val="00834111"/>
    <w:rsid w:val="008353E2"/>
    <w:rsid w:val="0085384E"/>
    <w:rsid w:val="00857F37"/>
    <w:rsid w:val="008711A7"/>
    <w:rsid w:val="00873E40"/>
    <w:rsid w:val="00882497"/>
    <w:rsid w:val="0088491E"/>
    <w:rsid w:val="00884AF8"/>
    <w:rsid w:val="00891D81"/>
    <w:rsid w:val="008961A5"/>
    <w:rsid w:val="008D6412"/>
    <w:rsid w:val="008E6545"/>
    <w:rsid w:val="00901780"/>
    <w:rsid w:val="00906946"/>
    <w:rsid w:val="00916D24"/>
    <w:rsid w:val="00933C39"/>
    <w:rsid w:val="00942AA3"/>
    <w:rsid w:val="009562F3"/>
    <w:rsid w:val="00966132"/>
    <w:rsid w:val="009668BA"/>
    <w:rsid w:val="0097355F"/>
    <w:rsid w:val="00973FD7"/>
    <w:rsid w:val="009867CB"/>
    <w:rsid w:val="00992BAE"/>
    <w:rsid w:val="009A1DBE"/>
    <w:rsid w:val="009D498D"/>
    <w:rsid w:val="009D5CD0"/>
    <w:rsid w:val="009E2B4D"/>
    <w:rsid w:val="009E4A11"/>
    <w:rsid w:val="009F363F"/>
    <w:rsid w:val="00A0105B"/>
    <w:rsid w:val="00A14F3D"/>
    <w:rsid w:val="00A205D5"/>
    <w:rsid w:val="00A35552"/>
    <w:rsid w:val="00A4112E"/>
    <w:rsid w:val="00A65982"/>
    <w:rsid w:val="00A771EF"/>
    <w:rsid w:val="00A77C8A"/>
    <w:rsid w:val="00A931ED"/>
    <w:rsid w:val="00A93943"/>
    <w:rsid w:val="00A93E40"/>
    <w:rsid w:val="00AA2012"/>
    <w:rsid w:val="00AA2811"/>
    <w:rsid w:val="00AB07FC"/>
    <w:rsid w:val="00AB404B"/>
    <w:rsid w:val="00AC4645"/>
    <w:rsid w:val="00AC49A9"/>
    <w:rsid w:val="00AD6110"/>
    <w:rsid w:val="00AF3776"/>
    <w:rsid w:val="00AF45BD"/>
    <w:rsid w:val="00B0155A"/>
    <w:rsid w:val="00B026BC"/>
    <w:rsid w:val="00B02D38"/>
    <w:rsid w:val="00B14270"/>
    <w:rsid w:val="00B254D6"/>
    <w:rsid w:val="00B33680"/>
    <w:rsid w:val="00B37BB8"/>
    <w:rsid w:val="00B42960"/>
    <w:rsid w:val="00B5195B"/>
    <w:rsid w:val="00B5484C"/>
    <w:rsid w:val="00B55913"/>
    <w:rsid w:val="00B64064"/>
    <w:rsid w:val="00B664A6"/>
    <w:rsid w:val="00B928B2"/>
    <w:rsid w:val="00BB0E43"/>
    <w:rsid w:val="00BB19E8"/>
    <w:rsid w:val="00BB268B"/>
    <w:rsid w:val="00BC1A23"/>
    <w:rsid w:val="00BD3164"/>
    <w:rsid w:val="00BD5356"/>
    <w:rsid w:val="00BD5A06"/>
    <w:rsid w:val="00BD5A89"/>
    <w:rsid w:val="00BE7F37"/>
    <w:rsid w:val="00C06CAF"/>
    <w:rsid w:val="00C15199"/>
    <w:rsid w:val="00C152EE"/>
    <w:rsid w:val="00C2360F"/>
    <w:rsid w:val="00C36D1E"/>
    <w:rsid w:val="00C4066E"/>
    <w:rsid w:val="00C42580"/>
    <w:rsid w:val="00C67026"/>
    <w:rsid w:val="00C73FAF"/>
    <w:rsid w:val="00C85FA3"/>
    <w:rsid w:val="00CA2EF9"/>
    <w:rsid w:val="00CB02A1"/>
    <w:rsid w:val="00CF67A1"/>
    <w:rsid w:val="00D071AB"/>
    <w:rsid w:val="00D12998"/>
    <w:rsid w:val="00D20CC4"/>
    <w:rsid w:val="00D419A7"/>
    <w:rsid w:val="00D419C1"/>
    <w:rsid w:val="00D541E2"/>
    <w:rsid w:val="00D578AF"/>
    <w:rsid w:val="00DA2CE1"/>
    <w:rsid w:val="00DB2FAE"/>
    <w:rsid w:val="00DB5C5A"/>
    <w:rsid w:val="00DC6462"/>
    <w:rsid w:val="00DD1534"/>
    <w:rsid w:val="00DD198B"/>
    <w:rsid w:val="00DD26D3"/>
    <w:rsid w:val="00DD763D"/>
    <w:rsid w:val="00DE4631"/>
    <w:rsid w:val="00DF3EA1"/>
    <w:rsid w:val="00E15AC1"/>
    <w:rsid w:val="00E2592B"/>
    <w:rsid w:val="00E25E71"/>
    <w:rsid w:val="00E402FF"/>
    <w:rsid w:val="00E7414F"/>
    <w:rsid w:val="00E82A71"/>
    <w:rsid w:val="00E90B64"/>
    <w:rsid w:val="00EA18D6"/>
    <w:rsid w:val="00EB3E96"/>
    <w:rsid w:val="00EC662E"/>
    <w:rsid w:val="00EE2B3E"/>
    <w:rsid w:val="00EF49A0"/>
    <w:rsid w:val="00F15E61"/>
    <w:rsid w:val="00F22AA5"/>
    <w:rsid w:val="00F26EEC"/>
    <w:rsid w:val="00F34378"/>
    <w:rsid w:val="00F44E19"/>
    <w:rsid w:val="00F4619E"/>
    <w:rsid w:val="00F51454"/>
    <w:rsid w:val="00F5350C"/>
    <w:rsid w:val="00F53907"/>
    <w:rsid w:val="00F601B5"/>
    <w:rsid w:val="00F65A80"/>
    <w:rsid w:val="00F767A0"/>
    <w:rsid w:val="00F95B4B"/>
    <w:rsid w:val="00FC1FD9"/>
    <w:rsid w:val="00FC6E5A"/>
    <w:rsid w:val="00FD7950"/>
    <w:rsid w:val="00FE2178"/>
    <w:rsid w:val="00FE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2023-07-30T18:30:00+00:00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26C96480-AC19-4DEF-BA02-0FC0A0539658}"/>
</file>

<file path=customXml/itemProps4.xml><?xml version="1.0" encoding="utf-8"?>
<ds:datastoreItem xmlns:ds="http://schemas.openxmlformats.org/officeDocument/2006/customXml" ds:itemID="{CB55663A-86F9-4084-B052-9244C18DDB93}"/>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Embassy of the Republic of Angola: Windhoek Namibia (HC-MD-CIV-ACT-CON-2021/02570 [2023] NAHCMD 456 (31 July 2023)</dc:title>
  <dc:creator>Nicolene Griffiths</dc:creator>
  <cp:lastModifiedBy>Hira Katjepunda</cp:lastModifiedBy>
  <cp:revision>2</cp:revision>
  <cp:lastPrinted>2023-07-31T06:46:00Z</cp:lastPrinted>
  <dcterms:created xsi:type="dcterms:W3CDTF">2023-08-02T14:14:00Z</dcterms:created>
  <dcterms:modified xsi:type="dcterms:W3CDTF">2023-08-02T14:14:00Z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