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571F92" w:rsidRDefault="00A91522" w:rsidP="00C6621D">
      <w:pPr>
        <w:spacing w:after="0" w:line="360" w:lineRule="auto"/>
        <w:jc w:val="center"/>
        <w:rPr>
          <w:rFonts w:ascii="Arial" w:hAnsi="Arial" w:cs="Arial"/>
          <w:b/>
          <w:sz w:val="24"/>
          <w:szCs w:val="24"/>
          <w:lang w:val="en-US"/>
        </w:rPr>
      </w:pPr>
      <w:r w:rsidRPr="00571F92">
        <w:rPr>
          <w:rFonts w:ascii="Arial" w:hAnsi="Arial" w:cs="Arial"/>
          <w:b/>
          <w:sz w:val="24"/>
          <w:szCs w:val="24"/>
          <w:lang w:val="en-US"/>
        </w:rPr>
        <w:t>REPUBLIC OF NAMIBIA</w:t>
      </w:r>
    </w:p>
    <w:p w:rsidR="00A91522" w:rsidRDefault="00A91522" w:rsidP="00C6621D">
      <w:pPr>
        <w:spacing w:after="0" w:line="360" w:lineRule="auto"/>
        <w:jc w:val="center"/>
        <w:rPr>
          <w:rFonts w:ascii="Arial" w:hAnsi="Arial" w:cs="Arial"/>
          <w:b/>
          <w:sz w:val="24"/>
          <w:szCs w:val="24"/>
          <w:lang w:val="en-US"/>
        </w:rPr>
      </w:pPr>
      <w:r w:rsidRPr="00571F92">
        <w:rPr>
          <w:rFonts w:ascii="Arial" w:hAnsi="Arial" w:cs="Arial"/>
          <w:b/>
          <w:noProof/>
          <w:sz w:val="24"/>
          <w:szCs w:val="24"/>
          <w:lang w:eastAsia="en-ZA"/>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C36286" w:rsidRPr="00571F92" w:rsidRDefault="00C36286" w:rsidP="00C6621D">
      <w:pPr>
        <w:spacing w:after="0" w:line="360" w:lineRule="auto"/>
        <w:jc w:val="center"/>
        <w:rPr>
          <w:rFonts w:ascii="Arial" w:hAnsi="Arial" w:cs="Arial"/>
          <w:b/>
          <w:sz w:val="24"/>
          <w:szCs w:val="24"/>
          <w:lang w:val="en-US"/>
        </w:rPr>
      </w:pPr>
    </w:p>
    <w:p w:rsidR="00A91522" w:rsidRPr="00571F92" w:rsidRDefault="00A91522" w:rsidP="00C6621D">
      <w:pPr>
        <w:spacing w:after="0" w:line="360" w:lineRule="auto"/>
        <w:jc w:val="center"/>
        <w:rPr>
          <w:rFonts w:ascii="Arial" w:hAnsi="Arial" w:cs="Arial"/>
          <w:b/>
          <w:sz w:val="24"/>
          <w:szCs w:val="24"/>
          <w:lang w:val="en-US"/>
        </w:rPr>
      </w:pPr>
      <w:r w:rsidRPr="00571F92">
        <w:rPr>
          <w:rFonts w:ascii="Arial" w:hAnsi="Arial" w:cs="Arial"/>
          <w:b/>
          <w:sz w:val="24"/>
          <w:szCs w:val="24"/>
          <w:lang w:val="en-US"/>
        </w:rPr>
        <w:t>IN THE HIGH COURT OF NAMIBIA, MAIN DIVISION, WINDHOEK</w:t>
      </w:r>
    </w:p>
    <w:p w:rsidR="00A41625" w:rsidRDefault="00A41625" w:rsidP="00C6621D">
      <w:pPr>
        <w:spacing w:after="0" w:line="360" w:lineRule="auto"/>
        <w:jc w:val="center"/>
        <w:rPr>
          <w:rFonts w:ascii="Arial" w:hAnsi="Arial" w:cs="Arial"/>
          <w:b/>
          <w:sz w:val="24"/>
          <w:szCs w:val="24"/>
          <w:lang w:val="en-US"/>
        </w:rPr>
      </w:pPr>
    </w:p>
    <w:p w:rsidR="00A41625" w:rsidRDefault="00A41625" w:rsidP="00C6621D">
      <w:pPr>
        <w:spacing w:after="0" w:line="360" w:lineRule="auto"/>
        <w:jc w:val="center"/>
        <w:rPr>
          <w:rFonts w:ascii="Arial" w:hAnsi="Arial" w:cs="Arial"/>
          <w:b/>
          <w:sz w:val="24"/>
          <w:szCs w:val="24"/>
          <w:lang w:val="en-US"/>
        </w:rPr>
      </w:pPr>
      <w:r>
        <w:rPr>
          <w:rFonts w:ascii="Arial" w:hAnsi="Arial" w:cs="Arial"/>
          <w:b/>
          <w:sz w:val="24"/>
          <w:szCs w:val="24"/>
          <w:lang w:val="en-US"/>
        </w:rPr>
        <w:t>RULING</w:t>
      </w:r>
    </w:p>
    <w:p w:rsidR="00A41625" w:rsidRDefault="00A41625" w:rsidP="00C6621D">
      <w:pPr>
        <w:spacing w:after="0" w:line="360" w:lineRule="auto"/>
        <w:jc w:val="center"/>
        <w:rPr>
          <w:rFonts w:ascii="Arial" w:hAnsi="Arial" w:cs="Arial"/>
          <w:b/>
          <w:sz w:val="24"/>
          <w:szCs w:val="24"/>
          <w:lang w:val="en-US"/>
        </w:rPr>
      </w:pPr>
    </w:p>
    <w:p w:rsidR="00A91522" w:rsidRDefault="00667ED0" w:rsidP="00C6621D">
      <w:pPr>
        <w:spacing w:after="0" w:line="360" w:lineRule="auto"/>
        <w:jc w:val="center"/>
        <w:rPr>
          <w:rFonts w:ascii="Arial" w:hAnsi="Arial" w:cs="Arial"/>
          <w:b/>
          <w:sz w:val="24"/>
          <w:szCs w:val="24"/>
          <w:lang w:val="en-US"/>
        </w:rPr>
      </w:pPr>
      <w:r>
        <w:rPr>
          <w:rFonts w:ascii="Arial" w:hAnsi="Arial" w:cs="Arial"/>
          <w:b/>
          <w:sz w:val="24"/>
          <w:szCs w:val="24"/>
          <w:lang w:val="en-US"/>
        </w:rPr>
        <w:t>PRACTICE DIRECTIONS</w:t>
      </w:r>
      <w:r w:rsidR="005143C3">
        <w:rPr>
          <w:rFonts w:ascii="Arial" w:hAnsi="Arial" w:cs="Arial"/>
          <w:b/>
          <w:sz w:val="24"/>
          <w:szCs w:val="24"/>
          <w:lang w:val="en-US"/>
        </w:rPr>
        <w:t xml:space="preserve"> 61</w:t>
      </w:r>
    </w:p>
    <w:p w:rsidR="00FD1E17" w:rsidRPr="00571F92" w:rsidRDefault="00FD1E17" w:rsidP="00782F03">
      <w:pPr>
        <w:spacing w:after="0" w:line="360" w:lineRule="auto"/>
        <w:jc w:val="center"/>
        <w:rPr>
          <w:rFonts w:ascii="Arial" w:hAnsi="Arial" w:cs="Arial"/>
          <w:b/>
          <w:sz w:val="24"/>
          <w:szCs w:val="24"/>
          <w:lang w:val="en-US"/>
        </w:rPr>
      </w:pP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F96C8E" w:rsidRPr="002947C2" w:rsidTr="0002731C">
        <w:trPr>
          <w:trHeight w:val="599"/>
        </w:trPr>
        <w:tc>
          <w:tcPr>
            <w:tcW w:w="6379" w:type="dxa"/>
            <w:gridSpan w:val="2"/>
            <w:vMerge w:val="restart"/>
            <w:tcBorders>
              <w:top w:val="single" w:sz="4" w:space="0" w:color="auto"/>
              <w:left w:val="single" w:sz="4" w:space="0" w:color="auto"/>
              <w:right w:val="single" w:sz="4" w:space="0" w:color="auto"/>
            </w:tcBorders>
            <w:hideMark/>
          </w:tcPr>
          <w:p w:rsidR="00F96C8E" w:rsidRPr="008E5F40" w:rsidRDefault="00F96C8E" w:rsidP="00FD3909">
            <w:pPr>
              <w:spacing w:after="0" w:line="360" w:lineRule="auto"/>
              <w:jc w:val="both"/>
              <w:rPr>
                <w:rFonts w:ascii="Arial" w:hAnsi="Arial" w:cs="Arial"/>
                <w:b/>
                <w:sz w:val="24"/>
                <w:szCs w:val="24"/>
              </w:rPr>
            </w:pPr>
            <w:r w:rsidRPr="008E5F40">
              <w:rPr>
                <w:rFonts w:ascii="Arial" w:hAnsi="Arial" w:cs="Arial"/>
                <w:b/>
                <w:sz w:val="24"/>
                <w:szCs w:val="24"/>
              </w:rPr>
              <w:t>Case Title:</w:t>
            </w:r>
          </w:p>
          <w:p w:rsidR="00B42D21" w:rsidRPr="008E5F40" w:rsidRDefault="00B42D21" w:rsidP="00FD3909">
            <w:pPr>
              <w:spacing w:after="0" w:line="360" w:lineRule="auto"/>
              <w:jc w:val="both"/>
              <w:rPr>
                <w:rFonts w:ascii="Arial" w:hAnsi="Arial" w:cs="Arial"/>
                <w:b/>
                <w:sz w:val="24"/>
                <w:szCs w:val="24"/>
              </w:rPr>
            </w:pPr>
          </w:p>
          <w:p w:rsidR="00FD3909" w:rsidRPr="008E5F40" w:rsidRDefault="00FD3909" w:rsidP="00FD3909">
            <w:pPr>
              <w:spacing w:after="0" w:line="360" w:lineRule="auto"/>
              <w:rPr>
                <w:rFonts w:ascii="Arial" w:hAnsi="Arial" w:cs="Arial"/>
                <w:b/>
                <w:bCs/>
                <w:sz w:val="24"/>
                <w:szCs w:val="24"/>
              </w:rPr>
            </w:pPr>
            <w:proofErr w:type="spellStart"/>
            <w:r w:rsidRPr="008E5F40">
              <w:rPr>
                <w:rFonts w:ascii="Arial" w:hAnsi="Arial" w:cs="Arial"/>
                <w:b/>
                <w:bCs/>
                <w:sz w:val="24"/>
                <w:szCs w:val="24"/>
              </w:rPr>
              <w:t>Namdeb</w:t>
            </w:r>
            <w:proofErr w:type="spellEnd"/>
            <w:r w:rsidRPr="008E5F40">
              <w:rPr>
                <w:rFonts w:ascii="Arial" w:hAnsi="Arial" w:cs="Arial"/>
                <w:b/>
                <w:bCs/>
                <w:sz w:val="24"/>
                <w:szCs w:val="24"/>
              </w:rPr>
              <w:t xml:space="preserve"> Diamond Corporation</w:t>
            </w:r>
            <w:r w:rsidRPr="008E5F40">
              <w:rPr>
                <w:rFonts w:ascii="Arial" w:hAnsi="Arial" w:cs="Arial"/>
                <w:b/>
                <w:bCs/>
                <w:sz w:val="24"/>
                <w:szCs w:val="24"/>
              </w:rPr>
              <w:tab/>
            </w:r>
            <w:r w:rsidR="002857CC" w:rsidRPr="008E5F40">
              <w:rPr>
                <w:rFonts w:ascii="Arial" w:hAnsi="Arial" w:cs="Arial"/>
                <w:b/>
                <w:bCs/>
                <w:sz w:val="24"/>
                <w:szCs w:val="24"/>
              </w:rPr>
              <w:tab/>
            </w:r>
            <w:r w:rsidR="002857CC" w:rsidRPr="008E5F40">
              <w:rPr>
                <w:rFonts w:ascii="Arial" w:hAnsi="Arial" w:cs="Arial"/>
                <w:b/>
                <w:bCs/>
                <w:sz w:val="24"/>
                <w:szCs w:val="24"/>
              </w:rPr>
              <w:tab/>
              <w:t>Applicant</w:t>
            </w:r>
          </w:p>
          <w:p w:rsidR="00123FEC" w:rsidRPr="008E5F40" w:rsidRDefault="00FD3909" w:rsidP="00FD3909">
            <w:pPr>
              <w:spacing w:after="0" w:line="360" w:lineRule="auto"/>
              <w:rPr>
                <w:rFonts w:ascii="Arial" w:hAnsi="Arial" w:cs="Arial"/>
                <w:sz w:val="24"/>
                <w:szCs w:val="24"/>
                <w:shd w:val="clear" w:color="auto" w:fill="FFFFFF"/>
                <w:lang w:val="en-ZA"/>
              </w:rPr>
            </w:pPr>
            <w:r w:rsidRPr="008E5F40">
              <w:rPr>
                <w:rFonts w:ascii="Arial" w:hAnsi="Arial" w:cs="Arial"/>
                <w:b/>
                <w:bCs/>
                <w:sz w:val="24"/>
                <w:szCs w:val="24"/>
              </w:rPr>
              <w:t>(Pty) Ltd</w:t>
            </w:r>
          </w:p>
          <w:p w:rsidR="00123FEC" w:rsidRPr="008E5F40" w:rsidRDefault="00123FEC" w:rsidP="00FD3909">
            <w:pPr>
              <w:spacing w:after="0" w:line="360" w:lineRule="auto"/>
              <w:rPr>
                <w:rFonts w:ascii="Arial" w:hAnsi="Arial" w:cs="Arial"/>
                <w:sz w:val="24"/>
                <w:szCs w:val="24"/>
                <w:shd w:val="clear" w:color="auto" w:fill="FFFFFF"/>
              </w:rPr>
            </w:pPr>
          </w:p>
          <w:p w:rsidR="00123FEC" w:rsidRPr="008E5F40" w:rsidRDefault="00123FEC" w:rsidP="00FD3909">
            <w:pPr>
              <w:spacing w:after="0" w:line="360" w:lineRule="auto"/>
              <w:rPr>
                <w:rFonts w:ascii="Arial" w:hAnsi="Arial" w:cs="Arial"/>
                <w:sz w:val="24"/>
                <w:szCs w:val="24"/>
                <w:shd w:val="clear" w:color="auto" w:fill="FFFFFF"/>
              </w:rPr>
            </w:pPr>
            <w:r w:rsidRPr="008E5F40">
              <w:rPr>
                <w:rFonts w:ascii="Arial" w:hAnsi="Arial" w:cs="Arial"/>
                <w:sz w:val="24"/>
                <w:szCs w:val="24"/>
                <w:shd w:val="clear" w:color="auto" w:fill="FFFFFF"/>
              </w:rPr>
              <w:t>and</w:t>
            </w:r>
          </w:p>
          <w:p w:rsidR="00123FEC" w:rsidRPr="008E5F40" w:rsidRDefault="00123FEC" w:rsidP="00FD3909">
            <w:pPr>
              <w:spacing w:after="0" w:line="360" w:lineRule="auto"/>
              <w:rPr>
                <w:rFonts w:ascii="Arial" w:hAnsi="Arial" w:cs="Arial"/>
                <w:sz w:val="24"/>
                <w:szCs w:val="24"/>
                <w:shd w:val="clear" w:color="auto" w:fill="FFFFFF"/>
              </w:rPr>
            </w:pPr>
          </w:p>
          <w:p w:rsidR="00FD3909" w:rsidRPr="008E5F40" w:rsidRDefault="00FD3909" w:rsidP="00FD3909">
            <w:pPr>
              <w:spacing w:after="0" w:line="360" w:lineRule="auto"/>
              <w:rPr>
                <w:rFonts w:ascii="Arial" w:hAnsi="Arial" w:cs="Arial"/>
                <w:b/>
                <w:bCs/>
                <w:sz w:val="24"/>
                <w:szCs w:val="24"/>
              </w:rPr>
            </w:pPr>
            <w:r w:rsidRPr="008E5F40">
              <w:rPr>
                <w:rFonts w:ascii="Arial" w:hAnsi="Arial" w:cs="Arial"/>
                <w:b/>
                <w:bCs/>
                <w:sz w:val="24"/>
                <w:szCs w:val="24"/>
              </w:rPr>
              <w:t>Twenty Eleven Investments</w:t>
            </w:r>
            <w:r w:rsidRPr="008E5F40">
              <w:rPr>
                <w:rFonts w:ascii="Arial" w:hAnsi="Arial" w:cs="Arial"/>
                <w:b/>
                <w:bCs/>
                <w:sz w:val="24"/>
                <w:szCs w:val="24"/>
              </w:rPr>
              <w:tab/>
            </w:r>
            <w:r w:rsidR="002857CC" w:rsidRPr="008E5F40">
              <w:rPr>
                <w:rFonts w:ascii="Arial" w:hAnsi="Arial" w:cs="Arial"/>
                <w:b/>
                <w:bCs/>
                <w:sz w:val="24"/>
                <w:szCs w:val="24"/>
              </w:rPr>
              <w:tab/>
            </w:r>
            <w:r w:rsidR="008E5F40">
              <w:rPr>
                <w:rFonts w:ascii="Arial" w:hAnsi="Arial" w:cs="Arial"/>
                <w:b/>
                <w:bCs/>
                <w:sz w:val="24"/>
                <w:szCs w:val="24"/>
              </w:rPr>
              <w:t xml:space="preserve">      </w:t>
            </w:r>
            <w:r w:rsidRPr="008E5F40">
              <w:rPr>
                <w:rFonts w:ascii="Arial" w:hAnsi="Arial" w:cs="Arial"/>
                <w:b/>
                <w:bCs/>
                <w:sz w:val="24"/>
                <w:szCs w:val="24"/>
              </w:rPr>
              <w:t>Respondent</w:t>
            </w:r>
          </w:p>
          <w:p w:rsidR="00F30706" w:rsidRPr="00797D37" w:rsidRDefault="00FD3909" w:rsidP="00FD3909">
            <w:pPr>
              <w:spacing w:after="0" w:line="360" w:lineRule="auto"/>
              <w:rPr>
                <w:rFonts w:ascii="Arial" w:hAnsi="Arial" w:cs="Arial"/>
                <w:b/>
                <w:bCs/>
                <w:sz w:val="24"/>
                <w:szCs w:val="24"/>
              </w:rPr>
            </w:pPr>
            <w:r w:rsidRPr="008E5F40">
              <w:rPr>
                <w:rFonts w:ascii="Arial" w:hAnsi="Arial" w:cs="Arial"/>
                <w:b/>
                <w:bCs/>
                <w:sz w:val="24"/>
                <w:szCs w:val="24"/>
              </w:rPr>
              <w:t>(Pty) Ltd</w:t>
            </w:r>
          </w:p>
        </w:tc>
        <w:tc>
          <w:tcPr>
            <w:tcW w:w="4111" w:type="dxa"/>
            <w:tcBorders>
              <w:top w:val="single" w:sz="4" w:space="0" w:color="auto"/>
              <w:left w:val="single" w:sz="4" w:space="0" w:color="auto"/>
              <w:bottom w:val="single" w:sz="4" w:space="0" w:color="auto"/>
              <w:right w:val="single" w:sz="4" w:space="0" w:color="auto"/>
            </w:tcBorders>
          </w:tcPr>
          <w:p w:rsidR="002947C2" w:rsidRPr="002947C2" w:rsidRDefault="00F96C8E" w:rsidP="00FD3909">
            <w:pPr>
              <w:spacing w:after="0" w:line="360" w:lineRule="auto"/>
              <w:ind w:left="1616" w:hanging="1559"/>
              <w:jc w:val="both"/>
              <w:rPr>
                <w:rFonts w:ascii="Arial" w:hAnsi="Arial" w:cs="Arial"/>
                <w:b/>
                <w:sz w:val="24"/>
                <w:szCs w:val="24"/>
              </w:rPr>
            </w:pPr>
            <w:r w:rsidRPr="002947C2">
              <w:rPr>
                <w:rFonts w:ascii="Arial" w:hAnsi="Arial" w:cs="Arial"/>
                <w:b/>
                <w:sz w:val="24"/>
                <w:szCs w:val="24"/>
              </w:rPr>
              <w:t>C</w:t>
            </w:r>
            <w:r w:rsidR="00923BA4" w:rsidRPr="002947C2">
              <w:rPr>
                <w:rFonts w:ascii="Arial" w:hAnsi="Arial" w:cs="Arial"/>
                <w:b/>
                <w:sz w:val="24"/>
                <w:szCs w:val="24"/>
              </w:rPr>
              <w:t>ase No:</w:t>
            </w:r>
            <w:r w:rsidR="002947C2" w:rsidRPr="002947C2">
              <w:rPr>
                <w:rFonts w:ascii="Arial" w:hAnsi="Arial" w:cs="Arial"/>
                <w:b/>
                <w:sz w:val="24"/>
                <w:szCs w:val="24"/>
              </w:rPr>
              <w:t xml:space="preserve"> </w:t>
            </w:r>
          </w:p>
          <w:p w:rsidR="002947C2" w:rsidRPr="002947C2" w:rsidRDefault="002947C2" w:rsidP="00FD3909">
            <w:pPr>
              <w:spacing w:after="0" w:line="360" w:lineRule="auto"/>
              <w:ind w:left="1616" w:hanging="1559"/>
              <w:jc w:val="both"/>
              <w:rPr>
                <w:rFonts w:ascii="Arial" w:hAnsi="Arial" w:cs="Arial"/>
                <w:b/>
                <w:bCs/>
                <w:sz w:val="24"/>
                <w:szCs w:val="24"/>
              </w:rPr>
            </w:pPr>
            <w:r w:rsidRPr="002947C2">
              <w:rPr>
                <w:rFonts w:ascii="Arial" w:hAnsi="Arial" w:cs="Arial"/>
                <w:b/>
                <w:bCs/>
                <w:sz w:val="24"/>
                <w:szCs w:val="24"/>
              </w:rPr>
              <w:t>HC-MD-CIV-ACT-CON-2023/00237</w:t>
            </w:r>
          </w:p>
          <w:p w:rsidR="002947C2" w:rsidRPr="002947C2" w:rsidRDefault="002947C2" w:rsidP="00FD3909">
            <w:pPr>
              <w:spacing w:after="0" w:line="360" w:lineRule="auto"/>
              <w:ind w:left="1616" w:hanging="1559"/>
              <w:jc w:val="both"/>
              <w:rPr>
                <w:rFonts w:ascii="Arial" w:hAnsi="Arial" w:cs="Arial"/>
                <w:b/>
                <w:bCs/>
                <w:sz w:val="24"/>
                <w:szCs w:val="24"/>
              </w:rPr>
            </w:pPr>
            <w:r w:rsidRPr="002947C2">
              <w:rPr>
                <w:rFonts w:ascii="Arial" w:hAnsi="Arial" w:cs="Arial"/>
                <w:b/>
                <w:bCs/>
                <w:sz w:val="24"/>
                <w:szCs w:val="24"/>
              </w:rPr>
              <w:t>INT-HC-SUMJUD-2023/00138</w:t>
            </w:r>
          </w:p>
          <w:p w:rsidR="002947C2" w:rsidRPr="002947C2" w:rsidRDefault="002947C2" w:rsidP="00FD3909">
            <w:pPr>
              <w:spacing w:after="0" w:line="360" w:lineRule="auto"/>
              <w:ind w:left="1616" w:hanging="1559"/>
              <w:jc w:val="both"/>
              <w:rPr>
                <w:rFonts w:ascii="Arial" w:hAnsi="Arial" w:cs="Arial"/>
                <w:b/>
                <w:sz w:val="24"/>
                <w:szCs w:val="24"/>
              </w:rPr>
            </w:pPr>
          </w:p>
          <w:p w:rsidR="00F96C8E" w:rsidRPr="002947C2" w:rsidRDefault="00F96C8E" w:rsidP="00FD3909">
            <w:pPr>
              <w:spacing w:after="0" w:line="360" w:lineRule="auto"/>
              <w:jc w:val="right"/>
              <w:rPr>
                <w:rFonts w:ascii="Arial" w:hAnsi="Arial" w:cs="Arial"/>
                <w:sz w:val="24"/>
                <w:szCs w:val="24"/>
              </w:rPr>
            </w:pPr>
          </w:p>
        </w:tc>
      </w:tr>
      <w:tr w:rsidR="00F96C8E" w:rsidRPr="002947C2" w:rsidTr="0002731C">
        <w:tc>
          <w:tcPr>
            <w:tcW w:w="6379" w:type="dxa"/>
            <w:gridSpan w:val="2"/>
            <w:vMerge/>
            <w:tcBorders>
              <w:left w:val="single" w:sz="4" w:space="0" w:color="auto"/>
              <w:right w:val="single" w:sz="4" w:space="0" w:color="auto"/>
            </w:tcBorders>
            <w:vAlign w:val="center"/>
            <w:hideMark/>
          </w:tcPr>
          <w:p w:rsidR="00F96C8E" w:rsidRPr="002947C2" w:rsidRDefault="00F96C8E" w:rsidP="00FD3909">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2947C2" w:rsidRDefault="00F96C8E" w:rsidP="00FD3909">
            <w:pPr>
              <w:spacing w:after="0" w:line="360" w:lineRule="auto"/>
              <w:jc w:val="both"/>
              <w:rPr>
                <w:rFonts w:ascii="Arial" w:hAnsi="Arial" w:cs="Arial"/>
                <w:b/>
                <w:sz w:val="24"/>
                <w:szCs w:val="24"/>
              </w:rPr>
            </w:pPr>
            <w:r w:rsidRPr="002947C2">
              <w:rPr>
                <w:rFonts w:ascii="Arial" w:hAnsi="Arial" w:cs="Arial"/>
                <w:b/>
                <w:sz w:val="24"/>
                <w:szCs w:val="24"/>
              </w:rPr>
              <w:t>Division of Court:</w:t>
            </w:r>
          </w:p>
          <w:p w:rsidR="00F96C8E" w:rsidRPr="002947C2" w:rsidRDefault="0061073C" w:rsidP="00FD3909">
            <w:pPr>
              <w:spacing w:after="0" w:line="360" w:lineRule="auto"/>
              <w:jc w:val="both"/>
              <w:rPr>
                <w:rFonts w:ascii="Arial" w:hAnsi="Arial" w:cs="Arial"/>
                <w:sz w:val="24"/>
                <w:szCs w:val="24"/>
              </w:rPr>
            </w:pPr>
            <w:r w:rsidRPr="002947C2">
              <w:rPr>
                <w:rFonts w:ascii="Arial" w:hAnsi="Arial" w:cs="Arial"/>
                <w:sz w:val="24"/>
                <w:szCs w:val="24"/>
              </w:rPr>
              <w:t xml:space="preserve">High Court, </w:t>
            </w:r>
            <w:r w:rsidR="00F96C8E" w:rsidRPr="002947C2">
              <w:rPr>
                <w:rFonts w:ascii="Arial" w:hAnsi="Arial" w:cs="Arial"/>
                <w:sz w:val="24"/>
                <w:szCs w:val="24"/>
              </w:rPr>
              <w:t>Main Division</w:t>
            </w:r>
          </w:p>
        </w:tc>
      </w:tr>
      <w:tr w:rsidR="00F96C8E" w:rsidRPr="002947C2" w:rsidTr="0002731C">
        <w:tc>
          <w:tcPr>
            <w:tcW w:w="6379" w:type="dxa"/>
            <w:gridSpan w:val="2"/>
            <w:vMerge/>
            <w:tcBorders>
              <w:left w:val="single" w:sz="4" w:space="0" w:color="auto"/>
              <w:bottom w:val="single" w:sz="4" w:space="0" w:color="auto"/>
              <w:right w:val="single" w:sz="4" w:space="0" w:color="auto"/>
            </w:tcBorders>
            <w:vAlign w:val="center"/>
          </w:tcPr>
          <w:p w:rsidR="00F96C8E" w:rsidRPr="002947C2" w:rsidRDefault="00F96C8E" w:rsidP="00FD3909">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tcPr>
          <w:p w:rsidR="00CA0A31" w:rsidRPr="002947C2" w:rsidRDefault="00667ED0" w:rsidP="00FD3909">
            <w:pPr>
              <w:spacing w:after="0" w:line="360" w:lineRule="auto"/>
              <w:jc w:val="both"/>
              <w:rPr>
                <w:rFonts w:ascii="Arial" w:hAnsi="Arial" w:cs="Arial"/>
                <w:sz w:val="24"/>
                <w:szCs w:val="24"/>
                <w:lang w:val="en-ZA"/>
              </w:rPr>
            </w:pPr>
            <w:r w:rsidRPr="002947C2">
              <w:rPr>
                <w:rFonts w:ascii="Arial" w:hAnsi="Arial" w:cs="Arial"/>
                <w:b/>
                <w:sz w:val="24"/>
                <w:szCs w:val="24"/>
              </w:rPr>
              <w:t>Heard</w:t>
            </w:r>
            <w:r w:rsidR="00F96C8E" w:rsidRPr="002947C2">
              <w:rPr>
                <w:rFonts w:ascii="Arial" w:hAnsi="Arial" w:cs="Arial"/>
                <w:b/>
                <w:sz w:val="24"/>
                <w:szCs w:val="24"/>
              </w:rPr>
              <w:t>:</w:t>
            </w:r>
          </w:p>
          <w:p w:rsidR="00F96C8E" w:rsidRPr="002947C2" w:rsidRDefault="00FE626D" w:rsidP="00FD3909">
            <w:pPr>
              <w:spacing w:after="0" w:line="360" w:lineRule="auto"/>
              <w:jc w:val="both"/>
              <w:rPr>
                <w:rFonts w:ascii="Arial" w:hAnsi="Arial" w:cs="Arial"/>
                <w:sz w:val="24"/>
                <w:szCs w:val="24"/>
              </w:rPr>
            </w:pPr>
            <w:r>
              <w:rPr>
                <w:rFonts w:ascii="Arial" w:hAnsi="Arial" w:cs="Arial"/>
                <w:sz w:val="24"/>
                <w:szCs w:val="24"/>
              </w:rPr>
              <w:t>11 July 2023</w:t>
            </w:r>
          </w:p>
        </w:tc>
      </w:tr>
      <w:tr w:rsidR="00A91522" w:rsidRPr="002947C2" w:rsidTr="0002731C">
        <w:tc>
          <w:tcPr>
            <w:tcW w:w="6379" w:type="dxa"/>
            <w:gridSpan w:val="2"/>
            <w:tcBorders>
              <w:top w:val="single" w:sz="4" w:space="0" w:color="auto"/>
              <w:left w:val="single" w:sz="4" w:space="0" w:color="auto"/>
              <w:bottom w:val="single" w:sz="4" w:space="0" w:color="auto"/>
              <w:right w:val="single" w:sz="4" w:space="0" w:color="auto"/>
            </w:tcBorders>
          </w:tcPr>
          <w:p w:rsidR="00A91522" w:rsidRPr="002947C2" w:rsidRDefault="00A91522" w:rsidP="00FD3909">
            <w:pPr>
              <w:spacing w:after="0" w:line="360" w:lineRule="auto"/>
              <w:jc w:val="both"/>
              <w:rPr>
                <w:rFonts w:ascii="Arial" w:hAnsi="Arial" w:cs="Arial"/>
                <w:b/>
                <w:sz w:val="24"/>
                <w:szCs w:val="24"/>
              </w:rPr>
            </w:pPr>
            <w:r w:rsidRPr="002947C2">
              <w:rPr>
                <w:rFonts w:ascii="Arial" w:hAnsi="Arial" w:cs="Arial"/>
                <w:b/>
                <w:sz w:val="24"/>
                <w:szCs w:val="24"/>
              </w:rPr>
              <w:t>Heard before:</w:t>
            </w:r>
            <w:r w:rsidR="00927598" w:rsidRPr="002947C2">
              <w:rPr>
                <w:rFonts w:ascii="Arial" w:hAnsi="Arial" w:cs="Arial"/>
                <w:sz w:val="24"/>
                <w:szCs w:val="24"/>
              </w:rPr>
              <w:t xml:space="preserve"> </w:t>
            </w:r>
          </w:p>
          <w:p w:rsidR="00A91522" w:rsidRPr="002947C2" w:rsidRDefault="00B77AEE" w:rsidP="00FD3909">
            <w:pPr>
              <w:spacing w:after="0" w:line="360" w:lineRule="auto"/>
              <w:jc w:val="both"/>
              <w:rPr>
                <w:rFonts w:ascii="Arial" w:hAnsi="Arial" w:cs="Arial"/>
                <w:sz w:val="24"/>
                <w:szCs w:val="24"/>
              </w:rPr>
            </w:pPr>
            <w:r w:rsidRPr="002947C2">
              <w:rPr>
                <w:rFonts w:ascii="Arial" w:hAnsi="Arial" w:cs="Arial"/>
                <w:sz w:val="24"/>
                <w:szCs w:val="24"/>
              </w:rPr>
              <w:t xml:space="preserve">The </w:t>
            </w:r>
            <w:proofErr w:type="spellStart"/>
            <w:r w:rsidRPr="002947C2">
              <w:rPr>
                <w:rFonts w:ascii="Arial" w:hAnsi="Arial" w:cs="Arial"/>
                <w:sz w:val="24"/>
                <w:szCs w:val="24"/>
              </w:rPr>
              <w:t>Honourable</w:t>
            </w:r>
            <w:proofErr w:type="spellEnd"/>
            <w:r w:rsidRPr="002947C2">
              <w:rPr>
                <w:rFonts w:ascii="Arial" w:hAnsi="Arial" w:cs="Arial"/>
                <w:sz w:val="24"/>
                <w:szCs w:val="24"/>
              </w:rPr>
              <w:t xml:space="preserve"> Justice Maasdorp</w:t>
            </w:r>
          </w:p>
        </w:tc>
        <w:tc>
          <w:tcPr>
            <w:tcW w:w="4111" w:type="dxa"/>
            <w:tcBorders>
              <w:top w:val="single" w:sz="4" w:space="0" w:color="auto"/>
              <w:left w:val="single" w:sz="4" w:space="0" w:color="auto"/>
              <w:bottom w:val="single" w:sz="4" w:space="0" w:color="auto"/>
              <w:right w:val="single" w:sz="4" w:space="0" w:color="auto"/>
            </w:tcBorders>
          </w:tcPr>
          <w:p w:rsidR="00A91522" w:rsidRPr="002947C2" w:rsidRDefault="00667ED0" w:rsidP="00FD3909">
            <w:pPr>
              <w:spacing w:after="0" w:line="360" w:lineRule="auto"/>
              <w:jc w:val="both"/>
              <w:rPr>
                <w:rFonts w:ascii="Arial" w:hAnsi="Arial" w:cs="Arial"/>
                <w:b/>
                <w:sz w:val="24"/>
                <w:szCs w:val="24"/>
              </w:rPr>
            </w:pPr>
            <w:r w:rsidRPr="002947C2">
              <w:rPr>
                <w:rFonts w:ascii="Arial" w:hAnsi="Arial" w:cs="Arial"/>
                <w:b/>
                <w:sz w:val="24"/>
                <w:szCs w:val="24"/>
              </w:rPr>
              <w:t>Delivered</w:t>
            </w:r>
            <w:r w:rsidR="00A91522" w:rsidRPr="002947C2">
              <w:rPr>
                <w:rFonts w:ascii="Arial" w:hAnsi="Arial" w:cs="Arial"/>
                <w:b/>
                <w:sz w:val="24"/>
                <w:szCs w:val="24"/>
              </w:rPr>
              <w:t>:</w:t>
            </w:r>
          </w:p>
          <w:p w:rsidR="00A91522" w:rsidRPr="002947C2" w:rsidRDefault="002947C2" w:rsidP="00FD3909">
            <w:pPr>
              <w:spacing w:after="0" w:line="360" w:lineRule="auto"/>
              <w:jc w:val="both"/>
              <w:rPr>
                <w:rFonts w:ascii="Arial" w:hAnsi="Arial" w:cs="Arial"/>
                <w:sz w:val="24"/>
                <w:szCs w:val="24"/>
              </w:rPr>
            </w:pPr>
            <w:r w:rsidRPr="002947C2">
              <w:rPr>
                <w:rFonts w:ascii="Arial" w:hAnsi="Arial" w:cs="Arial"/>
                <w:sz w:val="24"/>
                <w:szCs w:val="24"/>
              </w:rPr>
              <w:t>3 August</w:t>
            </w:r>
            <w:r w:rsidR="0061073C" w:rsidRPr="002947C2">
              <w:rPr>
                <w:rFonts w:ascii="Arial" w:hAnsi="Arial" w:cs="Arial"/>
                <w:sz w:val="24"/>
                <w:szCs w:val="24"/>
              </w:rPr>
              <w:t xml:space="preserve"> 2023</w:t>
            </w:r>
          </w:p>
        </w:tc>
      </w:tr>
      <w:tr w:rsidR="00A91522" w:rsidRPr="002947C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DC74DF" w:rsidRDefault="00A91522" w:rsidP="009D5AA8">
            <w:pPr>
              <w:spacing w:after="0" w:line="360" w:lineRule="auto"/>
              <w:ind w:left="57"/>
              <w:jc w:val="both"/>
              <w:rPr>
                <w:rFonts w:ascii="Arial" w:hAnsi="Arial" w:cs="Arial"/>
                <w:b/>
                <w:bCs/>
                <w:sz w:val="24"/>
                <w:szCs w:val="24"/>
              </w:rPr>
            </w:pPr>
            <w:r w:rsidRPr="002947C2">
              <w:rPr>
                <w:rFonts w:ascii="Arial" w:hAnsi="Arial" w:cs="Arial"/>
                <w:b/>
                <w:sz w:val="24"/>
                <w:szCs w:val="24"/>
              </w:rPr>
              <w:t>Neutral citation:</w:t>
            </w:r>
            <w:r w:rsidR="00C6621D" w:rsidRPr="002947C2">
              <w:rPr>
                <w:rFonts w:ascii="Arial" w:hAnsi="Arial" w:cs="Arial"/>
                <w:sz w:val="24"/>
                <w:szCs w:val="24"/>
              </w:rPr>
              <w:tab/>
            </w:r>
            <w:proofErr w:type="spellStart"/>
            <w:r w:rsidR="00797D37" w:rsidRPr="00DC74DF">
              <w:rPr>
                <w:rFonts w:ascii="Arial" w:hAnsi="Arial" w:cs="Arial"/>
                <w:bCs/>
                <w:i/>
                <w:sz w:val="24"/>
                <w:szCs w:val="24"/>
              </w:rPr>
              <w:t>Namdeb</w:t>
            </w:r>
            <w:proofErr w:type="spellEnd"/>
            <w:r w:rsidR="00797D37" w:rsidRPr="00DC74DF">
              <w:rPr>
                <w:rFonts w:ascii="Arial" w:hAnsi="Arial" w:cs="Arial"/>
                <w:bCs/>
                <w:i/>
                <w:sz w:val="24"/>
                <w:szCs w:val="24"/>
              </w:rPr>
              <w:t xml:space="preserve"> Diamond Corporation</w:t>
            </w:r>
            <w:r w:rsidR="00797D37" w:rsidRPr="00DC74DF">
              <w:rPr>
                <w:rFonts w:ascii="Arial" w:hAnsi="Arial" w:cs="Arial"/>
                <w:i/>
                <w:sz w:val="24"/>
                <w:szCs w:val="24"/>
              </w:rPr>
              <w:t xml:space="preserve"> (Pty) Ltd v</w:t>
            </w:r>
            <w:r w:rsidR="00797D37" w:rsidRPr="00DC74DF">
              <w:rPr>
                <w:rFonts w:ascii="Arial" w:hAnsi="Arial" w:cs="Arial"/>
                <w:bCs/>
                <w:i/>
                <w:sz w:val="24"/>
                <w:szCs w:val="24"/>
              </w:rPr>
              <w:t xml:space="preserve"> Twenty Eleven Investments (Pty) </w:t>
            </w:r>
            <w:r w:rsidR="009D5AA8">
              <w:rPr>
                <w:rFonts w:ascii="Arial" w:hAnsi="Arial" w:cs="Arial"/>
                <w:bCs/>
                <w:i/>
                <w:sz w:val="24"/>
                <w:szCs w:val="24"/>
              </w:rPr>
              <w:t xml:space="preserve">      </w:t>
            </w:r>
            <w:r w:rsidR="009D5AA8">
              <w:rPr>
                <w:rFonts w:ascii="Arial" w:hAnsi="Arial" w:cs="Arial"/>
                <w:bCs/>
                <w:i/>
                <w:sz w:val="24"/>
                <w:szCs w:val="24"/>
              </w:rPr>
              <w:tab/>
            </w:r>
            <w:r w:rsidR="009D5AA8">
              <w:rPr>
                <w:rFonts w:ascii="Arial" w:hAnsi="Arial" w:cs="Arial"/>
                <w:bCs/>
                <w:i/>
                <w:sz w:val="24"/>
                <w:szCs w:val="24"/>
              </w:rPr>
              <w:tab/>
            </w:r>
            <w:r w:rsidR="009D5AA8">
              <w:rPr>
                <w:rFonts w:ascii="Arial" w:hAnsi="Arial" w:cs="Arial"/>
                <w:bCs/>
                <w:i/>
                <w:sz w:val="24"/>
                <w:szCs w:val="24"/>
              </w:rPr>
              <w:tab/>
            </w:r>
            <w:r w:rsidR="00797D37" w:rsidRPr="00DC74DF">
              <w:rPr>
                <w:rFonts w:ascii="Arial" w:hAnsi="Arial" w:cs="Arial"/>
                <w:bCs/>
                <w:i/>
                <w:sz w:val="24"/>
                <w:szCs w:val="24"/>
              </w:rPr>
              <w:t>Ltd</w:t>
            </w:r>
            <w:r w:rsidR="00797D37" w:rsidRPr="002947C2">
              <w:rPr>
                <w:rFonts w:ascii="Arial" w:hAnsi="Arial" w:cs="Arial"/>
                <w:i/>
                <w:sz w:val="24"/>
                <w:szCs w:val="24"/>
              </w:rPr>
              <w:t xml:space="preserve"> </w:t>
            </w:r>
            <w:r w:rsidR="00797D37" w:rsidRPr="002947C2">
              <w:rPr>
                <w:rFonts w:ascii="Arial" w:hAnsi="Arial" w:cs="Arial"/>
                <w:sz w:val="24"/>
                <w:szCs w:val="24"/>
                <w:lang w:val="en-ZA"/>
              </w:rPr>
              <w:t>(</w:t>
            </w:r>
            <w:r w:rsidR="00797D37" w:rsidRPr="00DC74DF">
              <w:rPr>
                <w:rFonts w:ascii="Arial" w:hAnsi="Arial" w:cs="Arial"/>
                <w:bCs/>
                <w:sz w:val="24"/>
                <w:szCs w:val="24"/>
              </w:rPr>
              <w:t>HC-MD-CIV-ACT-CON-2023/00237</w:t>
            </w:r>
            <w:r w:rsidR="00797D37">
              <w:rPr>
                <w:rFonts w:ascii="Arial" w:hAnsi="Arial" w:cs="Arial"/>
                <w:sz w:val="24"/>
                <w:szCs w:val="24"/>
                <w:lang w:val="en-ZA"/>
              </w:rPr>
              <w:t>) [2023] NAHCMD 463</w:t>
            </w:r>
            <w:r w:rsidR="00797D37" w:rsidRPr="002947C2">
              <w:rPr>
                <w:rFonts w:ascii="Arial" w:hAnsi="Arial" w:cs="Arial"/>
                <w:sz w:val="24"/>
                <w:szCs w:val="24"/>
                <w:lang w:val="en-ZA"/>
              </w:rPr>
              <w:t xml:space="preserve"> </w:t>
            </w:r>
            <w:r w:rsidR="009D5AA8">
              <w:rPr>
                <w:rFonts w:ascii="Arial" w:hAnsi="Arial" w:cs="Arial"/>
                <w:sz w:val="24"/>
                <w:szCs w:val="24"/>
                <w:lang w:val="en-ZA"/>
              </w:rPr>
              <w:br/>
            </w:r>
            <w:r w:rsidR="009D5AA8">
              <w:rPr>
                <w:rFonts w:ascii="Arial" w:hAnsi="Arial" w:cs="Arial"/>
                <w:sz w:val="24"/>
                <w:szCs w:val="24"/>
                <w:lang w:val="en-ZA"/>
              </w:rPr>
              <w:tab/>
            </w:r>
            <w:r w:rsidR="009D5AA8">
              <w:rPr>
                <w:rFonts w:ascii="Arial" w:hAnsi="Arial" w:cs="Arial"/>
                <w:sz w:val="24"/>
                <w:szCs w:val="24"/>
                <w:lang w:val="en-ZA"/>
              </w:rPr>
              <w:tab/>
            </w:r>
            <w:r w:rsidR="009D5AA8">
              <w:rPr>
                <w:rFonts w:ascii="Arial" w:hAnsi="Arial" w:cs="Arial"/>
                <w:sz w:val="24"/>
                <w:szCs w:val="24"/>
                <w:lang w:val="en-ZA"/>
              </w:rPr>
              <w:tab/>
            </w:r>
            <w:bookmarkStart w:id="0" w:name="_GoBack"/>
            <w:bookmarkEnd w:id="0"/>
            <w:r w:rsidR="00797D37" w:rsidRPr="002947C2">
              <w:rPr>
                <w:rFonts w:ascii="Arial" w:hAnsi="Arial" w:cs="Arial"/>
                <w:sz w:val="24"/>
                <w:szCs w:val="24"/>
                <w:lang w:val="en-ZA"/>
              </w:rPr>
              <w:t>(3 August 2023)</w:t>
            </w:r>
          </w:p>
        </w:tc>
      </w:tr>
      <w:tr w:rsidR="00A91522" w:rsidRPr="002947C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734384" w:rsidRPr="002947C2" w:rsidRDefault="00DC4D07" w:rsidP="00FD3909">
            <w:pPr>
              <w:spacing w:after="0" w:line="360" w:lineRule="auto"/>
              <w:jc w:val="both"/>
              <w:rPr>
                <w:rFonts w:ascii="Arial" w:hAnsi="Arial" w:cs="Arial"/>
                <w:b/>
                <w:sz w:val="24"/>
                <w:szCs w:val="24"/>
              </w:rPr>
            </w:pPr>
            <w:r w:rsidRPr="002947C2">
              <w:rPr>
                <w:rFonts w:ascii="Arial" w:hAnsi="Arial" w:cs="Arial"/>
                <w:b/>
                <w:sz w:val="24"/>
                <w:szCs w:val="24"/>
              </w:rPr>
              <w:t>O</w:t>
            </w:r>
            <w:r w:rsidR="00A21211" w:rsidRPr="002947C2">
              <w:rPr>
                <w:rFonts w:ascii="Arial" w:hAnsi="Arial" w:cs="Arial"/>
                <w:b/>
                <w:sz w:val="24"/>
                <w:szCs w:val="24"/>
              </w:rPr>
              <w:t>rder:</w:t>
            </w:r>
          </w:p>
        </w:tc>
      </w:tr>
      <w:tr w:rsidR="00A91522" w:rsidRPr="002947C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A60AB3" w:rsidRDefault="00A60AB3" w:rsidP="00A60AB3">
            <w:pPr>
              <w:spacing w:after="0" w:line="360" w:lineRule="auto"/>
              <w:jc w:val="both"/>
              <w:outlineLvl w:val="1"/>
              <w:rPr>
                <w:rFonts w:ascii="Arial" w:hAnsi="Arial" w:cs="Arial"/>
                <w:kern w:val="2"/>
                <w:sz w:val="24"/>
                <w:lang w:val="en-GB"/>
                <w14:ligatures w14:val="standardContextual"/>
              </w:rPr>
            </w:pPr>
          </w:p>
          <w:p w:rsidR="00A60AB3" w:rsidRPr="00A60AB3" w:rsidRDefault="003B6F1A" w:rsidP="00A60AB3">
            <w:pPr>
              <w:spacing w:after="0" w:line="360" w:lineRule="auto"/>
              <w:jc w:val="both"/>
              <w:outlineLvl w:val="1"/>
              <w:rPr>
                <w:rFonts w:ascii="Arial" w:hAnsi="Arial" w:cs="Arial"/>
                <w:kern w:val="2"/>
                <w:sz w:val="24"/>
                <w:lang w:val="en-GB"/>
                <w14:ligatures w14:val="standardContextual"/>
              </w:rPr>
            </w:pPr>
            <w:r>
              <w:rPr>
                <w:rFonts w:ascii="Arial" w:hAnsi="Arial" w:cs="Arial"/>
                <w:kern w:val="2"/>
                <w:sz w:val="24"/>
                <w:lang w:val="en-GB"/>
                <w14:ligatures w14:val="standardContextual"/>
              </w:rPr>
              <w:t xml:space="preserve">1.  </w:t>
            </w:r>
            <w:r w:rsidR="00A60AB3" w:rsidRPr="00A60AB3">
              <w:rPr>
                <w:rFonts w:ascii="Arial" w:hAnsi="Arial" w:cs="Arial"/>
                <w:kern w:val="2"/>
                <w:sz w:val="24"/>
                <w:lang w:val="en-GB"/>
                <w14:ligatures w14:val="standardContextual"/>
              </w:rPr>
              <w:t>The cancellation of the lease agreement between the parties is confirmed.</w:t>
            </w:r>
          </w:p>
          <w:p w:rsidR="00A60AB3" w:rsidRPr="00A60AB3" w:rsidRDefault="00A60AB3" w:rsidP="00A60AB3">
            <w:pPr>
              <w:spacing w:after="0" w:line="360" w:lineRule="auto"/>
              <w:jc w:val="both"/>
              <w:rPr>
                <w:rFonts w:ascii="Arial" w:hAnsi="Arial" w:cs="Arial"/>
                <w:sz w:val="24"/>
                <w:szCs w:val="24"/>
                <w:lang w:val="en-GB"/>
              </w:rPr>
            </w:pPr>
          </w:p>
          <w:p w:rsidR="00A60AB3" w:rsidRPr="00A60AB3" w:rsidRDefault="003B6F1A" w:rsidP="00A60AB3">
            <w:pPr>
              <w:spacing w:after="0" w:line="360" w:lineRule="auto"/>
              <w:jc w:val="both"/>
              <w:outlineLvl w:val="1"/>
              <w:rPr>
                <w:rFonts w:ascii="Arial" w:hAnsi="Arial" w:cs="Arial"/>
                <w:kern w:val="2"/>
                <w:sz w:val="24"/>
                <w:lang w:val="en-GB"/>
                <w14:ligatures w14:val="standardContextual"/>
              </w:rPr>
            </w:pPr>
            <w:r>
              <w:rPr>
                <w:rFonts w:ascii="Arial" w:hAnsi="Arial" w:cs="Arial"/>
                <w:kern w:val="2"/>
                <w:sz w:val="24"/>
                <w:lang w:val="en-GB"/>
                <w14:ligatures w14:val="standardContextual"/>
              </w:rPr>
              <w:t xml:space="preserve">2.  </w:t>
            </w:r>
            <w:r w:rsidR="00A60AB3" w:rsidRPr="00A60AB3">
              <w:rPr>
                <w:rFonts w:ascii="Arial" w:hAnsi="Arial" w:cs="Arial"/>
                <w:kern w:val="2"/>
                <w:sz w:val="24"/>
                <w:lang w:val="en-GB"/>
                <w14:ligatures w14:val="standardContextual"/>
              </w:rPr>
              <w:t>The defendant and all persons occupying the property together with the defendant are evicted from the plaintiff’s property at 17 – 9</w:t>
            </w:r>
            <w:r w:rsidR="00A60AB3" w:rsidRPr="00A60AB3">
              <w:rPr>
                <w:rFonts w:ascii="Arial" w:hAnsi="Arial" w:cs="Arial"/>
                <w:kern w:val="2"/>
                <w:sz w:val="24"/>
                <w:vertAlign w:val="superscript"/>
                <w:lang w:val="en-GB"/>
                <w14:ligatures w14:val="standardContextual"/>
              </w:rPr>
              <w:t>th</w:t>
            </w:r>
            <w:r w:rsidR="00A60AB3" w:rsidRPr="00A60AB3">
              <w:rPr>
                <w:rFonts w:ascii="Arial" w:hAnsi="Arial" w:cs="Arial"/>
                <w:kern w:val="2"/>
                <w:sz w:val="24"/>
                <w:lang w:val="en-GB"/>
                <w14:ligatures w14:val="standardContextual"/>
              </w:rPr>
              <w:t xml:space="preserve"> Avenue, </w:t>
            </w:r>
            <w:proofErr w:type="spellStart"/>
            <w:r w:rsidR="00A60AB3" w:rsidRPr="00A60AB3">
              <w:rPr>
                <w:rFonts w:ascii="Arial" w:hAnsi="Arial" w:cs="Arial"/>
                <w:kern w:val="2"/>
                <w:sz w:val="24"/>
                <w:lang w:val="en-GB"/>
                <w14:ligatures w14:val="standardContextual"/>
              </w:rPr>
              <w:t>Oranjemund</w:t>
            </w:r>
            <w:proofErr w:type="spellEnd"/>
            <w:r w:rsidR="00A60AB3" w:rsidRPr="00A60AB3">
              <w:rPr>
                <w:rFonts w:ascii="Arial" w:hAnsi="Arial" w:cs="Arial"/>
                <w:kern w:val="2"/>
                <w:sz w:val="24"/>
                <w:lang w:val="en-GB"/>
                <w14:ligatures w14:val="standardContextual"/>
              </w:rPr>
              <w:t>.</w:t>
            </w:r>
          </w:p>
          <w:p w:rsidR="00A60AB3" w:rsidRPr="00A60AB3" w:rsidRDefault="00A60AB3" w:rsidP="00A60AB3">
            <w:pPr>
              <w:spacing w:after="0" w:line="360" w:lineRule="auto"/>
              <w:jc w:val="both"/>
              <w:rPr>
                <w:rFonts w:ascii="Arial" w:hAnsi="Arial" w:cs="Arial"/>
                <w:sz w:val="24"/>
                <w:szCs w:val="24"/>
                <w:lang w:val="en-GB"/>
              </w:rPr>
            </w:pPr>
          </w:p>
          <w:p w:rsidR="00A60AB3" w:rsidRPr="00A60AB3" w:rsidRDefault="003B6F1A" w:rsidP="00A60AB3">
            <w:pPr>
              <w:spacing w:after="0" w:line="360" w:lineRule="auto"/>
              <w:jc w:val="both"/>
              <w:outlineLvl w:val="1"/>
              <w:rPr>
                <w:rFonts w:ascii="Arial" w:hAnsi="Arial" w:cs="Arial"/>
                <w:kern w:val="2"/>
                <w:sz w:val="24"/>
                <w:lang w:val="en-GB"/>
                <w14:ligatures w14:val="standardContextual"/>
              </w:rPr>
            </w:pPr>
            <w:r>
              <w:rPr>
                <w:rFonts w:ascii="Arial" w:hAnsi="Arial" w:cs="Arial"/>
                <w:kern w:val="2"/>
                <w:sz w:val="24"/>
                <w:lang w:val="en-GB"/>
                <w14:ligatures w14:val="standardContextual"/>
              </w:rPr>
              <w:t xml:space="preserve">3.  </w:t>
            </w:r>
            <w:r w:rsidR="00A60AB3" w:rsidRPr="00A60AB3">
              <w:rPr>
                <w:rFonts w:ascii="Arial" w:hAnsi="Arial" w:cs="Arial"/>
                <w:kern w:val="2"/>
                <w:sz w:val="24"/>
                <w:lang w:val="en-GB"/>
                <w14:ligatures w14:val="standardContextual"/>
              </w:rPr>
              <w:t>The defendant shall pay to the plaintiff N$169 749</w:t>
            </w:r>
            <w:proofErr w:type="gramStart"/>
            <w:r w:rsidR="00A60AB3" w:rsidRPr="00A60AB3">
              <w:rPr>
                <w:rFonts w:ascii="Arial" w:hAnsi="Arial" w:cs="Arial"/>
                <w:kern w:val="2"/>
                <w:sz w:val="24"/>
                <w:lang w:val="en-GB"/>
                <w14:ligatures w14:val="standardContextual"/>
              </w:rPr>
              <w:t>,38</w:t>
            </w:r>
            <w:proofErr w:type="gramEnd"/>
            <w:r w:rsidR="00A60AB3" w:rsidRPr="00A60AB3">
              <w:rPr>
                <w:rFonts w:ascii="Arial" w:hAnsi="Arial" w:cs="Arial"/>
                <w:kern w:val="2"/>
                <w:sz w:val="24"/>
                <w:lang w:val="en-GB"/>
                <w14:ligatures w14:val="standardContextual"/>
              </w:rPr>
              <w:t>.</w:t>
            </w:r>
          </w:p>
          <w:p w:rsidR="00A60AB3" w:rsidRPr="00A60AB3" w:rsidRDefault="00A60AB3" w:rsidP="00A60AB3">
            <w:pPr>
              <w:spacing w:after="0" w:line="360" w:lineRule="auto"/>
              <w:jc w:val="both"/>
              <w:rPr>
                <w:rFonts w:ascii="Arial" w:hAnsi="Arial" w:cs="Arial"/>
                <w:sz w:val="24"/>
                <w:szCs w:val="24"/>
                <w:lang w:val="en-GB"/>
              </w:rPr>
            </w:pPr>
          </w:p>
          <w:p w:rsidR="00A60AB3" w:rsidRPr="00A60AB3" w:rsidRDefault="003B6F1A" w:rsidP="00A60AB3">
            <w:pPr>
              <w:spacing w:after="0" w:line="360" w:lineRule="auto"/>
              <w:jc w:val="both"/>
              <w:outlineLvl w:val="1"/>
              <w:rPr>
                <w:rFonts w:ascii="Arial" w:hAnsi="Arial" w:cs="Arial"/>
                <w:kern w:val="2"/>
                <w:sz w:val="24"/>
                <w:lang w:val="en-GB"/>
                <w14:ligatures w14:val="standardContextual"/>
              </w:rPr>
            </w:pPr>
            <w:r>
              <w:rPr>
                <w:rFonts w:ascii="Arial" w:hAnsi="Arial" w:cs="Arial"/>
                <w:kern w:val="2"/>
                <w:sz w:val="24"/>
                <w:lang w:val="en-GB"/>
                <w14:ligatures w14:val="standardContextual"/>
              </w:rPr>
              <w:lastRenderedPageBreak/>
              <w:t xml:space="preserve">4.  </w:t>
            </w:r>
            <w:r w:rsidR="00A60AB3" w:rsidRPr="00A60AB3">
              <w:rPr>
                <w:rFonts w:ascii="Arial" w:hAnsi="Arial" w:cs="Arial"/>
                <w:kern w:val="2"/>
                <w:sz w:val="24"/>
                <w:lang w:val="en-GB"/>
                <w14:ligatures w14:val="standardContextual"/>
              </w:rPr>
              <w:t>The defendant shall pay interest on N$169 749</w:t>
            </w:r>
            <w:proofErr w:type="gramStart"/>
            <w:r w:rsidR="00A60AB3" w:rsidRPr="00A60AB3">
              <w:rPr>
                <w:rFonts w:ascii="Arial" w:hAnsi="Arial" w:cs="Arial"/>
                <w:kern w:val="2"/>
                <w:sz w:val="24"/>
                <w:lang w:val="en-GB"/>
                <w14:ligatures w14:val="standardContextual"/>
              </w:rPr>
              <w:t>,38</w:t>
            </w:r>
            <w:proofErr w:type="gramEnd"/>
            <w:r w:rsidR="00A60AB3" w:rsidRPr="00A60AB3">
              <w:rPr>
                <w:rFonts w:ascii="Arial" w:hAnsi="Arial" w:cs="Arial"/>
                <w:kern w:val="2"/>
                <w:sz w:val="24"/>
                <w:lang w:val="en-GB"/>
                <w14:ligatures w14:val="standardContextual"/>
              </w:rPr>
              <w:t xml:space="preserve"> at 20 per cent per annum calculated from the date of summons until date of final payment.</w:t>
            </w:r>
          </w:p>
          <w:p w:rsidR="00A60AB3" w:rsidRPr="00A60AB3" w:rsidRDefault="00A60AB3" w:rsidP="00A60AB3">
            <w:pPr>
              <w:spacing w:after="0" w:line="360" w:lineRule="auto"/>
              <w:jc w:val="both"/>
              <w:rPr>
                <w:rFonts w:ascii="Arial" w:hAnsi="Arial" w:cs="Arial"/>
                <w:sz w:val="24"/>
                <w:szCs w:val="24"/>
                <w:lang w:val="en-GB"/>
              </w:rPr>
            </w:pPr>
          </w:p>
          <w:p w:rsidR="00A60AB3" w:rsidRPr="00A60AB3" w:rsidRDefault="003B6F1A" w:rsidP="00A60AB3">
            <w:pPr>
              <w:spacing w:after="0" w:line="360" w:lineRule="auto"/>
              <w:jc w:val="both"/>
              <w:outlineLvl w:val="1"/>
              <w:rPr>
                <w:rFonts w:ascii="Arial" w:hAnsi="Arial" w:cs="Arial"/>
                <w:kern w:val="2"/>
                <w:sz w:val="24"/>
                <w:lang w:val="en-GB"/>
                <w14:ligatures w14:val="standardContextual"/>
              </w:rPr>
            </w:pPr>
            <w:r>
              <w:rPr>
                <w:rFonts w:ascii="Arial" w:hAnsi="Arial" w:cs="Arial"/>
                <w:kern w:val="2"/>
                <w:sz w:val="24"/>
                <w:lang w:val="en-GB"/>
                <w14:ligatures w14:val="standardContextual"/>
              </w:rPr>
              <w:t xml:space="preserve">5.  </w:t>
            </w:r>
            <w:r w:rsidR="00A60AB3" w:rsidRPr="00A60AB3">
              <w:rPr>
                <w:rFonts w:ascii="Arial" w:hAnsi="Arial" w:cs="Arial"/>
                <w:kern w:val="2"/>
                <w:sz w:val="24"/>
                <w:lang w:val="en-GB"/>
                <w14:ligatures w14:val="standardContextual"/>
              </w:rPr>
              <w:t>The defendant shall pay to the plaintiff N$ 4 813 for each month defendant remains in occupation of the property from 15 January 2023 to date of eviction, alternatively the date on which the defendant vacates the property.</w:t>
            </w:r>
          </w:p>
          <w:p w:rsidR="00A60AB3" w:rsidRPr="00A60AB3" w:rsidRDefault="00A60AB3" w:rsidP="00A60AB3">
            <w:pPr>
              <w:spacing w:after="0" w:line="360" w:lineRule="auto"/>
              <w:jc w:val="both"/>
              <w:rPr>
                <w:rFonts w:ascii="Arial" w:hAnsi="Arial" w:cs="Arial"/>
                <w:sz w:val="24"/>
                <w:szCs w:val="24"/>
                <w:lang w:val="en-GB"/>
              </w:rPr>
            </w:pPr>
          </w:p>
          <w:p w:rsidR="00A60AB3" w:rsidRPr="00A60AB3" w:rsidRDefault="003B6F1A" w:rsidP="00A60AB3">
            <w:pPr>
              <w:spacing w:after="0" w:line="360" w:lineRule="auto"/>
              <w:jc w:val="both"/>
              <w:rPr>
                <w:rFonts w:ascii="Arial" w:hAnsi="Arial" w:cs="Arial"/>
                <w:color w:val="222222"/>
                <w:sz w:val="24"/>
                <w:szCs w:val="24"/>
                <w:shd w:val="clear" w:color="auto" w:fill="FFFFFF"/>
                <w:lang w:val="en-ZA"/>
              </w:rPr>
            </w:pPr>
            <w:r>
              <w:rPr>
                <w:rFonts w:ascii="Arial" w:hAnsi="Arial" w:cs="Arial"/>
                <w:color w:val="222222"/>
                <w:sz w:val="24"/>
                <w:szCs w:val="24"/>
                <w:shd w:val="clear" w:color="auto" w:fill="FFFFFF"/>
                <w:lang w:val="en-ZA"/>
              </w:rPr>
              <w:t xml:space="preserve">6.  </w:t>
            </w:r>
            <w:r w:rsidR="00A60AB3" w:rsidRPr="00A60AB3">
              <w:rPr>
                <w:rFonts w:ascii="Arial" w:hAnsi="Arial" w:cs="Arial"/>
                <w:color w:val="222222"/>
                <w:sz w:val="24"/>
                <w:szCs w:val="24"/>
                <w:shd w:val="clear" w:color="auto" w:fill="FFFFFF"/>
                <w:lang w:val="en-ZA"/>
              </w:rPr>
              <w:t>Costs of suit, including the costs of one instructing and one instructed legal practitioner, not limited to rule 32(11).</w:t>
            </w:r>
          </w:p>
          <w:p w:rsidR="00A60AB3" w:rsidRPr="00A60AB3" w:rsidRDefault="00A60AB3" w:rsidP="00A60AB3">
            <w:pPr>
              <w:spacing w:after="0" w:line="360" w:lineRule="auto"/>
              <w:jc w:val="both"/>
              <w:rPr>
                <w:rFonts w:ascii="Arial" w:hAnsi="Arial" w:cs="Arial"/>
                <w:color w:val="222222"/>
                <w:sz w:val="24"/>
                <w:szCs w:val="24"/>
                <w:shd w:val="clear" w:color="auto" w:fill="FFFFFF"/>
                <w:lang w:val="en-ZA"/>
              </w:rPr>
            </w:pPr>
          </w:p>
          <w:p w:rsidR="00A60AB3" w:rsidRPr="00A60AB3" w:rsidRDefault="00797D37" w:rsidP="00A60AB3">
            <w:pPr>
              <w:spacing w:after="0" w:line="360" w:lineRule="auto"/>
              <w:jc w:val="both"/>
              <w:rPr>
                <w:sz w:val="24"/>
                <w:szCs w:val="24"/>
                <w:lang w:val="en-GB"/>
              </w:rPr>
            </w:pPr>
            <w:r>
              <w:rPr>
                <w:rFonts w:ascii="Arial" w:hAnsi="Arial" w:cs="Arial"/>
                <w:color w:val="222222"/>
                <w:sz w:val="24"/>
                <w:szCs w:val="24"/>
                <w:shd w:val="clear" w:color="auto" w:fill="FFFFFF"/>
                <w:lang w:val="en-ZA"/>
              </w:rPr>
              <w:t xml:space="preserve">7.  </w:t>
            </w:r>
            <w:r w:rsidR="00A60AB3" w:rsidRPr="00A60AB3">
              <w:rPr>
                <w:rFonts w:ascii="Arial" w:hAnsi="Arial" w:cs="Arial"/>
                <w:color w:val="222222"/>
                <w:sz w:val="24"/>
                <w:szCs w:val="24"/>
                <w:shd w:val="clear" w:color="auto" w:fill="FFFFFF"/>
                <w:lang w:val="en-ZA"/>
              </w:rPr>
              <w:t>The matter is regarded as finalised and removed from the roll.</w:t>
            </w:r>
          </w:p>
          <w:p w:rsidR="002947C2" w:rsidRPr="002947C2" w:rsidRDefault="002947C2" w:rsidP="00A60AB3">
            <w:pPr>
              <w:spacing w:after="0" w:line="360" w:lineRule="auto"/>
              <w:jc w:val="both"/>
              <w:rPr>
                <w:rFonts w:ascii="Arial" w:eastAsia="MS Mincho" w:hAnsi="Arial" w:cs="Arial"/>
                <w:sz w:val="24"/>
                <w:szCs w:val="24"/>
                <w:lang w:val="en-GB"/>
              </w:rPr>
            </w:pPr>
          </w:p>
        </w:tc>
      </w:tr>
      <w:tr w:rsidR="00DC4D07" w:rsidRPr="002947C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2947C2" w:rsidRDefault="00DC4D07" w:rsidP="005837C7">
            <w:pPr>
              <w:spacing w:after="0" w:line="360" w:lineRule="auto"/>
              <w:ind w:left="743" w:hanging="743"/>
              <w:jc w:val="both"/>
              <w:rPr>
                <w:rFonts w:ascii="Arial" w:hAnsi="Arial" w:cs="Arial"/>
                <w:sz w:val="24"/>
                <w:szCs w:val="24"/>
              </w:rPr>
            </w:pPr>
            <w:r w:rsidRPr="002947C2">
              <w:rPr>
                <w:rFonts w:ascii="Arial" w:hAnsi="Arial" w:cs="Arial"/>
                <w:b/>
                <w:sz w:val="24"/>
                <w:szCs w:val="24"/>
              </w:rPr>
              <w:lastRenderedPageBreak/>
              <w:t>Reasons for order:</w:t>
            </w:r>
          </w:p>
        </w:tc>
      </w:tr>
      <w:tr w:rsidR="00A91522" w:rsidRPr="002947C2" w:rsidTr="008019A9">
        <w:tc>
          <w:tcPr>
            <w:tcW w:w="10490" w:type="dxa"/>
            <w:gridSpan w:val="3"/>
            <w:tcBorders>
              <w:top w:val="single" w:sz="4" w:space="0" w:color="auto"/>
              <w:left w:val="single" w:sz="4" w:space="0" w:color="auto"/>
              <w:bottom w:val="single" w:sz="4" w:space="0" w:color="auto"/>
              <w:right w:val="single" w:sz="4" w:space="0" w:color="auto"/>
            </w:tcBorders>
          </w:tcPr>
          <w:p w:rsidR="003B6F1A" w:rsidRDefault="003B6F1A"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rPr>
                <w:rFonts w:ascii="Arial" w:hAnsi="Arial" w:cs="Arial"/>
                <w:sz w:val="24"/>
                <w:szCs w:val="24"/>
                <w:lang w:val="en-ZA"/>
              </w:rPr>
            </w:pPr>
            <w:r w:rsidRPr="00A60AB3">
              <w:rPr>
                <w:rFonts w:ascii="Arial" w:hAnsi="Arial" w:cs="Arial"/>
                <w:sz w:val="24"/>
                <w:szCs w:val="24"/>
                <w:lang w:val="en-ZA"/>
              </w:rPr>
              <w:t>MAASDORP AJ:</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t>[1]</w:t>
            </w:r>
            <w:r w:rsidRPr="00A60AB3">
              <w:rPr>
                <w:rFonts w:ascii="Arial" w:hAnsi="Arial" w:cs="Arial"/>
                <w:kern w:val="2"/>
                <w:sz w:val="24"/>
                <w:szCs w:val="24"/>
                <w:lang w:val="en-GB"/>
                <w14:ligatures w14:val="standardContextual"/>
              </w:rPr>
              <w:tab/>
              <w:t xml:space="preserve">This is an opposed summary judgment application for allegedly unpaid rentals, for eviction, and for related relief. The applicant is </w:t>
            </w:r>
            <w:proofErr w:type="spellStart"/>
            <w:r w:rsidRPr="00A60AB3">
              <w:rPr>
                <w:rFonts w:ascii="Arial" w:hAnsi="Arial" w:cs="Arial"/>
                <w:kern w:val="2"/>
                <w:sz w:val="24"/>
                <w:szCs w:val="24"/>
                <w:lang w:val="en-GB"/>
                <w14:ligatures w14:val="standardContextual"/>
              </w:rPr>
              <w:t>Namdeb</w:t>
            </w:r>
            <w:proofErr w:type="spellEnd"/>
            <w:r w:rsidRPr="00A60AB3">
              <w:rPr>
                <w:rFonts w:ascii="Arial" w:hAnsi="Arial" w:cs="Arial"/>
                <w:kern w:val="2"/>
                <w:sz w:val="24"/>
                <w:szCs w:val="24"/>
                <w:lang w:val="en-GB"/>
                <w14:ligatures w14:val="standardContextual"/>
              </w:rPr>
              <w:t xml:space="preserve"> Diamond Corporation (Pty) Ltd. The respondent is Twenty Eleven Investment (Pty) Ltd.</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rPr>
                <w:rFonts w:ascii="Arial" w:hAnsi="Arial" w:cs="Arial"/>
                <w:sz w:val="24"/>
                <w:szCs w:val="24"/>
                <w:u w:val="single"/>
                <w:lang w:val="en-ZA"/>
              </w:rPr>
            </w:pPr>
            <w:r w:rsidRPr="00A60AB3">
              <w:rPr>
                <w:rFonts w:ascii="Arial" w:hAnsi="Arial" w:cs="Arial"/>
                <w:sz w:val="24"/>
                <w:szCs w:val="24"/>
                <w:u w:val="single"/>
                <w:lang w:val="en-ZA"/>
              </w:rPr>
              <w:t>Material background and procedural history</w:t>
            </w:r>
          </w:p>
          <w:p w:rsidR="00A60AB3" w:rsidRPr="00A60AB3" w:rsidRDefault="00A60AB3" w:rsidP="00A60AB3">
            <w:pPr>
              <w:spacing w:after="0" w:line="360" w:lineRule="auto"/>
              <w:jc w:val="both"/>
              <w:rPr>
                <w:rFonts w:ascii="Arial" w:hAnsi="Arial" w:cs="Arial"/>
                <w:b/>
                <w:bCs/>
                <w:sz w:val="24"/>
                <w:szCs w:val="24"/>
                <w:u w:val="single"/>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t>[2]</w:t>
            </w:r>
            <w:r w:rsidRPr="00A60AB3">
              <w:rPr>
                <w:rFonts w:ascii="Arial" w:hAnsi="Arial" w:cs="Arial"/>
                <w:kern w:val="2"/>
                <w:sz w:val="24"/>
                <w:szCs w:val="24"/>
                <w:lang w:val="en-GB"/>
                <w14:ligatures w14:val="standardContextual"/>
              </w:rPr>
              <w:tab/>
              <w:t>The parties concluded a written lease agreement on 18 October 2012. Under the lease agreement the applicant let to the respondent part of the property situated on 17 – 9</w:t>
            </w:r>
            <w:r w:rsidRPr="00A60AB3">
              <w:rPr>
                <w:rFonts w:ascii="Arial" w:hAnsi="Arial" w:cs="Arial"/>
                <w:kern w:val="2"/>
                <w:sz w:val="24"/>
                <w:szCs w:val="24"/>
                <w:vertAlign w:val="superscript"/>
                <w:lang w:val="en-GB"/>
                <w14:ligatures w14:val="standardContextual"/>
              </w:rPr>
              <w:t>th</w:t>
            </w:r>
            <w:r w:rsidRPr="00A60AB3">
              <w:rPr>
                <w:rFonts w:ascii="Arial" w:hAnsi="Arial" w:cs="Arial"/>
                <w:kern w:val="2"/>
                <w:sz w:val="24"/>
                <w:szCs w:val="24"/>
                <w:lang w:val="en-GB"/>
                <w14:ligatures w14:val="standardContextual"/>
              </w:rPr>
              <w:t xml:space="preserve"> Avenue, </w:t>
            </w:r>
            <w:proofErr w:type="spellStart"/>
            <w:r w:rsidRPr="00A60AB3">
              <w:rPr>
                <w:rFonts w:ascii="Arial" w:hAnsi="Arial" w:cs="Arial"/>
                <w:kern w:val="2"/>
                <w:sz w:val="24"/>
                <w:szCs w:val="24"/>
                <w:lang w:val="en-GB"/>
                <w14:ligatures w14:val="standardContextual"/>
              </w:rPr>
              <w:t>Oranjemund</w:t>
            </w:r>
            <w:proofErr w:type="spellEnd"/>
            <w:r w:rsidRPr="00A60AB3">
              <w:rPr>
                <w:rFonts w:ascii="Arial" w:hAnsi="Arial" w:cs="Arial"/>
                <w:kern w:val="2"/>
                <w:sz w:val="24"/>
                <w:szCs w:val="24"/>
                <w:lang w:val="en-GB"/>
                <w14:ligatures w14:val="standardContextual"/>
              </w:rPr>
              <w:t>, at a monthly rental starting at N$ 2 349,56 escalating annually by 10 per cent.</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t>[3]</w:t>
            </w:r>
            <w:r w:rsidRPr="00A60AB3">
              <w:rPr>
                <w:rFonts w:ascii="Arial" w:hAnsi="Arial" w:cs="Arial"/>
                <w:kern w:val="2"/>
                <w:sz w:val="24"/>
                <w:szCs w:val="24"/>
                <w:lang w:val="en-GB"/>
                <w14:ligatures w14:val="standardContextual"/>
              </w:rPr>
              <w:tab/>
              <w:t>The applicant issued summons on 23 January 2023 for unpaid rental from January 2017 to 15 December 2022 and for the eviction of the respondent. After the respondent noted its intention to defend the action, the applicant applied for summary judgment for the balance of N$169 749</w:t>
            </w:r>
            <w:proofErr w:type="gramStart"/>
            <w:r w:rsidRPr="00A60AB3">
              <w:rPr>
                <w:rFonts w:ascii="Arial" w:hAnsi="Arial" w:cs="Arial"/>
                <w:kern w:val="2"/>
                <w:sz w:val="24"/>
                <w:szCs w:val="24"/>
                <w:lang w:val="en-GB"/>
                <w14:ligatures w14:val="standardContextual"/>
              </w:rPr>
              <w:t>,38</w:t>
            </w:r>
            <w:proofErr w:type="gramEnd"/>
            <w:r w:rsidRPr="00A60AB3">
              <w:rPr>
                <w:rFonts w:ascii="Arial" w:hAnsi="Arial" w:cs="Arial"/>
                <w:kern w:val="2"/>
                <w:sz w:val="24"/>
                <w:szCs w:val="24"/>
                <w:lang w:val="en-GB"/>
                <w14:ligatures w14:val="standardContextual"/>
              </w:rPr>
              <w:t xml:space="preserve"> and for eviction.</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t>[4]</w:t>
            </w:r>
            <w:r w:rsidRPr="00A60AB3">
              <w:rPr>
                <w:rFonts w:ascii="Arial" w:hAnsi="Arial" w:cs="Arial"/>
                <w:kern w:val="2"/>
                <w:sz w:val="24"/>
                <w:szCs w:val="24"/>
                <w:lang w:val="en-GB"/>
                <w14:ligatures w14:val="standardContextual"/>
              </w:rPr>
              <w:tab/>
              <w:t>On 25 April 2023, the court directed the respondent to deliver its opposing affidavit by 29 May 2023. The respondent filed the opposing affidavit one day late, on 30 May 2023. The respondent delivered an application for condonation on 5 June 2023. In response, the applicant raised several points of law on 8 June 2023, including numerous alleged irregularities.</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lastRenderedPageBreak/>
              <w:t>[5]</w:t>
            </w:r>
            <w:r w:rsidRPr="00A60AB3">
              <w:rPr>
                <w:rFonts w:ascii="Arial" w:hAnsi="Arial" w:cs="Arial"/>
                <w:kern w:val="2"/>
                <w:sz w:val="24"/>
                <w:szCs w:val="24"/>
                <w:lang w:val="en-GB"/>
                <w14:ligatures w14:val="standardContextual"/>
              </w:rPr>
              <w:tab/>
              <w:t>In terms of the 25 April 2023 court order, the applicant filed heads of argument on 8 June. The respondent’s heads were filed on 15 June 2023. The application for summary judgment was scheduled for hearing on Monday, 10 July 2023.</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t>[6]</w:t>
            </w:r>
            <w:r w:rsidRPr="00A60AB3">
              <w:rPr>
                <w:rFonts w:ascii="Arial" w:hAnsi="Arial" w:cs="Arial"/>
                <w:kern w:val="2"/>
                <w:sz w:val="24"/>
                <w:szCs w:val="24"/>
                <w:lang w:val="en-GB"/>
                <w14:ligatures w14:val="standardContextual"/>
              </w:rPr>
              <w:tab/>
              <w:t>On 7 July 2023, the respondent withdrew its earlier condonation application that it had filed on 5 June 2023. It filed a new condonation application that addressed and seemingly cured the applicant’s points of law. Later the same afternoon, although after 16h00, the applicant delivered a new notice under rule 66(1</w:t>
            </w:r>
            <w:proofErr w:type="gramStart"/>
            <w:r w:rsidRPr="00A60AB3">
              <w:rPr>
                <w:rFonts w:ascii="Arial" w:hAnsi="Arial" w:cs="Arial"/>
                <w:kern w:val="2"/>
                <w:sz w:val="24"/>
                <w:szCs w:val="24"/>
                <w:lang w:val="en-GB"/>
                <w14:ligatures w14:val="standardContextual"/>
              </w:rPr>
              <w:t>)(</w:t>
            </w:r>
            <w:proofErr w:type="gramEnd"/>
            <w:r w:rsidRPr="00A60AB3">
              <w:rPr>
                <w:rFonts w:ascii="Arial" w:hAnsi="Arial" w:cs="Arial"/>
                <w:i/>
                <w:iCs/>
                <w:kern w:val="2"/>
                <w:sz w:val="24"/>
                <w:szCs w:val="24"/>
                <w:lang w:val="en-GB"/>
                <w14:ligatures w14:val="standardContextual"/>
              </w:rPr>
              <w:t>c</w:t>
            </w:r>
            <w:r w:rsidRPr="00A60AB3">
              <w:rPr>
                <w:rFonts w:ascii="Arial" w:hAnsi="Arial" w:cs="Arial"/>
                <w:kern w:val="2"/>
                <w:sz w:val="24"/>
                <w:szCs w:val="24"/>
                <w:lang w:val="en-GB"/>
                <w14:ligatures w14:val="standardContextual"/>
              </w:rPr>
              <w:t>) in which it set out the grounds of opposition to the respondent’s latest condonation application. The grounds included the absence of an explanation for the late delivery of the latest condonation application and the absence of prospects of success in opposing the summary judgment application to act as a counterweight for the missing explanation for the delay in the filing of the latest condonation application</w:t>
            </w:r>
            <w:proofErr w:type="gramStart"/>
            <w:r w:rsidRPr="00A60AB3">
              <w:rPr>
                <w:rFonts w:ascii="Arial" w:hAnsi="Arial" w:cs="Arial"/>
                <w:kern w:val="2"/>
                <w:sz w:val="24"/>
                <w:szCs w:val="24"/>
                <w:lang w:val="en-GB"/>
                <w14:ligatures w14:val="standardContextual"/>
              </w:rPr>
              <w:t>..</w:t>
            </w:r>
            <w:proofErr w:type="gramEnd"/>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rPr>
                <w:rFonts w:ascii="Arial" w:hAnsi="Arial" w:cs="Arial"/>
                <w:sz w:val="24"/>
                <w:szCs w:val="24"/>
                <w:u w:val="single"/>
                <w:lang w:val="en-ZA"/>
              </w:rPr>
            </w:pPr>
            <w:r w:rsidRPr="00A60AB3">
              <w:rPr>
                <w:rFonts w:ascii="Arial" w:hAnsi="Arial" w:cs="Arial"/>
                <w:sz w:val="24"/>
                <w:szCs w:val="24"/>
                <w:u w:val="single"/>
                <w:lang w:val="en-ZA"/>
              </w:rPr>
              <w:t>The merits</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t>[7]</w:t>
            </w:r>
            <w:r w:rsidRPr="00A60AB3">
              <w:rPr>
                <w:rFonts w:ascii="Arial" w:hAnsi="Arial" w:cs="Arial"/>
                <w:kern w:val="2"/>
                <w:sz w:val="24"/>
                <w:szCs w:val="24"/>
                <w:lang w:val="en-GB"/>
                <w14:ligatures w14:val="standardContextual"/>
              </w:rPr>
              <w:tab/>
              <w:t>The respondent raised two defences against the merits of the applicant’s claim. First, it raised prescription of all rentals that accrued before 22 January 2019. Second, it claimed that the parties had settled this dispute sometime after the applicant originally issued summons for rentals accruing under this lease agreement in late 2018 under case number HC-MD-CIV-ACT-CON-2018/01706.</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t>[8]</w:t>
            </w:r>
            <w:r w:rsidRPr="00A60AB3">
              <w:rPr>
                <w:rFonts w:ascii="Arial" w:hAnsi="Arial" w:cs="Arial"/>
                <w:kern w:val="2"/>
                <w:sz w:val="24"/>
                <w:szCs w:val="24"/>
                <w:lang w:val="en-GB"/>
                <w14:ligatures w14:val="standardContextual"/>
              </w:rPr>
              <w:tab/>
              <w:t>In its heads of argument, the applicant abandoned its claim for summary judgment for the accrued rentals that allegedly prescribed but persisted in seeking summary judgment for the balance, for eviction and for related relief. The applicant argued that the respondent had not complied with its obligations as a respondent in a summary judgment application since it had not set out the material facts to sustain its second defence. In addition, the applicant argued that the respondents did not plead a bona fide defence which, if proven at a trial, could defeat the applicant’s claim.</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t>[9]</w:t>
            </w:r>
            <w:r w:rsidRPr="00A60AB3">
              <w:rPr>
                <w:rFonts w:ascii="Arial" w:hAnsi="Arial" w:cs="Arial"/>
                <w:kern w:val="2"/>
                <w:sz w:val="24"/>
                <w:szCs w:val="24"/>
                <w:lang w:val="en-GB"/>
                <w14:ligatures w14:val="standardContextual"/>
              </w:rPr>
              <w:tab/>
              <w:t>To support the allegation that the parties had settled this dispute, the respondent attached a joint status report in the 2018 action. The report stated that:</w:t>
            </w:r>
          </w:p>
          <w:p w:rsidR="00A60AB3" w:rsidRPr="00A60AB3" w:rsidRDefault="00A60AB3" w:rsidP="00A60AB3">
            <w:pPr>
              <w:spacing w:after="0" w:line="360" w:lineRule="auto"/>
              <w:ind w:left="737"/>
              <w:jc w:val="both"/>
              <w:outlineLvl w:val="0"/>
              <w:rPr>
                <w:rFonts w:ascii="Arial" w:hAnsi="Arial" w:cs="Arial"/>
                <w:kern w:val="2"/>
                <w:sz w:val="24"/>
                <w:szCs w:val="24"/>
                <w:lang w:val="en-GB"/>
                <w14:ligatures w14:val="standardContextual"/>
              </w:rPr>
            </w:pPr>
          </w:p>
          <w:p w:rsidR="00A60AB3" w:rsidRPr="00A60AB3" w:rsidRDefault="00A60AB3" w:rsidP="00A60AB3">
            <w:pPr>
              <w:spacing w:after="0" w:line="360" w:lineRule="auto"/>
              <w:ind w:firstLine="703"/>
              <w:jc w:val="both"/>
              <w:outlineLvl w:val="0"/>
              <w:rPr>
                <w:rFonts w:ascii="Arial" w:hAnsi="Arial" w:cs="Arial"/>
                <w:kern w:val="2"/>
                <w:lang w:val="en-GB"/>
                <w14:ligatures w14:val="standardContextual"/>
              </w:rPr>
            </w:pPr>
            <w:r w:rsidRPr="00A60AB3">
              <w:rPr>
                <w:rFonts w:ascii="Arial" w:hAnsi="Arial" w:cs="Arial"/>
                <w:kern w:val="2"/>
                <w:lang w:val="en-GB"/>
                <w14:ligatures w14:val="standardContextual"/>
              </w:rPr>
              <w:t>“1.</w:t>
            </w:r>
            <w:r w:rsidRPr="00A60AB3">
              <w:rPr>
                <w:rFonts w:ascii="Arial" w:hAnsi="Arial" w:cs="Arial"/>
                <w:kern w:val="2"/>
                <w:lang w:val="en-GB"/>
                <w14:ligatures w14:val="standardContextual"/>
              </w:rPr>
              <w:tab/>
              <w:t>Whereas the parties attended court connected mediation on 29 October 2018 and in principle reach (sic) a settlement agreement in respect of plaintiff’s claim 2.</w:t>
            </w:r>
          </w:p>
          <w:p w:rsidR="00A60AB3" w:rsidRPr="00A60AB3" w:rsidRDefault="00A60AB3" w:rsidP="00A60AB3">
            <w:pPr>
              <w:spacing w:after="0" w:line="360" w:lineRule="auto"/>
              <w:jc w:val="both"/>
              <w:rPr>
                <w:rFonts w:ascii="Arial" w:hAnsi="Arial" w:cs="Arial"/>
                <w:lang w:val="en-ZA"/>
              </w:rPr>
            </w:pPr>
          </w:p>
          <w:p w:rsidR="00A60AB3" w:rsidRPr="00A60AB3" w:rsidRDefault="00A60AB3" w:rsidP="00A60AB3">
            <w:pPr>
              <w:spacing w:after="0" w:line="360" w:lineRule="auto"/>
              <w:jc w:val="both"/>
              <w:rPr>
                <w:rFonts w:ascii="Arial" w:hAnsi="Arial" w:cs="Arial"/>
                <w:lang w:val="en-ZA"/>
              </w:rPr>
            </w:pPr>
            <w:r w:rsidRPr="00A60AB3">
              <w:rPr>
                <w:rFonts w:ascii="Arial" w:hAnsi="Arial" w:cs="Arial"/>
                <w:lang w:val="en-ZA"/>
              </w:rPr>
              <w:t>2.</w:t>
            </w:r>
            <w:r w:rsidRPr="00A60AB3">
              <w:rPr>
                <w:rFonts w:ascii="Arial" w:hAnsi="Arial" w:cs="Arial"/>
                <w:lang w:val="en-ZA"/>
              </w:rPr>
              <w:tab/>
              <w:t xml:space="preserve">Whereas the plaintiff and defendant engaged each other thereafter in further settlement </w:t>
            </w:r>
            <w:r w:rsidRPr="00A60AB3">
              <w:rPr>
                <w:rFonts w:ascii="Arial" w:hAnsi="Arial" w:cs="Arial"/>
                <w:lang w:val="en-ZA"/>
              </w:rPr>
              <w:lastRenderedPageBreak/>
              <w:t>negotiations.</w:t>
            </w:r>
          </w:p>
          <w:p w:rsidR="00A60AB3" w:rsidRPr="00A60AB3" w:rsidRDefault="00A60AB3" w:rsidP="00A60AB3">
            <w:pPr>
              <w:spacing w:after="0" w:line="360" w:lineRule="auto"/>
              <w:jc w:val="both"/>
              <w:rPr>
                <w:rFonts w:ascii="Arial" w:hAnsi="Arial" w:cs="Arial"/>
                <w:lang w:val="en-ZA"/>
              </w:rPr>
            </w:pPr>
          </w:p>
          <w:p w:rsidR="00A60AB3" w:rsidRPr="00A60AB3" w:rsidRDefault="00A60AB3" w:rsidP="00A60AB3">
            <w:pPr>
              <w:spacing w:after="0" w:line="360" w:lineRule="auto"/>
              <w:jc w:val="both"/>
              <w:rPr>
                <w:rFonts w:ascii="Arial" w:hAnsi="Arial" w:cs="Arial"/>
                <w:lang w:val="en-ZA"/>
              </w:rPr>
            </w:pPr>
            <w:r w:rsidRPr="00A60AB3">
              <w:rPr>
                <w:rFonts w:ascii="Arial" w:hAnsi="Arial" w:cs="Arial"/>
                <w:lang w:val="en-ZA"/>
              </w:rPr>
              <w:t>3.</w:t>
            </w:r>
            <w:r w:rsidRPr="00A60AB3">
              <w:rPr>
                <w:rFonts w:ascii="Arial" w:hAnsi="Arial" w:cs="Arial"/>
                <w:lang w:val="en-ZA"/>
              </w:rPr>
              <w:tab/>
              <w:t>Whereas the parties respectfully request that the matter be postponed for a status hearing on 18 December 2018, pending finalisation of the settlement negotiations.”</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t>[10]</w:t>
            </w:r>
            <w:r w:rsidRPr="00A60AB3">
              <w:rPr>
                <w:rFonts w:ascii="Arial" w:hAnsi="Arial" w:cs="Arial"/>
                <w:kern w:val="2"/>
                <w:sz w:val="24"/>
                <w:szCs w:val="24"/>
                <w:lang w:val="en-GB"/>
                <w14:ligatures w14:val="standardContextual"/>
              </w:rPr>
              <w:tab/>
              <w:t>The respondent then made the following material allegations:</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numPr>
                <w:ilvl w:val="0"/>
                <w:numId w:val="11"/>
              </w:numPr>
              <w:spacing w:after="0" w:line="360" w:lineRule="auto"/>
              <w:ind w:left="0" w:firstLine="0"/>
              <w:contextualSpacing/>
              <w:jc w:val="both"/>
              <w:rPr>
                <w:rFonts w:ascii="Arial" w:hAnsi="Arial" w:cs="Arial"/>
                <w:sz w:val="24"/>
                <w:szCs w:val="24"/>
                <w:lang w:val="en-ZA"/>
              </w:rPr>
            </w:pPr>
            <w:r w:rsidRPr="00A60AB3">
              <w:rPr>
                <w:rFonts w:ascii="Arial" w:hAnsi="Arial" w:cs="Arial"/>
                <w:sz w:val="24"/>
                <w:szCs w:val="24"/>
                <w:lang w:val="en-ZA"/>
              </w:rPr>
              <w:t>‘</w:t>
            </w:r>
            <w:proofErr w:type="gramStart"/>
            <w:r w:rsidRPr="00A60AB3">
              <w:rPr>
                <w:rFonts w:ascii="Arial" w:hAnsi="Arial" w:cs="Arial"/>
                <w:sz w:val="24"/>
                <w:szCs w:val="24"/>
                <w:lang w:val="en-ZA"/>
              </w:rPr>
              <w:t>settlement</w:t>
            </w:r>
            <w:proofErr w:type="gramEnd"/>
            <w:r w:rsidRPr="00A60AB3">
              <w:rPr>
                <w:rFonts w:ascii="Arial" w:hAnsi="Arial" w:cs="Arial"/>
                <w:sz w:val="24"/>
                <w:szCs w:val="24"/>
                <w:lang w:val="en-ZA"/>
              </w:rPr>
              <w:t xml:space="preserve"> was finalized in respect of that matter’.</w:t>
            </w:r>
          </w:p>
          <w:p w:rsidR="00A60AB3" w:rsidRPr="00A60AB3" w:rsidRDefault="00A60AB3" w:rsidP="00A60AB3">
            <w:pPr>
              <w:spacing w:after="0" w:line="360" w:lineRule="auto"/>
              <w:contextualSpacing/>
              <w:jc w:val="both"/>
              <w:rPr>
                <w:rFonts w:ascii="Arial" w:hAnsi="Arial" w:cs="Arial"/>
                <w:sz w:val="24"/>
                <w:szCs w:val="24"/>
                <w:lang w:val="en-ZA"/>
              </w:rPr>
            </w:pPr>
          </w:p>
          <w:p w:rsidR="00A60AB3" w:rsidRPr="00A60AB3" w:rsidRDefault="00A60AB3" w:rsidP="00A60AB3">
            <w:pPr>
              <w:numPr>
                <w:ilvl w:val="0"/>
                <w:numId w:val="11"/>
              </w:numPr>
              <w:spacing w:after="0" w:line="360" w:lineRule="auto"/>
              <w:ind w:left="0" w:firstLine="0"/>
              <w:contextualSpacing/>
              <w:jc w:val="both"/>
              <w:rPr>
                <w:rFonts w:ascii="Arial" w:hAnsi="Arial" w:cs="Arial"/>
                <w:sz w:val="24"/>
                <w:szCs w:val="24"/>
                <w:lang w:val="en-ZA"/>
              </w:rPr>
            </w:pPr>
            <w:r w:rsidRPr="00A60AB3">
              <w:rPr>
                <w:rFonts w:ascii="Arial" w:hAnsi="Arial" w:cs="Arial"/>
                <w:sz w:val="24"/>
                <w:szCs w:val="24"/>
                <w:lang w:val="en-ZA"/>
              </w:rPr>
              <w:t>‘</w:t>
            </w:r>
            <w:proofErr w:type="gramStart"/>
            <w:r w:rsidRPr="00A60AB3">
              <w:rPr>
                <w:rFonts w:ascii="Arial" w:hAnsi="Arial" w:cs="Arial"/>
                <w:sz w:val="24"/>
                <w:szCs w:val="24"/>
                <w:lang w:val="en-ZA"/>
              </w:rPr>
              <w:t>the</w:t>
            </w:r>
            <w:proofErr w:type="gramEnd"/>
            <w:r w:rsidRPr="00A60AB3">
              <w:rPr>
                <w:rFonts w:ascii="Arial" w:hAnsi="Arial" w:cs="Arial"/>
                <w:sz w:val="24"/>
                <w:szCs w:val="24"/>
                <w:lang w:val="en-ZA"/>
              </w:rPr>
              <w:t xml:space="preserve"> parties reached a settlement which was not recorded in writing’.</w:t>
            </w:r>
          </w:p>
          <w:p w:rsidR="00A60AB3" w:rsidRPr="00A60AB3" w:rsidRDefault="00A60AB3" w:rsidP="00A60AB3">
            <w:pPr>
              <w:spacing w:after="0" w:line="360" w:lineRule="auto"/>
              <w:contextualSpacing/>
              <w:jc w:val="both"/>
              <w:rPr>
                <w:rFonts w:ascii="Arial" w:hAnsi="Arial" w:cs="Arial"/>
                <w:sz w:val="24"/>
                <w:szCs w:val="24"/>
                <w:lang w:val="en-ZA"/>
              </w:rPr>
            </w:pPr>
          </w:p>
          <w:p w:rsidR="00A60AB3" w:rsidRPr="00A60AB3" w:rsidRDefault="00A60AB3" w:rsidP="00A60AB3">
            <w:pPr>
              <w:numPr>
                <w:ilvl w:val="0"/>
                <w:numId w:val="11"/>
              </w:numPr>
              <w:spacing w:after="0" w:line="360" w:lineRule="auto"/>
              <w:ind w:left="0" w:firstLine="0"/>
              <w:contextualSpacing/>
              <w:jc w:val="both"/>
              <w:rPr>
                <w:rFonts w:ascii="Arial" w:hAnsi="Arial" w:cs="Arial"/>
                <w:sz w:val="24"/>
                <w:szCs w:val="24"/>
                <w:lang w:val="en-ZA"/>
              </w:rPr>
            </w:pPr>
            <w:r w:rsidRPr="00A60AB3">
              <w:rPr>
                <w:rFonts w:ascii="Arial" w:hAnsi="Arial" w:cs="Arial"/>
                <w:sz w:val="24"/>
                <w:szCs w:val="24"/>
                <w:lang w:val="en-ZA"/>
              </w:rPr>
              <w:t>One of the terms of the settlement was that the applicant would compensate the respondent for ‘improvements’ on the ‘immovable business property’.</w:t>
            </w:r>
          </w:p>
          <w:p w:rsidR="00A60AB3" w:rsidRPr="00A60AB3" w:rsidRDefault="00A60AB3" w:rsidP="00A60AB3">
            <w:pPr>
              <w:spacing w:after="0" w:line="360" w:lineRule="auto"/>
              <w:contextualSpacing/>
              <w:jc w:val="both"/>
              <w:rPr>
                <w:rFonts w:ascii="Arial" w:hAnsi="Arial" w:cs="Arial"/>
                <w:sz w:val="24"/>
                <w:szCs w:val="24"/>
                <w:lang w:val="en-ZA"/>
              </w:rPr>
            </w:pPr>
          </w:p>
          <w:p w:rsidR="00A60AB3" w:rsidRPr="00A60AB3" w:rsidRDefault="00A60AB3" w:rsidP="00A60AB3">
            <w:pPr>
              <w:numPr>
                <w:ilvl w:val="0"/>
                <w:numId w:val="11"/>
              </w:numPr>
              <w:spacing w:after="0" w:line="360" w:lineRule="auto"/>
              <w:ind w:left="0" w:firstLine="0"/>
              <w:contextualSpacing/>
              <w:jc w:val="both"/>
              <w:rPr>
                <w:rFonts w:ascii="Arial" w:hAnsi="Arial" w:cs="Arial"/>
                <w:sz w:val="24"/>
                <w:szCs w:val="24"/>
                <w:lang w:val="en-ZA"/>
              </w:rPr>
            </w:pPr>
            <w:r w:rsidRPr="00A60AB3">
              <w:rPr>
                <w:rFonts w:ascii="Arial" w:hAnsi="Arial" w:cs="Arial"/>
                <w:sz w:val="24"/>
                <w:szCs w:val="24"/>
                <w:lang w:val="en-ZA"/>
              </w:rPr>
              <w:t>Another term was that the respondent could remain in occupation of the property until the finalization of the calculation of the compensation.</w:t>
            </w:r>
          </w:p>
          <w:p w:rsidR="00A60AB3" w:rsidRPr="00A60AB3" w:rsidRDefault="00A60AB3" w:rsidP="00A60AB3">
            <w:pPr>
              <w:spacing w:after="0" w:line="360" w:lineRule="auto"/>
              <w:contextualSpacing/>
              <w:jc w:val="both"/>
              <w:rPr>
                <w:rFonts w:ascii="Arial" w:hAnsi="Arial" w:cs="Arial"/>
                <w:sz w:val="24"/>
                <w:szCs w:val="24"/>
                <w:lang w:val="en-ZA"/>
              </w:rPr>
            </w:pPr>
          </w:p>
          <w:p w:rsidR="00A60AB3" w:rsidRPr="00A60AB3" w:rsidRDefault="00A60AB3" w:rsidP="00A60AB3">
            <w:pPr>
              <w:numPr>
                <w:ilvl w:val="0"/>
                <w:numId w:val="11"/>
              </w:numPr>
              <w:spacing w:after="0" w:line="360" w:lineRule="auto"/>
              <w:ind w:left="0" w:firstLine="0"/>
              <w:contextualSpacing/>
              <w:jc w:val="both"/>
              <w:rPr>
                <w:rFonts w:ascii="Arial" w:hAnsi="Arial" w:cs="Arial"/>
                <w:sz w:val="24"/>
                <w:szCs w:val="24"/>
                <w:lang w:val="en-ZA"/>
              </w:rPr>
            </w:pPr>
            <w:r w:rsidRPr="00A60AB3">
              <w:rPr>
                <w:rFonts w:ascii="Arial" w:hAnsi="Arial" w:cs="Arial"/>
                <w:sz w:val="24"/>
                <w:szCs w:val="24"/>
                <w:lang w:val="en-ZA"/>
              </w:rPr>
              <w:t>A further term was that the applicant would not charge the respondent for its occupation of the property pending the finalization of the calculation process.</w:t>
            </w:r>
          </w:p>
          <w:p w:rsidR="00A60AB3" w:rsidRPr="00A60AB3" w:rsidRDefault="00A60AB3" w:rsidP="00A60AB3">
            <w:pPr>
              <w:spacing w:after="0" w:line="360" w:lineRule="auto"/>
              <w:contextualSpacing/>
              <w:jc w:val="both"/>
              <w:rPr>
                <w:rFonts w:ascii="Arial" w:hAnsi="Arial" w:cs="Arial"/>
                <w:sz w:val="24"/>
                <w:szCs w:val="24"/>
                <w:lang w:val="en-ZA"/>
              </w:rPr>
            </w:pPr>
          </w:p>
          <w:p w:rsidR="00A60AB3" w:rsidRPr="00A60AB3" w:rsidRDefault="00A60AB3" w:rsidP="00A60AB3">
            <w:pPr>
              <w:numPr>
                <w:ilvl w:val="0"/>
                <w:numId w:val="11"/>
              </w:numPr>
              <w:spacing w:after="0" w:line="360" w:lineRule="auto"/>
              <w:ind w:left="0" w:firstLine="0"/>
              <w:contextualSpacing/>
              <w:jc w:val="both"/>
              <w:rPr>
                <w:rFonts w:ascii="Arial" w:hAnsi="Arial" w:cs="Arial"/>
                <w:sz w:val="24"/>
                <w:szCs w:val="24"/>
                <w:lang w:val="en-ZA"/>
              </w:rPr>
            </w:pPr>
            <w:r w:rsidRPr="00A60AB3">
              <w:rPr>
                <w:rFonts w:ascii="Arial" w:hAnsi="Arial" w:cs="Arial"/>
                <w:sz w:val="24"/>
                <w:szCs w:val="24"/>
                <w:lang w:val="en-ZA"/>
              </w:rPr>
              <w:t>The only reason the respondent remains in occupation is due to the applicant’s undertaking to provide an offer for compensation.</w:t>
            </w:r>
          </w:p>
          <w:p w:rsidR="00A60AB3" w:rsidRPr="00A60AB3" w:rsidRDefault="00A60AB3" w:rsidP="00A60AB3">
            <w:pPr>
              <w:spacing w:after="0" w:line="360" w:lineRule="auto"/>
              <w:contextualSpacing/>
              <w:jc w:val="both"/>
              <w:rPr>
                <w:rFonts w:ascii="Arial" w:hAnsi="Arial" w:cs="Arial"/>
                <w:sz w:val="24"/>
                <w:szCs w:val="24"/>
                <w:lang w:val="en-ZA"/>
              </w:rPr>
            </w:pPr>
          </w:p>
          <w:p w:rsidR="00A60AB3" w:rsidRPr="00A60AB3" w:rsidRDefault="00A60AB3" w:rsidP="00A60AB3">
            <w:pPr>
              <w:numPr>
                <w:ilvl w:val="0"/>
                <w:numId w:val="11"/>
              </w:numPr>
              <w:spacing w:after="0" w:line="360" w:lineRule="auto"/>
              <w:ind w:left="0" w:firstLine="0"/>
              <w:contextualSpacing/>
              <w:jc w:val="both"/>
              <w:rPr>
                <w:rFonts w:ascii="Arial" w:hAnsi="Arial" w:cs="Arial"/>
                <w:sz w:val="24"/>
                <w:szCs w:val="24"/>
                <w:lang w:val="en-ZA"/>
              </w:rPr>
            </w:pPr>
            <w:r w:rsidRPr="00A60AB3">
              <w:rPr>
                <w:rFonts w:ascii="Arial" w:hAnsi="Arial" w:cs="Arial"/>
                <w:sz w:val="24"/>
                <w:szCs w:val="24"/>
                <w:lang w:val="en-ZA"/>
              </w:rPr>
              <w:t>The offer or calculations were supposed to have been finalized immediately after the settlement.</w:t>
            </w:r>
          </w:p>
          <w:p w:rsidR="00A60AB3" w:rsidRPr="00A60AB3" w:rsidRDefault="00A60AB3" w:rsidP="00A60AB3">
            <w:pPr>
              <w:spacing w:after="0" w:line="360" w:lineRule="auto"/>
              <w:contextualSpacing/>
              <w:jc w:val="both"/>
              <w:rPr>
                <w:rFonts w:ascii="Arial" w:hAnsi="Arial" w:cs="Arial"/>
                <w:sz w:val="24"/>
                <w:szCs w:val="24"/>
                <w:lang w:val="en-ZA"/>
              </w:rPr>
            </w:pPr>
          </w:p>
          <w:p w:rsidR="00A60AB3" w:rsidRPr="00A60AB3" w:rsidRDefault="00A60AB3" w:rsidP="00A60AB3">
            <w:pPr>
              <w:numPr>
                <w:ilvl w:val="0"/>
                <w:numId w:val="11"/>
              </w:numPr>
              <w:spacing w:after="0" w:line="360" w:lineRule="auto"/>
              <w:ind w:left="0" w:firstLine="0"/>
              <w:contextualSpacing/>
              <w:jc w:val="both"/>
              <w:rPr>
                <w:rFonts w:ascii="Arial" w:hAnsi="Arial" w:cs="Arial"/>
                <w:sz w:val="24"/>
                <w:szCs w:val="24"/>
                <w:lang w:val="en-ZA"/>
              </w:rPr>
            </w:pPr>
            <w:r w:rsidRPr="00A60AB3">
              <w:rPr>
                <w:rFonts w:ascii="Arial" w:hAnsi="Arial" w:cs="Arial"/>
                <w:sz w:val="24"/>
                <w:szCs w:val="24"/>
                <w:lang w:val="en-ZA"/>
              </w:rPr>
              <w:t>The applicant has not provided an offer of compensation for the improvements despite various follow-ups by the deponent with the applicant.</w:t>
            </w:r>
          </w:p>
          <w:p w:rsidR="00A60AB3" w:rsidRPr="00A60AB3" w:rsidRDefault="00A60AB3" w:rsidP="00A60AB3">
            <w:pPr>
              <w:spacing w:after="0" w:line="360" w:lineRule="auto"/>
              <w:ind w:left="720"/>
              <w:contextualSpacing/>
              <w:jc w:val="both"/>
              <w:rPr>
                <w:rFonts w:ascii="Arial" w:hAnsi="Arial" w:cs="Arial"/>
                <w:sz w:val="24"/>
                <w:szCs w:val="24"/>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t>[11]</w:t>
            </w:r>
            <w:r w:rsidRPr="00A60AB3">
              <w:rPr>
                <w:rFonts w:ascii="Arial" w:hAnsi="Arial" w:cs="Arial"/>
                <w:kern w:val="2"/>
                <w:sz w:val="24"/>
                <w:szCs w:val="24"/>
                <w:lang w:val="en-GB"/>
                <w14:ligatures w14:val="standardContextual"/>
              </w:rPr>
              <w:tab/>
              <w:t>On the strength of these allegations, the respondent asserted that the applicant’s claim is premature: all parties agreed the respondent would only leave the premises once an offer to compensate the respondent for the improvements had been made and claimed and once the claim for improvements has been paid by the applicant.</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t>[12]</w:t>
            </w:r>
            <w:r w:rsidRPr="00A60AB3">
              <w:rPr>
                <w:rFonts w:ascii="Arial" w:hAnsi="Arial" w:cs="Arial"/>
                <w:kern w:val="2"/>
                <w:sz w:val="24"/>
                <w:szCs w:val="24"/>
                <w:lang w:val="en-GB"/>
                <w14:ligatures w14:val="standardContextual"/>
              </w:rPr>
              <w:tab/>
              <w:t>In essence, the applicant argues that these allegations by the respondent in support of the conclusion that the parties had reached a compromise:</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numPr>
                <w:ilvl w:val="0"/>
                <w:numId w:val="12"/>
              </w:numPr>
              <w:spacing w:after="0" w:line="360" w:lineRule="auto"/>
              <w:ind w:left="0" w:firstLine="0"/>
              <w:contextualSpacing/>
              <w:jc w:val="both"/>
              <w:rPr>
                <w:rFonts w:ascii="Arial" w:hAnsi="Arial" w:cs="Arial"/>
                <w:sz w:val="24"/>
                <w:szCs w:val="24"/>
                <w:lang w:val="en-ZA"/>
              </w:rPr>
            </w:pPr>
            <w:r w:rsidRPr="00A60AB3">
              <w:rPr>
                <w:rFonts w:ascii="Arial" w:hAnsi="Arial" w:cs="Arial"/>
                <w:sz w:val="24"/>
                <w:szCs w:val="24"/>
                <w:lang w:val="en-ZA"/>
              </w:rPr>
              <w:t>are incurably vague;</w:t>
            </w:r>
          </w:p>
          <w:p w:rsidR="00A60AB3" w:rsidRPr="00A60AB3" w:rsidRDefault="00A60AB3" w:rsidP="00A60AB3">
            <w:pPr>
              <w:spacing w:after="0" w:line="360" w:lineRule="auto"/>
              <w:contextualSpacing/>
              <w:jc w:val="both"/>
              <w:rPr>
                <w:rFonts w:ascii="Arial" w:hAnsi="Arial" w:cs="Arial"/>
                <w:sz w:val="24"/>
                <w:szCs w:val="24"/>
                <w:lang w:val="en-ZA"/>
              </w:rPr>
            </w:pPr>
          </w:p>
          <w:p w:rsidR="00A60AB3" w:rsidRPr="00A60AB3" w:rsidRDefault="00A60AB3" w:rsidP="00A60AB3">
            <w:pPr>
              <w:numPr>
                <w:ilvl w:val="0"/>
                <w:numId w:val="12"/>
              </w:numPr>
              <w:spacing w:after="0" w:line="360" w:lineRule="auto"/>
              <w:ind w:left="0" w:firstLine="0"/>
              <w:contextualSpacing/>
              <w:jc w:val="both"/>
              <w:rPr>
                <w:rFonts w:ascii="Arial" w:hAnsi="Arial" w:cs="Arial"/>
                <w:sz w:val="24"/>
                <w:szCs w:val="24"/>
                <w:lang w:val="en-ZA"/>
              </w:rPr>
            </w:pPr>
            <w:r w:rsidRPr="00A60AB3">
              <w:rPr>
                <w:rFonts w:ascii="Arial" w:hAnsi="Arial" w:cs="Arial"/>
                <w:sz w:val="24"/>
                <w:szCs w:val="24"/>
                <w:lang w:val="en-ZA"/>
              </w:rPr>
              <w:t>are bad in law;</w:t>
            </w:r>
          </w:p>
          <w:p w:rsidR="00A60AB3" w:rsidRPr="00A60AB3" w:rsidRDefault="00A60AB3" w:rsidP="00A60AB3">
            <w:pPr>
              <w:spacing w:after="0" w:line="360" w:lineRule="auto"/>
              <w:contextualSpacing/>
              <w:jc w:val="both"/>
              <w:rPr>
                <w:rFonts w:ascii="Arial" w:hAnsi="Arial" w:cs="Arial"/>
                <w:sz w:val="24"/>
                <w:szCs w:val="24"/>
                <w:lang w:val="en-ZA"/>
              </w:rPr>
            </w:pPr>
          </w:p>
          <w:p w:rsidR="00A60AB3" w:rsidRPr="00A60AB3" w:rsidRDefault="00A60AB3" w:rsidP="00A60AB3">
            <w:pPr>
              <w:numPr>
                <w:ilvl w:val="0"/>
                <w:numId w:val="12"/>
              </w:numPr>
              <w:spacing w:after="0" w:line="360" w:lineRule="auto"/>
              <w:ind w:left="0" w:firstLine="0"/>
              <w:contextualSpacing/>
              <w:jc w:val="both"/>
              <w:rPr>
                <w:rFonts w:ascii="Arial" w:hAnsi="Arial" w:cs="Arial"/>
                <w:sz w:val="24"/>
                <w:szCs w:val="24"/>
                <w:lang w:val="en-ZA"/>
              </w:rPr>
            </w:pPr>
            <w:r w:rsidRPr="00A60AB3">
              <w:rPr>
                <w:rFonts w:ascii="Arial" w:hAnsi="Arial" w:cs="Arial"/>
                <w:sz w:val="24"/>
                <w:szCs w:val="24"/>
                <w:lang w:val="en-ZA"/>
              </w:rPr>
              <w:t xml:space="preserve">do not set out what the cause of action was in the case allegedly settled; </w:t>
            </w:r>
          </w:p>
          <w:p w:rsidR="00A60AB3" w:rsidRPr="00A60AB3" w:rsidRDefault="00A60AB3" w:rsidP="00A60AB3">
            <w:pPr>
              <w:spacing w:after="0" w:line="360" w:lineRule="auto"/>
              <w:contextualSpacing/>
              <w:jc w:val="both"/>
              <w:rPr>
                <w:rFonts w:ascii="Arial" w:hAnsi="Arial" w:cs="Arial"/>
                <w:sz w:val="24"/>
                <w:szCs w:val="24"/>
                <w:lang w:val="en-ZA"/>
              </w:rPr>
            </w:pPr>
          </w:p>
          <w:p w:rsidR="00A60AB3" w:rsidRPr="00A60AB3" w:rsidRDefault="00A60AB3" w:rsidP="00A60AB3">
            <w:pPr>
              <w:numPr>
                <w:ilvl w:val="0"/>
                <w:numId w:val="12"/>
              </w:numPr>
              <w:spacing w:after="0" w:line="360" w:lineRule="auto"/>
              <w:ind w:left="0" w:firstLine="0"/>
              <w:contextualSpacing/>
              <w:jc w:val="both"/>
              <w:rPr>
                <w:rFonts w:ascii="Arial" w:hAnsi="Arial" w:cs="Arial"/>
                <w:sz w:val="24"/>
                <w:szCs w:val="24"/>
                <w:lang w:val="en-ZA"/>
              </w:rPr>
            </w:pPr>
            <w:r w:rsidRPr="00A60AB3">
              <w:rPr>
                <w:rFonts w:ascii="Arial" w:hAnsi="Arial" w:cs="Arial"/>
                <w:sz w:val="24"/>
                <w:szCs w:val="24"/>
                <w:lang w:val="en-ZA"/>
              </w:rPr>
              <w:t>do not set out the prayers in that action so as to allow a proper comparison with the prayers now before court;</w:t>
            </w:r>
          </w:p>
          <w:p w:rsidR="00A60AB3" w:rsidRPr="00A60AB3" w:rsidRDefault="00A60AB3" w:rsidP="00A60AB3">
            <w:pPr>
              <w:spacing w:after="0" w:line="360" w:lineRule="auto"/>
              <w:contextualSpacing/>
              <w:jc w:val="both"/>
              <w:rPr>
                <w:rFonts w:ascii="Arial" w:hAnsi="Arial" w:cs="Arial"/>
                <w:sz w:val="24"/>
                <w:szCs w:val="24"/>
                <w:lang w:val="en-ZA"/>
              </w:rPr>
            </w:pPr>
          </w:p>
          <w:p w:rsidR="00A60AB3" w:rsidRPr="00A60AB3" w:rsidRDefault="00A60AB3" w:rsidP="00A60AB3">
            <w:pPr>
              <w:numPr>
                <w:ilvl w:val="0"/>
                <w:numId w:val="12"/>
              </w:numPr>
              <w:spacing w:after="0" w:line="360" w:lineRule="auto"/>
              <w:ind w:left="0" w:firstLine="0"/>
              <w:contextualSpacing/>
              <w:jc w:val="both"/>
              <w:rPr>
                <w:rFonts w:ascii="Arial" w:hAnsi="Arial" w:cs="Arial"/>
                <w:sz w:val="24"/>
                <w:szCs w:val="24"/>
                <w:lang w:val="en-ZA"/>
              </w:rPr>
            </w:pPr>
            <w:r w:rsidRPr="00A60AB3">
              <w:rPr>
                <w:rFonts w:ascii="Arial" w:hAnsi="Arial" w:cs="Arial"/>
                <w:sz w:val="24"/>
                <w:szCs w:val="24"/>
                <w:lang w:val="en-ZA"/>
              </w:rPr>
              <w:t>do not support a conclusion that an offer in full and final settlement of the current dispute had been made or accepted;</w:t>
            </w:r>
          </w:p>
          <w:p w:rsidR="00A60AB3" w:rsidRPr="00A60AB3" w:rsidRDefault="00A60AB3" w:rsidP="00A60AB3">
            <w:pPr>
              <w:spacing w:after="0" w:line="360" w:lineRule="auto"/>
              <w:contextualSpacing/>
              <w:jc w:val="both"/>
              <w:rPr>
                <w:rFonts w:ascii="Arial" w:hAnsi="Arial" w:cs="Arial"/>
                <w:sz w:val="24"/>
                <w:szCs w:val="24"/>
                <w:lang w:val="en-ZA"/>
              </w:rPr>
            </w:pPr>
          </w:p>
          <w:p w:rsidR="00A60AB3" w:rsidRPr="00A60AB3" w:rsidRDefault="00A60AB3" w:rsidP="00A60AB3">
            <w:pPr>
              <w:numPr>
                <w:ilvl w:val="0"/>
                <w:numId w:val="12"/>
              </w:numPr>
              <w:spacing w:after="0" w:line="360" w:lineRule="auto"/>
              <w:ind w:left="0" w:firstLine="0"/>
              <w:contextualSpacing/>
              <w:jc w:val="both"/>
              <w:rPr>
                <w:rFonts w:ascii="Arial" w:hAnsi="Arial" w:cs="Arial"/>
                <w:sz w:val="24"/>
                <w:szCs w:val="24"/>
                <w:lang w:val="en-ZA"/>
              </w:rPr>
            </w:pPr>
            <w:r w:rsidRPr="00A60AB3">
              <w:rPr>
                <w:rFonts w:ascii="Arial" w:hAnsi="Arial" w:cs="Arial"/>
                <w:sz w:val="24"/>
                <w:szCs w:val="24"/>
                <w:lang w:val="en-ZA"/>
              </w:rPr>
              <w:t xml:space="preserve">are ambiguous in the sense that they refer sometimes to an ‘undertaking’ and other times to a ‘settlement’; </w:t>
            </w:r>
          </w:p>
          <w:p w:rsidR="00A60AB3" w:rsidRPr="00A60AB3" w:rsidRDefault="00A60AB3" w:rsidP="00A60AB3">
            <w:pPr>
              <w:spacing w:after="0" w:line="360" w:lineRule="auto"/>
              <w:contextualSpacing/>
              <w:jc w:val="both"/>
              <w:rPr>
                <w:rFonts w:ascii="Arial" w:hAnsi="Arial" w:cs="Arial"/>
                <w:sz w:val="24"/>
                <w:szCs w:val="24"/>
                <w:lang w:val="en-ZA"/>
              </w:rPr>
            </w:pPr>
          </w:p>
          <w:p w:rsidR="00A60AB3" w:rsidRPr="00A60AB3" w:rsidRDefault="00A60AB3" w:rsidP="00A60AB3">
            <w:pPr>
              <w:numPr>
                <w:ilvl w:val="0"/>
                <w:numId w:val="12"/>
              </w:numPr>
              <w:spacing w:after="0" w:line="360" w:lineRule="auto"/>
              <w:ind w:left="0" w:firstLine="0"/>
              <w:contextualSpacing/>
              <w:jc w:val="both"/>
              <w:rPr>
                <w:rFonts w:ascii="Arial" w:hAnsi="Arial" w:cs="Arial"/>
                <w:sz w:val="24"/>
                <w:szCs w:val="24"/>
                <w:lang w:val="en-ZA"/>
              </w:rPr>
            </w:pPr>
            <w:r w:rsidRPr="00A60AB3">
              <w:rPr>
                <w:rFonts w:ascii="Arial" w:hAnsi="Arial" w:cs="Arial"/>
                <w:sz w:val="24"/>
                <w:szCs w:val="24"/>
                <w:lang w:val="en-ZA"/>
              </w:rPr>
              <w:t>appear to support, at best for the respondent, a settlement conditional on an offer for compensation;</w:t>
            </w:r>
          </w:p>
          <w:p w:rsidR="00A60AB3" w:rsidRPr="00A60AB3" w:rsidRDefault="00A60AB3" w:rsidP="00A60AB3">
            <w:pPr>
              <w:spacing w:after="0" w:line="360" w:lineRule="auto"/>
              <w:contextualSpacing/>
              <w:jc w:val="both"/>
              <w:rPr>
                <w:rFonts w:ascii="Arial" w:hAnsi="Arial" w:cs="Arial"/>
                <w:sz w:val="24"/>
                <w:szCs w:val="24"/>
                <w:lang w:val="en-ZA"/>
              </w:rPr>
            </w:pPr>
          </w:p>
          <w:p w:rsidR="00A60AB3" w:rsidRPr="00A60AB3" w:rsidRDefault="00A60AB3" w:rsidP="00A60AB3">
            <w:pPr>
              <w:numPr>
                <w:ilvl w:val="0"/>
                <w:numId w:val="12"/>
              </w:numPr>
              <w:spacing w:after="0" w:line="360" w:lineRule="auto"/>
              <w:ind w:left="0" w:firstLine="0"/>
              <w:contextualSpacing/>
              <w:jc w:val="both"/>
              <w:rPr>
                <w:rFonts w:ascii="Arial" w:hAnsi="Arial" w:cs="Arial"/>
                <w:sz w:val="24"/>
                <w:szCs w:val="24"/>
                <w:lang w:val="en-ZA"/>
              </w:rPr>
            </w:pPr>
            <w:r w:rsidRPr="00A60AB3">
              <w:rPr>
                <w:rFonts w:ascii="Arial" w:hAnsi="Arial" w:cs="Arial"/>
                <w:sz w:val="24"/>
                <w:szCs w:val="24"/>
                <w:lang w:val="en-ZA"/>
              </w:rPr>
              <w:t>are inadequate for the respondent to meet its onus to prove a compromise clearly and unambiguously;</w:t>
            </w:r>
          </w:p>
          <w:p w:rsidR="00A60AB3" w:rsidRPr="00A60AB3" w:rsidRDefault="00A60AB3" w:rsidP="00A60AB3">
            <w:pPr>
              <w:spacing w:after="0" w:line="360" w:lineRule="auto"/>
              <w:contextualSpacing/>
              <w:jc w:val="both"/>
              <w:rPr>
                <w:rFonts w:ascii="Arial" w:hAnsi="Arial" w:cs="Arial"/>
                <w:sz w:val="24"/>
                <w:szCs w:val="24"/>
                <w:lang w:val="en-ZA"/>
              </w:rPr>
            </w:pPr>
          </w:p>
          <w:p w:rsidR="00A60AB3" w:rsidRPr="00A60AB3" w:rsidRDefault="00A60AB3" w:rsidP="00A60AB3">
            <w:pPr>
              <w:numPr>
                <w:ilvl w:val="0"/>
                <w:numId w:val="12"/>
              </w:numPr>
              <w:spacing w:after="0" w:line="360" w:lineRule="auto"/>
              <w:ind w:left="0" w:firstLine="0"/>
              <w:contextualSpacing/>
              <w:jc w:val="both"/>
              <w:rPr>
                <w:rFonts w:ascii="Arial" w:hAnsi="Arial" w:cs="Arial"/>
                <w:sz w:val="24"/>
                <w:szCs w:val="24"/>
                <w:lang w:val="en-ZA"/>
              </w:rPr>
            </w:pPr>
            <w:r w:rsidRPr="00A60AB3">
              <w:rPr>
                <w:rFonts w:ascii="Arial" w:hAnsi="Arial" w:cs="Arial"/>
                <w:sz w:val="24"/>
                <w:szCs w:val="24"/>
                <w:lang w:val="en-ZA"/>
              </w:rPr>
              <w:t xml:space="preserve">are not supported by the inherent probabilities – why would the applicant forego all of its contractual rights without any reason appearing from the respondent’s papers; and </w:t>
            </w:r>
          </w:p>
          <w:p w:rsidR="00A60AB3" w:rsidRPr="00A60AB3" w:rsidRDefault="00A60AB3" w:rsidP="00A60AB3">
            <w:pPr>
              <w:spacing w:after="0" w:line="360" w:lineRule="auto"/>
              <w:contextualSpacing/>
              <w:jc w:val="both"/>
              <w:rPr>
                <w:rFonts w:ascii="Arial" w:hAnsi="Arial" w:cs="Arial"/>
                <w:sz w:val="24"/>
                <w:szCs w:val="24"/>
                <w:lang w:val="en-ZA"/>
              </w:rPr>
            </w:pPr>
          </w:p>
          <w:p w:rsidR="00A60AB3" w:rsidRPr="00A60AB3" w:rsidRDefault="00A60AB3" w:rsidP="00A60AB3">
            <w:pPr>
              <w:numPr>
                <w:ilvl w:val="0"/>
                <w:numId w:val="12"/>
              </w:numPr>
              <w:spacing w:after="0" w:line="360" w:lineRule="auto"/>
              <w:ind w:left="0" w:firstLine="0"/>
              <w:contextualSpacing/>
              <w:jc w:val="both"/>
              <w:rPr>
                <w:rFonts w:ascii="Arial" w:hAnsi="Arial" w:cs="Arial"/>
                <w:sz w:val="24"/>
                <w:szCs w:val="24"/>
                <w:lang w:val="en-ZA"/>
              </w:rPr>
            </w:pPr>
            <w:proofErr w:type="gramStart"/>
            <w:r w:rsidRPr="00A60AB3">
              <w:rPr>
                <w:rFonts w:ascii="Arial" w:hAnsi="Arial" w:cs="Arial"/>
                <w:sz w:val="24"/>
                <w:szCs w:val="24"/>
                <w:lang w:val="en-ZA"/>
              </w:rPr>
              <w:t>even</w:t>
            </w:r>
            <w:proofErr w:type="gramEnd"/>
            <w:r w:rsidRPr="00A60AB3">
              <w:rPr>
                <w:rFonts w:ascii="Arial" w:hAnsi="Arial" w:cs="Arial"/>
                <w:sz w:val="24"/>
                <w:szCs w:val="24"/>
                <w:lang w:val="en-ZA"/>
              </w:rPr>
              <w:t xml:space="preserve"> if the allegations are accepted as true, the compromise would amount to an impermissible oral variation of clauses 3, 8, 16, 20 and 21 of the written lease agreement.</w:t>
            </w:r>
            <w:r w:rsidRPr="00A60AB3">
              <w:rPr>
                <w:rFonts w:ascii="Arial" w:hAnsi="Arial" w:cs="Arial"/>
                <w:sz w:val="24"/>
                <w:szCs w:val="24"/>
                <w:vertAlign w:val="superscript"/>
                <w:lang w:val="en-ZA"/>
              </w:rPr>
              <w:footnoteReference w:id="1"/>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t>[13]</w:t>
            </w:r>
            <w:r w:rsidRPr="00A60AB3">
              <w:rPr>
                <w:rFonts w:ascii="Arial" w:hAnsi="Arial" w:cs="Arial"/>
                <w:kern w:val="2"/>
                <w:sz w:val="24"/>
                <w:szCs w:val="24"/>
                <w:lang w:val="en-GB"/>
                <w14:ligatures w14:val="standardContextual"/>
              </w:rPr>
              <w:tab/>
              <w:t xml:space="preserve">In addition, and perhaps most importantly, the applicant relies on these crucial omissions from the respondent’s opposing affidavit: </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rPr>
                <w:rFonts w:ascii="Arial" w:hAnsi="Arial" w:cs="Arial"/>
                <w:sz w:val="24"/>
                <w:szCs w:val="24"/>
                <w:lang w:val="en-ZA"/>
              </w:rPr>
            </w:pPr>
            <w:r w:rsidRPr="00A60AB3">
              <w:rPr>
                <w:rFonts w:ascii="Arial" w:hAnsi="Arial" w:cs="Arial"/>
                <w:sz w:val="24"/>
                <w:szCs w:val="24"/>
                <w:lang w:val="en-ZA"/>
              </w:rPr>
              <w:t>(a)</w:t>
            </w:r>
            <w:r w:rsidRPr="00A60AB3">
              <w:rPr>
                <w:rFonts w:ascii="Arial" w:hAnsi="Arial" w:cs="Arial"/>
                <w:sz w:val="24"/>
                <w:szCs w:val="24"/>
                <w:lang w:val="en-ZA"/>
              </w:rPr>
              <w:tab/>
              <w:t xml:space="preserve">The date on which the settlement agreement was allegedly concluded; </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rPr>
                <w:rFonts w:ascii="Arial" w:hAnsi="Arial" w:cs="Arial"/>
                <w:sz w:val="24"/>
                <w:szCs w:val="24"/>
                <w:lang w:val="en-ZA"/>
              </w:rPr>
            </w:pPr>
            <w:r w:rsidRPr="00A60AB3">
              <w:rPr>
                <w:rFonts w:ascii="Arial" w:hAnsi="Arial" w:cs="Arial"/>
                <w:sz w:val="24"/>
                <w:szCs w:val="24"/>
                <w:lang w:val="en-ZA"/>
              </w:rPr>
              <w:t>(b)</w:t>
            </w:r>
            <w:r w:rsidRPr="00A60AB3">
              <w:rPr>
                <w:rFonts w:ascii="Arial" w:hAnsi="Arial" w:cs="Arial"/>
                <w:sz w:val="24"/>
                <w:szCs w:val="24"/>
                <w:lang w:val="en-ZA"/>
              </w:rPr>
              <w:tab/>
              <w:t>The place where the settlement agreement was allegedly concluded;</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rPr>
                <w:rFonts w:ascii="Arial" w:hAnsi="Arial" w:cs="Arial"/>
                <w:sz w:val="24"/>
                <w:szCs w:val="24"/>
                <w:lang w:val="en-ZA"/>
              </w:rPr>
            </w:pPr>
            <w:r w:rsidRPr="00A60AB3">
              <w:rPr>
                <w:rFonts w:ascii="Arial" w:hAnsi="Arial" w:cs="Arial"/>
                <w:sz w:val="24"/>
                <w:szCs w:val="24"/>
                <w:lang w:val="en-ZA"/>
              </w:rPr>
              <w:t>(c)</w:t>
            </w:r>
            <w:r w:rsidRPr="00A60AB3">
              <w:rPr>
                <w:rFonts w:ascii="Arial" w:hAnsi="Arial" w:cs="Arial"/>
                <w:sz w:val="24"/>
                <w:szCs w:val="24"/>
                <w:lang w:val="en-ZA"/>
              </w:rPr>
              <w:tab/>
              <w:t>The identity of the persons who allegedly concluded the settlement agreement and their authority to have done so (both parties are companies).</w:t>
            </w:r>
          </w:p>
          <w:p w:rsidR="00A60AB3" w:rsidRPr="00A60AB3" w:rsidRDefault="00A60AB3" w:rsidP="00A60AB3">
            <w:pPr>
              <w:tabs>
                <w:tab w:val="left" w:pos="1440"/>
              </w:tabs>
              <w:spacing w:after="0" w:line="360" w:lineRule="auto"/>
              <w:jc w:val="both"/>
              <w:rPr>
                <w:rFonts w:ascii="Arial" w:hAnsi="Arial" w:cs="Arial"/>
                <w:sz w:val="24"/>
                <w:szCs w:val="24"/>
                <w:lang w:val="en-ZA"/>
              </w:rPr>
            </w:pPr>
          </w:p>
          <w:p w:rsidR="00A60AB3" w:rsidRPr="00A60AB3" w:rsidRDefault="00A60AB3" w:rsidP="00A60AB3">
            <w:pPr>
              <w:tabs>
                <w:tab w:val="left" w:pos="1440"/>
              </w:tabs>
              <w:spacing w:after="0" w:line="360" w:lineRule="auto"/>
              <w:jc w:val="both"/>
              <w:rPr>
                <w:rFonts w:ascii="Arial" w:hAnsi="Arial" w:cs="Arial"/>
                <w:sz w:val="24"/>
                <w:szCs w:val="24"/>
                <w:u w:val="single"/>
                <w:lang w:val="en-ZA"/>
              </w:rPr>
            </w:pPr>
            <w:r w:rsidRPr="00A60AB3">
              <w:rPr>
                <w:rFonts w:ascii="Arial" w:hAnsi="Arial" w:cs="Arial"/>
                <w:sz w:val="24"/>
                <w:szCs w:val="24"/>
                <w:u w:val="single"/>
                <w:lang w:val="en-ZA"/>
              </w:rPr>
              <w:t>The law on summary judgments and its application to the facts</w:t>
            </w:r>
          </w:p>
          <w:p w:rsidR="00A60AB3" w:rsidRPr="00A60AB3" w:rsidRDefault="00A60AB3" w:rsidP="00A60AB3">
            <w:pPr>
              <w:tabs>
                <w:tab w:val="left" w:pos="1440"/>
              </w:tabs>
              <w:spacing w:after="0" w:line="360" w:lineRule="auto"/>
              <w:jc w:val="both"/>
              <w:rPr>
                <w:rFonts w:ascii="Arial" w:hAnsi="Arial" w:cs="Arial"/>
                <w:sz w:val="24"/>
                <w:szCs w:val="24"/>
                <w:u w:val="single"/>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t>[14]</w:t>
            </w:r>
            <w:r w:rsidRPr="00A60AB3">
              <w:rPr>
                <w:rFonts w:ascii="Arial" w:hAnsi="Arial" w:cs="Arial"/>
                <w:kern w:val="2"/>
                <w:sz w:val="24"/>
                <w:szCs w:val="24"/>
                <w:lang w:val="en-GB"/>
                <w14:ligatures w14:val="standardContextual"/>
              </w:rPr>
              <w:tab/>
              <w:t>The controlling law is uncontroversial. The numerous superior court judgments raised by both parties provide ample guidance. It is the application of the law to the facts where the parties differ.</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outlineLvl w:val="0"/>
              <w:rPr>
                <w:rFonts w:ascii="Arial" w:hAnsi="Arial" w:cs="Arial"/>
                <w:i/>
                <w:iCs/>
                <w:kern w:val="2"/>
                <w:sz w:val="24"/>
                <w:szCs w:val="24"/>
                <w:lang w:val="en-GB"/>
                <w14:ligatures w14:val="standardContextual"/>
              </w:rPr>
            </w:pPr>
            <w:r w:rsidRPr="00A60AB3">
              <w:rPr>
                <w:rFonts w:ascii="Arial" w:hAnsi="Arial" w:cs="Arial"/>
                <w:kern w:val="2"/>
                <w:sz w:val="24"/>
                <w:szCs w:val="24"/>
                <w:lang w:val="en-GB"/>
                <w14:ligatures w14:val="standardContextual"/>
              </w:rPr>
              <w:t>[15]</w:t>
            </w:r>
            <w:r w:rsidRPr="00A60AB3">
              <w:rPr>
                <w:rFonts w:ascii="Arial" w:hAnsi="Arial" w:cs="Arial"/>
                <w:kern w:val="2"/>
                <w:sz w:val="24"/>
                <w:szCs w:val="24"/>
                <w:lang w:val="en-GB"/>
                <w14:ligatures w14:val="standardContextual"/>
              </w:rPr>
              <w:tab/>
              <w:t xml:space="preserve">In my view, this application can be decided on the law set out in the respondent’s heads of argument, in particular the passages on which the respondent relies from </w:t>
            </w:r>
            <w:r w:rsidRPr="00A60AB3">
              <w:rPr>
                <w:rFonts w:ascii="Arial" w:hAnsi="Arial" w:cs="Arial"/>
                <w:i/>
                <w:iCs/>
                <w:kern w:val="2"/>
                <w:sz w:val="24"/>
                <w:szCs w:val="24"/>
                <w:lang w:val="en-GB"/>
                <w14:ligatures w14:val="standardContextual"/>
              </w:rPr>
              <w:t xml:space="preserve">Di </w:t>
            </w:r>
            <w:proofErr w:type="spellStart"/>
            <w:r w:rsidRPr="00A60AB3">
              <w:rPr>
                <w:rFonts w:ascii="Arial" w:hAnsi="Arial" w:cs="Arial"/>
                <w:i/>
                <w:iCs/>
                <w:kern w:val="2"/>
                <w:sz w:val="24"/>
                <w:szCs w:val="24"/>
                <w:lang w:val="en-GB"/>
                <w14:ligatures w14:val="standardContextual"/>
              </w:rPr>
              <w:t>Savino</w:t>
            </w:r>
            <w:proofErr w:type="spellEnd"/>
            <w:r w:rsidRPr="00A60AB3">
              <w:rPr>
                <w:rFonts w:ascii="Arial" w:hAnsi="Arial" w:cs="Arial"/>
                <w:i/>
                <w:iCs/>
                <w:kern w:val="2"/>
                <w:sz w:val="24"/>
                <w:szCs w:val="24"/>
                <w:lang w:val="en-GB"/>
                <w14:ligatures w14:val="standardContextual"/>
              </w:rPr>
              <w:t xml:space="preserve"> v Nedbank Namibia Ltd</w:t>
            </w:r>
            <w:r w:rsidRPr="00A60AB3">
              <w:rPr>
                <w:rFonts w:ascii="Arial" w:hAnsi="Arial" w:cs="Arial"/>
                <w:i/>
                <w:iCs/>
                <w:kern w:val="2"/>
                <w:sz w:val="24"/>
                <w:szCs w:val="24"/>
                <w:vertAlign w:val="superscript"/>
                <w:lang w:val="en-GB"/>
                <w14:ligatures w14:val="standardContextual"/>
              </w:rPr>
              <w:footnoteReference w:id="2"/>
            </w:r>
            <w:r w:rsidRPr="00A60AB3">
              <w:rPr>
                <w:rFonts w:ascii="Arial" w:hAnsi="Arial" w:cs="Arial"/>
                <w:i/>
                <w:iCs/>
                <w:kern w:val="2"/>
                <w:sz w:val="24"/>
                <w:szCs w:val="24"/>
                <w:lang w:val="en-GB"/>
                <w14:ligatures w14:val="standardContextual"/>
              </w:rPr>
              <w:t xml:space="preserve"> </w:t>
            </w:r>
            <w:r w:rsidRPr="00A60AB3">
              <w:rPr>
                <w:rFonts w:ascii="Arial" w:hAnsi="Arial" w:cs="Arial"/>
                <w:kern w:val="2"/>
                <w:sz w:val="24"/>
                <w:szCs w:val="24"/>
                <w:lang w:val="en-GB"/>
                <w14:ligatures w14:val="standardContextual"/>
              </w:rPr>
              <w:t xml:space="preserve">and </w:t>
            </w:r>
            <w:r w:rsidRPr="00A60AB3">
              <w:rPr>
                <w:rFonts w:ascii="Arial" w:hAnsi="Arial" w:cs="Arial"/>
                <w:i/>
                <w:iCs/>
                <w:kern w:val="2"/>
                <w:sz w:val="24"/>
                <w:szCs w:val="24"/>
                <w:lang w:val="en-GB"/>
                <w14:ligatures w14:val="standardContextual"/>
              </w:rPr>
              <w:t>Fair Play Nam Investments (Pty) Ltd v Standard Bank Namibia Limited</w:t>
            </w:r>
            <w:r w:rsidRPr="00A60AB3">
              <w:rPr>
                <w:rFonts w:ascii="Arial" w:hAnsi="Arial" w:cs="Arial"/>
                <w:i/>
                <w:iCs/>
                <w:kern w:val="2"/>
                <w:sz w:val="24"/>
                <w:szCs w:val="24"/>
                <w:vertAlign w:val="superscript"/>
                <w:lang w:val="en-GB"/>
                <w14:ligatures w14:val="standardContextual"/>
              </w:rPr>
              <w:footnoteReference w:id="3"/>
            </w:r>
            <w:r w:rsidRPr="00A60AB3">
              <w:rPr>
                <w:rFonts w:ascii="Arial" w:hAnsi="Arial" w:cs="Arial"/>
                <w:i/>
                <w:iCs/>
                <w:kern w:val="2"/>
                <w:sz w:val="24"/>
                <w:szCs w:val="24"/>
                <w:lang w:val="en-GB"/>
                <w14:ligatures w14:val="standardContextual"/>
              </w:rPr>
              <w:t xml:space="preserve">. </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t>[16]</w:t>
            </w:r>
            <w:r w:rsidRPr="00A60AB3">
              <w:rPr>
                <w:rFonts w:ascii="Arial" w:hAnsi="Arial" w:cs="Arial"/>
                <w:kern w:val="2"/>
                <w:sz w:val="24"/>
                <w:szCs w:val="24"/>
                <w:lang w:val="en-GB"/>
                <w14:ligatures w14:val="standardContextual"/>
              </w:rPr>
              <w:tab/>
              <w:t xml:space="preserve">From </w:t>
            </w:r>
            <w:r w:rsidRPr="00A60AB3">
              <w:rPr>
                <w:rFonts w:ascii="Arial" w:hAnsi="Arial" w:cs="Arial"/>
                <w:i/>
                <w:iCs/>
                <w:kern w:val="2"/>
                <w:sz w:val="24"/>
                <w:szCs w:val="24"/>
                <w:lang w:val="en-GB"/>
                <w14:ligatures w14:val="standardContextual"/>
              </w:rPr>
              <w:t xml:space="preserve">Di </w:t>
            </w:r>
            <w:proofErr w:type="spellStart"/>
            <w:r w:rsidRPr="00A60AB3">
              <w:rPr>
                <w:rFonts w:ascii="Arial" w:hAnsi="Arial" w:cs="Arial"/>
                <w:i/>
                <w:iCs/>
                <w:kern w:val="2"/>
                <w:sz w:val="24"/>
                <w:szCs w:val="24"/>
                <w:lang w:val="en-GB"/>
                <w14:ligatures w14:val="standardContextual"/>
              </w:rPr>
              <w:t>Savino</w:t>
            </w:r>
            <w:proofErr w:type="spellEnd"/>
            <w:r w:rsidRPr="00A60AB3">
              <w:rPr>
                <w:rFonts w:ascii="Arial" w:hAnsi="Arial" w:cs="Arial"/>
                <w:kern w:val="2"/>
                <w:sz w:val="24"/>
                <w:szCs w:val="24"/>
                <w:lang w:val="en-GB"/>
                <w14:ligatures w14:val="standardContextual"/>
              </w:rPr>
              <w:t>:</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ind w:firstLine="720"/>
              <w:jc w:val="both"/>
              <w:rPr>
                <w:rFonts w:ascii="Arial" w:hAnsi="Arial" w:cs="Arial"/>
                <w:lang w:val="en-ZA"/>
              </w:rPr>
            </w:pPr>
            <w:proofErr w:type="gramStart"/>
            <w:r w:rsidRPr="00A60AB3">
              <w:rPr>
                <w:rFonts w:ascii="Arial" w:hAnsi="Arial" w:cs="Arial"/>
                <w:lang w:val="en-ZA"/>
              </w:rPr>
              <w:t>‛[</w:t>
            </w:r>
            <w:proofErr w:type="gramEnd"/>
            <w:r w:rsidRPr="00A60AB3">
              <w:rPr>
                <w:rFonts w:ascii="Arial" w:hAnsi="Arial" w:cs="Arial"/>
                <w:lang w:val="en-ZA"/>
              </w:rPr>
              <w:t>23]</w:t>
            </w:r>
            <w:r w:rsidRPr="00A60AB3">
              <w:rPr>
                <w:rFonts w:ascii="Arial" w:hAnsi="Arial" w:cs="Arial"/>
                <w:lang w:val="en-ZA"/>
              </w:rPr>
              <w:tab/>
              <w:t>One of the ways in which the defendant may successfully avoid summary judgment is by satisfying the court by affidavit that he or she has a bona fide defence to the action. The defendant would normally do this by deposing to facts which, if true, would establish such a defence. Under Rule 32(3</w:t>
            </w:r>
            <w:proofErr w:type="gramStart"/>
            <w:r w:rsidRPr="00A60AB3">
              <w:rPr>
                <w:rFonts w:ascii="Arial" w:hAnsi="Arial" w:cs="Arial"/>
                <w:lang w:val="en-ZA"/>
              </w:rPr>
              <w:t>)(</w:t>
            </w:r>
            <w:proofErr w:type="gramEnd"/>
            <w:r w:rsidRPr="00A60AB3">
              <w:rPr>
                <w:rFonts w:ascii="Arial" w:hAnsi="Arial" w:cs="Arial"/>
                <w:lang w:val="en-ZA"/>
              </w:rPr>
              <w:t>b) the affidavit must “disclose fully the nature and grounds of the defence and the material facts relied upon therefor”. Where the defence is based upon facts and the material facts alleged by the plaintiff are disputed or where the defendant alleges new facts, the duty of the court is not to attempt to resolve these issues or to determine where the probabilities lie.</w:t>
            </w:r>
          </w:p>
          <w:p w:rsidR="00A60AB3" w:rsidRPr="00A60AB3" w:rsidRDefault="00A60AB3" w:rsidP="00A60AB3">
            <w:pPr>
              <w:spacing w:after="0" w:line="360" w:lineRule="auto"/>
              <w:jc w:val="both"/>
              <w:rPr>
                <w:rFonts w:ascii="Arial" w:hAnsi="Arial" w:cs="Arial"/>
                <w:lang w:val="en-ZA"/>
              </w:rPr>
            </w:pPr>
          </w:p>
          <w:p w:rsidR="00A60AB3" w:rsidRPr="00A60AB3" w:rsidRDefault="00A60AB3" w:rsidP="00A60AB3">
            <w:pPr>
              <w:spacing w:after="0" w:line="360" w:lineRule="auto"/>
              <w:jc w:val="both"/>
              <w:rPr>
                <w:rFonts w:ascii="Arial" w:hAnsi="Arial" w:cs="Arial"/>
                <w:lang w:val="en-ZA"/>
              </w:rPr>
            </w:pPr>
            <w:r w:rsidRPr="00A60AB3">
              <w:rPr>
                <w:rFonts w:ascii="Arial" w:hAnsi="Arial" w:cs="Arial"/>
                <w:lang w:val="en-ZA"/>
              </w:rPr>
              <w:t>[24]</w:t>
            </w:r>
            <w:r w:rsidRPr="00A60AB3">
              <w:rPr>
                <w:rFonts w:ascii="Arial" w:hAnsi="Arial" w:cs="Arial"/>
                <w:lang w:val="en-ZA"/>
              </w:rPr>
              <w:tab/>
              <w:t xml:space="preserve">The enquiry that the court must conduct is foreshadowed in Rule 32(3)(b) and it is this: first, has the defendant “fully” disclosed the nature and grounds of the defence to be raised in the action and the material facts upon which it is founded; and, second, on the facts disclosed in the affidavit, does the defendant appear to have, as to either the whole or part of the claim, a defence which is bona fide and good in law. If the court is satisfied on these matters, it must refuse summary judgment, either in relation to the whole or part of the claim, as the case may be. </w:t>
            </w:r>
          </w:p>
          <w:p w:rsidR="00A60AB3" w:rsidRPr="00A60AB3" w:rsidRDefault="00A60AB3" w:rsidP="00A60AB3">
            <w:pPr>
              <w:spacing w:after="0" w:line="360" w:lineRule="auto"/>
              <w:jc w:val="both"/>
              <w:rPr>
                <w:rFonts w:ascii="Arial" w:hAnsi="Arial" w:cs="Arial"/>
                <w:lang w:val="en-ZA"/>
              </w:rPr>
            </w:pPr>
          </w:p>
          <w:p w:rsidR="00A60AB3" w:rsidRPr="00A60AB3" w:rsidRDefault="00A60AB3" w:rsidP="00A60AB3">
            <w:pPr>
              <w:spacing w:after="0" w:line="360" w:lineRule="auto"/>
              <w:jc w:val="both"/>
              <w:rPr>
                <w:rFonts w:ascii="Arial" w:hAnsi="Arial" w:cs="Arial"/>
                <w:lang w:val="en-ZA"/>
              </w:rPr>
            </w:pPr>
            <w:r w:rsidRPr="00A60AB3">
              <w:rPr>
                <w:rFonts w:ascii="Arial" w:hAnsi="Arial" w:cs="Arial"/>
                <w:lang w:val="en-ZA"/>
              </w:rPr>
              <w:t>[25]</w:t>
            </w:r>
            <w:r w:rsidRPr="00A60AB3">
              <w:rPr>
                <w:rFonts w:ascii="Arial" w:hAnsi="Arial" w:cs="Arial"/>
                <w:lang w:val="en-ZA"/>
              </w:rPr>
              <w:tab/>
              <w:t>While the defendant is not required to deal “exhaustively with the facts and the evidence relied upon to substantiate them”, the defendant must at least disclose the defence to be raised and the material facts upon which it is based “with sufficient particularity and completeness to enable the Court to decide whether the affidavit discloses a bona fide defence.” Where the statements of fact are ambiguous or fail to canvass matters essential to the defence raised, then the affidavit does not comply with the Rule.</w:t>
            </w:r>
          </w:p>
          <w:p w:rsidR="00A60AB3" w:rsidRPr="00A60AB3" w:rsidRDefault="00A60AB3" w:rsidP="00A60AB3">
            <w:pPr>
              <w:spacing w:after="0" w:line="360" w:lineRule="auto"/>
              <w:jc w:val="both"/>
              <w:rPr>
                <w:rFonts w:ascii="Arial" w:hAnsi="Arial" w:cs="Arial"/>
                <w:lang w:val="en-ZA"/>
              </w:rPr>
            </w:pPr>
          </w:p>
          <w:p w:rsidR="00A60AB3" w:rsidRPr="00A60AB3" w:rsidRDefault="00A60AB3" w:rsidP="00A60AB3">
            <w:pPr>
              <w:spacing w:after="0" w:line="360" w:lineRule="auto"/>
              <w:jc w:val="both"/>
              <w:rPr>
                <w:rFonts w:ascii="Arial" w:hAnsi="Arial" w:cs="Arial"/>
                <w:lang w:val="en-ZA"/>
              </w:rPr>
            </w:pPr>
            <w:r w:rsidRPr="00A60AB3">
              <w:rPr>
                <w:rFonts w:ascii="Arial" w:hAnsi="Arial" w:cs="Arial"/>
                <w:lang w:val="en-ZA"/>
              </w:rPr>
              <w:t>[26]</w:t>
            </w:r>
            <w:r w:rsidRPr="00A60AB3">
              <w:rPr>
                <w:rFonts w:ascii="Arial" w:hAnsi="Arial" w:cs="Arial"/>
                <w:lang w:val="en-ZA"/>
              </w:rPr>
              <w:tab/>
              <w:t xml:space="preserve">Where the defence is based on the interpretation of an agreement, the court does not attempt to determine whether or not the interpretation contended for by the defendant is correct. What the court enquires into is whether the defendant has put forward a triable and arguable issue in the sense that there is a reasonable possibility that the interpretation contended for by the defendant may succeed at trial, and, if successful, will establish a defence that is good in law. Similarly, where the defendant relies upon a point of law, the point raised must be arguable and establish a defence that is good in law. </w:t>
            </w:r>
          </w:p>
          <w:p w:rsidR="00A60AB3" w:rsidRPr="00A60AB3" w:rsidRDefault="00A60AB3" w:rsidP="00A60AB3">
            <w:pPr>
              <w:spacing w:after="0" w:line="360" w:lineRule="auto"/>
              <w:jc w:val="both"/>
              <w:rPr>
                <w:rFonts w:ascii="Arial" w:hAnsi="Arial" w:cs="Arial"/>
                <w:lang w:val="en-ZA"/>
              </w:rPr>
            </w:pPr>
          </w:p>
          <w:p w:rsidR="00A60AB3" w:rsidRPr="00A60AB3" w:rsidRDefault="00A60AB3" w:rsidP="00A60AB3">
            <w:pPr>
              <w:spacing w:after="0" w:line="360" w:lineRule="auto"/>
              <w:jc w:val="both"/>
              <w:rPr>
                <w:rFonts w:ascii="Arial" w:hAnsi="Arial" w:cs="Arial"/>
                <w:lang w:val="en-ZA"/>
              </w:rPr>
            </w:pPr>
            <w:r w:rsidRPr="00A60AB3">
              <w:rPr>
                <w:rFonts w:ascii="Arial" w:hAnsi="Arial" w:cs="Arial"/>
                <w:lang w:val="en-ZA"/>
              </w:rPr>
              <w:t>[27]</w:t>
            </w:r>
            <w:r w:rsidRPr="00A60AB3">
              <w:rPr>
                <w:rFonts w:ascii="Arial" w:hAnsi="Arial" w:cs="Arial"/>
                <w:lang w:val="en-ZA"/>
              </w:rPr>
              <w:tab/>
              <w:t xml:space="preserve">But the failure of the affidavit to measure up to these requirements does not in itself result in the granting of summary judgment. The defect may, nevertheless be cured by reference to other documents relating to the proceedings that are properly before the court. In </w:t>
            </w:r>
            <w:r w:rsidRPr="00A60AB3">
              <w:rPr>
                <w:rFonts w:ascii="Arial" w:hAnsi="Arial" w:cs="Arial"/>
                <w:i/>
                <w:lang w:val="en-ZA"/>
              </w:rPr>
              <w:t xml:space="preserve">Sand and Co Ltd v </w:t>
            </w:r>
            <w:proofErr w:type="spellStart"/>
            <w:r w:rsidRPr="00A60AB3">
              <w:rPr>
                <w:rFonts w:ascii="Arial" w:hAnsi="Arial" w:cs="Arial"/>
                <w:i/>
                <w:lang w:val="en-ZA"/>
              </w:rPr>
              <w:t>Kollias</w:t>
            </w:r>
            <w:proofErr w:type="spellEnd"/>
            <w:r w:rsidRPr="00A60AB3">
              <w:rPr>
                <w:rFonts w:ascii="Arial" w:hAnsi="Arial" w:cs="Arial"/>
                <w:lang w:val="en-ZA"/>
              </w:rPr>
              <w:t xml:space="preserve"> the court held that the principle that is involved in deciding whether or not to grant summary judgment is to look at the matter “at the end of the day” on all the documents that are properly before the court. </w:t>
            </w:r>
          </w:p>
          <w:p w:rsidR="00A60AB3" w:rsidRPr="00A60AB3" w:rsidRDefault="00A60AB3" w:rsidP="00A60AB3">
            <w:pPr>
              <w:spacing w:after="0" w:line="360" w:lineRule="auto"/>
              <w:jc w:val="both"/>
              <w:rPr>
                <w:rFonts w:ascii="Arial" w:hAnsi="Arial" w:cs="Arial"/>
                <w:lang w:val="en-ZA"/>
              </w:rPr>
            </w:pPr>
          </w:p>
          <w:p w:rsidR="00A60AB3" w:rsidRPr="00A60AB3" w:rsidRDefault="00A60AB3" w:rsidP="00A60AB3">
            <w:pPr>
              <w:spacing w:after="0" w:line="360" w:lineRule="auto"/>
              <w:jc w:val="both"/>
              <w:rPr>
                <w:rFonts w:ascii="Arial" w:hAnsi="Arial" w:cs="Arial"/>
                <w:sz w:val="24"/>
                <w:szCs w:val="24"/>
                <w:lang w:val="en-ZA"/>
              </w:rPr>
            </w:pPr>
            <w:r w:rsidRPr="00A60AB3">
              <w:rPr>
                <w:rFonts w:ascii="Arial" w:hAnsi="Arial" w:cs="Arial"/>
                <w:lang w:val="en-ZA"/>
              </w:rPr>
              <w:t>[28]</w:t>
            </w:r>
            <w:r w:rsidRPr="00A60AB3">
              <w:rPr>
                <w:rFonts w:ascii="Arial" w:hAnsi="Arial" w:cs="Arial"/>
                <w:lang w:val="en-ZA"/>
              </w:rPr>
              <w:tab/>
              <w:t>This approach to the opposing affidavit in summary judgment is a recognition of the drastic nature of the remedy of summary judgment. It offends against the fundamental right of a litigant to have access to court and be heard. Its aim is to protect the plaintiff against a defendant who has no bona fide defence and who has entered appearance to defend to delay the recovery of the debt and whose conduct thus amounts to an abuse of the process of court. But it “was never intended to replace the exception as a test of one or other of the parties’ legal contentions; nor to provide the plaintiff with a unilateral advantage of the preview of defendant’s evidence</w:t>
            </w:r>
            <w:r w:rsidRPr="00A60AB3">
              <w:rPr>
                <w:rFonts w:ascii="Arial" w:hAnsi="Arial" w:cs="Arial"/>
                <w:sz w:val="24"/>
                <w:szCs w:val="24"/>
                <w:lang w:val="en-ZA"/>
              </w:rPr>
              <w:t>.’</w:t>
            </w:r>
          </w:p>
          <w:p w:rsidR="00A60AB3" w:rsidRPr="00A60AB3" w:rsidRDefault="00A60AB3" w:rsidP="00A60AB3">
            <w:pPr>
              <w:spacing w:after="0" w:line="360" w:lineRule="auto"/>
              <w:ind w:left="737" w:hanging="737"/>
              <w:jc w:val="both"/>
              <w:outlineLvl w:val="0"/>
              <w:rPr>
                <w:rFonts w:ascii="Arial" w:hAnsi="Arial" w:cs="Arial"/>
                <w:kern w:val="2"/>
                <w:sz w:val="24"/>
                <w:szCs w:val="24"/>
                <w:lang w:val="en-GB"/>
                <w14:ligatures w14:val="standardContextual"/>
              </w:rPr>
            </w:pPr>
          </w:p>
          <w:p w:rsidR="00A60AB3" w:rsidRPr="00A60AB3" w:rsidRDefault="00A60AB3" w:rsidP="00A60AB3">
            <w:pPr>
              <w:spacing w:after="0" w:line="360" w:lineRule="auto"/>
              <w:jc w:val="both"/>
              <w:outlineLvl w:val="0"/>
              <w:rPr>
                <w:rFonts w:ascii="Arial" w:hAnsi="Arial" w:cs="Arial"/>
                <w:i/>
                <w:iCs/>
                <w:kern w:val="2"/>
                <w:sz w:val="24"/>
                <w:szCs w:val="24"/>
                <w:lang w:val="en-GB"/>
                <w14:ligatures w14:val="standardContextual"/>
              </w:rPr>
            </w:pPr>
            <w:r w:rsidRPr="00A60AB3">
              <w:rPr>
                <w:rFonts w:ascii="Arial" w:hAnsi="Arial" w:cs="Arial"/>
                <w:kern w:val="2"/>
                <w:sz w:val="24"/>
                <w:szCs w:val="24"/>
                <w:lang w:val="en-GB"/>
                <w14:ligatures w14:val="standardContextual"/>
              </w:rPr>
              <w:t>[17]</w:t>
            </w:r>
            <w:r w:rsidRPr="00A60AB3">
              <w:rPr>
                <w:rFonts w:ascii="Arial" w:hAnsi="Arial" w:cs="Arial"/>
                <w:kern w:val="2"/>
                <w:sz w:val="24"/>
                <w:szCs w:val="24"/>
                <w:lang w:val="en-GB"/>
                <w14:ligatures w14:val="standardContextual"/>
              </w:rPr>
              <w:tab/>
              <w:t xml:space="preserve">And from </w:t>
            </w:r>
            <w:r w:rsidRPr="00A60AB3">
              <w:rPr>
                <w:rFonts w:ascii="Arial" w:hAnsi="Arial" w:cs="Arial"/>
                <w:i/>
                <w:iCs/>
                <w:kern w:val="2"/>
                <w:sz w:val="24"/>
                <w:szCs w:val="24"/>
                <w:lang w:val="en-GB"/>
                <w14:ligatures w14:val="standardContextual"/>
              </w:rPr>
              <w:t xml:space="preserve">Fair Play Nam Investments </w:t>
            </w:r>
            <w:r w:rsidRPr="00A60AB3">
              <w:rPr>
                <w:rFonts w:ascii="Arial" w:hAnsi="Arial" w:cs="Arial"/>
                <w:kern w:val="2"/>
                <w:sz w:val="24"/>
                <w:szCs w:val="24"/>
                <w:lang w:val="en-GB"/>
                <w14:ligatures w14:val="standardContextual"/>
              </w:rPr>
              <w:t>(excluding the footnotes)</w:t>
            </w:r>
            <w:r w:rsidRPr="00A60AB3">
              <w:rPr>
                <w:rFonts w:ascii="Arial" w:hAnsi="Arial" w:cs="Arial"/>
                <w:i/>
                <w:iCs/>
                <w:kern w:val="2"/>
                <w:sz w:val="24"/>
                <w:szCs w:val="24"/>
                <w:lang w:val="en-GB"/>
                <w14:ligatures w14:val="standardContextual"/>
              </w:rPr>
              <w:t>:</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ind w:firstLine="720"/>
              <w:jc w:val="both"/>
              <w:rPr>
                <w:rFonts w:ascii="Arial" w:eastAsia="Times New Roman" w:hAnsi="Arial" w:cs="Arial"/>
                <w:lang w:val="en-ZA"/>
              </w:rPr>
            </w:pPr>
            <w:proofErr w:type="gramStart"/>
            <w:r w:rsidRPr="00A60AB3">
              <w:rPr>
                <w:rFonts w:ascii="Arial" w:eastAsia="Times New Roman" w:hAnsi="Arial" w:cs="Arial"/>
                <w:lang w:val="en-ZA"/>
              </w:rPr>
              <w:t>‛[</w:t>
            </w:r>
            <w:proofErr w:type="gramEnd"/>
            <w:r w:rsidRPr="00A60AB3">
              <w:rPr>
                <w:rFonts w:ascii="Arial" w:eastAsia="Times New Roman" w:hAnsi="Arial" w:cs="Arial"/>
                <w:lang w:val="en-ZA"/>
              </w:rPr>
              <w:t>7]</w:t>
            </w:r>
            <w:r w:rsidRPr="00A60AB3">
              <w:rPr>
                <w:rFonts w:ascii="Arial" w:eastAsia="Times New Roman" w:hAnsi="Arial" w:cs="Arial"/>
                <w:lang w:val="en-ZA"/>
              </w:rPr>
              <w:tab/>
              <w:t xml:space="preserve">Therefore, in this application, what is required from the respondent, is, that it must satisfy the court that it has a </w:t>
            </w:r>
            <w:r w:rsidRPr="00A60AB3">
              <w:rPr>
                <w:rFonts w:ascii="Arial" w:eastAsia="Times New Roman" w:hAnsi="Arial" w:cs="Arial"/>
                <w:i/>
                <w:lang w:val="en-ZA"/>
              </w:rPr>
              <w:t>bona fide</w:t>
            </w:r>
            <w:r w:rsidRPr="00A60AB3">
              <w:rPr>
                <w:rFonts w:ascii="Arial" w:eastAsia="Times New Roman" w:hAnsi="Arial" w:cs="Arial"/>
                <w:lang w:val="en-ZA"/>
              </w:rPr>
              <w:t xml:space="preserve"> defence. This should appear from the affidavit by Mr </w:t>
            </w:r>
            <w:proofErr w:type="spellStart"/>
            <w:r w:rsidRPr="00A60AB3">
              <w:rPr>
                <w:rFonts w:ascii="Arial" w:eastAsia="Times New Roman" w:hAnsi="Arial" w:cs="Arial"/>
                <w:lang w:val="en-ZA"/>
              </w:rPr>
              <w:t>Hakaaje</w:t>
            </w:r>
            <w:proofErr w:type="spellEnd"/>
            <w:r w:rsidRPr="00A60AB3">
              <w:rPr>
                <w:rFonts w:ascii="Arial" w:eastAsia="Times New Roman" w:hAnsi="Arial" w:cs="Arial"/>
                <w:lang w:val="en-ZA"/>
              </w:rPr>
              <w:t xml:space="preserve"> on behalf of the respondent. However, at this stage, respondent does not bear the onus. He must only set out facts which, in the absence of a trial, would satisfy the court that it has a </w:t>
            </w:r>
            <w:r w:rsidRPr="00A60AB3">
              <w:rPr>
                <w:rFonts w:ascii="Arial" w:eastAsia="Times New Roman" w:hAnsi="Arial" w:cs="Arial"/>
                <w:i/>
                <w:lang w:val="en-ZA"/>
              </w:rPr>
              <w:t xml:space="preserve">bona fide </w:t>
            </w:r>
            <w:r w:rsidRPr="00A60AB3">
              <w:rPr>
                <w:rFonts w:ascii="Arial" w:eastAsia="Times New Roman" w:hAnsi="Arial" w:cs="Arial"/>
                <w:lang w:val="en-ZA"/>
              </w:rPr>
              <w:t>defence, in order to entitle the court to decline the applicant’s application for summary judgment.</w:t>
            </w:r>
          </w:p>
          <w:p w:rsidR="00A60AB3" w:rsidRPr="00A60AB3" w:rsidRDefault="00A60AB3" w:rsidP="00A60AB3">
            <w:pPr>
              <w:spacing w:after="0" w:line="360" w:lineRule="auto"/>
              <w:jc w:val="both"/>
              <w:rPr>
                <w:rFonts w:ascii="Arial" w:eastAsia="Times New Roman" w:hAnsi="Arial" w:cs="Arial"/>
                <w:lang w:val="en-ZA"/>
              </w:rPr>
            </w:pPr>
          </w:p>
          <w:p w:rsidR="00A60AB3" w:rsidRPr="00A60AB3" w:rsidRDefault="00A60AB3" w:rsidP="00A60AB3">
            <w:pPr>
              <w:spacing w:after="0" w:line="360" w:lineRule="auto"/>
              <w:jc w:val="both"/>
              <w:rPr>
                <w:rFonts w:ascii="Arial" w:eastAsia="Times New Roman" w:hAnsi="Arial" w:cs="Arial"/>
                <w:lang w:val="en-ZA"/>
              </w:rPr>
            </w:pPr>
            <w:r w:rsidRPr="00A60AB3">
              <w:rPr>
                <w:rFonts w:ascii="Arial" w:eastAsia="Times New Roman" w:hAnsi="Arial" w:cs="Arial"/>
                <w:lang w:val="en-ZA"/>
              </w:rPr>
              <w:t>[8]</w:t>
            </w:r>
            <w:r w:rsidRPr="00A60AB3">
              <w:rPr>
                <w:rFonts w:ascii="Arial" w:eastAsia="Times New Roman" w:hAnsi="Arial" w:cs="Arial"/>
                <w:lang w:val="en-ZA"/>
              </w:rPr>
              <w:tab/>
              <w:t>Similarly, at this stage, the defendant does not need to convince the court that all facts are undisputed; as the court does not weigh probabilities at summary judgment stage.</w:t>
            </w:r>
          </w:p>
          <w:p w:rsidR="00A60AB3" w:rsidRPr="00A60AB3" w:rsidRDefault="00A60AB3" w:rsidP="00A60AB3">
            <w:pPr>
              <w:spacing w:after="0" w:line="360" w:lineRule="auto"/>
              <w:jc w:val="both"/>
              <w:rPr>
                <w:rFonts w:ascii="Arial" w:eastAsia="Times New Roman" w:hAnsi="Arial" w:cs="Arial"/>
                <w:lang w:val="en-ZA"/>
              </w:rPr>
            </w:pPr>
          </w:p>
          <w:p w:rsidR="00A60AB3" w:rsidRPr="00A60AB3" w:rsidRDefault="00A60AB3" w:rsidP="00A60AB3">
            <w:pPr>
              <w:spacing w:after="0" w:line="360" w:lineRule="auto"/>
              <w:jc w:val="both"/>
              <w:rPr>
                <w:rFonts w:ascii="Arial" w:eastAsia="Times New Roman" w:hAnsi="Arial" w:cs="Arial"/>
                <w:sz w:val="24"/>
                <w:szCs w:val="24"/>
                <w:lang w:val="en-ZA"/>
              </w:rPr>
            </w:pPr>
            <w:r w:rsidRPr="00A60AB3">
              <w:rPr>
                <w:rFonts w:ascii="Arial" w:eastAsia="Times New Roman" w:hAnsi="Arial" w:cs="Arial"/>
                <w:lang w:val="en-ZA"/>
              </w:rPr>
              <w:t>[9]</w:t>
            </w:r>
            <w:r w:rsidRPr="00A60AB3">
              <w:rPr>
                <w:rFonts w:ascii="Arial" w:eastAsia="Times New Roman" w:hAnsi="Arial" w:cs="Arial"/>
                <w:lang w:val="en-ZA"/>
              </w:rPr>
              <w:tab/>
              <w:t xml:space="preserve">On the other hand, even though the defence does not need to be comprehensive as pleadings – it should not be bald and sketchy. </w:t>
            </w:r>
            <w:proofErr w:type="spellStart"/>
            <w:r w:rsidRPr="00A60AB3">
              <w:rPr>
                <w:rFonts w:ascii="Arial" w:eastAsia="Times New Roman" w:hAnsi="Arial" w:cs="Arial"/>
                <w:lang w:val="en-ZA"/>
              </w:rPr>
              <w:t>Teek</w:t>
            </w:r>
            <w:proofErr w:type="spellEnd"/>
            <w:r w:rsidRPr="00A60AB3">
              <w:rPr>
                <w:rFonts w:ascii="Arial" w:eastAsia="Times New Roman" w:hAnsi="Arial" w:cs="Arial"/>
                <w:lang w:val="en-ZA"/>
              </w:rPr>
              <w:t xml:space="preserve">, J (as he then was) in the matter of </w:t>
            </w:r>
            <w:proofErr w:type="spellStart"/>
            <w:r w:rsidRPr="00A60AB3">
              <w:rPr>
                <w:rFonts w:ascii="Arial" w:eastAsia="Times New Roman" w:hAnsi="Arial" w:cs="Arial"/>
                <w:i/>
                <w:lang w:val="en-ZA"/>
              </w:rPr>
              <w:t>Kramp</w:t>
            </w:r>
            <w:proofErr w:type="spellEnd"/>
            <w:r w:rsidRPr="00A60AB3">
              <w:rPr>
                <w:rFonts w:ascii="Arial" w:eastAsia="Times New Roman" w:hAnsi="Arial" w:cs="Arial"/>
                <w:i/>
                <w:lang w:val="en-ZA"/>
              </w:rPr>
              <w:t xml:space="preserve"> v </w:t>
            </w:r>
            <w:proofErr w:type="spellStart"/>
            <w:r w:rsidRPr="00A60AB3">
              <w:rPr>
                <w:rFonts w:ascii="Arial" w:eastAsia="Times New Roman" w:hAnsi="Arial" w:cs="Arial"/>
                <w:i/>
                <w:lang w:val="en-ZA"/>
              </w:rPr>
              <w:t>Rostami</w:t>
            </w:r>
            <w:proofErr w:type="spellEnd"/>
            <w:r w:rsidRPr="00A60AB3">
              <w:rPr>
                <w:rFonts w:ascii="Arial" w:eastAsia="Times New Roman" w:hAnsi="Arial" w:cs="Arial"/>
                <w:i/>
                <w:lang w:val="en-ZA"/>
              </w:rPr>
              <w:t xml:space="preserve"> </w:t>
            </w:r>
            <w:r w:rsidRPr="00A60AB3">
              <w:rPr>
                <w:rFonts w:ascii="Arial" w:eastAsia="Times New Roman" w:hAnsi="Arial" w:cs="Arial"/>
                <w:lang w:val="en-ZA"/>
              </w:rPr>
              <w:t xml:space="preserve">above stated the following: ‘the word “fully” mentioned in the Rules is not meant to be given its literal meaning and it is sufficient for the respondent to set out facts so as to persuade the court that it has a </w:t>
            </w:r>
            <w:r w:rsidRPr="00A60AB3">
              <w:rPr>
                <w:rFonts w:ascii="Arial" w:eastAsia="Times New Roman" w:hAnsi="Arial" w:cs="Arial"/>
                <w:i/>
                <w:lang w:val="en-ZA"/>
              </w:rPr>
              <w:t>bona fide</w:t>
            </w:r>
            <w:r w:rsidRPr="00A60AB3">
              <w:rPr>
                <w:rFonts w:ascii="Arial" w:eastAsia="Times New Roman" w:hAnsi="Arial" w:cs="Arial"/>
                <w:lang w:val="en-ZA"/>
              </w:rPr>
              <w:t xml:space="preserve"> defence to the claim. But if the defence averred in a manner which appears in all the circumstances to be needlessly bald, vague or sketchy, that will constitute material for the court to consider in relation to the requirement of </w:t>
            </w:r>
            <w:r w:rsidRPr="00A60AB3">
              <w:rPr>
                <w:rFonts w:ascii="Arial" w:eastAsia="Times New Roman" w:hAnsi="Arial" w:cs="Arial"/>
                <w:i/>
                <w:lang w:val="en-ZA"/>
              </w:rPr>
              <w:t xml:space="preserve">bona fides </w:t>
            </w:r>
            <w:r w:rsidRPr="00A60AB3">
              <w:rPr>
                <w:rFonts w:ascii="Arial" w:eastAsia="Times New Roman" w:hAnsi="Arial" w:cs="Arial"/>
                <w:lang w:val="en-ZA"/>
              </w:rPr>
              <w:t>– and grant the application sought.</w:t>
            </w:r>
          </w:p>
          <w:p w:rsidR="00A60AB3" w:rsidRPr="00A60AB3" w:rsidRDefault="00A60AB3" w:rsidP="00A60AB3">
            <w:pPr>
              <w:spacing w:after="0" w:line="360" w:lineRule="auto"/>
              <w:jc w:val="both"/>
              <w:rPr>
                <w:rFonts w:ascii="Arial" w:eastAsia="Times New Roman" w:hAnsi="Arial" w:cs="Arial"/>
                <w:sz w:val="24"/>
                <w:szCs w:val="24"/>
                <w:lang w:val="en-ZA"/>
              </w:rPr>
            </w:pPr>
          </w:p>
          <w:p w:rsidR="00A60AB3" w:rsidRPr="00A60AB3" w:rsidRDefault="00A60AB3" w:rsidP="00A60AB3">
            <w:pPr>
              <w:spacing w:after="0" w:line="360" w:lineRule="auto"/>
              <w:jc w:val="both"/>
              <w:rPr>
                <w:rFonts w:ascii="Arial" w:eastAsia="Times New Roman" w:hAnsi="Arial" w:cs="Arial"/>
                <w:lang w:val="en-ZA"/>
              </w:rPr>
            </w:pPr>
            <w:r w:rsidRPr="00A60AB3">
              <w:rPr>
                <w:rFonts w:ascii="Arial" w:eastAsia="Times New Roman" w:hAnsi="Arial" w:cs="Arial"/>
                <w:lang w:val="en-ZA"/>
              </w:rPr>
              <w:t>[10]</w:t>
            </w:r>
            <w:r w:rsidRPr="00A60AB3">
              <w:rPr>
                <w:rFonts w:ascii="Arial" w:eastAsia="Times New Roman" w:hAnsi="Arial" w:cs="Arial"/>
                <w:lang w:val="en-ZA"/>
              </w:rPr>
              <w:tab/>
              <w:t xml:space="preserve">There is, therefore, a duty on the respondent or any other person who deposes to the answering affidavit to set out sufficient facts in the affidavit to persuade the court that he or she in this matter, the respondent, has a </w:t>
            </w:r>
            <w:r w:rsidRPr="00A60AB3">
              <w:rPr>
                <w:rFonts w:ascii="Arial" w:eastAsia="Times New Roman" w:hAnsi="Arial" w:cs="Arial"/>
                <w:i/>
                <w:lang w:val="en-ZA"/>
              </w:rPr>
              <w:t xml:space="preserve">bona fide </w:t>
            </w:r>
            <w:r w:rsidRPr="00A60AB3">
              <w:rPr>
                <w:rFonts w:ascii="Arial" w:eastAsia="Times New Roman" w:hAnsi="Arial" w:cs="Arial"/>
                <w:lang w:val="en-ZA"/>
              </w:rPr>
              <w:t>defence against the claim of the applicant – such defence should not be in the form of a bald statement, vague or sketchy, giving the court a ground to grant the summary judgment.</w:t>
            </w:r>
          </w:p>
          <w:p w:rsidR="00A60AB3" w:rsidRPr="00A60AB3" w:rsidRDefault="00A60AB3" w:rsidP="00A60AB3">
            <w:pPr>
              <w:spacing w:after="0" w:line="360" w:lineRule="auto"/>
              <w:jc w:val="both"/>
              <w:rPr>
                <w:rFonts w:ascii="Arial" w:eastAsia="Times New Roman" w:hAnsi="Arial" w:cs="Arial"/>
                <w:lang w:val="en-ZA"/>
              </w:rPr>
            </w:pPr>
          </w:p>
          <w:p w:rsidR="00A60AB3" w:rsidRPr="00A60AB3" w:rsidRDefault="00A60AB3" w:rsidP="00A60AB3">
            <w:pPr>
              <w:spacing w:after="0" w:line="360" w:lineRule="auto"/>
              <w:jc w:val="both"/>
              <w:rPr>
                <w:rFonts w:ascii="Arial" w:eastAsia="Times New Roman" w:hAnsi="Arial" w:cs="Arial"/>
                <w:lang w:val="en-ZA"/>
              </w:rPr>
            </w:pPr>
            <w:r w:rsidRPr="00A60AB3">
              <w:rPr>
                <w:rFonts w:ascii="Arial" w:eastAsia="Times New Roman" w:hAnsi="Arial" w:cs="Arial"/>
                <w:lang w:val="en-ZA"/>
              </w:rPr>
              <w:t>[11]</w:t>
            </w:r>
            <w:r w:rsidRPr="00A60AB3">
              <w:rPr>
                <w:rFonts w:ascii="Arial" w:eastAsia="Times New Roman" w:hAnsi="Arial" w:cs="Arial"/>
                <w:lang w:val="en-ZA"/>
              </w:rPr>
              <w:tab/>
              <w:t xml:space="preserve">Above, I have indicated some of the principles of law applicable to summary judgments. These are Rule 32 of the High Court Rules and the case law dealing with summary judgments. Therefore, now, I deal with the issue of as whether or not the respondent has complied with the requirements of the law regulating summary judgments. In other words, as whether the respondent has set out facts in the answering affidavit which facts establish a </w:t>
            </w:r>
            <w:r w:rsidRPr="00A60AB3">
              <w:rPr>
                <w:rFonts w:ascii="Arial" w:eastAsia="Times New Roman" w:hAnsi="Arial" w:cs="Arial"/>
                <w:i/>
                <w:lang w:val="en-ZA"/>
              </w:rPr>
              <w:t xml:space="preserve">bona fide </w:t>
            </w:r>
            <w:r w:rsidRPr="00A60AB3">
              <w:rPr>
                <w:rFonts w:ascii="Arial" w:eastAsia="Times New Roman" w:hAnsi="Arial" w:cs="Arial"/>
                <w:lang w:val="en-ZA"/>
              </w:rPr>
              <w:t>defence, not a defence which is vague or sketchy.</w:t>
            </w:r>
          </w:p>
          <w:p w:rsidR="00A60AB3" w:rsidRPr="00A60AB3" w:rsidRDefault="00A60AB3" w:rsidP="00A60AB3">
            <w:pPr>
              <w:spacing w:after="0" w:line="360" w:lineRule="auto"/>
              <w:jc w:val="both"/>
              <w:rPr>
                <w:rFonts w:ascii="Arial" w:eastAsia="Times New Roman" w:hAnsi="Arial" w:cs="Arial"/>
                <w:lang w:val="en-ZA"/>
              </w:rPr>
            </w:pPr>
          </w:p>
          <w:p w:rsidR="00A60AB3" w:rsidRPr="00A60AB3" w:rsidRDefault="00A60AB3" w:rsidP="00A60AB3">
            <w:pPr>
              <w:spacing w:after="0" w:line="360" w:lineRule="auto"/>
              <w:jc w:val="both"/>
              <w:rPr>
                <w:rFonts w:ascii="Arial" w:eastAsia="Times New Roman" w:hAnsi="Arial" w:cs="Arial"/>
                <w:lang w:val="en-ZA"/>
              </w:rPr>
            </w:pPr>
            <w:r w:rsidRPr="00A60AB3">
              <w:rPr>
                <w:rFonts w:ascii="Arial" w:eastAsia="Times New Roman" w:hAnsi="Arial" w:cs="Arial"/>
                <w:lang w:val="en-ZA"/>
              </w:rPr>
              <w:t>[12]</w:t>
            </w:r>
            <w:r w:rsidRPr="00A60AB3">
              <w:rPr>
                <w:rFonts w:ascii="Arial" w:eastAsia="Times New Roman" w:hAnsi="Arial" w:cs="Arial"/>
                <w:lang w:val="en-ZA"/>
              </w:rPr>
              <w:tab/>
              <w:t xml:space="preserve">In </w:t>
            </w:r>
            <w:r w:rsidRPr="00A60AB3">
              <w:rPr>
                <w:rFonts w:ascii="Arial" w:eastAsia="Times New Roman" w:hAnsi="Arial" w:cs="Arial"/>
                <w:i/>
                <w:lang w:val="en-ZA"/>
              </w:rPr>
              <w:t xml:space="preserve">Standard Bank of Namibia Limited v </w:t>
            </w:r>
            <w:proofErr w:type="spellStart"/>
            <w:r w:rsidRPr="00A60AB3">
              <w:rPr>
                <w:rFonts w:ascii="Arial" w:eastAsia="Times New Roman" w:hAnsi="Arial" w:cs="Arial"/>
                <w:i/>
                <w:lang w:val="en-ZA"/>
              </w:rPr>
              <w:t>Veldsman</w:t>
            </w:r>
            <w:proofErr w:type="spellEnd"/>
            <w:r w:rsidRPr="00A60AB3">
              <w:rPr>
                <w:rFonts w:ascii="Arial" w:eastAsia="Times New Roman" w:hAnsi="Arial" w:cs="Arial"/>
                <w:lang w:val="en-ZA"/>
              </w:rPr>
              <w:t xml:space="preserve"> Muller, AJ (as he then was) stated the following: ‘Summary judgment is a very stringent and final remedy which closes the doors of the court for a defendant and should only be granted if it is clear that the plaintiff has an unanswerable case. It has been stated by our and South African Courts that, even if the defence of the defendant does not sufficiently comply with the requirements of Rule 32(3), the court still has a discretion to refuse summary judgment. See </w:t>
            </w:r>
            <w:proofErr w:type="spellStart"/>
            <w:r w:rsidRPr="00A60AB3">
              <w:rPr>
                <w:rFonts w:ascii="Arial" w:eastAsia="Times New Roman" w:hAnsi="Arial" w:cs="Arial"/>
                <w:i/>
                <w:lang w:val="en-ZA"/>
              </w:rPr>
              <w:t>Mowschenson</w:t>
            </w:r>
            <w:proofErr w:type="spellEnd"/>
            <w:r w:rsidRPr="00A60AB3">
              <w:rPr>
                <w:rFonts w:ascii="Arial" w:eastAsia="Times New Roman" w:hAnsi="Arial" w:cs="Arial"/>
                <w:i/>
                <w:lang w:val="en-ZA"/>
              </w:rPr>
              <w:t xml:space="preserve"> and </w:t>
            </w:r>
            <w:proofErr w:type="spellStart"/>
            <w:r w:rsidRPr="00A60AB3">
              <w:rPr>
                <w:rFonts w:ascii="Arial" w:eastAsia="Times New Roman" w:hAnsi="Arial" w:cs="Arial"/>
                <w:i/>
                <w:lang w:val="en-ZA"/>
              </w:rPr>
              <w:t>Mowschenson</w:t>
            </w:r>
            <w:proofErr w:type="spellEnd"/>
            <w:r w:rsidRPr="00A60AB3">
              <w:rPr>
                <w:rFonts w:ascii="Arial" w:eastAsia="Times New Roman" w:hAnsi="Arial" w:cs="Arial"/>
                <w:i/>
                <w:lang w:val="en-ZA"/>
              </w:rPr>
              <w:t xml:space="preserve"> v Mercantile Acceptance Corporation of SA Ltd</w:t>
            </w:r>
            <w:r w:rsidRPr="00A60AB3">
              <w:rPr>
                <w:rFonts w:ascii="Arial" w:eastAsia="Times New Roman" w:hAnsi="Arial" w:cs="Arial"/>
                <w:lang w:val="en-ZA"/>
              </w:rPr>
              <w:t xml:space="preserve"> 1959 (3) SA 362 (W) at 366; </w:t>
            </w:r>
            <w:r w:rsidRPr="00A60AB3">
              <w:rPr>
                <w:rFonts w:ascii="Arial" w:eastAsia="Times New Roman" w:hAnsi="Arial" w:cs="Arial"/>
                <w:i/>
                <w:lang w:val="en-ZA"/>
              </w:rPr>
              <w:t xml:space="preserve">Mahomed </w:t>
            </w:r>
            <w:proofErr w:type="spellStart"/>
            <w:r w:rsidRPr="00A60AB3">
              <w:rPr>
                <w:rFonts w:ascii="Arial" w:eastAsia="Times New Roman" w:hAnsi="Arial" w:cs="Arial"/>
                <w:i/>
                <w:lang w:val="en-ZA"/>
              </w:rPr>
              <w:t>Essop</w:t>
            </w:r>
            <w:proofErr w:type="spellEnd"/>
            <w:r w:rsidRPr="00A60AB3">
              <w:rPr>
                <w:rFonts w:ascii="Arial" w:eastAsia="Times New Roman" w:hAnsi="Arial" w:cs="Arial"/>
                <w:i/>
                <w:lang w:val="en-ZA"/>
              </w:rPr>
              <w:t xml:space="preserve"> (Pty) Ltd v </w:t>
            </w:r>
            <w:proofErr w:type="spellStart"/>
            <w:r w:rsidRPr="00A60AB3">
              <w:rPr>
                <w:rFonts w:ascii="Arial" w:eastAsia="Times New Roman" w:hAnsi="Arial" w:cs="Arial"/>
                <w:i/>
                <w:lang w:val="en-ZA"/>
              </w:rPr>
              <w:t>Sekhukhulu</w:t>
            </w:r>
            <w:proofErr w:type="spellEnd"/>
            <w:r w:rsidRPr="00A60AB3">
              <w:rPr>
                <w:rFonts w:ascii="Arial" w:eastAsia="Times New Roman" w:hAnsi="Arial" w:cs="Arial"/>
                <w:i/>
                <w:lang w:val="en-ZA"/>
              </w:rPr>
              <w:t xml:space="preserve"> &amp; Son</w:t>
            </w:r>
            <w:r w:rsidRPr="00A60AB3">
              <w:rPr>
                <w:rFonts w:ascii="Arial" w:eastAsia="Times New Roman" w:hAnsi="Arial" w:cs="Arial"/>
                <w:lang w:val="en-ZA"/>
              </w:rPr>
              <w:t xml:space="preserve"> 1967 (3) SA 728 (D) at 732; </w:t>
            </w:r>
            <w:r w:rsidRPr="00A60AB3">
              <w:rPr>
                <w:rFonts w:ascii="Arial" w:eastAsia="Times New Roman" w:hAnsi="Arial" w:cs="Arial"/>
                <w:i/>
                <w:lang w:val="en-ZA"/>
              </w:rPr>
              <w:t xml:space="preserve">Globe Engineering Works Ltd v Ornelas Fishing Co (Pty) Ltd </w:t>
            </w:r>
            <w:r w:rsidRPr="00A60AB3">
              <w:rPr>
                <w:rFonts w:ascii="Arial" w:eastAsia="Times New Roman" w:hAnsi="Arial" w:cs="Arial"/>
                <w:lang w:val="en-ZA"/>
              </w:rPr>
              <w:t xml:space="preserve">1983 (2) 95 (C) at 103 G-H; </w:t>
            </w:r>
            <w:r w:rsidRPr="00A60AB3">
              <w:rPr>
                <w:rFonts w:ascii="Arial" w:eastAsia="Times New Roman" w:hAnsi="Arial" w:cs="Arial"/>
                <w:i/>
                <w:lang w:val="en-ZA"/>
              </w:rPr>
              <w:t xml:space="preserve">Gilinsky and Another v Superb Launders and Dry Cleaners (Pty) Ltd </w:t>
            </w:r>
            <w:r w:rsidRPr="00A60AB3">
              <w:rPr>
                <w:rFonts w:ascii="Arial" w:eastAsia="Times New Roman" w:hAnsi="Arial" w:cs="Arial"/>
                <w:lang w:val="en-ZA"/>
              </w:rPr>
              <w:t>1978 (3) SA 807 (C) at 811 C-G.’</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t>[18]</w:t>
            </w:r>
            <w:r w:rsidRPr="00A60AB3">
              <w:rPr>
                <w:rFonts w:ascii="Arial" w:hAnsi="Arial" w:cs="Arial"/>
                <w:kern w:val="2"/>
                <w:sz w:val="24"/>
                <w:szCs w:val="24"/>
                <w:lang w:val="en-GB"/>
                <w14:ligatures w14:val="standardContextual"/>
              </w:rPr>
              <w:tab/>
              <w:t>The respondent has not met the test to successfully resist a summary judgment application. Its defence of settlement or compromise was pleaded in ‘needlessly bald, vague or sketchy’ terms and failed to canvass matters of facts that are essential to the defence it raised. For these reasons alone I would grant the summary judgment application. These factors support this conclusion:</w:t>
            </w: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p>
          <w:p w:rsidR="00A60AB3" w:rsidRPr="00A60AB3" w:rsidRDefault="00A60AB3" w:rsidP="00A60AB3">
            <w:pPr>
              <w:spacing w:after="0" w:line="360" w:lineRule="auto"/>
              <w:jc w:val="both"/>
              <w:outlineLvl w:val="1"/>
              <w:rPr>
                <w:rFonts w:ascii="Arial" w:hAnsi="Arial" w:cs="Arial"/>
                <w:kern w:val="2"/>
                <w:sz w:val="24"/>
                <w:lang w:val="en-GB"/>
                <w14:ligatures w14:val="standardContextual"/>
              </w:rPr>
            </w:pPr>
            <w:r w:rsidRPr="00A60AB3">
              <w:rPr>
                <w:rFonts w:ascii="Arial" w:hAnsi="Arial" w:cs="Arial"/>
                <w:kern w:val="2"/>
                <w:sz w:val="24"/>
                <w:lang w:val="en-GB"/>
                <w14:ligatures w14:val="standardContextual"/>
              </w:rPr>
              <w:t>(a)</w:t>
            </w:r>
            <w:r w:rsidR="00505601">
              <w:rPr>
                <w:rFonts w:ascii="Arial" w:hAnsi="Arial" w:cs="Arial"/>
                <w:kern w:val="2"/>
                <w:sz w:val="24"/>
                <w:lang w:val="en-GB"/>
                <w14:ligatures w14:val="standardContextual"/>
              </w:rPr>
              <w:t xml:space="preserve"> </w:t>
            </w:r>
            <w:r w:rsidRPr="00A60AB3">
              <w:rPr>
                <w:rFonts w:ascii="Arial" w:hAnsi="Arial" w:cs="Arial"/>
                <w:kern w:val="2"/>
                <w:sz w:val="24"/>
                <w:lang w:val="en-GB"/>
                <w14:ligatures w14:val="standardContextual"/>
              </w:rPr>
              <w:t>The deponent did not allege that he was present when the settlement was allegedly concluded.</w:t>
            </w:r>
          </w:p>
          <w:p w:rsidR="00A60AB3" w:rsidRPr="00A60AB3" w:rsidRDefault="00A60AB3" w:rsidP="00A60AB3">
            <w:pPr>
              <w:jc w:val="both"/>
              <w:rPr>
                <w:lang w:val="en-GB"/>
              </w:rPr>
            </w:pPr>
          </w:p>
          <w:p w:rsidR="00A60AB3" w:rsidRPr="00A60AB3" w:rsidRDefault="00A60AB3" w:rsidP="00A60AB3">
            <w:pPr>
              <w:spacing w:after="0" w:line="360" w:lineRule="auto"/>
              <w:jc w:val="both"/>
              <w:outlineLvl w:val="1"/>
              <w:rPr>
                <w:rFonts w:ascii="Arial" w:hAnsi="Arial" w:cs="Arial"/>
                <w:kern w:val="2"/>
                <w:sz w:val="24"/>
                <w:lang w:val="en-GB"/>
                <w14:ligatures w14:val="standardContextual"/>
              </w:rPr>
            </w:pPr>
            <w:r w:rsidRPr="00A60AB3">
              <w:rPr>
                <w:rFonts w:ascii="Arial" w:hAnsi="Arial" w:cs="Arial"/>
                <w:kern w:val="2"/>
                <w:sz w:val="24"/>
                <w:lang w:val="en-GB"/>
                <w14:ligatures w14:val="standardContextual"/>
              </w:rPr>
              <w:t>(b)  The respondent must have known that it ought to have complied at the very least with the basic requirements for pleading a contract under the High Court rules. The party seeking to rely on a contract must set out who concluded the contract, whether they were authorised and where the contract was concluded.</w:t>
            </w:r>
          </w:p>
          <w:p w:rsidR="00A60AB3" w:rsidRPr="00A60AB3" w:rsidRDefault="00A60AB3" w:rsidP="00A60AB3">
            <w:pPr>
              <w:jc w:val="both"/>
              <w:rPr>
                <w:lang w:val="en-GB"/>
              </w:rPr>
            </w:pPr>
          </w:p>
          <w:p w:rsidR="00A60AB3" w:rsidRPr="00A60AB3" w:rsidRDefault="00A60AB3" w:rsidP="00A60AB3">
            <w:pPr>
              <w:spacing w:after="0" w:line="360" w:lineRule="auto"/>
              <w:jc w:val="both"/>
              <w:outlineLvl w:val="1"/>
              <w:rPr>
                <w:rFonts w:ascii="Arial" w:hAnsi="Arial" w:cs="Arial"/>
                <w:kern w:val="2"/>
                <w:sz w:val="24"/>
                <w:lang w:val="en-GB"/>
                <w14:ligatures w14:val="standardContextual"/>
              </w:rPr>
            </w:pPr>
            <w:r w:rsidRPr="00A60AB3">
              <w:rPr>
                <w:rFonts w:ascii="Arial" w:hAnsi="Arial" w:cs="Arial"/>
                <w:kern w:val="2"/>
                <w:sz w:val="24"/>
                <w:lang w:val="en-GB"/>
                <w14:ligatures w14:val="standardContextual"/>
              </w:rPr>
              <w:t>(c)  Instead of pleading the primary facts necessary to prove the conclusion of a binding contract of compromise, the respondent relied on conclusions.</w:t>
            </w:r>
          </w:p>
          <w:p w:rsidR="00A60AB3" w:rsidRPr="00A60AB3" w:rsidRDefault="00A60AB3" w:rsidP="00A60AB3">
            <w:pPr>
              <w:jc w:val="both"/>
              <w:rPr>
                <w:lang w:val="en-GB"/>
              </w:rPr>
            </w:pPr>
          </w:p>
          <w:p w:rsidR="00A60AB3" w:rsidRPr="00A60AB3" w:rsidRDefault="00A60AB3" w:rsidP="00A60AB3">
            <w:pPr>
              <w:spacing w:after="0" w:line="360" w:lineRule="auto"/>
              <w:jc w:val="both"/>
              <w:outlineLvl w:val="1"/>
              <w:rPr>
                <w:rFonts w:ascii="Arial" w:hAnsi="Arial" w:cs="Arial"/>
                <w:kern w:val="2"/>
                <w:sz w:val="24"/>
                <w:lang w:val="en-GB"/>
                <w14:ligatures w14:val="standardContextual"/>
              </w:rPr>
            </w:pPr>
            <w:r w:rsidRPr="00A60AB3">
              <w:rPr>
                <w:rFonts w:ascii="Arial" w:hAnsi="Arial" w:cs="Arial"/>
                <w:kern w:val="2"/>
                <w:sz w:val="24"/>
                <w:lang w:val="en-GB"/>
                <w14:ligatures w14:val="standardContextual"/>
              </w:rPr>
              <w:t>(d)  In addition to the reasons that support the requirements in rule 60(5) as set out many times by the superior courts, the respondent’s unduly vague approach on such important aspects cannot be countenanced since it robs a large commercial establishment with many employees like the applicant of the opportunity to gauge the merits of the alleged conclusion of a compromise with reference to the allegations in the opposing affidavit. If this opportunity is unnecessarily impeded, it interferes with the very purpose of summary judgments: to prevent unnecessary delays in finalising cases where the defendant does not have a bona fide defence, thus avoiding delays in the enforcement of plaintiffs’ rights and freeing up the court system to deal with genuine disputes. It might have been different if the parties were individuals who dealt only with one another since it might have been easier to establish whether a compromise had been concluded.</w:t>
            </w:r>
          </w:p>
          <w:p w:rsidR="00A60AB3" w:rsidRPr="00A60AB3" w:rsidRDefault="00A60AB3" w:rsidP="00A60AB3">
            <w:pPr>
              <w:jc w:val="both"/>
              <w:rPr>
                <w:lang w:val="en-GB"/>
              </w:rPr>
            </w:pPr>
          </w:p>
          <w:p w:rsidR="00A60AB3" w:rsidRPr="00A60AB3" w:rsidRDefault="00A60AB3" w:rsidP="00A60AB3">
            <w:pPr>
              <w:spacing w:after="0" w:line="360" w:lineRule="auto"/>
              <w:jc w:val="both"/>
              <w:outlineLvl w:val="1"/>
              <w:rPr>
                <w:rFonts w:ascii="Arial" w:hAnsi="Arial" w:cs="Arial"/>
                <w:kern w:val="2"/>
                <w:sz w:val="24"/>
                <w:lang w:val="en-GB"/>
                <w14:ligatures w14:val="standardContextual"/>
              </w:rPr>
            </w:pPr>
            <w:r w:rsidRPr="00A60AB3">
              <w:rPr>
                <w:rFonts w:ascii="Arial" w:hAnsi="Arial" w:cs="Arial"/>
                <w:kern w:val="2"/>
                <w:sz w:val="24"/>
                <w:lang w:val="en-GB"/>
                <w14:ligatures w14:val="standardContextual"/>
              </w:rPr>
              <w:t>(e)  The respondent did not plead any justification for the absence of this vital information and no justification can be inferred from the facts before the court.</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t>[19]</w:t>
            </w:r>
            <w:r w:rsidRPr="00A60AB3">
              <w:rPr>
                <w:rFonts w:ascii="Arial" w:hAnsi="Arial" w:cs="Arial"/>
                <w:kern w:val="2"/>
                <w:sz w:val="24"/>
                <w:szCs w:val="24"/>
                <w:lang w:val="en-GB"/>
                <w14:ligatures w14:val="standardContextual"/>
              </w:rPr>
              <w:tab/>
              <w:t>In addition, I agree with the applicant that the respondent’s allegations clash impermissibly with several provisions of the lease agreement. The respondent did not supply any facts, or present any argument, to support any reasonably possible interpretation that could allow it to succeed with its opposition to the applicant’s claim at trial.</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t>[20]</w:t>
            </w:r>
            <w:r w:rsidRPr="00A60AB3">
              <w:rPr>
                <w:rFonts w:ascii="Arial" w:hAnsi="Arial" w:cs="Arial"/>
                <w:kern w:val="2"/>
                <w:sz w:val="24"/>
                <w:szCs w:val="24"/>
                <w:lang w:val="en-GB"/>
                <w14:ligatures w14:val="standardContextual"/>
              </w:rPr>
              <w:tab/>
              <w:t>In the premises, I find that the respondent has not disclosed ‘a bona fide defence to the action’ by way of an affidavit that fully discloses ‘the nature and grounds of the defence and the material facts relied on’.</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rPr>
                <w:rFonts w:ascii="Arial" w:hAnsi="Arial" w:cs="Arial"/>
                <w:sz w:val="24"/>
                <w:szCs w:val="24"/>
                <w:u w:val="single"/>
                <w:lang w:val="en-ZA"/>
              </w:rPr>
            </w:pPr>
            <w:r w:rsidRPr="00A60AB3">
              <w:rPr>
                <w:rFonts w:ascii="Arial" w:hAnsi="Arial" w:cs="Arial"/>
                <w:sz w:val="24"/>
                <w:szCs w:val="24"/>
                <w:u w:val="single"/>
                <w:lang w:val="en-ZA"/>
              </w:rPr>
              <w:t>Conclusion on condonation</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lastRenderedPageBreak/>
              <w:t>[21]</w:t>
            </w:r>
            <w:r w:rsidRPr="00A60AB3">
              <w:rPr>
                <w:rFonts w:ascii="Arial" w:hAnsi="Arial" w:cs="Arial"/>
                <w:kern w:val="2"/>
                <w:sz w:val="24"/>
                <w:szCs w:val="24"/>
                <w:lang w:val="en-GB"/>
                <w14:ligatures w14:val="standardContextual"/>
              </w:rPr>
              <w:tab/>
              <w:t>The conclusion that the respondent has not put up a bona fide defence means that the respondent’s application for condonation must fail, on the basis that there are no prospects of success on the merits to make up for the complete failure to explain the delay in presenting a rule – compliant application for condonation.</w:t>
            </w:r>
          </w:p>
          <w:p w:rsidR="00A60AB3" w:rsidRPr="00A60AB3" w:rsidRDefault="00A60AB3" w:rsidP="00A60AB3">
            <w:pPr>
              <w:spacing w:after="0" w:line="360" w:lineRule="auto"/>
              <w:jc w:val="both"/>
              <w:rPr>
                <w:rFonts w:ascii="Arial" w:hAnsi="Arial" w:cs="Arial"/>
                <w:color w:val="222222"/>
                <w:sz w:val="24"/>
                <w:szCs w:val="24"/>
                <w:u w:val="single"/>
                <w:shd w:val="clear" w:color="auto" w:fill="FFFFFF"/>
                <w:lang w:val="en-ZA"/>
              </w:rPr>
            </w:pPr>
          </w:p>
          <w:p w:rsidR="00A60AB3" w:rsidRPr="00A60AB3" w:rsidRDefault="00A60AB3" w:rsidP="00A60AB3">
            <w:pPr>
              <w:spacing w:after="0" w:line="360" w:lineRule="auto"/>
              <w:jc w:val="both"/>
              <w:rPr>
                <w:rFonts w:ascii="Arial" w:hAnsi="Arial" w:cs="Arial"/>
                <w:sz w:val="24"/>
                <w:szCs w:val="24"/>
                <w:u w:val="single"/>
                <w:lang w:val="en-ZA"/>
              </w:rPr>
            </w:pPr>
            <w:r w:rsidRPr="00A60AB3">
              <w:rPr>
                <w:rFonts w:ascii="Arial" w:hAnsi="Arial" w:cs="Arial"/>
                <w:color w:val="222222"/>
                <w:sz w:val="24"/>
                <w:szCs w:val="24"/>
                <w:u w:val="single"/>
                <w:shd w:val="clear" w:color="auto" w:fill="FFFFFF"/>
                <w:lang w:val="en-ZA"/>
              </w:rPr>
              <w:t>Costs</w:t>
            </w:r>
          </w:p>
          <w:p w:rsidR="00A60AB3" w:rsidRPr="00A60AB3" w:rsidRDefault="00A60AB3" w:rsidP="00A60AB3">
            <w:pPr>
              <w:spacing w:after="0" w:line="360" w:lineRule="auto"/>
              <w:jc w:val="both"/>
              <w:rPr>
                <w:rFonts w:ascii="Arial" w:hAnsi="Arial" w:cs="Arial"/>
                <w:sz w:val="24"/>
                <w:szCs w:val="24"/>
                <w:u w:val="single"/>
                <w:lang w:val="en-ZA"/>
              </w:rPr>
            </w:pPr>
          </w:p>
          <w:p w:rsidR="00A60AB3" w:rsidRPr="00A60AB3" w:rsidRDefault="00A60AB3" w:rsidP="00A60AB3">
            <w:pPr>
              <w:spacing w:after="0" w:line="360" w:lineRule="auto"/>
              <w:jc w:val="both"/>
              <w:rPr>
                <w:rFonts w:ascii="Arial" w:hAnsi="Arial" w:cs="Arial"/>
                <w:color w:val="222222"/>
                <w:sz w:val="24"/>
                <w:szCs w:val="24"/>
                <w:shd w:val="clear" w:color="auto" w:fill="FFFFFF"/>
                <w:lang w:val="en-ZA"/>
              </w:rPr>
            </w:pPr>
            <w:r w:rsidRPr="00A60AB3">
              <w:rPr>
                <w:rFonts w:ascii="Arial" w:hAnsi="Arial" w:cs="Arial"/>
                <w:color w:val="222222"/>
                <w:sz w:val="24"/>
                <w:szCs w:val="24"/>
                <w:shd w:val="clear" w:color="auto" w:fill="FFFFFF"/>
                <w:lang w:val="en-ZA"/>
              </w:rPr>
              <w:t>[22]</w:t>
            </w:r>
            <w:r w:rsidRPr="00A60AB3">
              <w:rPr>
                <w:rFonts w:ascii="Arial" w:hAnsi="Arial" w:cs="Arial"/>
                <w:color w:val="222222"/>
                <w:sz w:val="24"/>
                <w:szCs w:val="24"/>
                <w:shd w:val="clear" w:color="auto" w:fill="FFFFFF"/>
                <w:lang w:val="en-ZA"/>
              </w:rPr>
              <w:tab/>
              <w:t xml:space="preserve">The applicant argued for a costs order not subject to the cap under rule 32(11) and on an attorney and own client scale. The applicant argued that such costs were justified because of the complexity of the issues on the merits, the necessity of the points of law it raised on the original condonation application, the prejudice and costs caused by the unexplained correction of the condonation application on a Friday afternoon before the hearing of the application the next Monday, and the failure by the respondent to disclose its defence during the parties’ rule 32(9) meeting. When I consider these factors with the dispositive nature of this summary judgment application, where both parties were represented by instructing and instructed counsel and each sought costs against the other, it appears that the circumstances as set out by the applicant sufficiently resemble those that informed an uncapped costs order in </w:t>
            </w:r>
            <w:r w:rsidRPr="00A60AB3">
              <w:rPr>
                <w:rFonts w:ascii="Arial" w:hAnsi="Arial" w:cs="Arial"/>
                <w:i/>
                <w:iCs/>
                <w:color w:val="222222"/>
                <w:sz w:val="24"/>
                <w:szCs w:val="24"/>
                <w:shd w:val="clear" w:color="auto" w:fill="FFFFFF"/>
                <w:lang w:val="en-ZA"/>
              </w:rPr>
              <w:t>South Africa Poultry Association and Others v Ministry of Trade and Industry and Others</w:t>
            </w:r>
            <w:r w:rsidRPr="00A60AB3">
              <w:rPr>
                <w:rFonts w:ascii="Arial" w:hAnsi="Arial" w:cs="Arial"/>
                <w:i/>
                <w:iCs/>
                <w:color w:val="222222"/>
                <w:sz w:val="24"/>
                <w:szCs w:val="24"/>
                <w:shd w:val="clear" w:color="auto" w:fill="FFFFFF"/>
                <w:vertAlign w:val="superscript"/>
                <w:lang w:val="en-ZA"/>
              </w:rPr>
              <w:footnoteReference w:id="4"/>
            </w:r>
            <w:r w:rsidRPr="00A60AB3">
              <w:rPr>
                <w:rFonts w:ascii="Arial" w:hAnsi="Arial" w:cs="Arial"/>
                <w:i/>
                <w:iCs/>
                <w:color w:val="222222"/>
                <w:sz w:val="24"/>
                <w:szCs w:val="24"/>
                <w:shd w:val="clear" w:color="auto" w:fill="FFFFFF"/>
                <w:lang w:val="en-ZA"/>
              </w:rPr>
              <w:t>,</w:t>
            </w:r>
            <w:r w:rsidRPr="00A60AB3">
              <w:rPr>
                <w:rFonts w:ascii="Arial" w:hAnsi="Arial" w:cs="Arial"/>
                <w:color w:val="222222"/>
                <w:sz w:val="24"/>
                <w:szCs w:val="24"/>
                <w:shd w:val="clear" w:color="auto" w:fill="FFFFFF"/>
                <w:lang w:val="en-ZA"/>
              </w:rPr>
              <w:t xml:space="preserve"> as explained in paras 67 and 68 of that judgment. I am satisfied that such an order should follow. However, partly because of the absence of admissible evidence on the failure to disclose the basis for the respondent’s opposition during the rule 32(9) meeting, and partly because I have not found evidence of such bad faith in the conduct of the respondent’s case to justify a punitive costs order, I am not satisfied that attorney and own client costs should follow.</w:t>
            </w:r>
          </w:p>
          <w:p w:rsidR="00A60AB3" w:rsidRPr="00A60AB3" w:rsidRDefault="00A60AB3" w:rsidP="00A60AB3">
            <w:pPr>
              <w:spacing w:after="0" w:line="360" w:lineRule="auto"/>
              <w:jc w:val="both"/>
              <w:rPr>
                <w:rFonts w:ascii="Arial" w:hAnsi="Arial" w:cs="Arial"/>
                <w:sz w:val="24"/>
                <w:szCs w:val="24"/>
                <w:u w:val="single"/>
                <w:lang w:val="en-ZA"/>
              </w:rPr>
            </w:pPr>
          </w:p>
          <w:p w:rsidR="00A60AB3" w:rsidRPr="00A60AB3" w:rsidRDefault="00A60AB3" w:rsidP="00A60AB3">
            <w:pPr>
              <w:spacing w:after="0" w:line="360" w:lineRule="auto"/>
              <w:jc w:val="both"/>
              <w:rPr>
                <w:rFonts w:ascii="Arial" w:hAnsi="Arial" w:cs="Arial"/>
                <w:sz w:val="24"/>
                <w:szCs w:val="24"/>
                <w:u w:val="single"/>
                <w:lang w:val="en-ZA"/>
              </w:rPr>
            </w:pPr>
            <w:r w:rsidRPr="00A60AB3">
              <w:rPr>
                <w:rFonts w:ascii="Arial" w:hAnsi="Arial" w:cs="Arial"/>
                <w:sz w:val="24"/>
                <w:szCs w:val="24"/>
                <w:u w:val="single"/>
                <w:lang w:val="en-ZA"/>
              </w:rPr>
              <w:t>Relief</w:t>
            </w:r>
          </w:p>
          <w:p w:rsidR="00A60AB3" w:rsidRPr="00A60AB3" w:rsidRDefault="00A60AB3" w:rsidP="00A60AB3">
            <w:pPr>
              <w:spacing w:after="0" w:line="360" w:lineRule="auto"/>
              <w:jc w:val="both"/>
              <w:rPr>
                <w:rFonts w:ascii="Arial" w:hAnsi="Arial" w:cs="Arial"/>
                <w:sz w:val="24"/>
                <w:szCs w:val="24"/>
                <w:u w:val="single"/>
                <w:lang w:val="en-ZA"/>
              </w:rPr>
            </w:pPr>
          </w:p>
          <w:p w:rsidR="00A60AB3" w:rsidRPr="00A60AB3" w:rsidRDefault="00A60AB3" w:rsidP="00A60AB3">
            <w:pPr>
              <w:spacing w:after="0" w:line="360" w:lineRule="auto"/>
              <w:jc w:val="both"/>
              <w:outlineLvl w:val="0"/>
              <w:rPr>
                <w:rFonts w:ascii="Arial" w:hAnsi="Arial" w:cs="Arial"/>
                <w:kern w:val="2"/>
                <w:sz w:val="24"/>
                <w:szCs w:val="24"/>
                <w:lang w:val="en-GB"/>
                <w14:ligatures w14:val="standardContextual"/>
              </w:rPr>
            </w:pPr>
            <w:r w:rsidRPr="00A60AB3">
              <w:rPr>
                <w:rFonts w:ascii="Arial" w:hAnsi="Arial" w:cs="Arial"/>
                <w:kern w:val="2"/>
                <w:sz w:val="24"/>
                <w:szCs w:val="24"/>
                <w:lang w:val="en-GB"/>
                <w14:ligatures w14:val="standardContextual"/>
              </w:rPr>
              <w:t>[23]</w:t>
            </w:r>
            <w:r w:rsidRPr="00A60AB3">
              <w:rPr>
                <w:rFonts w:ascii="Arial" w:hAnsi="Arial" w:cs="Arial"/>
                <w:kern w:val="2"/>
                <w:sz w:val="24"/>
                <w:szCs w:val="24"/>
                <w:lang w:val="en-GB"/>
                <w14:ligatures w14:val="standardContextual"/>
              </w:rPr>
              <w:tab/>
              <w:t>In the premises, the following orders are issued in favour of the applicant against the respondent:</w:t>
            </w:r>
          </w:p>
          <w:p w:rsidR="00A60AB3" w:rsidRPr="00A60AB3" w:rsidRDefault="00A60AB3" w:rsidP="00A60AB3">
            <w:pPr>
              <w:spacing w:after="0" w:line="360" w:lineRule="auto"/>
              <w:jc w:val="both"/>
              <w:rPr>
                <w:rFonts w:ascii="Arial" w:hAnsi="Arial" w:cs="Arial"/>
                <w:sz w:val="24"/>
                <w:szCs w:val="24"/>
                <w:lang w:val="en-ZA"/>
              </w:rPr>
            </w:pPr>
          </w:p>
          <w:p w:rsidR="00A60AB3" w:rsidRPr="00A60AB3" w:rsidRDefault="00797D37" w:rsidP="00A60AB3">
            <w:pPr>
              <w:spacing w:after="0" w:line="360" w:lineRule="auto"/>
              <w:ind w:left="720"/>
              <w:jc w:val="both"/>
              <w:outlineLvl w:val="1"/>
              <w:rPr>
                <w:rFonts w:ascii="Arial" w:hAnsi="Arial" w:cs="Arial"/>
                <w:kern w:val="2"/>
                <w:sz w:val="24"/>
                <w:lang w:val="en-GB"/>
                <w14:ligatures w14:val="standardContextual"/>
              </w:rPr>
            </w:pPr>
            <w:r>
              <w:rPr>
                <w:rFonts w:ascii="Arial" w:hAnsi="Arial" w:cs="Arial"/>
                <w:kern w:val="2"/>
                <w:sz w:val="24"/>
                <w:lang w:val="en-GB"/>
                <w14:ligatures w14:val="standardContextual"/>
              </w:rPr>
              <w:t xml:space="preserve">1.  </w:t>
            </w:r>
            <w:r w:rsidR="00A60AB3" w:rsidRPr="00A60AB3">
              <w:rPr>
                <w:rFonts w:ascii="Arial" w:hAnsi="Arial" w:cs="Arial"/>
                <w:kern w:val="2"/>
                <w:sz w:val="24"/>
                <w:lang w:val="en-GB"/>
                <w14:ligatures w14:val="standardContextual"/>
              </w:rPr>
              <w:t>The cancellation of the lease agreement between the parties is confirmed.</w:t>
            </w:r>
          </w:p>
          <w:p w:rsidR="00A60AB3" w:rsidRPr="00A60AB3" w:rsidRDefault="00A60AB3" w:rsidP="00A60AB3">
            <w:pPr>
              <w:spacing w:after="0" w:line="360" w:lineRule="auto"/>
              <w:ind w:left="720"/>
              <w:jc w:val="both"/>
              <w:rPr>
                <w:sz w:val="24"/>
                <w:szCs w:val="24"/>
                <w:lang w:val="en-GB"/>
              </w:rPr>
            </w:pPr>
          </w:p>
          <w:p w:rsidR="00A60AB3" w:rsidRPr="00A60AB3" w:rsidRDefault="00797D37" w:rsidP="00A60AB3">
            <w:pPr>
              <w:spacing w:after="0" w:line="360" w:lineRule="auto"/>
              <w:ind w:left="720"/>
              <w:jc w:val="both"/>
              <w:outlineLvl w:val="1"/>
              <w:rPr>
                <w:rFonts w:ascii="Arial" w:hAnsi="Arial" w:cs="Arial"/>
                <w:kern w:val="2"/>
                <w:sz w:val="24"/>
                <w:lang w:val="en-GB"/>
                <w14:ligatures w14:val="standardContextual"/>
              </w:rPr>
            </w:pPr>
            <w:r>
              <w:rPr>
                <w:rFonts w:ascii="Arial" w:hAnsi="Arial" w:cs="Arial"/>
                <w:kern w:val="2"/>
                <w:sz w:val="24"/>
                <w:lang w:val="en-GB"/>
                <w14:ligatures w14:val="standardContextual"/>
              </w:rPr>
              <w:t xml:space="preserve">2.  </w:t>
            </w:r>
            <w:r w:rsidR="00A60AB3" w:rsidRPr="00A60AB3">
              <w:rPr>
                <w:rFonts w:ascii="Arial" w:hAnsi="Arial" w:cs="Arial"/>
                <w:kern w:val="2"/>
                <w:sz w:val="24"/>
                <w:lang w:val="en-GB"/>
                <w14:ligatures w14:val="standardContextual"/>
              </w:rPr>
              <w:t>The defendant and all persons occupying the property together with the defendant are evicted from the plaintiff’s property at 17 – 9</w:t>
            </w:r>
            <w:r w:rsidR="00A60AB3" w:rsidRPr="00A60AB3">
              <w:rPr>
                <w:rFonts w:ascii="Arial" w:hAnsi="Arial" w:cs="Arial"/>
                <w:kern w:val="2"/>
                <w:sz w:val="24"/>
                <w:vertAlign w:val="superscript"/>
                <w:lang w:val="en-GB"/>
                <w14:ligatures w14:val="standardContextual"/>
              </w:rPr>
              <w:t>th</w:t>
            </w:r>
            <w:r w:rsidR="00A60AB3" w:rsidRPr="00A60AB3">
              <w:rPr>
                <w:rFonts w:ascii="Arial" w:hAnsi="Arial" w:cs="Arial"/>
                <w:kern w:val="2"/>
                <w:sz w:val="24"/>
                <w:lang w:val="en-GB"/>
                <w14:ligatures w14:val="standardContextual"/>
              </w:rPr>
              <w:t xml:space="preserve"> Avenue, </w:t>
            </w:r>
            <w:proofErr w:type="spellStart"/>
            <w:r w:rsidR="00A60AB3" w:rsidRPr="00A60AB3">
              <w:rPr>
                <w:rFonts w:ascii="Arial" w:hAnsi="Arial" w:cs="Arial"/>
                <w:kern w:val="2"/>
                <w:sz w:val="24"/>
                <w:lang w:val="en-GB"/>
                <w14:ligatures w14:val="standardContextual"/>
              </w:rPr>
              <w:t>Oranjemund</w:t>
            </w:r>
            <w:proofErr w:type="spellEnd"/>
            <w:r w:rsidR="00A60AB3" w:rsidRPr="00A60AB3">
              <w:rPr>
                <w:rFonts w:ascii="Arial" w:hAnsi="Arial" w:cs="Arial"/>
                <w:kern w:val="2"/>
                <w:sz w:val="24"/>
                <w:lang w:val="en-GB"/>
                <w14:ligatures w14:val="standardContextual"/>
              </w:rPr>
              <w:t>.</w:t>
            </w:r>
          </w:p>
          <w:p w:rsidR="00A60AB3" w:rsidRPr="00A60AB3" w:rsidRDefault="00A60AB3" w:rsidP="00A60AB3">
            <w:pPr>
              <w:spacing w:after="0" w:line="360" w:lineRule="auto"/>
              <w:ind w:left="720"/>
              <w:jc w:val="both"/>
              <w:rPr>
                <w:sz w:val="24"/>
                <w:szCs w:val="24"/>
                <w:lang w:val="en-GB"/>
              </w:rPr>
            </w:pPr>
          </w:p>
          <w:p w:rsidR="00A60AB3" w:rsidRPr="00A60AB3" w:rsidRDefault="00797D37" w:rsidP="00A60AB3">
            <w:pPr>
              <w:spacing w:after="0" w:line="360" w:lineRule="auto"/>
              <w:ind w:left="720"/>
              <w:jc w:val="both"/>
              <w:outlineLvl w:val="1"/>
              <w:rPr>
                <w:rFonts w:ascii="Arial" w:hAnsi="Arial" w:cs="Arial"/>
                <w:kern w:val="2"/>
                <w:sz w:val="24"/>
                <w:lang w:val="en-GB"/>
                <w14:ligatures w14:val="standardContextual"/>
              </w:rPr>
            </w:pPr>
            <w:r>
              <w:rPr>
                <w:rFonts w:ascii="Arial" w:hAnsi="Arial" w:cs="Arial"/>
                <w:kern w:val="2"/>
                <w:sz w:val="24"/>
                <w:lang w:val="en-GB"/>
                <w14:ligatures w14:val="standardContextual"/>
              </w:rPr>
              <w:lastRenderedPageBreak/>
              <w:t xml:space="preserve">3.  </w:t>
            </w:r>
            <w:r w:rsidR="00A60AB3" w:rsidRPr="00A60AB3">
              <w:rPr>
                <w:rFonts w:ascii="Arial" w:hAnsi="Arial" w:cs="Arial"/>
                <w:kern w:val="2"/>
                <w:sz w:val="24"/>
                <w:lang w:val="en-GB"/>
                <w14:ligatures w14:val="standardContextual"/>
              </w:rPr>
              <w:t>The defendant shall pay to the plaintiff N$169 749</w:t>
            </w:r>
            <w:proofErr w:type="gramStart"/>
            <w:r w:rsidR="00A60AB3" w:rsidRPr="00A60AB3">
              <w:rPr>
                <w:rFonts w:ascii="Arial" w:hAnsi="Arial" w:cs="Arial"/>
                <w:kern w:val="2"/>
                <w:sz w:val="24"/>
                <w:lang w:val="en-GB"/>
                <w14:ligatures w14:val="standardContextual"/>
              </w:rPr>
              <w:t>,38</w:t>
            </w:r>
            <w:proofErr w:type="gramEnd"/>
            <w:r w:rsidR="00A60AB3" w:rsidRPr="00A60AB3">
              <w:rPr>
                <w:rFonts w:ascii="Arial" w:hAnsi="Arial" w:cs="Arial"/>
                <w:kern w:val="2"/>
                <w:sz w:val="24"/>
                <w:lang w:val="en-GB"/>
                <w14:ligatures w14:val="standardContextual"/>
              </w:rPr>
              <w:t>.</w:t>
            </w:r>
          </w:p>
          <w:p w:rsidR="00A60AB3" w:rsidRPr="00A60AB3" w:rsidRDefault="00A60AB3" w:rsidP="00A60AB3">
            <w:pPr>
              <w:spacing w:after="0" w:line="360" w:lineRule="auto"/>
              <w:ind w:left="720"/>
              <w:jc w:val="both"/>
              <w:rPr>
                <w:sz w:val="24"/>
                <w:szCs w:val="24"/>
                <w:lang w:val="en-GB"/>
              </w:rPr>
            </w:pPr>
          </w:p>
          <w:p w:rsidR="00A60AB3" w:rsidRPr="00A60AB3" w:rsidRDefault="00797D37" w:rsidP="00A60AB3">
            <w:pPr>
              <w:spacing w:after="0" w:line="360" w:lineRule="auto"/>
              <w:ind w:left="720"/>
              <w:jc w:val="both"/>
              <w:outlineLvl w:val="1"/>
              <w:rPr>
                <w:rFonts w:ascii="Arial" w:hAnsi="Arial" w:cs="Arial"/>
                <w:kern w:val="2"/>
                <w:sz w:val="24"/>
                <w:lang w:val="en-GB"/>
                <w14:ligatures w14:val="standardContextual"/>
              </w:rPr>
            </w:pPr>
            <w:r>
              <w:rPr>
                <w:rFonts w:ascii="Arial" w:hAnsi="Arial" w:cs="Arial"/>
                <w:kern w:val="2"/>
                <w:sz w:val="24"/>
                <w:lang w:val="en-GB"/>
                <w14:ligatures w14:val="standardContextual"/>
              </w:rPr>
              <w:t xml:space="preserve">4.  </w:t>
            </w:r>
            <w:r w:rsidR="00A60AB3" w:rsidRPr="00A60AB3">
              <w:rPr>
                <w:rFonts w:ascii="Arial" w:hAnsi="Arial" w:cs="Arial"/>
                <w:kern w:val="2"/>
                <w:sz w:val="24"/>
                <w:lang w:val="en-GB"/>
                <w14:ligatures w14:val="standardContextual"/>
              </w:rPr>
              <w:t>The defendant shall pay interest on N$169 749</w:t>
            </w:r>
            <w:proofErr w:type="gramStart"/>
            <w:r w:rsidR="00A60AB3" w:rsidRPr="00A60AB3">
              <w:rPr>
                <w:rFonts w:ascii="Arial" w:hAnsi="Arial" w:cs="Arial"/>
                <w:kern w:val="2"/>
                <w:sz w:val="24"/>
                <w:lang w:val="en-GB"/>
                <w14:ligatures w14:val="standardContextual"/>
              </w:rPr>
              <w:t>,38</w:t>
            </w:r>
            <w:proofErr w:type="gramEnd"/>
            <w:r w:rsidR="00A60AB3" w:rsidRPr="00A60AB3">
              <w:rPr>
                <w:rFonts w:ascii="Arial" w:hAnsi="Arial" w:cs="Arial"/>
                <w:kern w:val="2"/>
                <w:sz w:val="24"/>
                <w:lang w:val="en-GB"/>
                <w14:ligatures w14:val="standardContextual"/>
              </w:rPr>
              <w:t xml:space="preserve"> at 20 per cent per annum calculated from the date of summons until date of final payment.</w:t>
            </w:r>
          </w:p>
          <w:p w:rsidR="00A60AB3" w:rsidRPr="00A60AB3" w:rsidRDefault="00A60AB3" w:rsidP="00A60AB3">
            <w:pPr>
              <w:spacing w:after="0" w:line="360" w:lineRule="auto"/>
              <w:ind w:left="720"/>
              <w:jc w:val="both"/>
              <w:rPr>
                <w:sz w:val="24"/>
                <w:szCs w:val="24"/>
                <w:lang w:val="en-GB"/>
              </w:rPr>
            </w:pPr>
          </w:p>
          <w:p w:rsidR="00A60AB3" w:rsidRPr="00A60AB3" w:rsidRDefault="00797D37" w:rsidP="00A60AB3">
            <w:pPr>
              <w:spacing w:after="0" w:line="360" w:lineRule="auto"/>
              <w:ind w:left="720"/>
              <w:jc w:val="both"/>
              <w:outlineLvl w:val="1"/>
              <w:rPr>
                <w:rFonts w:ascii="Arial" w:hAnsi="Arial" w:cs="Arial"/>
                <w:kern w:val="2"/>
                <w:sz w:val="24"/>
                <w:lang w:val="en-GB"/>
                <w14:ligatures w14:val="standardContextual"/>
              </w:rPr>
            </w:pPr>
            <w:r>
              <w:rPr>
                <w:rFonts w:ascii="Arial" w:hAnsi="Arial" w:cs="Arial"/>
                <w:kern w:val="2"/>
                <w:sz w:val="24"/>
                <w:lang w:val="en-GB"/>
                <w14:ligatures w14:val="standardContextual"/>
              </w:rPr>
              <w:t xml:space="preserve">5.  </w:t>
            </w:r>
            <w:r w:rsidR="00A60AB3" w:rsidRPr="00A60AB3">
              <w:rPr>
                <w:rFonts w:ascii="Arial" w:hAnsi="Arial" w:cs="Arial"/>
                <w:kern w:val="2"/>
                <w:sz w:val="24"/>
                <w:lang w:val="en-GB"/>
                <w14:ligatures w14:val="standardContextual"/>
              </w:rPr>
              <w:t>The defendant shall pay to the plaintiff N$4813 for each month defendant remains in occupation of the property from 15 January 2023 to date of eviction, alternatively the date on which the defendant vacates the property.</w:t>
            </w:r>
          </w:p>
          <w:p w:rsidR="00A60AB3" w:rsidRPr="00A60AB3" w:rsidRDefault="00A60AB3" w:rsidP="00A60AB3">
            <w:pPr>
              <w:spacing w:after="0" w:line="360" w:lineRule="auto"/>
              <w:ind w:left="720"/>
              <w:jc w:val="both"/>
              <w:rPr>
                <w:sz w:val="24"/>
                <w:szCs w:val="24"/>
                <w:lang w:val="en-GB"/>
              </w:rPr>
            </w:pPr>
          </w:p>
          <w:p w:rsidR="00A60AB3" w:rsidRPr="00A60AB3" w:rsidRDefault="00797D37" w:rsidP="00A60AB3">
            <w:pPr>
              <w:spacing w:after="0" w:line="360" w:lineRule="auto"/>
              <w:ind w:left="720"/>
              <w:jc w:val="both"/>
              <w:rPr>
                <w:rFonts w:ascii="Arial" w:hAnsi="Arial" w:cs="Arial"/>
                <w:color w:val="222222"/>
                <w:sz w:val="24"/>
                <w:szCs w:val="24"/>
                <w:shd w:val="clear" w:color="auto" w:fill="FFFFFF"/>
                <w:lang w:val="en-ZA"/>
              </w:rPr>
            </w:pPr>
            <w:r>
              <w:rPr>
                <w:rFonts w:ascii="Arial" w:hAnsi="Arial" w:cs="Arial"/>
                <w:color w:val="222222"/>
                <w:sz w:val="24"/>
                <w:szCs w:val="24"/>
                <w:shd w:val="clear" w:color="auto" w:fill="FFFFFF"/>
                <w:lang w:val="en-ZA"/>
              </w:rPr>
              <w:t xml:space="preserve">6.  </w:t>
            </w:r>
            <w:r w:rsidR="00A60AB3" w:rsidRPr="00A60AB3">
              <w:rPr>
                <w:rFonts w:ascii="Arial" w:hAnsi="Arial" w:cs="Arial"/>
                <w:color w:val="222222"/>
                <w:sz w:val="24"/>
                <w:szCs w:val="24"/>
                <w:shd w:val="clear" w:color="auto" w:fill="FFFFFF"/>
                <w:lang w:val="en-ZA"/>
              </w:rPr>
              <w:t>Costs of suit, including the costs of one instructing and one instructed legal practitioner, not limited to rule 32(11).</w:t>
            </w:r>
          </w:p>
          <w:p w:rsidR="00A60AB3" w:rsidRPr="00A60AB3" w:rsidRDefault="00A60AB3" w:rsidP="00A60AB3">
            <w:pPr>
              <w:spacing w:after="0" w:line="360" w:lineRule="auto"/>
              <w:ind w:left="720"/>
              <w:jc w:val="both"/>
              <w:rPr>
                <w:rFonts w:ascii="Arial" w:hAnsi="Arial" w:cs="Arial"/>
                <w:color w:val="222222"/>
                <w:sz w:val="24"/>
                <w:szCs w:val="24"/>
                <w:shd w:val="clear" w:color="auto" w:fill="FFFFFF"/>
                <w:lang w:val="en-ZA"/>
              </w:rPr>
            </w:pPr>
          </w:p>
          <w:p w:rsidR="00A60AB3" w:rsidRPr="00A60AB3" w:rsidRDefault="00797D37" w:rsidP="00A60AB3">
            <w:pPr>
              <w:spacing w:after="0" w:line="360" w:lineRule="auto"/>
              <w:ind w:left="720"/>
              <w:jc w:val="both"/>
              <w:rPr>
                <w:sz w:val="24"/>
                <w:szCs w:val="24"/>
                <w:lang w:val="en-GB"/>
              </w:rPr>
            </w:pPr>
            <w:r>
              <w:rPr>
                <w:rFonts w:ascii="Arial" w:hAnsi="Arial" w:cs="Arial"/>
                <w:color w:val="222222"/>
                <w:sz w:val="24"/>
                <w:szCs w:val="24"/>
                <w:shd w:val="clear" w:color="auto" w:fill="FFFFFF"/>
                <w:lang w:val="en-ZA"/>
              </w:rPr>
              <w:t xml:space="preserve">7.  </w:t>
            </w:r>
            <w:r w:rsidR="00A60AB3" w:rsidRPr="00A60AB3">
              <w:rPr>
                <w:rFonts w:ascii="Arial" w:hAnsi="Arial" w:cs="Arial"/>
                <w:color w:val="222222"/>
                <w:sz w:val="24"/>
                <w:szCs w:val="24"/>
                <w:shd w:val="clear" w:color="auto" w:fill="FFFFFF"/>
                <w:lang w:val="en-ZA"/>
              </w:rPr>
              <w:t>The matter is regarded as finalised and removed from the roll.</w:t>
            </w:r>
          </w:p>
          <w:p w:rsidR="00E9443C" w:rsidRPr="002947C2" w:rsidRDefault="00E9443C" w:rsidP="00A60AB3">
            <w:pPr>
              <w:spacing w:after="0" w:line="360" w:lineRule="auto"/>
              <w:ind w:left="720"/>
              <w:jc w:val="both"/>
              <w:rPr>
                <w:rFonts w:ascii="Arial" w:eastAsia="Times New Roman" w:hAnsi="Arial" w:cs="Arial"/>
                <w:color w:val="000000"/>
                <w:sz w:val="24"/>
                <w:szCs w:val="24"/>
              </w:rPr>
            </w:pPr>
          </w:p>
        </w:tc>
      </w:tr>
      <w:tr w:rsidR="00A91522" w:rsidRPr="002947C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2947C2" w:rsidRDefault="00496D60" w:rsidP="00FD3909">
            <w:pPr>
              <w:spacing w:after="0" w:line="360" w:lineRule="auto"/>
              <w:jc w:val="center"/>
              <w:rPr>
                <w:rFonts w:ascii="Arial" w:hAnsi="Arial" w:cs="Arial"/>
                <w:b/>
                <w:sz w:val="24"/>
                <w:szCs w:val="24"/>
              </w:rPr>
            </w:pPr>
            <w:r w:rsidRPr="002947C2">
              <w:rPr>
                <w:rFonts w:ascii="Arial" w:hAnsi="Arial" w:cs="Arial"/>
                <w:b/>
                <w:sz w:val="24"/>
                <w:szCs w:val="24"/>
              </w:rPr>
              <w:lastRenderedPageBreak/>
              <w:t>Judge’s signature</w:t>
            </w:r>
          </w:p>
          <w:p w:rsidR="002C66E4" w:rsidRPr="002947C2" w:rsidRDefault="002C66E4" w:rsidP="00FD3909">
            <w:pPr>
              <w:spacing w:after="0" w:line="360" w:lineRule="auto"/>
              <w:jc w:val="center"/>
              <w:rPr>
                <w:rFonts w:ascii="Arial" w:hAnsi="Arial" w:cs="Arial"/>
                <w:sz w:val="24"/>
                <w:szCs w:val="24"/>
              </w:rPr>
            </w:pPr>
          </w:p>
          <w:p w:rsidR="002C66E4" w:rsidRPr="002947C2" w:rsidRDefault="002C66E4" w:rsidP="00FD3909">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2947C2" w:rsidRDefault="005B7BF9" w:rsidP="00FD3909">
            <w:pPr>
              <w:spacing w:after="0" w:line="360" w:lineRule="auto"/>
              <w:jc w:val="center"/>
              <w:rPr>
                <w:rFonts w:ascii="Arial" w:hAnsi="Arial" w:cs="Arial"/>
                <w:b/>
                <w:sz w:val="24"/>
                <w:szCs w:val="24"/>
              </w:rPr>
            </w:pPr>
            <w:r w:rsidRPr="002947C2">
              <w:rPr>
                <w:rFonts w:ascii="Arial" w:hAnsi="Arial" w:cs="Arial"/>
                <w:b/>
                <w:sz w:val="24"/>
                <w:szCs w:val="24"/>
              </w:rPr>
              <w:t>Note to the parties:</w:t>
            </w:r>
          </w:p>
        </w:tc>
      </w:tr>
      <w:tr w:rsidR="008019A9" w:rsidRPr="002947C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B37415" w:rsidRPr="002947C2" w:rsidRDefault="00B37415" w:rsidP="00FD3909">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8019A9" w:rsidRPr="002947C2" w:rsidRDefault="005B7BF9" w:rsidP="00FD3909">
            <w:pPr>
              <w:spacing w:after="0" w:line="360" w:lineRule="auto"/>
              <w:jc w:val="center"/>
              <w:rPr>
                <w:rFonts w:ascii="Arial" w:hAnsi="Arial" w:cs="Arial"/>
                <w:sz w:val="24"/>
                <w:szCs w:val="24"/>
              </w:rPr>
            </w:pPr>
            <w:r w:rsidRPr="002947C2">
              <w:rPr>
                <w:rFonts w:ascii="Arial" w:hAnsi="Arial" w:cs="Arial"/>
                <w:sz w:val="24"/>
                <w:szCs w:val="24"/>
              </w:rPr>
              <w:t>Not applicable</w:t>
            </w:r>
          </w:p>
        </w:tc>
      </w:tr>
      <w:tr w:rsidR="00496D60" w:rsidRPr="002947C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2947C2" w:rsidRDefault="00496D60" w:rsidP="00FD3909">
            <w:pPr>
              <w:spacing w:after="0" w:line="360" w:lineRule="auto"/>
              <w:jc w:val="center"/>
              <w:rPr>
                <w:rFonts w:ascii="Arial" w:hAnsi="Arial" w:cs="Arial"/>
                <w:b/>
                <w:sz w:val="24"/>
                <w:szCs w:val="24"/>
              </w:rPr>
            </w:pPr>
            <w:r w:rsidRPr="002947C2">
              <w:rPr>
                <w:rFonts w:ascii="Arial" w:hAnsi="Arial" w:cs="Arial"/>
                <w:b/>
                <w:sz w:val="24"/>
                <w:szCs w:val="24"/>
              </w:rPr>
              <w:t>Counsel:</w:t>
            </w:r>
          </w:p>
        </w:tc>
      </w:tr>
      <w:tr w:rsidR="008019A9" w:rsidRPr="002947C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2947C2" w:rsidRDefault="005B7BF9" w:rsidP="00FD3909">
            <w:pPr>
              <w:spacing w:after="0" w:line="360" w:lineRule="auto"/>
              <w:jc w:val="center"/>
              <w:rPr>
                <w:rFonts w:ascii="Arial" w:hAnsi="Arial" w:cs="Arial"/>
                <w:b/>
                <w:sz w:val="24"/>
                <w:szCs w:val="24"/>
              </w:rPr>
            </w:pPr>
            <w:r w:rsidRPr="002947C2">
              <w:rPr>
                <w:rFonts w:ascii="Arial" w:hAnsi="Arial" w:cs="Arial"/>
                <w:b/>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2947C2" w:rsidRDefault="004378DA" w:rsidP="00FD3909">
            <w:pPr>
              <w:spacing w:after="0" w:line="360" w:lineRule="auto"/>
              <w:jc w:val="center"/>
              <w:rPr>
                <w:rFonts w:ascii="Arial" w:hAnsi="Arial" w:cs="Arial"/>
                <w:b/>
                <w:sz w:val="24"/>
                <w:szCs w:val="24"/>
              </w:rPr>
            </w:pPr>
            <w:r w:rsidRPr="002947C2">
              <w:rPr>
                <w:rFonts w:ascii="Arial" w:eastAsia="Times New Roman" w:hAnsi="Arial" w:cs="Arial"/>
                <w:b/>
                <w:sz w:val="24"/>
                <w:szCs w:val="24"/>
                <w:lang w:eastAsia="en-GB"/>
              </w:rPr>
              <w:t>Defendant</w:t>
            </w:r>
            <w:r w:rsidRPr="002947C2">
              <w:rPr>
                <w:rFonts w:ascii="Arial" w:eastAsia="Times New Roman" w:hAnsi="Arial" w:cs="Arial"/>
                <w:sz w:val="24"/>
                <w:szCs w:val="24"/>
                <w:lang w:eastAsia="en-GB"/>
              </w:rPr>
              <w:t>:</w:t>
            </w:r>
          </w:p>
        </w:tc>
      </w:tr>
      <w:tr w:rsidR="008019A9" w:rsidRPr="002947C2"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2857CC" w:rsidRDefault="002857CC" w:rsidP="00FD3909">
            <w:pPr>
              <w:spacing w:after="0" w:line="360" w:lineRule="auto"/>
              <w:jc w:val="center"/>
              <w:rPr>
                <w:rFonts w:ascii="Arial" w:hAnsi="Arial" w:cs="Arial"/>
                <w:sz w:val="24"/>
                <w:szCs w:val="24"/>
              </w:rPr>
            </w:pPr>
          </w:p>
          <w:p w:rsidR="00A60AB3" w:rsidRDefault="00A60AB3" w:rsidP="00A60AB3">
            <w:pPr>
              <w:spacing w:after="0" w:line="360" w:lineRule="auto"/>
              <w:jc w:val="center"/>
              <w:rPr>
                <w:rFonts w:ascii="Arial" w:hAnsi="Arial" w:cs="Arial"/>
                <w:sz w:val="24"/>
                <w:szCs w:val="24"/>
              </w:rPr>
            </w:pPr>
            <w:r>
              <w:rPr>
                <w:rFonts w:ascii="Arial" w:hAnsi="Arial" w:cs="Arial"/>
                <w:sz w:val="24"/>
                <w:szCs w:val="24"/>
              </w:rPr>
              <w:t xml:space="preserve">D </w:t>
            </w:r>
            <w:proofErr w:type="spellStart"/>
            <w:r>
              <w:rPr>
                <w:rFonts w:ascii="Arial" w:hAnsi="Arial" w:cs="Arial"/>
                <w:sz w:val="24"/>
                <w:szCs w:val="24"/>
              </w:rPr>
              <w:t>Quickfall</w:t>
            </w:r>
            <w:proofErr w:type="spellEnd"/>
            <w:r>
              <w:rPr>
                <w:rFonts w:ascii="Arial" w:hAnsi="Arial" w:cs="Arial"/>
                <w:sz w:val="24"/>
                <w:szCs w:val="24"/>
              </w:rPr>
              <w:t xml:space="preserve"> </w:t>
            </w:r>
          </w:p>
          <w:p w:rsidR="00A60AB3" w:rsidRPr="002857CC" w:rsidRDefault="00A60AB3" w:rsidP="00A60AB3">
            <w:pPr>
              <w:spacing w:after="0" w:line="360" w:lineRule="auto"/>
              <w:jc w:val="center"/>
              <w:rPr>
                <w:rFonts w:ascii="Arial" w:hAnsi="Arial" w:cs="Arial"/>
                <w:sz w:val="24"/>
                <w:szCs w:val="24"/>
              </w:rPr>
            </w:pPr>
            <w:r>
              <w:rPr>
                <w:rFonts w:ascii="Arial" w:hAnsi="Arial" w:cs="Arial"/>
                <w:sz w:val="24"/>
                <w:szCs w:val="24"/>
              </w:rPr>
              <w:t xml:space="preserve">Instructed by </w:t>
            </w:r>
            <w:r w:rsidRPr="002857CC">
              <w:rPr>
                <w:rFonts w:ascii="Arial" w:hAnsi="Arial" w:cs="Arial"/>
                <w:sz w:val="24"/>
                <w:szCs w:val="24"/>
              </w:rPr>
              <w:t xml:space="preserve">W Van </w:t>
            </w:r>
            <w:proofErr w:type="spellStart"/>
            <w:r w:rsidRPr="002857CC">
              <w:rPr>
                <w:rFonts w:ascii="Arial" w:hAnsi="Arial" w:cs="Arial"/>
                <w:sz w:val="24"/>
                <w:szCs w:val="24"/>
              </w:rPr>
              <w:t>Greunen</w:t>
            </w:r>
            <w:proofErr w:type="spellEnd"/>
          </w:p>
          <w:p w:rsidR="00A60AB3" w:rsidRPr="002857CC" w:rsidRDefault="00A60AB3" w:rsidP="00A60AB3">
            <w:pPr>
              <w:spacing w:after="0" w:line="360" w:lineRule="auto"/>
              <w:jc w:val="center"/>
              <w:rPr>
                <w:rFonts w:ascii="Arial" w:hAnsi="Arial" w:cs="Arial"/>
                <w:sz w:val="24"/>
                <w:szCs w:val="24"/>
              </w:rPr>
            </w:pPr>
            <w:proofErr w:type="spellStart"/>
            <w:r w:rsidRPr="002857CC">
              <w:rPr>
                <w:rFonts w:ascii="Arial" w:hAnsi="Arial" w:cs="Arial"/>
                <w:sz w:val="24"/>
                <w:szCs w:val="24"/>
              </w:rPr>
              <w:t>Köpplinger</w:t>
            </w:r>
            <w:proofErr w:type="spellEnd"/>
            <w:r w:rsidRPr="002857CC">
              <w:rPr>
                <w:rFonts w:ascii="Arial" w:hAnsi="Arial" w:cs="Arial"/>
                <w:sz w:val="24"/>
                <w:szCs w:val="24"/>
              </w:rPr>
              <w:t xml:space="preserve"> </w:t>
            </w:r>
            <w:proofErr w:type="spellStart"/>
            <w:r w:rsidRPr="002857CC">
              <w:rPr>
                <w:rFonts w:ascii="Arial" w:hAnsi="Arial" w:cs="Arial"/>
                <w:sz w:val="24"/>
                <w:szCs w:val="24"/>
              </w:rPr>
              <w:t>Boltman</w:t>
            </w:r>
            <w:proofErr w:type="spellEnd"/>
          </w:p>
          <w:p w:rsidR="00BC70B7" w:rsidRPr="002947C2" w:rsidRDefault="00A60AB3" w:rsidP="00A60AB3">
            <w:pPr>
              <w:spacing w:after="0" w:line="360" w:lineRule="auto"/>
              <w:jc w:val="center"/>
              <w:rPr>
                <w:rFonts w:ascii="Arial" w:eastAsia="Times New Roman" w:hAnsi="Arial" w:cs="Arial"/>
                <w:sz w:val="24"/>
                <w:szCs w:val="24"/>
                <w:lang w:eastAsia="en-GB"/>
              </w:rPr>
            </w:pPr>
            <w:r w:rsidRPr="002857CC">
              <w:rPr>
                <w:rFonts w:ascii="Arial" w:hAnsi="Arial" w:cs="Arial"/>
                <w:sz w:val="24"/>
                <w:szCs w:val="24"/>
              </w:rPr>
              <w:t>Windhoek</w:t>
            </w:r>
          </w:p>
        </w:tc>
        <w:tc>
          <w:tcPr>
            <w:tcW w:w="5245" w:type="dxa"/>
            <w:gridSpan w:val="2"/>
            <w:tcBorders>
              <w:top w:val="single" w:sz="4" w:space="0" w:color="auto"/>
              <w:left w:val="single" w:sz="4" w:space="0" w:color="auto"/>
              <w:bottom w:val="single" w:sz="4" w:space="0" w:color="auto"/>
              <w:right w:val="single" w:sz="4" w:space="0" w:color="auto"/>
            </w:tcBorders>
          </w:tcPr>
          <w:p w:rsidR="005B7BF9" w:rsidRPr="002947C2" w:rsidRDefault="005B7BF9" w:rsidP="00FD3909">
            <w:pPr>
              <w:spacing w:after="0" w:line="360" w:lineRule="auto"/>
              <w:jc w:val="center"/>
              <w:rPr>
                <w:rFonts w:ascii="Arial" w:eastAsia="Times New Roman" w:hAnsi="Arial" w:cs="Arial"/>
                <w:sz w:val="24"/>
                <w:szCs w:val="24"/>
                <w:lang w:eastAsia="en-GB"/>
              </w:rPr>
            </w:pPr>
          </w:p>
          <w:p w:rsidR="00A60AB3" w:rsidRDefault="00A60AB3" w:rsidP="00A60AB3">
            <w:pPr>
              <w:spacing w:after="0" w:line="360" w:lineRule="auto"/>
              <w:jc w:val="center"/>
              <w:rPr>
                <w:rFonts w:ascii="Arial" w:hAnsi="Arial" w:cs="Arial"/>
                <w:sz w:val="24"/>
                <w:szCs w:val="24"/>
              </w:rPr>
            </w:pPr>
            <w:r>
              <w:rPr>
                <w:rFonts w:ascii="Arial" w:hAnsi="Arial" w:cs="Arial"/>
                <w:sz w:val="24"/>
                <w:szCs w:val="24"/>
              </w:rPr>
              <w:t xml:space="preserve">L </w:t>
            </w:r>
            <w:proofErr w:type="spellStart"/>
            <w:r>
              <w:rPr>
                <w:rFonts w:ascii="Arial" w:hAnsi="Arial" w:cs="Arial"/>
                <w:sz w:val="24"/>
                <w:szCs w:val="24"/>
              </w:rPr>
              <w:t>Ihalwa</w:t>
            </w:r>
            <w:proofErr w:type="spellEnd"/>
          </w:p>
          <w:p w:rsidR="00A60AB3" w:rsidRPr="002857CC" w:rsidRDefault="00A60AB3" w:rsidP="00A60AB3">
            <w:pPr>
              <w:spacing w:after="0" w:line="360" w:lineRule="auto"/>
              <w:jc w:val="center"/>
              <w:rPr>
                <w:rFonts w:ascii="Arial" w:hAnsi="Arial" w:cs="Arial"/>
                <w:sz w:val="24"/>
                <w:szCs w:val="24"/>
              </w:rPr>
            </w:pPr>
            <w:r>
              <w:rPr>
                <w:rFonts w:ascii="Arial" w:hAnsi="Arial" w:cs="Arial"/>
                <w:sz w:val="24"/>
                <w:szCs w:val="24"/>
              </w:rPr>
              <w:t xml:space="preserve">Instructed by </w:t>
            </w:r>
            <w:r w:rsidRPr="002857CC">
              <w:rPr>
                <w:rFonts w:ascii="Arial" w:hAnsi="Arial" w:cs="Arial"/>
                <w:sz w:val="24"/>
                <w:szCs w:val="24"/>
              </w:rPr>
              <w:t>T</w:t>
            </w:r>
            <w:r>
              <w:rPr>
                <w:rFonts w:ascii="Arial" w:hAnsi="Arial" w:cs="Arial"/>
                <w:sz w:val="24"/>
                <w:szCs w:val="24"/>
              </w:rPr>
              <w:t xml:space="preserve"> </w:t>
            </w:r>
            <w:proofErr w:type="spellStart"/>
            <w:r w:rsidRPr="002857CC">
              <w:rPr>
                <w:rFonts w:ascii="Arial" w:hAnsi="Arial" w:cs="Arial"/>
                <w:sz w:val="24"/>
                <w:szCs w:val="24"/>
              </w:rPr>
              <w:t>Iileka-Amupanda</w:t>
            </w:r>
            <w:proofErr w:type="spellEnd"/>
          </w:p>
          <w:p w:rsidR="00A60AB3" w:rsidRDefault="00A60AB3" w:rsidP="00A60AB3">
            <w:pPr>
              <w:spacing w:after="0" w:line="360" w:lineRule="auto"/>
              <w:jc w:val="center"/>
              <w:rPr>
                <w:rFonts w:ascii="Arial" w:hAnsi="Arial" w:cs="Arial"/>
                <w:sz w:val="24"/>
                <w:szCs w:val="24"/>
              </w:rPr>
            </w:pPr>
            <w:proofErr w:type="spellStart"/>
            <w:r>
              <w:rPr>
                <w:rFonts w:ascii="Arial" w:hAnsi="Arial" w:cs="Arial"/>
                <w:sz w:val="24"/>
                <w:szCs w:val="24"/>
              </w:rPr>
              <w:t>Sisa</w:t>
            </w:r>
            <w:proofErr w:type="spellEnd"/>
            <w:r>
              <w:rPr>
                <w:rFonts w:ascii="Arial" w:hAnsi="Arial" w:cs="Arial"/>
                <w:sz w:val="24"/>
                <w:szCs w:val="24"/>
              </w:rPr>
              <w:t xml:space="preserve"> Namandje &amp; Co. Inc.</w:t>
            </w:r>
          </w:p>
          <w:p w:rsidR="002857CC" w:rsidRPr="002947C2" w:rsidRDefault="00A60AB3" w:rsidP="00A60AB3">
            <w:pPr>
              <w:spacing w:after="0" w:line="360" w:lineRule="auto"/>
              <w:jc w:val="center"/>
              <w:rPr>
                <w:rFonts w:ascii="Arial" w:eastAsia="Times New Roman" w:hAnsi="Arial" w:cs="Arial"/>
                <w:sz w:val="24"/>
                <w:szCs w:val="24"/>
                <w:lang w:eastAsia="en-GB"/>
              </w:rPr>
            </w:pPr>
            <w:r>
              <w:rPr>
                <w:rFonts w:ascii="Arial" w:hAnsi="Arial" w:cs="Arial"/>
                <w:sz w:val="24"/>
                <w:szCs w:val="24"/>
              </w:rPr>
              <w:t>Windhoek</w:t>
            </w:r>
          </w:p>
        </w:tc>
      </w:tr>
    </w:tbl>
    <w:p w:rsidR="007D437D" w:rsidRPr="00571F92" w:rsidRDefault="007D437D" w:rsidP="00782F03">
      <w:pPr>
        <w:spacing w:after="0" w:line="360" w:lineRule="auto"/>
        <w:jc w:val="both"/>
        <w:rPr>
          <w:rFonts w:ascii="Arial" w:hAnsi="Arial" w:cs="Arial"/>
          <w:sz w:val="24"/>
          <w:szCs w:val="24"/>
        </w:rPr>
      </w:pPr>
    </w:p>
    <w:sectPr w:rsidR="007D437D" w:rsidRPr="00571F92"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D66" w:rsidRDefault="008E0D66" w:rsidP="001B7253">
      <w:pPr>
        <w:spacing w:after="0" w:line="240" w:lineRule="auto"/>
      </w:pPr>
      <w:r>
        <w:separator/>
      </w:r>
    </w:p>
  </w:endnote>
  <w:endnote w:type="continuationSeparator" w:id="0">
    <w:p w:rsidR="008E0D66" w:rsidRDefault="008E0D66"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D66" w:rsidRDefault="008E0D66" w:rsidP="001B7253">
      <w:pPr>
        <w:spacing w:after="0" w:line="240" w:lineRule="auto"/>
      </w:pPr>
      <w:r>
        <w:separator/>
      </w:r>
    </w:p>
  </w:footnote>
  <w:footnote w:type="continuationSeparator" w:id="0">
    <w:p w:rsidR="008E0D66" w:rsidRDefault="008E0D66" w:rsidP="001B7253">
      <w:pPr>
        <w:spacing w:after="0" w:line="240" w:lineRule="auto"/>
      </w:pPr>
      <w:r>
        <w:continuationSeparator/>
      </w:r>
    </w:p>
  </w:footnote>
  <w:footnote w:id="1">
    <w:p w:rsidR="00A60AB3" w:rsidRPr="00426353" w:rsidRDefault="00A60AB3" w:rsidP="00A60AB3">
      <w:pPr>
        <w:pStyle w:val="FootnoteText"/>
        <w:jc w:val="both"/>
        <w:rPr>
          <w:rFonts w:ascii="Arial" w:hAnsi="Arial" w:cs="Arial"/>
          <w:lang w:val="en-US"/>
        </w:rPr>
      </w:pPr>
      <w:r w:rsidRPr="00426353">
        <w:rPr>
          <w:rStyle w:val="FootnoteReference"/>
          <w:rFonts w:ascii="Arial" w:hAnsi="Arial" w:cs="Arial"/>
        </w:rPr>
        <w:footnoteRef/>
      </w:r>
      <w:r w:rsidRPr="00426353">
        <w:rPr>
          <w:rFonts w:ascii="Arial" w:hAnsi="Arial" w:cs="Arial"/>
        </w:rPr>
        <w:t xml:space="preserve"> Clause 3.1 requires the respondent to pay rental while in occupation of the premises. Clause 8 requires the applicant’s written consent before any alterations or additions may be made to the premises. Clause 16 specifies the rights and obligations in case of default by the lessee, in this case, the respondent. Clause 20 is the ordinary ‘no relaxation or waiver’ clause. And clause 21 is the ‘Whole Agreement’ clause. After the normal provision that the written lease agreement contains all the terms and conditions of the parties’ agreement, the clause concludes with this sentence: ‘No alteration or variation of the terms of this Lease or any alleged cancellation by mutual consent shall be of any force or effect unless reduced to writing and signed by the Lessor and the Lessee or any person duly authorised thereto in writing by them.’</w:t>
      </w:r>
    </w:p>
  </w:footnote>
  <w:footnote w:id="2">
    <w:p w:rsidR="00A60AB3" w:rsidRPr="00426353" w:rsidRDefault="00A60AB3" w:rsidP="00A60AB3">
      <w:pPr>
        <w:pStyle w:val="FootnoteText"/>
        <w:jc w:val="both"/>
        <w:rPr>
          <w:rFonts w:ascii="Arial" w:hAnsi="Arial" w:cs="Arial"/>
          <w:lang w:val="en-US"/>
        </w:rPr>
      </w:pPr>
      <w:r w:rsidRPr="00426353">
        <w:rPr>
          <w:rStyle w:val="FootnoteReference"/>
          <w:rFonts w:ascii="Arial" w:hAnsi="Arial" w:cs="Arial"/>
        </w:rPr>
        <w:footnoteRef/>
      </w:r>
      <w:r w:rsidRPr="00426353">
        <w:rPr>
          <w:rFonts w:ascii="Arial" w:hAnsi="Arial" w:cs="Arial"/>
        </w:rPr>
        <w:t xml:space="preserve"> </w:t>
      </w:r>
      <w:r w:rsidRPr="00211400">
        <w:rPr>
          <w:rFonts w:ascii="Arial" w:hAnsi="Arial" w:cs="Arial"/>
          <w:i/>
          <w:iCs/>
        </w:rPr>
        <w:t xml:space="preserve">Di </w:t>
      </w:r>
      <w:proofErr w:type="spellStart"/>
      <w:r w:rsidRPr="00211400">
        <w:rPr>
          <w:rFonts w:ascii="Arial" w:hAnsi="Arial" w:cs="Arial"/>
          <w:i/>
          <w:iCs/>
        </w:rPr>
        <w:t>Savino</w:t>
      </w:r>
      <w:proofErr w:type="spellEnd"/>
      <w:r w:rsidRPr="00211400">
        <w:rPr>
          <w:rFonts w:ascii="Arial" w:hAnsi="Arial" w:cs="Arial"/>
          <w:i/>
          <w:iCs/>
        </w:rPr>
        <w:t xml:space="preserve"> v Nedbank Namibia Ltd</w:t>
      </w:r>
      <w:r w:rsidRPr="00211400">
        <w:rPr>
          <w:rFonts w:ascii="Arial" w:hAnsi="Arial" w:cs="Arial"/>
        </w:rPr>
        <w:t xml:space="preserve"> </w:t>
      </w:r>
      <w:r w:rsidRPr="00426353">
        <w:rPr>
          <w:rFonts w:ascii="Arial" w:hAnsi="Arial" w:cs="Arial"/>
        </w:rPr>
        <w:t xml:space="preserve">2012 (2) NR 507 (SC) paras 25 </w:t>
      </w:r>
      <w:r>
        <w:rPr>
          <w:rFonts w:ascii="Arial" w:hAnsi="Arial" w:cs="Arial"/>
        </w:rPr>
        <w:t>–</w:t>
      </w:r>
      <w:r w:rsidRPr="00426353">
        <w:rPr>
          <w:rFonts w:ascii="Arial" w:hAnsi="Arial" w:cs="Arial"/>
        </w:rPr>
        <w:t xml:space="preserve"> 28</w:t>
      </w:r>
      <w:r>
        <w:rPr>
          <w:rFonts w:ascii="Arial" w:hAnsi="Arial" w:cs="Arial"/>
        </w:rPr>
        <w:t>.</w:t>
      </w:r>
    </w:p>
  </w:footnote>
  <w:footnote w:id="3">
    <w:p w:rsidR="00A60AB3" w:rsidRPr="00426353" w:rsidRDefault="00A60AB3" w:rsidP="00A60AB3">
      <w:pPr>
        <w:pStyle w:val="FootnoteText"/>
        <w:jc w:val="both"/>
        <w:rPr>
          <w:rFonts w:ascii="Arial" w:hAnsi="Arial" w:cs="Arial"/>
          <w:lang w:val="en-US"/>
        </w:rPr>
      </w:pPr>
      <w:r w:rsidRPr="00426353">
        <w:rPr>
          <w:rStyle w:val="FootnoteReference"/>
          <w:rFonts w:ascii="Arial" w:hAnsi="Arial" w:cs="Arial"/>
        </w:rPr>
        <w:footnoteRef/>
      </w:r>
      <w:r w:rsidRPr="00426353">
        <w:rPr>
          <w:rFonts w:ascii="Arial" w:hAnsi="Arial" w:cs="Arial"/>
        </w:rPr>
        <w:t xml:space="preserve"> </w:t>
      </w:r>
      <w:r w:rsidRPr="00211400">
        <w:rPr>
          <w:rFonts w:ascii="Arial" w:hAnsi="Arial" w:cs="Arial"/>
          <w:i/>
          <w:iCs/>
        </w:rPr>
        <w:t>Fair Play Nam Investments (Pty) Ltd v Standard Bank Namibia Limited</w:t>
      </w:r>
      <w:r w:rsidRPr="00211400">
        <w:rPr>
          <w:rFonts w:ascii="Arial" w:hAnsi="Arial" w:cs="Arial"/>
        </w:rPr>
        <w:t xml:space="preserve"> </w:t>
      </w:r>
      <w:r w:rsidRPr="00426353">
        <w:rPr>
          <w:rFonts w:ascii="Arial" w:hAnsi="Arial" w:cs="Arial"/>
        </w:rPr>
        <w:t>(I 3664-2012) [2013] NAHCMD 227 (30 July 2013) paras 7 – 9 and 12</w:t>
      </w:r>
      <w:r>
        <w:rPr>
          <w:rFonts w:ascii="Arial" w:hAnsi="Arial" w:cs="Arial"/>
        </w:rPr>
        <w:t>.</w:t>
      </w:r>
    </w:p>
  </w:footnote>
  <w:footnote w:id="4">
    <w:p w:rsidR="00A60AB3" w:rsidRPr="00DA5E3B" w:rsidRDefault="00A60AB3" w:rsidP="00A60AB3">
      <w:pPr>
        <w:pStyle w:val="FootnoteText"/>
        <w:rPr>
          <w:lang w:val="en-US"/>
        </w:rPr>
      </w:pPr>
      <w:r>
        <w:rPr>
          <w:rStyle w:val="FootnoteReference"/>
        </w:rPr>
        <w:footnoteRef/>
      </w:r>
      <w:r>
        <w:t xml:space="preserve"> </w:t>
      </w:r>
      <w:r w:rsidRPr="004B5EF1">
        <w:rPr>
          <w:i/>
          <w:iCs/>
        </w:rPr>
        <w:t>South Africa Poultry Association and Others v Ministry of Trade and Industry and Others</w:t>
      </w:r>
      <w:r w:rsidRPr="004B5EF1">
        <w:t xml:space="preserve"> (A 94/2014)[2014] NAHCMD 331 (7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09046637"/>
      <w:docPartObj>
        <w:docPartGallery w:val="Page Numbers (Top of Page)"/>
        <w:docPartUnique/>
      </w:docPartObj>
    </w:sdtPr>
    <w:sdtEndPr>
      <w:rPr>
        <w:noProof/>
      </w:rPr>
    </w:sdtEndPr>
    <w:sdtContent>
      <w:p w:rsidR="00186830" w:rsidRPr="00667ED0" w:rsidRDefault="00186830">
        <w:pPr>
          <w:pStyle w:val="Header"/>
          <w:jc w:val="right"/>
          <w:rPr>
            <w:rFonts w:ascii="Arial" w:hAnsi="Arial" w:cs="Arial"/>
          </w:rPr>
        </w:pPr>
        <w:r w:rsidRPr="00667ED0">
          <w:rPr>
            <w:rFonts w:ascii="Arial" w:hAnsi="Arial" w:cs="Arial"/>
          </w:rPr>
          <w:fldChar w:fldCharType="begin"/>
        </w:r>
        <w:r w:rsidRPr="00667ED0">
          <w:rPr>
            <w:rFonts w:ascii="Arial" w:hAnsi="Arial" w:cs="Arial"/>
          </w:rPr>
          <w:instrText xml:space="preserve"> PAGE   \* MERGEFORMAT </w:instrText>
        </w:r>
        <w:r w:rsidRPr="00667ED0">
          <w:rPr>
            <w:rFonts w:ascii="Arial" w:hAnsi="Arial" w:cs="Arial"/>
          </w:rPr>
          <w:fldChar w:fldCharType="separate"/>
        </w:r>
        <w:r w:rsidR="00ED6B64">
          <w:rPr>
            <w:rFonts w:ascii="Arial" w:hAnsi="Arial" w:cs="Arial"/>
            <w:noProof/>
          </w:rPr>
          <w:t>2</w:t>
        </w:r>
        <w:r w:rsidRPr="00667ED0">
          <w:rPr>
            <w:rFonts w:ascii="Arial" w:hAnsi="Arial" w:cs="Arial"/>
            <w:noProof/>
          </w:rPr>
          <w:fldChar w:fldCharType="end"/>
        </w:r>
      </w:p>
    </w:sdtContent>
  </w:sdt>
  <w:p w:rsidR="0018255E" w:rsidRPr="00667ED0" w:rsidRDefault="0018255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B6E73D6"/>
    <w:lvl w:ilvl="0">
      <w:start w:val="1"/>
      <w:numFmt w:val="decimal"/>
      <w:pStyle w:val="Heading1"/>
      <w:lvlText w:val="%1."/>
      <w:legacy w:legacy="1" w:legacySpace="0" w:legacyIndent="737"/>
      <w:lvlJc w:val="left"/>
      <w:pPr>
        <w:ind w:left="737" w:hanging="737"/>
      </w:pPr>
      <w:rPr>
        <w:i w:val="0"/>
        <w:iCs w:val="0"/>
      </w:rPr>
    </w:lvl>
    <w:lvl w:ilvl="1">
      <w:start w:val="1"/>
      <w:numFmt w:val="decimal"/>
      <w:lvlText w:val="%1.%2."/>
      <w:legacy w:legacy="1" w:legacySpace="0" w:legacyIndent="720"/>
      <w:lvlJc w:val="left"/>
      <w:pPr>
        <w:ind w:left="1457" w:hanging="720"/>
      </w:pPr>
    </w:lvl>
    <w:lvl w:ilvl="2">
      <w:start w:val="1"/>
      <w:numFmt w:val="decimal"/>
      <w:pStyle w:val="Heading3"/>
      <w:lvlText w:val="%1.%2.%3."/>
      <w:legacy w:legacy="1" w:legacySpace="0" w:legacyIndent="720"/>
      <w:lvlJc w:val="left"/>
      <w:pPr>
        <w:ind w:left="2177" w:hanging="720"/>
      </w:pPr>
    </w:lvl>
    <w:lvl w:ilvl="3">
      <w:start w:val="1"/>
      <w:numFmt w:val="decimal"/>
      <w:pStyle w:val="Heading4"/>
      <w:lvlText w:val="%1.%2.%3.%4."/>
      <w:legacy w:legacy="1" w:legacySpace="0" w:legacyIndent="720"/>
      <w:lvlJc w:val="left"/>
      <w:pPr>
        <w:ind w:left="2897" w:hanging="720"/>
      </w:pPr>
    </w:lvl>
    <w:lvl w:ilvl="4">
      <w:start w:val="1"/>
      <w:numFmt w:val="decimal"/>
      <w:pStyle w:val="Heading5"/>
      <w:lvlText w:val="%1.%2.%3.%4.%5."/>
      <w:legacy w:legacy="1" w:legacySpace="0" w:legacyIndent="720"/>
      <w:lvlJc w:val="left"/>
      <w:pPr>
        <w:ind w:left="3617" w:hanging="720"/>
      </w:pPr>
    </w:lvl>
    <w:lvl w:ilvl="5">
      <w:start w:val="1"/>
      <w:numFmt w:val="decimal"/>
      <w:pStyle w:val="Heading6"/>
      <w:lvlText w:val="%1.%2.%3.%4.%5.%6."/>
      <w:legacy w:legacy="1" w:legacySpace="0" w:legacyIndent="720"/>
      <w:lvlJc w:val="left"/>
      <w:pPr>
        <w:ind w:left="4337" w:hanging="720"/>
      </w:pPr>
    </w:lvl>
    <w:lvl w:ilvl="6">
      <w:start w:val="1"/>
      <w:numFmt w:val="decimal"/>
      <w:pStyle w:val="Heading7"/>
      <w:lvlText w:val="%1.%2.%3.%4.%5.%6.%7."/>
      <w:legacy w:legacy="1" w:legacySpace="0" w:legacyIndent="720"/>
      <w:lvlJc w:val="left"/>
      <w:pPr>
        <w:ind w:left="5057" w:hanging="720"/>
      </w:pPr>
    </w:lvl>
    <w:lvl w:ilvl="7">
      <w:start w:val="1"/>
      <w:numFmt w:val="decimal"/>
      <w:pStyle w:val="Heading8"/>
      <w:lvlText w:val="%1.%2.%3.%4.%5.%6.%7.%8."/>
      <w:legacy w:legacy="1" w:legacySpace="0" w:legacyIndent="720"/>
      <w:lvlJc w:val="left"/>
      <w:pPr>
        <w:ind w:left="5777" w:hanging="720"/>
      </w:pPr>
    </w:lvl>
    <w:lvl w:ilvl="8">
      <w:start w:val="1"/>
      <w:numFmt w:val="decimal"/>
      <w:pStyle w:val="Heading9"/>
      <w:lvlText w:val="%1.%2.%3.%4.%5.%6.%7.%8.%9."/>
      <w:legacy w:legacy="1" w:legacySpace="0" w:legacyIndent="720"/>
      <w:lvlJc w:val="left"/>
      <w:pPr>
        <w:ind w:left="6497" w:hanging="720"/>
      </w:pPr>
    </w:lvl>
  </w:abstractNum>
  <w:abstractNum w:abstractNumId="1" w15:restartNumberingAfterBreak="0">
    <w:nsid w:val="03B2722A"/>
    <w:multiLevelType w:val="hybridMultilevel"/>
    <w:tmpl w:val="95FC6B1C"/>
    <w:lvl w:ilvl="0" w:tplc="023613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0A04CB"/>
    <w:multiLevelType w:val="hybridMultilevel"/>
    <w:tmpl w:val="989E944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15BA9"/>
    <w:multiLevelType w:val="hybridMultilevel"/>
    <w:tmpl w:val="4ED2358E"/>
    <w:lvl w:ilvl="0" w:tplc="DF0EA45C">
      <w:start w:val="1"/>
      <w:numFmt w:val="lowerLetter"/>
      <w:pStyle w:val="Heading2"/>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4" w15:restartNumberingAfterBreak="0">
    <w:nsid w:val="13DF0AB9"/>
    <w:multiLevelType w:val="hybridMultilevel"/>
    <w:tmpl w:val="F07EBB70"/>
    <w:lvl w:ilvl="0" w:tplc="93688A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D143E4"/>
    <w:multiLevelType w:val="hybridMultilevel"/>
    <w:tmpl w:val="22A44124"/>
    <w:lvl w:ilvl="0" w:tplc="5C081486">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A0696A"/>
    <w:multiLevelType w:val="hybridMultilevel"/>
    <w:tmpl w:val="48962D62"/>
    <w:lvl w:ilvl="0" w:tplc="587268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0F7A8B"/>
    <w:multiLevelType w:val="hybridMultilevel"/>
    <w:tmpl w:val="989E944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B1959"/>
    <w:multiLevelType w:val="hybridMultilevel"/>
    <w:tmpl w:val="A010F61A"/>
    <w:lvl w:ilvl="0" w:tplc="5576F0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BA2CB4"/>
    <w:multiLevelType w:val="hybridMultilevel"/>
    <w:tmpl w:val="CF163D64"/>
    <w:lvl w:ilvl="0" w:tplc="13CE3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67AB0"/>
    <w:multiLevelType w:val="hybridMultilevel"/>
    <w:tmpl w:val="2F3EA4DC"/>
    <w:lvl w:ilvl="0" w:tplc="83EED2F8">
      <w:start w:val="1"/>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6D360F20"/>
    <w:multiLevelType w:val="hybridMultilevel"/>
    <w:tmpl w:val="BD4819DE"/>
    <w:lvl w:ilvl="0" w:tplc="C8B2FACA">
      <w:start w:val="1"/>
      <w:numFmt w:val="lowerLetter"/>
      <w:lvlText w:val="(%1)"/>
      <w:lvlJc w:val="left"/>
      <w:pPr>
        <w:ind w:left="720" w:hanging="360"/>
      </w:pPr>
      <w:rPr>
        <w:rFonts w:ascii="Arial" w:eastAsiaTheme="minorHAnsi" w:hAnsi="Arial" w:cs="Arial"/>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6609E"/>
    <w:multiLevelType w:val="hybridMultilevel"/>
    <w:tmpl w:val="619AB3C8"/>
    <w:lvl w:ilvl="0" w:tplc="B44E94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C76A3F"/>
    <w:multiLevelType w:val="hybridMultilevel"/>
    <w:tmpl w:val="F22AC82E"/>
    <w:lvl w:ilvl="0" w:tplc="F410C5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0"/>
  </w:num>
  <w:num w:numId="3">
    <w:abstractNumId w:val="1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4"/>
  </w:num>
  <w:num w:numId="9">
    <w:abstractNumId w:val="9"/>
  </w:num>
  <w:num w:numId="10">
    <w:abstractNumId w:val="0"/>
  </w:num>
  <w:num w:numId="11">
    <w:abstractNumId w:val="12"/>
  </w:num>
  <w:num w:numId="12">
    <w:abstractNumId w:val="13"/>
  </w:num>
  <w:num w:numId="13">
    <w:abstractNumId w:val="6"/>
  </w:num>
  <w:num w:numId="14">
    <w:abstractNumId w:val="3"/>
  </w:num>
  <w:num w:numId="15">
    <w:abstractNumId w:val="3"/>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D6"/>
    <w:rsid w:val="000021ED"/>
    <w:rsid w:val="000047CE"/>
    <w:rsid w:val="00004A32"/>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387E"/>
    <w:rsid w:val="00034731"/>
    <w:rsid w:val="00034D09"/>
    <w:rsid w:val="00034E0E"/>
    <w:rsid w:val="00035653"/>
    <w:rsid w:val="00037117"/>
    <w:rsid w:val="00041472"/>
    <w:rsid w:val="00042EA7"/>
    <w:rsid w:val="00042F22"/>
    <w:rsid w:val="00043118"/>
    <w:rsid w:val="0004448A"/>
    <w:rsid w:val="000460E6"/>
    <w:rsid w:val="00046828"/>
    <w:rsid w:val="00046C2D"/>
    <w:rsid w:val="00046F43"/>
    <w:rsid w:val="0005057A"/>
    <w:rsid w:val="000506A8"/>
    <w:rsid w:val="00050870"/>
    <w:rsid w:val="000517DB"/>
    <w:rsid w:val="00051B03"/>
    <w:rsid w:val="00051C93"/>
    <w:rsid w:val="00052C2C"/>
    <w:rsid w:val="00053282"/>
    <w:rsid w:val="000538D3"/>
    <w:rsid w:val="000539C3"/>
    <w:rsid w:val="000550BD"/>
    <w:rsid w:val="000552F2"/>
    <w:rsid w:val="00056483"/>
    <w:rsid w:val="00057043"/>
    <w:rsid w:val="0005710F"/>
    <w:rsid w:val="00057A76"/>
    <w:rsid w:val="000603EB"/>
    <w:rsid w:val="000613C9"/>
    <w:rsid w:val="00063100"/>
    <w:rsid w:val="00064295"/>
    <w:rsid w:val="00065F2B"/>
    <w:rsid w:val="000667E5"/>
    <w:rsid w:val="00066FC7"/>
    <w:rsid w:val="00067070"/>
    <w:rsid w:val="00067EAA"/>
    <w:rsid w:val="00070B64"/>
    <w:rsid w:val="000710C5"/>
    <w:rsid w:val="00072707"/>
    <w:rsid w:val="00073A81"/>
    <w:rsid w:val="0007416C"/>
    <w:rsid w:val="000744B4"/>
    <w:rsid w:val="00076407"/>
    <w:rsid w:val="00076ECA"/>
    <w:rsid w:val="00077093"/>
    <w:rsid w:val="00077120"/>
    <w:rsid w:val="000800AC"/>
    <w:rsid w:val="00081F90"/>
    <w:rsid w:val="00082BF0"/>
    <w:rsid w:val="000843D6"/>
    <w:rsid w:val="00084943"/>
    <w:rsid w:val="00085ABE"/>
    <w:rsid w:val="00090801"/>
    <w:rsid w:val="00091502"/>
    <w:rsid w:val="00091BA7"/>
    <w:rsid w:val="00092610"/>
    <w:rsid w:val="00096C84"/>
    <w:rsid w:val="00097237"/>
    <w:rsid w:val="000A06B3"/>
    <w:rsid w:val="000A3A1A"/>
    <w:rsid w:val="000A5BBF"/>
    <w:rsid w:val="000A745C"/>
    <w:rsid w:val="000B0270"/>
    <w:rsid w:val="000B1146"/>
    <w:rsid w:val="000B3303"/>
    <w:rsid w:val="000B3A5A"/>
    <w:rsid w:val="000C0092"/>
    <w:rsid w:val="000C34AC"/>
    <w:rsid w:val="000C422B"/>
    <w:rsid w:val="000C6039"/>
    <w:rsid w:val="000C613E"/>
    <w:rsid w:val="000C7826"/>
    <w:rsid w:val="000D0541"/>
    <w:rsid w:val="000D0F54"/>
    <w:rsid w:val="000D2FCC"/>
    <w:rsid w:val="000D5000"/>
    <w:rsid w:val="000D64A5"/>
    <w:rsid w:val="000D7A12"/>
    <w:rsid w:val="000E1CBE"/>
    <w:rsid w:val="000E243C"/>
    <w:rsid w:val="000E2630"/>
    <w:rsid w:val="000E2A69"/>
    <w:rsid w:val="000E2D0E"/>
    <w:rsid w:val="000E6026"/>
    <w:rsid w:val="000E6412"/>
    <w:rsid w:val="000E6CDD"/>
    <w:rsid w:val="000E75DA"/>
    <w:rsid w:val="000F06CE"/>
    <w:rsid w:val="000F17B2"/>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3363"/>
    <w:rsid w:val="001143FE"/>
    <w:rsid w:val="001149A9"/>
    <w:rsid w:val="00114A44"/>
    <w:rsid w:val="00114A59"/>
    <w:rsid w:val="00117E8C"/>
    <w:rsid w:val="0012197C"/>
    <w:rsid w:val="001229C9"/>
    <w:rsid w:val="00123FEC"/>
    <w:rsid w:val="0012460A"/>
    <w:rsid w:val="00124AFB"/>
    <w:rsid w:val="00125E9B"/>
    <w:rsid w:val="001269E8"/>
    <w:rsid w:val="00126DD8"/>
    <w:rsid w:val="00127D2C"/>
    <w:rsid w:val="0013113C"/>
    <w:rsid w:val="001315A5"/>
    <w:rsid w:val="001317F8"/>
    <w:rsid w:val="00131862"/>
    <w:rsid w:val="0013204A"/>
    <w:rsid w:val="00132F96"/>
    <w:rsid w:val="0013592A"/>
    <w:rsid w:val="00140142"/>
    <w:rsid w:val="00140773"/>
    <w:rsid w:val="00141CC7"/>
    <w:rsid w:val="00144A1D"/>
    <w:rsid w:val="00144CB3"/>
    <w:rsid w:val="001452AA"/>
    <w:rsid w:val="001456F7"/>
    <w:rsid w:val="0014629C"/>
    <w:rsid w:val="001469FD"/>
    <w:rsid w:val="00147D6E"/>
    <w:rsid w:val="00150F50"/>
    <w:rsid w:val="00150F5B"/>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4859"/>
    <w:rsid w:val="00165E35"/>
    <w:rsid w:val="001679AB"/>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095"/>
    <w:rsid w:val="00197A53"/>
    <w:rsid w:val="00197CA0"/>
    <w:rsid w:val="001A115C"/>
    <w:rsid w:val="001A2BBC"/>
    <w:rsid w:val="001A422D"/>
    <w:rsid w:val="001A4916"/>
    <w:rsid w:val="001A638B"/>
    <w:rsid w:val="001A7126"/>
    <w:rsid w:val="001A726E"/>
    <w:rsid w:val="001B0A52"/>
    <w:rsid w:val="001B1852"/>
    <w:rsid w:val="001B29B7"/>
    <w:rsid w:val="001B3B89"/>
    <w:rsid w:val="001B53AD"/>
    <w:rsid w:val="001B70F9"/>
    <w:rsid w:val="001B7253"/>
    <w:rsid w:val="001C011E"/>
    <w:rsid w:val="001C2B31"/>
    <w:rsid w:val="001C41EF"/>
    <w:rsid w:val="001C4267"/>
    <w:rsid w:val="001D389D"/>
    <w:rsid w:val="001D3D37"/>
    <w:rsid w:val="001D4627"/>
    <w:rsid w:val="001D5779"/>
    <w:rsid w:val="001D79F9"/>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5118"/>
    <w:rsid w:val="001F7F7F"/>
    <w:rsid w:val="002003C3"/>
    <w:rsid w:val="00201AD1"/>
    <w:rsid w:val="00203318"/>
    <w:rsid w:val="00204C8F"/>
    <w:rsid w:val="00204DFC"/>
    <w:rsid w:val="00205069"/>
    <w:rsid w:val="00205F86"/>
    <w:rsid w:val="00210487"/>
    <w:rsid w:val="00211364"/>
    <w:rsid w:val="00212028"/>
    <w:rsid w:val="00214BC6"/>
    <w:rsid w:val="002162B5"/>
    <w:rsid w:val="002169E6"/>
    <w:rsid w:val="00216B67"/>
    <w:rsid w:val="00216EF3"/>
    <w:rsid w:val="002176E3"/>
    <w:rsid w:val="002178B8"/>
    <w:rsid w:val="0022061C"/>
    <w:rsid w:val="00221819"/>
    <w:rsid w:val="00222311"/>
    <w:rsid w:val="00222602"/>
    <w:rsid w:val="00222F76"/>
    <w:rsid w:val="0022388C"/>
    <w:rsid w:val="002246DA"/>
    <w:rsid w:val="00224741"/>
    <w:rsid w:val="00224C90"/>
    <w:rsid w:val="00224D2B"/>
    <w:rsid w:val="002252C0"/>
    <w:rsid w:val="002258C0"/>
    <w:rsid w:val="00230105"/>
    <w:rsid w:val="00230524"/>
    <w:rsid w:val="00232D86"/>
    <w:rsid w:val="002336D3"/>
    <w:rsid w:val="0023542E"/>
    <w:rsid w:val="00236313"/>
    <w:rsid w:val="00236BF0"/>
    <w:rsid w:val="00236CA6"/>
    <w:rsid w:val="0023793B"/>
    <w:rsid w:val="00242A3F"/>
    <w:rsid w:val="00242CCD"/>
    <w:rsid w:val="00243F4F"/>
    <w:rsid w:val="00245214"/>
    <w:rsid w:val="00245581"/>
    <w:rsid w:val="00245751"/>
    <w:rsid w:val="002470BA"/>
    <w:rsid w:val="00247842"/>
    <w:rsid w:val="00247D93"/>
    <w:rsid w:val="00250266"/>
    <w:rsid w:val="002504A2"/>
    <w:rsid w:val="00250E18"/>
    <w:rsid w:val="00250ECF"/>
    <w:rsid w:val="0025126C"/>
    <w:rsid w:val="00251B3C"/>
    <w:rsid w:val="00252B21"/>
    <w:rsid w:val="00252F02"/>
    <w:rsid w:val="002533E1"/>
    <w:rsid w:val="00255107"/>
    <w:rsid w:val="0025711B"/>
    <w:rsid w:val="002603E6"/>
    <w:rsid w:val="002616D1"/>
    <w:rsid w:val="0026253B"/>
    <w:rsid w:val="0026521E"/>
    <w:rsid w:val="00271FA3"/>
    <w:rsid w:val="00272753"/>
    <w:rsid w:val="002748ED"/>
    <w:rsid w:val="00276467"/>
    <w:rsid w:val="0027648C"/>
    <w:rsid w:val="002805A9"/>
    <w:rsid w:val="00282608"/>
    <w:rsid w:val="002830C7"/>
    <w:rsid w:val="00284CCD"/>
    <w:rsid w:val="00285204"/>
    <w:rsid w:val="0028572E"/>
    <w:rsid w:val="002857CC"/>
    <w:rsid w:val="002860B4"/>
    <w:rsid w:val="002874E1"/>
    <w:rsid w:val="002904E9"/>
    <w:rsid w:val="0029067F"/>
    <w:rsid w:val="00291FE1"/>
    <w:rsid w:val="0029425A"/>
    <w:rsid w:val="002947C2"/>
    <w:rsid w:val="00296B44"/>
    <w:rsid w:val="002A1CA5"/>
    <w:rsid w:val="002A371B"/>
    <w:rsid w:val="002A37FF"/>
    <w:rsid w:val="002A4CAC"/>
    <w:rsid w:val="002A6ECF"/>
    <w:rsid w:val="002A70AA"/>
    <w:rsid w:val="002B2483"/>
    <w:rsid w:val="002B2C90"/>
    <w:rsid w:val="002B3711"/>
    <w:rsid w:val="002B5112"/>
    <w:rsid w:val="002B5480"/>
    <w:rsid w:val="002B79DA"/>
    <w:rsid w:val="002C438D"/>
    <w:rsid w:val="002C66E4"/>
    <w:rsid w:val="002C7469"/>
    <w:rsid w:val="002D0B26"/>
    <w:rsid w:val="002D48B0"/>
    <w:rsid w:val="002D4E11"/>
    <w:rsid w:val="002D6E55"/>
    <w:rsid w:val="002D75FC"/>
    <w:rsid w:val="002E26EB"/>
    <w:rsid w:val="002E386B"/>
    <w:rsid w:val="002E3FF2"/>
    <w:rsid w:val="002E417E"/>
    <w:rsid w:val="002E75E4"/>
    <w:rsid w:val="002F1008"/>
    <w:rsid w:val="002F1A20"/>
    <w:rsid w:val="002F3497"/>
    <w:rsid w:val="002F38C0"/>
    <w:rsid w:val="002F5DB0"/>
    <w:rsid w:val="002F72AF"/>
    <w:rsid w:val="002F7474"/>
    <w:rsid w:val="0030299F"/>
    <w:rsid w:val="00302CA5"/>
    <w:rsid w:val="00306FA8"/>
    <w:rsid w:val="00307087"/>
    <w:rsid w:val="003123C9"/>
    <w:rsid w:val="00313C3F"/>
    <w:rsid w:val="0031435F"/>
    <w:rsid w:val="00315D1F"/>
    <w:rsid w:val="00315F23"/>
    <w:rsid w:val="00316EB9"/>
    <w:rsid w:val="003171C8"/>
    <w:rsid w:val="00317404"/>
    <w:rsid w:val="00317783"/>
    <w:rsid w:val="0032006F"/>
    <w:rsid w:val="00323881"/>
    <w:rsid w:val="003246AB"/>
    <w:rsid w:val="00324950"/>
    <w:rsid w:val="003253E9"/>
    <w:rsid w:val="00325FEA"/>
    <w:rsid w:val="00327215"/>
    <w:rsid w:val="003323FC"/>
    <w:rsid w:val="00337409"/>
    <w:rsid w:val="0033780C"/>
    <w:rsid w:val="003412F2"/>
    <w:rsid w:val="00342263"/>
    <w:rsid w:val="00345E76"/>
    <w:rsid w:val="00351C2F"/>
    <w:rsid w:val="00351C8A"/>
    <w:rsid w:val="00353694"/>
    <w:rsid w:val="00357FF6"/>
    <w:rsid w:val="00360410"/>
    <w:rsid w:val="00361433"/>
    <w:rsid w:val="00361E37"/>
    <w:rsid w:val="00362A4A"/>
    <w:rsid w:val="00363112"/>
    <w:rsid w:val="003639DC"/>
    <w:rsid w:val="0036498D"/>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2DB"/>
    <w:rsid w:val="00390488"/>
    <w:rsid w:val="00391864"/>
    <w:rsid w:val="00393D7E"/>
    <w:rsid w:val="003952DB"/>
    <w:rsid w:val="00396184"/>
    <w:rsid w:val="00396EF0"/>
    <w:rsid w:val="003A0F0A"/>
    <w:rsid w:val="003A1238"/>
    <w:rsid w:val="003A5ABF"/>
    <w:rsid w:val="003A5CEA"/>
    <w:rsid w:val="003A5D52"/>
    <w:rsid w:val="003A6C7E"/>
    <w:rsid w:val="003A6D95"/>
    <w:rsid w:val="003A6FCB"/>
    <w:rsid w:val="003B1B87"/>
    <w:rsid w:val="003B621E"/>
    <w:rsid w:val="003B6F1A"/>
    <w:rsid w:val="003C2107"/>
    <w:rsid w:val="003C2346"/>
    <w:rsid w:val="003C293C"/>
    <w:rsid w:val="003C3970"/>
    <w:rsid w:val="003C4330"/>
    <w:rsid w:val="003C6699"/>
    <w:rsid w:val="003C6BF4"/>
    <w:rsid w:val="003C6EF9"/>
    <w:rsid w:val="003D067E"/>
    <w:rsid w:val="003D0F40"/>
    <w:rsid w:val="003D10F3"/>
    <w:rsid w:val="003D1908"/>
    <w:rsid w:val="003D46DC"/>
    <w:rsid w:val="003D64AC"/>
    <w:rsid w:val="003E0C66"/>
    <w:rsid w:val="003E1A64"/>
    <w:rsid w:val="003E2FE1"/>
    <w:rsid w:val="003E3DD0"/>
    <w:rsid w:val="003E407F"/>
    <w:rsid w:val="003E4525"/>
    <w:rsid w:val="003E4805"/>
    <w:rsid w:val="003E5CC9"/>
    <w:rsid w:val="003E5D2A"/>
    <w:rsid w:val="003E6279"/>
    <w:rsid w:val="003E69C8"/>
    <w:rsid w:val="003E6B22"/>
    <w:rsid w:val="003E6F31"/>
    <w:rsid w:val="003F006C"/>
    <w:rsid w:val="003F39B9"/>
    <w:rsid w:val="003F49A2"/>
    <w:rsid w:val="003F7423"/>
    <w:rsid w:val="00400D2C"/>
    <w:rsid w:val="00402402"/>
    <w:rsid w:val="004025BD"/>
    <w:rsid w:val="00403208"/>
    <w:rsid w:val="00405186"/>
    <w:rsid w:val="004055EE"/>
    <w:rsid w:val="00405A07"/>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0A83"/>
    <w:rsid w:val="0042105B"/>
    <w:rsid w:val="004211C2"/>
    <w:rsid w:val="00421B89"/>
    <w:rsid w:val="00422698"/>
    <w:rsid w:val="00422B8D"/>
    <w:rsid w:val="00422F45"/>
    <w:rsid w:val="00426353"/>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51752"/>
    <w:rsid w:val="00451FAB"/>
    <w:rsid w:val="00454294"/>
    <w:rsid w:val="00455B9A"/>
    <w:rsid w:val="00460777"/>
    <w:rsid w:val="0046091D"/>
    <w:rsid w:val="00460E3F"/>
    <w:rsid w:val="00461256"/>
    <w:rsid w:val="0046254D"/>
    <w:rsid w:val="0046315A"/>
    <w:rsid w:val="00463A32"/>
    <w:rsid w:val="00463AB9"/>
    <w:rsid w:val="00463F08"/>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1D44"/>
    <w:rsid w:val="00492257"/>
    <w:rsid w:val="00492AEC"/>
    <w:rsid w:val="00493E44"/>
    <w:rsid w:val="00494407"/>
    <w:rsid w:val="00494B38"/>
    <w:rsid w:val="0049512C"/>
    <w:rsid w:val="00495166"/>
    <w:rsid w:val="00495721"/>
    <w:rsid w:val="0049610C"/>
    <w:rsid w:val="00496688"/>
    <w:rsid w:val="00496D60"/>
    <w:rsid w:val="00497929"/>
    <w:rsid w:val="004A0DC2"/>
    <w:rsid w:val="004A13D3"/>
    <w:rsid w:val="004A1792"/>
    <w:rsid w:val="004A1E73"/>
    <w:rsid w:val="004A28AE"/>
    <w:rsid w:val="004A67DF"/>
    <w:rsid w:val="004B0128"/>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2C21"/>
    <w:rsid w:val="004C62D9"/>
    <w:rsid w:val="004C7439"/>
    <w:rsid w:val="004D01F2"/>
    <w:rsid w:val="004D0EC3"/>
    <w:rsid w:val="004D299A"/>
    <w:rsid w:val="004D3C02"/>
    <w:rsid w:val="004D4ABE"/>
    <w:rsid w:val="004D5DAA"/>
    <w:rsid w:val="004D7610"/>
    <w:rsid w:val="004E0BFD"/>
    <w:rsid w:val="004E1878"/>
    <w:rsid w:val="004E2406"/>
    <w:rsid w:val="004E38AF"/>
    <w:rsid w:val="004E39A5"/>
    <w:rsid w:val="004E46E2"/>
    <w:rsid w:val="004E51F3"/>
    <w:rsid w:val="004E5417"/>
    <w:rsid w:val="004E5869"/>
    <w:rsid w:val="004E587B"/>
    <w:rsid w:val="004E6B80"/>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05601"/>
    <w:rsid w:val="005065FC"/>
    <w:rsid w:val="005076E7"/>
    <w:rsid w:val="005107B4"/>
    <w:rsid w:val="00510959"/>
    <w:rsid w:val="00511F99"/>
    <w:rsid w:val="005143C3"/>
    <w:rsid w:val="005150F1"/>
    <w:rsid w:val="0051773B"/>
    <w:rsid w:val="00520B55"/>
    <w:rsid w:val="00522BF4"/>
    <w:rsid w:val="00522C3B"/>
    <w:rsid w:val="00525EBB"/>
    <w:rsid w:val="005272DF"/>
    <w:rsid w:val="005275C3"/>
    <w:rsid w:val="005275D2"/>
    <w:rsid w:val="00527891"/>
    <w:rsid w:val="00532E68"/>
    <w:rsid w:val="0053304F"/>
    <w:rsid w:val="00533147"/>
    <w:rsid w:val="005332F8"/>
    <w:rsid w:val="0053530A"/>
    <w:rsid w:val="0053625E"/>
    <w:rsid w:val="00537787"/>
    <w:rsid w:val="00542EED"/>
    <w:rsid w:val="005437EE"/>
    <w:rsid w:val="005440D6"/>
    <w:rsid w:val="00547CA0"/>
    <w:rsid w:val="00551A56"/>
    <w:rsid w:val="005522FA"/>
    <w:rsid w:val="00552E1D"/>
    <w:rsid w:val="00552E9E"/>
    <w:rsid w:val="005532CE"/>
    <w:rsid w:val="0055345F"/>
    <w:rsid w:val="00553568"/>
    <w:rsid w:val="00553AD2"/>
    <w:rsid w:val="00556581"/>
    <w:rsid w:val="00556B1D"/>
    <w:rsid w:val="00557321"/>
    <w:rsid w:val="00557568"/>
    <w:rsid w:val="00560775"/>
    <w:rsid w:val="00562186"/>
    <w:rsid w:val="0056591F"/>
    <w:rsid w:val="00566925"/>
    <w:rsid w:val="00566B2A"/>
    <w:rsid w:val="00567246"/>
    <w:rsid w:val="00570388"/>
    <w:rsid w:val="005717BD"/>
    <w:rsid w:val="00571F92"/>
    <w:rsid w:val="0057250A"/>
    <w:rsid w:val="00573027"/>
    <w:rsid w:val="00573C0B"/>
    <w:rsid w:val="005740D3"/>
    <w:rsid w:val="00574D66"/>
    <w:rsid w:val="00575EB5"/>
    <w:rsid w:val="0057732D"/>
    <w:rsid w:val="00581D8D"/>
    <w:rsid w:val="0058201B"/>
    <w:rsid w:val="005826A9"/>
    <w:rsid w:val="00582C58"/>
    <w:rsid w:val="005837C7"/>
    <w:rsid w:val="0058387B"/>
    <w:rsid w:val="00584C79"/>
    <w:rsid w:val="005904B6"/>
    <w:rsid w:val="00590ACA"/>
    <w:rsid w:val="00591000"/>
    <w:rsid w:val="005916A4"/>
    <w:rsid w:val="00591D51"/>
    <w:rsid w:val="00593F5B"/>
    <w:rsid w:val="005952AB"/>
    <w:rsid w:val="0059753D"/>
    <w:rsid w:val="00597565"/>
    <w:rsid w:val="00597A10"/>
    <w:rsid w:val="005A017E"/>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614"/>
    <w:rsid w:val="005B4D25"/>
    <w:rsid w:val="005B661F"/>
    <w:rsid w:val="005B6A9A"/>
    <w:rsid w:val="005B7013"/>
    <w:rsid w:val="005B72CD"/>
    <w:rsid w:val="005B7BF9"/>
    <w:rsid w:val="005C0F0D"/>
    <w:rsid w:val="005C119B"/>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7EFE"/>
    <w:rsid w:val="005F0307"/>
    <w:rsid w:val="005F208B"/>
    <w:rsid w:val="005F2890"/>
    <w:rsid w:val="005F369F"/>
    <w:rsid w:val="005F5F07"/>
    <w:rsid w:val="005F6192"/>
    <w:rsid w:val="005F6B63"/>
    <w:rsid w:val="005F6CC8"/>
    <w:rsid w:val="00601937"/>
    <w:rsid w:val="00601E8D"/>
    <w:rsid w:val="00602094"/>
    <w:rsid w:val="0060371F"/>
    <w:rsid w:val="00604244"/>
    <w:rsid w:val="006054C0"/>
    <w:rsid w:val="006055F4"/>
    <w:rsid w:val="006058C0"/>
    <w:rsid w:val="006062EE"/>
    <w:rsid w:val="00607DB7"/>
    <w:rsid w:val="0061073C"/>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1D4"/>
    <w:rsid w:val="0063665B"/>
    <w:rsid w:val="006369B3"/>
    <w:rsid w:val="0064052B"/>
    <w:rsid w:val="0064059A"/>
    <w:rsid w:val="006408C5"/>
    <w:rsid w:val="00642A84"/>
    <w:rsid w:val="00642FCD"/>
    <w:rsid w:val="00644497"/>
    <w:rsid w:val="00645393"/>
    <w:rsid w:val="006462B3"/>
    <w:rsid w:val="00652738"/>
    <w:rsid w:val="00653C4F"/>
    <w:rsid w:val="00655674"/>
    <w:rsid w:val="00655AF5"/>
    <w:rsid w:val="00656F9B"/>
    <w:rsid w:val="006611A1"/>
    <w:rsid w:val="00662B23"/>
    <w:rsid w:val="00662F7E"/>
    <w:rsid w:val="006630B2"/>
    <w:rsid w:val="00663472"/>
    <w:rsid w:val="006646BA"/>
    <w:rsid w:val="00664D4A"/>
    <w:rsid w:val="00664FF0"/>
    <w:rsid w:val="00666E4E"/>
    <w:rsid w:val="00666F9B"/>
    <w:rsid w:val="00667BD0"/>
    <w:rsid w:val="00667ED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2BC9"/>
    <w:rsid w:val="006A3177"/>
    <w:rsid w:val="006A3B1B"/>
    <w:rsid w:val="006A4533"/>
    <w:rsid w:val="006A4C6E"/>
    <w:rsid w:val="006A698E"/>
    <w:rsid w:val="006B0E9C"/>
    <w:rsid w:val="006B204B"/>
    <w:rsid w:val="006B24E8"/>
    <w:rsid w:val="006B2F90"/>
    <w:rsid w:val="006B317C"/>
    <w:rsid w:val="006B32E7"/>
    <w:rsid w:val="006B4A1B"/>
    <w:rsid w:val="006B77AB"/>
    <w:rsid w:val="006C0385"/>
    <w:rsid w:val="006C077C"/>
    <w:rsid w:val="006C09F1"/>
    <w:rsid w:val="006C0F9F"/>
    <w:rsid w:val="006C1079"/>
    <w:rsid w:val="006C12BD"/>
    <w:rsid w:val="006C288B"/>
    <w:rsid w:val="006C31B7"/>
    <w:rsid w:val="006C35AE"/>
    <w:rsid w:val="006C3A03"/>
    <w:rsid w:val="006C3A42"/>
    <w:rsid w:val="006C3C5A"/>
    <w:rsid w:val="006C4361"/>
    <w:rsid w:val="006C4F1B"/>
    <w:rsid w:val="006C5BB2"/>
    <w:rsid w:val="006C6DBE"/>
    <w:rsid w:val="006C6ECD"/>
    <w:rsid w:val="006D2DD2"/>
    <w:rsid w:val="006D318A"/>
    <w:rsid w:val="006D394C"/>
    <w:rsid w:val="006D4774"/>
    <w:rsid w:val="006D4925"/>
    <w:rsid w:val="006D4A27"/>
    <w:rsid w:val="006D4A94"/>
    <w:rsid w:val="006D6183"/>
    <w:rsid w:val="006D77B2"/>
    <w:rsid w:val="006D7B5E"/>
    <w:rsid w:val="006D7F1C"/>
    <w:rsid w:val="006E0DE8"/>
    <w:rsid w:val="006E0ED0"/>
    <w:rsid w:val="006E1A17"/>
    <w:rsid w:val="006E3AD8"/>
    <w:rsid w:val="006E5055"/>
    <w:rsid w:val="006F0C0D"/>
    <w:rsid w:val="006F2D4F"/>
    <w:rsid w:val="006F2DF1"/>
    <w:rsid w:val="006F301E"/>
    <w:rsid w:val="006F30ED"/>
    <w:rsid w:val="006F4BDB"/>
    <w:rsid w:val="006F538E"/>
    <w:rsid w:val="006F555A"/>
    <w:rsid w:val="006F5639"/>
    <w:rsid w:val="006F67B4"/>
    <w:rsid w:val="00702A2B"/>
    <w:rsid w:val="007038E3"/>
    <w:rsid w:val="0070514A"/>
    <w:rsid w:val="00707775"/>
    <w:rsid w:val="00712648"/>
    <w:rsid w:val="00712E03"/>
    <w:rsid w:val="0071364B"/>
    <w:rsid w:val="0071514E"/>
    <w:rsid w:val="0071522C"/>
    <w:rsid w:val="00715D73"/>
    <w:rsid w:val="007162D7"/>
    <w:rsid w:val="00720107"/>
    <w:rsid w:val="0072059C"/>
    <w:rsid w:val="0072066E"/>
    <w:rsid w:val="007232B8"/>
    <w:rsid w:val="00723E12"/>
    <w:rsid w:val="007260CC"/>
    <w:rsid w:val="007260FB"/>
    <w:rsid w:val="007265B3"/>
    <w:rsid w:val="00730023"/>
    <w:rsid w:val="0073017C"/>
    <w:rsid w:val="00730774"/>
    <w:rsid w:val="007312FE"/>
    <w:rsid w:val="007315A7"/>
    <w:rsid w:val="007325BB"/>
    <w:rsid w:val="00733837"/>
    <w:rsid w:val="00734384"/>
    <w:rsid w:val="00734386"/>
    <w:rsid w:val="00735391"/>
    <w:rsid w:val="007356C9"/>
    <w:rsid w:val="007366C3"/>
    <w:rsid w:val="00743DB6"/>
    <w:rsid w:val="007442EF"/>
    <w:rsid w:val="007452DB"/>
    <w:rsid w:val="007455D2"/>
    <w:rsid w:val="00745701"/>
    <w:rsid w:val="00746F4A"/>
    <w:rsid w:val="007507A4"/>
    <w:rsid w:val="00751093"/>
    <w:rsid w:val="00753281"/>
    <w:rsid w:val="00754DC7"/>
    <w:rsid w:val="007578AA"/>
    <w:rsid w:val="00760EB6"/>
    <w:rsid w:val="00760FE2"/>
    <w:rsid w:val="007619DB"/>
    <w:rsid w:val="007626C7"/>
    <w:rsid w:val="00764D26"/>
    <w:rsid w:val="00765135"/>
    <w:rsid w:val="00765347"/>
    <w:rsid w:val="00766E50"/>
    <w:rsid w:val="00767467"/>
    <w:rsid w:val="007674BC"/>
    <w:rsid w:val="00767ED7"/>
    <w:rsid w:val="00771F5D"/>
    <w:rsid w:val="00773225"/>
    <w:rsid w:val="007738CC"/>
    <w:rsid w:val="00773FC6"/>
    <w:rsid w:val="00775AD9"/>
    <w:rsid w:val="00776073"/>
    <w:rsid w:val="00776662"/>
    <w:rsid w:val="0077795E"/>
    <w:rsid w:val="00777CF1"/>
    <w:rsid w:val="0078068F"/>
    <w:rsid w:val="00780E7F"/>
    <w:rsid w:val="007811E5"/>
    <w:rsid w:val="0078259E"/>
    <w:rsid w:val="00782F03"/>
    <w:rsid w:val="00784D01"/>
    <w:rsid w:val="007900F9"/>
    <w:rsid w:val="007904F0"/>
    <w:rsid w:val="0079174B"/>
    <w:rsid w:val="00791AAB"/>
    <w:rsid w:val="00792CF4"/>
    <w:rsid w:val="00794453"/>
    <w:rsid w:val="007950FB"/>
    <w:rsid w:val="0079521D"/>
    <w:rsid w:val="00795781"/>
    <w:rsid w:val="00797D37"/>
    <w:rsid w:val="007A1489"/>
    <w:rsid w:val="007A2ED7"/>
    <w:rsid w:val="007A34A5"/>
    <w:rsid w:val="007A401F"/>
    <w:rsid w:val="007A46B6"/>
    <w:rsid w:val="007A4D93"/>
    <w:rsid w:val="007B0E51"/>
    <w:rsid w:val="007B261A"/>
    <w:rsid w:val="007B6067"/>
    <w:rsid w:val="007B63C6"/>
    <w:rsid w:val="007B63CA"/>
    <w:rsid w:val="007C1331"/>
    <w:rsid w:val="007C1CFB"/>
    <w:rsid w:val="007C2554"/>
    <w:rsid w:val="007C4161"/>
    <w:rsid w:val="007C491F"/>
    <w:rsid w:val="007C4B46"/>
    <w:rsid w:val="007D1F4C"/>
    <w:rsid w:val="007D209C"/>
    <w:rsid w:val="007D2466"/>
    <w:rsid w:val="007D33C9"/>
    <w:rsid w:val="007D37CA"/>
    <w:rsid w:val="007D4161"/>
    <w:rsid w:val="007D437D"/>
    <w:rsid w:val="007D4D53"/>
    <w:rsid w:val="007E08D3"/>
    <w:rsid w:val="007E3096"/>
    <w:rsid w:val="007E3315"/>
    <w:rsid w:val="007E4E7F"/>
    <w:rsid w:val="007E544E"/>
    <w:rsid w:val="007E6D99"/>
    <w:rsid w:val="007F10F9"/>
    <w:rsid w:val="007F1449"/>
    <w:rsid w:val="007F1F73"/>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2EFC"/>
    <w:rsid w:val="00813DB7"/>
    <w:rsid w:val="00813E50"/>
    <w:rsid w:val="00815699"/>
    <w:rsid w:val="00815AAB"/>
    <w:rsid w:val="0081703C"/>
    <w:rsid w:val="00817811"/>
    <w:rsid w:val="00825314"/>
    <w:rsid w:val="0082534E"/>
    <w:rsid w:val="00825B9B"/>
    <w:rsid w:val="008264FF"/>
    <w:rsid w:val="0082787C"/>
    <w:rsid w:val="008318F6"/>
    <w:rsid w:val="0083224B"/>
    <w:rsid w:val="00832BE2"/>
    <w:rsid w:val="00833A9B"/>
    <w:rsid w:val="008342A1"/>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087A"/>
    <w:rsid w:val="00862582"/>
    <w:rsid w:val="00865691"/>
    <w:rsid w:val="00865AF2"/>
    <w:rsid w:val="00866216"/>
    <w:rsid w:val="00867043"/>
    <w:rsid w:val="00870A10"/>
    <w:rsid w:val="00870D3E"/>
    <w:rsid w:val="00871DEA"/>
    <w:rsid w:val="00873194"/>
    <w:rsid w:val="00873994"/>
    <w:rsid w:val="00873C6D"/>
    <w:rsid w:val="00873D6B"/>
    <w:rsid w:val="00874C57"/>
    <w:rsid w:val="0087693E"/>
    <w:rsid w:val="00876CC4"/>
    <w:rsid w:val="0087712D"/>
    <w:rsid w:val="00880A35"/>
    <w:rsid w:val="00880A6C"/>
    <w:rsid w:val="008813C5"/>
    <w:rsid w:val="00881B85"/>
    <w:rsid w:val="00882403"/>
    <w:rsid w:val="00883114"/>
    <w:rsid w:val="008836C4"/>
    <w:rsid w:val="008847B9"/>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372D"/>
    <w:rsid w:val="008B478E"/>
    <w:rsid w:val="008B5768"/>
    <w:rsid w:val="008B696A"/>
    <w:rsid w:val="008C0ADB"/>
    <w:rsid w:val="008C134F"/>
    <w:rsid w:val="008C1729"/>
    <w:rsid w:val="008C1F71"/>
    <w:rsid w:val="008C5F5E"/>
    <w:rsid w:val="008D0A02"/>
    <w:rsid w:val="008D0A56"/>
    <w:rsid w:val="008D0CC5"/>
    <w:rsid w:val="008D5975"/>
    <w:rsid w:val="008D5DBD"/>
    <w:rsid w:val="008D7D69"/>
    <w:rsid w:val="008E087D"/>
    <w:rsid w:val="008E0D66"/>
    <w:rsid w:val="008E326D"/>
    <w:rsid w:val="008E38C1"/>
    <w:rsid w:val="008E452B"/>
    <w:rsid w:val="008E5F40"/>
    <w:rsid w:val="008E6389"/>
    <w:rsid w:val="008E66D3"/>
    <w:rsid w:val="008F27AF"/>
    <w:rsid w:val="008F32FC"/>
    <w:rsid w:val="008F40BE"/>
    <w:rsid w:val="008F495E"/>
    <w:rsid w:val="008F5418"/>
    <w:rsid w:val="008F6B36"/>
    <w:rsid w:val="008F7407"/>
    <w:rsid w:val="008F75B3"/>
    <w:rsid w:val="008F7F21"/>
    <w:rsid w:val="0090553E"/>
    <w:rsid w:val="009067E4"/>
    <w:rsid w:val="009079DD"/>
    <w:rsid w:val="00907A7F"/>
    <w:rsid w:val="009101FA"/>
    <w:rsid w:val="0091154A"/>
    <w:rsid w:val="00911EB8"/>
    <w:rsid w:val="0091209C"/>
    <w:rsid w:val="0091224E"/>
    <w:rsid w:val="009128F7"/>
    <w:rsid w:val="00912AE2"/>
    <w:rsid w:val="00914188"/>
    <w:rsid w:val="0092076A"/>
    <w:rsid w:val="00921D13"/>
    <w:rsid w:val="00921D83"/>
    <w:rsid w:val="00923BA4"/>
    <w:rsid w:val="00923E56"/>
    <w:rsid w:val="009248D1"/>
    <w:rsid w:val="00925135"/>
    <w:rsid w:val="0092610E"/>
    <w:rsid w:val="00927598"/>
    <w:rsid w:val="00930335"/>
    <w:rsid w:val="00930757"/>
    <w:rsid w:val="00930F33"/>
    <w:rsid w:val="00931EA0"/>
    <w:rsid w:val="009325DB"/>
    <w:rsid w:val="009332EF"/>
    <w:rsid w:val="00937799"/>
    <w:rsid w:val="0093796A"/>
    <w:rsid w:val="009420CA"/>
    <w:rsid w:val="0094227B"/>
    <w:rsid w:val="009426AA"/>
    <w:rsid w:val="00942F59"/>
    <w:rsid w:val="009438D1"/>
    <w:rsid w:val="00943E67"/>
    <w:rsid w:val="0094495D"/>
    <w:rsid w:val="009452A4"/>
    <w:rsid w:val="009454A6"/>
    <w:rsid w:val="00946225"/>
    <w:rsid w:val="009468AB"/>
    <w:rsid w:val="00951E68"/>
    <w:rsid w:val="00956BB5"/>
    <w:rsid w:val="00956D7E"/>
    <w:rsid w:val="00957166"/>
    <w:rsid w:val="00962282"/>
    <w:rsid w:val="00962A8B"/>
    <w:rsid w:val="00964161"/>
    <w:rsid w:val="00965204"/>
    <w:rsid w:val="00965B09"/>
    <w:rsid w:val="009660A2"/>
    <w:rsid w:val="00970574"/>
    <w:rsid w:val="009723E7"/>
    <w:rsid w:val="009732D5"/>
    <w:rsid w:val="00973510"/>
    <w:rsid w:val="00973ED9"/>
    <w:rsid w:val="009746A5"/>
    <w:rsid w:val="009759DC"/>
    <w:rsid w:val="0097742F"/>
    <w:rsid w:val="00977732"/>
    <w:rsid w:val="0098048D"/>
    <w:rsid w:val="00980F67"/>
    <w:rsid w:val="00981792"/>
    <w:rsid w:val="00981F50"/>
    <w:rsid w:val="0098219E"/>
    <w:rsid w:val="00983502"/>
    <w:rsid w:val="00984183"/>
    <w:rsid w:val="00985940"/>
    <w:rsid w:val="009871D1"/>
    <w:rsid w:val="00990AF9"/>
    <w:rsid w:val="00991034"/>
    <w:rsid w:val="0099455B"/>
    <w:rsid w:val="0099614B"/>
    <w:rsid w:val="00996DEC"/>
    <w:rsid w:val="009970D3"/>
    <w:rsid w:val="00997C77"/>
    <w:rsid w:val="009A00AE"/>
    <w:rsid w:val="009A00F9"/>
    <w:rsid w:val="009A2173"/>
    <w:rsid w:val="009A2A1A"/>
    <w:rsid w:val="009A2CED"/>
    <w:rsid w:val="009A304E"/>
    <w:rsid w:val="009A3724"/>
    <w:rsid w:val="009A416E"/>
    <w:rsid w:val="009A43AB"/>
    <w:rsid w:val="009A543E"/>
    <w:rsid w:val="009A5553"/>
    <w:rsid w:val="009A5E48"/>
    <w:rsid w:val="009A6EFC"/>
    <w:rsid w:val="009A7CEF"/>
    <w:rsid w:val="009B142B"/>
    <w:rsid w:val="009B35CF"/>
    <w:rsid w:val="009B39B7"/>
    <w:rsid w:val="009B3DDA"/>
    <w:rsid w:val="009B43B5"/>
    <w:rsid w:val="009B4F2C"/>
    <w:rsid w:val="009B6C32"/>
    <w:rsid w:val="009B6EC3"/>
    <w:rsid w:val="009B764D"/>
    <w:rsid w:val="009B77E4"/>
    <w:rsid w:val="009C0094"/>
    <w:rsid w:val="009C038B"/>
    <w:rsid w:val="009C0B01"/>
    <w:rsid w:val="009C24B8"/>
    <w:rsid w:val="009C2524"/>
    <w:rsid w:val="009C2DCF"/>
    <w:rsid w:val="009C38A6"/>
    <w:rsid w:val="009C5485"/>
    <w:rsid w:val="009C665C"/>
    <w:rsid w:val="009C6995"/>
    <w:rsid w:val="009C6DAE"/>
    <w:rsid w:val="009C7544"/>
    <w:rsid w:val="009D0530"/>
    <w:rsid w:val="009D2B19"/>
    <w:rsid w:val="009D3BEA"/>
    <w:rsid w:val="009D4551"/>
    <w:rsid w:val="009D5AA8"/>
    <w:rsid w:val="009D6B46"/>
    <w:rsid w:val="009D783D"/>
    <w:rsid w:val="009E1BAC"/>
    <w:rsid w:val="009E29BF"/>
    <w:rsid w:val="009E2F33"/>
    <w:rsid w:val="009E5273"/>
    <w:rsid w:val="009E5790"/>
    <w:rsid w:val="009E5AB7"/>
    <w:rsid w:val="009E64FD"/>
    <w:rsid w:val="009F28BF"/>
    <w:rsid w:val="009F55EE"/>
    <w:rsid w:val="009F5EA0"/>
    <w:rsid w:val="009F60AF"/>
    <w:rsid w:val="009F6C64"/>
    <w:rsid w:val="00A01CB2"/>
    <w:rsid w:val="00A043DE"/>
    <w:rsid w:val="00A07F39"/>
    <w:rsid w:val="00A10A92"/>
    <w:rsid w:val="00A1302E"/>
    <w:rsid w:val="00A13550"/>
    <w:rsid w:val="00A13961"/>
    <w:rsid w:val="00A20256"/>
    <w:rsid w:val="00A21211"/>
    <w:rsid w:val="00A2141E"/>
    <w:rsid w:val="00A225FB"/>
    <w:rsid w:val="00A22FE7"/>
    <w:rsid w:val="00A255D2"/>
    <w:rsid w:val="00A25E8B"/>
    <w:rsid w:val="00A27892"/>
    <w:rsid w:val="00A30208"/>
    <w:rsid w:val="00A30804"/>
    <w:rsid w:val="00A31A56"/>
    <w:rsid w:val="00A31E45"/>
    <w:rsid w:val="00A32239"/>
    <w:rsid w:val="00A32AD5"/>
    <w:rsid w:val="00A3450E"/>
    <w:rsid w:val="00A34746"/>
    <w:rsid w:val="00A3534E"/>
    <w:rsid w:val="00A36FE8"/>
    <w:rsid w:val="00A41625"/>
    <w:rsid w:val="00A419C5"/>
    <w:rsid w:val="00A45638"/>
    <w:rsid w:val="00A45AD6"/>
    <w:rsid w:val="00A46430"/>
    <w:rsid w:val="00A479BC"/>
    <w:rsid w:val="00A514C1"/>
    <w:rsid w:val="00A52077"/>
    <w:rsid w:val="00A52BA9"/>
    <w:rsid w:val="00A547E7"/>
    <w:rsid w:val="00A5644E"/>
    <w:rsid w:val="00A57B8A"/>
    <w:rsid w:val="00A57F9B"/>
    <w:rsid w:val="00A6011B"/>
    <w:rsid w:val="00A60AB3"/>
    <w:rsid w:val="00A60EA3"/>
    <w:rsid w:val="00A62B93"/>
    <w:rsid w:val="00A63150"/>
    <w:rsid w:val="00A63D84"/>
    <w:rsid w:val="00A64160"/>
    <w:rsid w:val="00A64A38"/>
    <w:rsid w:val="00A64DD5"/>
    <w:rsid w:val="00A6691D"/>
    <w:rsid w:val="00A6723C"/>
    <w:rsid w:val="00A6724A"/>
    <w:rsid w:val="00A7001A"/>
    <w:rsid w:val="00A70437"/>
    <w:rsid w:val="00A7631F"/>
    <w:rsid w:val="00A772C4"/>
    <w:rsid w:val="00A77D3F"/>
    <w:rsid w:val="00A81F7C"/>
    <w:rsid w:val="00A8585B"/>
    <w:rsid w:val="00A85B13"/>
    <w:rsid w:val="00A90FCE"/>
    <w:rsid w:val="00A91522"/>
    <w:rsid w:val="00A92057"/>
    <w:rsid w:val="00A94B99"/>
    <w:rsid w:val="00A94C4C"/>
    <w:rsid w:val="00A94F25"/>
    <w:rsid w:val="00A97BC1"/>
    <w:rsid w:val="00AA0A3D"/>
    <w:rsid w:val="00AA1017"/>
    <w:rsid w:val="00AA2C2C"/>
    <w:rsid w:val="00AA3086"/>
    <w:rsid w:val="00AA3231"/>
    <w:rsid w:val="00AA3B67"/>
    <w:rsid w:val="00AA608D"/>
    <w:rsid w:val="00AA71F8"/>
    <w:rsid w:val="00AB0C06"/>
    <w:rsid w:val="00AB1805"/>
    <w:rsid w:val="00AB2081"/>
    <w:rsid w:val="00AB5E31"/>
    <w:rsid w:val="00AB5EE8"/>
    <w:rsid w:val="00AB6BD6"/>
    <w:rsid w:val="00AB7363"/>
    <w:rsid w:val="00AB7AEF"/>
    <w:rsid w:val="00AB7B84"/>
    <w:rsid w:val="00AC092B"/>
    <w:rsid w:val="00AC3673"/>
    <w:rsid w:val="00AC3841"/>
    <w:rsid w:val="00AC3DC4"/>
    <w:rsid w:val="00AC5DCB"/>
    <w:rsid w:val="00AC7285"/>
    <w:rsid w:val="00AC7A1B"/>
    <w:rsid w:val="00AD000E"/>
    <w:rsid w:val="00AD083A"/>
    <w:rsid w:val="00AD10C8"/>
    <w:rsid w:val="00AD138E"/>
    <w:rsid w:val="00AD13AD"/>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4F8"/>
    <w:rsid w:val="00B00845"/>
    <w:rsid w:val="00B0103F"/>
    <w:rsid w:val="00B06F4B"/>
    <w:rsid w:val="00B076DB"/>
    <w:rsid w:val="00B07792"/>
    <w:rsid w:val="00B07951"/>
    <w:rsid w:val="00B10A25"/>
    <w:rsid w:val="00B11166"/>
    <w:rsid w:val="00B131EA"/>
    <w:rsid w:val="00B1458D"/>
    <w:rsid w:val="00B178F9"/>
    <w:rsid w:val="00B2147F"/>
    <w:rsid w:val="00B2154E"/>
    <w:rsid w:val="00B21881"/>
    <w:rsid w:val="00B21CFC"/>
    <w:rsid w:val="00B22BD1"/>
    <w:rsid w:val="00B23BB0"/>
    <w:rsid w:val="00B25E64"/>
    <w:rsid w:val="00B26525"/>
    <w:rsid w:val="00B265B1"/>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18ED"/>
    <w:rsid w:val="00B6279B"/>
    <w:rsid w:val="00B62FD0"/>
    <w:rsid w:val="00B65B1E"/>
    <w:rsid w:val="00B6778E"/>
    <w:rsid w:val="00B6783E"/>
    <w:rsid w:val="00B67C00"/>
    <w:rsid w:val="00B70B3C"/>
    <w:rsid w:val="00B70B85"/>
    <w:rsid w:val="00B70BA2"/>
    <w:rsid w:val="00B714D8"/>
    <w:rsid w:val="00B71F4B"/>
    <w:rsid w:val="00B77AEE"/>
    <w:rsid w:val="00B82F26"/>
    <w:rsid w:val="00B832CD"/>
    <w:rsid w:val="00B85D79"/>
    <w:rsid w:val="00B8718F"/>
    <w:rsid w:val="00B90E69"/>
    <w:rsid w:val="00B91387"/>
    <w:rsid w:val="00B91D09"/>
    <w:rsid w:val="00B92994"/>
    <w:rsid w:val="00B92F4D"/>
    <w:rsid w:val="00B935AA"/>
    <w:rsid w:val="00B9385F"/>
    <w:rsid w:val="00B93E0F"/>
    <w:rsid w:val="00B95B40"/>
    <w:rsid w:val="00B96387"/>
    <w:rsid w:val="00B9707F"/>
    <w:rsid w:val="00B978AA"/>
    <w:rsid w:val="00BA0B39"/>
    <w:rsid w:val="00BA1815"/>
    <w:rsid w:val="00BA1D27"/>
    <w:rsid w:val="00BA2029"/>
    <w:rsid w:val="00BA229D"/>
    <w:rsid w:val="00BA57F3"/>
    <w:rsid w:val="00BA71C9"/>
    <w:rsid w:val="00BB1706"/>
    <w:rsid w:val="00BB187E"/>
    <w:rsid w:val="00BB47CE"/>
    <w:rsid w:val="00BB4DA5"/>
    <w:rsid w:val="00BB5F9C"/>
    <w:rsid w:val="00BB6CA6"/>
    <w:rsid w:val="00BC1314"/>
    <w:rsid w:val="00BC1AB7"/>
    <w:rsid w:val="00BC1DDF"/>
    <w:rsid w:val="00BC2F31"/>
    <w:rsid w:val="00BC4122"/>
    <w:rsid w:val="00BC5731"/>
    <w:rsid w:val="00BC6712"/>
    <w:rsid w:val="00BC6CAE"/>
    <w:rsid w:val="00BC6F62"/>
    <w:rsid w:val="00BC70B7"/>
    <w:rsid w:val="00BC791F"/>
    <w:rsid w:val="00BD0913"/>
    <w:rsid w:val="00BD1BA9"/>
    <w:rsid w:val="00BD1E19"/>
    <w:rsid w:val="00BD2513"/>
    <w:rsid w:val="00BD475A"/>
    <w:rsid w:val="00BD4B3E"/>
    <w:rsid w:val="00BD4C24"/>
    <w:rsid w:val="00BD7425"/>
    <w:rsid w:val="00BE0F80"/>
    <w:rsid w:val="00BE1025"/>
    <w:rsid w:val="00BE160A"/>
    <w:rsid w:val="00BE2A68"/>
    <w:rsid w:val="00BE40BD"/>
    <w:rsid w:val="00BE5175"/>
    <w:rsid w:val="00BE544D"/>
    <w:rsid w:val="00BE7757"/>
    <w:rsid w:val="00BF057C"/>
    <w:rsid w:val="00BF3035"/>
    <w:rsid w:val="00BF340E"/>
    <w:rsid w:val="00BF3F05"/>
    <w:rsid w:val="00BF46B8"/>
    <w:rsid w:val="00BF4D00"/>
    <w:rsid w:val="00BF5CDD"/>
    <w:rsid w:val="00BF6965"/>
    <w:rsid w:val="00BF7039"/>
    <w:rsid w:val="00BF7E1C"/>
    <w:rsid w:val="00C0073A"/>
    <w:rsid w:val="00C0135A"/>
    <w:rsid w:val="00C026C7"/>
    <w:rsid w:val="00C044D1"/>
    <w:rsid w:val="00C0526F"/>
    <w:rsid w:val="00C06218"/>
    <w:rsid w:val="00C06CB5"/>
    <w:rsid w:val="00C11367"/>
    <w:rsid w:val="00C1205A"/>
    <w:rsid w:val="00C1281B"/>
    <w:rsid w:val="00C13DB2"/>
    <w:rsid w:val="00C149CF"/>
    <w:rsid w:val="00C1648A"/>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36286"/>
    <w:rsid w:val="00C42301"/>
    <w:rsid w:val="00C43A9D"/>
    <w:rsid w:val="00C43FCA"/>
    <w:rsid w:val="00C47BFE"/>
    <w:rsid w:val="00C5161B"/>
    <w:rsid w:val="00C53F03"/>
    <w:rsid w:val="00C54B4E"/>
    <w:rsid w:val="00C54D70"/>
    <w:rsid w:val="00C56385"/>
    <w:rsid w:val="00C56AE0"/>
    <w:rsid w:val="00C6000C"/>
    <w:rsid w:val="00C60191"/>
    <w:rsid w:val="00C60397"/>
    <w:rsid w:val="00C60C40"/>
    <w:rsid w:val="00C62B39"/>
    <w:rsid w:val="00C63CB8"/>
    <w:rsid w:val="00C6621D"/>
    <w:rsid w:val="00C6650E"/>
    <w:rsid w:val="00C70976"/>
    <w:rsid w:val="00C72A72"/>
    <w:rsid w:val="00C735B1"/>
    <w:rsid w:val="00C740D0"/>
    <w:rsid w:val="00C74328"/>
    <w:rsid w:val="00C74AE2"/>
    <w:rsid w:val="00C76597"/>
    <w:rsid w:val="00C76D72"/>
    <w:rsid w:val="00C77301"/>
    <w:rsid w:val="00C824DE"/>
    <w:rsid w:val="00C82B15"/>
    <w:rsid w:val="00C834A5"/>
    <w:rsid w:val="00C84628"/>
    <w:rsid w:val="00C84E7C"/>
    <w:rsid w:val="00C84FEE"/>
    <w:rsid w:val="00C85CAF"/>
    <w:rsid w:val="00C85F51"/>
    <w:rsid w:val="00C85FB0"/>
    <w:rsid w:val="00C87DD7"/>
    <w:rsid w:val="00C916B0"/>
    <w:rsid w:val="00C91F12"/>
    <w:rsid w:val="00C93372"/>
    <w:rsid w:val="00C94371"/>
    <w:rsid w:val="00C95873"/>
    <w:rsid w:val="00C96BA1"/>
    <w:rsid w:val="00CA0A31"/>
    <w:rsid w:val="00CA149E"/>
    <w:rsid w:val="00CA2938"/>
    <w:rsid w:val="00CA2B5D"/>
    <w:rsid w:val="00CA32A3"/>
    <w:rsid w:val="00CA45B2"/>
    <w:rsid w:val="00CA4C63"/>
    <w:rsid w:val="00CA4E1F"/>
    <w:rsid w:val="00CA5D19"/>
    <w:rsid w:val="00CA634D"/>
    <w:rsid w:val="00CA6351"/>
    <w:rsid w:val="00CA6948"/>
    <w:rsid w:val="00CA7ABA"/>
    <w:rsid w:val="00CB0038"/>
    <w:rsid w:val="00CB1934"/>
    <w:rsid w:val="00CB3374"/>
    <w:rsid w:val="00CB3DAC"/>
    <w:rsid w:val="00CB5855"/>
    <w:rsid w:val="00CB5865"/>
    <w:rsid w:val="00CB784C"/>
    <w:rsid w:val="00CB794E"/>
    <w:rsid w:val="00CC0224"/>
    <w:rsid w:val="00CC067B"/>
    <w:rsid w:val="00CC2072"/>
    <w:rsid w:val="00CC2371"/>
    <w:rsid w:val="00CC3252"/>
    <w:rsid w:val="00CC46B1"/>
    <w:rsid w:val="00CC4ACC"/>
    <w:rsid w:val="00CC4B45"/>
    <w:rsid w:val="00CC56D9"/>
    <w:rsid w:val="00CC6231"/>
    <w:rsid w:val="00CC6646"/>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542B"/>
    <w:rsid w:val="00D071F4"/>
    <w:rsid w:val="00D10952"/>
    <w:rsid w:val="00D11025"/>
    <w:rsid w:val="00D1188E"/>
    <w:rsid w:val="00D14B49"/>
    <w:rsid w:val="00D14D4C"/>
    <w:rsid w:val="00D1514F"/>
    <w:rsid w:val="00D15B02"/>
    <w:rsid w:val="00D17110"/>
    <w:rsid w:val="00D171F1"/>
    <w:rsid w:val="00D17AF0"/>
    <w:rsid w:val="00D21526"/>
    <w:rsid w:val="00D2209C"/>
    <w:rsid w:val="00D2249A"/>
    <w:rsid w:val="00D23B13"/>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4A5"/>
    <w:rsid w:val="00D75C93"/>
    <w:rsid w:val="00D761D6"/>
    <w:rsid w:val="00D80261"/>
    <w:rsid w:val="00D80956"/>
    <w:rsid w:val="00D81A5A"/>
    <w:rsid w:val="00D82B5F"/>
    <w:rsid w:val="00D86AE6"/>
    <w:rsid w:val="00D915B1"/>
    <w:rsid w:val="00D934A2"/>
    <w:rsid w:val="00D944DE"/>
    <w:rsid w:val="00D9461A"/>
    <w:rsid w:val="00D94B1C"/>
    <w:rsid w:val="00D979B8"/>
    <w:rsid w:val="00DA01D5"/>
    <w:rsid w:val="00DA0555"/>
    <w:rsid w:val="00DA0AAD"/>
    <w:rsid w:val="00DA0BF5"/>
    <w:rsid w:val="00DA22B7"/>
    <w:rsid w:val="00DA3900"/>
    <w:rsid w:val="00DA498D"/>
    <w:rsid w:val="00DA56E5"/>
    <w:rsid w:val="00DA5C79"/>
    <w:rsid w:val="00DA6242"/>
    <w:rsid w:val="00DA62F8"/>
    <w:rsid w:val="00DB2A74"/>
    <w:rsid w:val="00DB31A5"/>
    <w:rsid w:val="00DB4A56"/>
    <w:rsid w:val="00DB5DC1"/>
    <w:rsid w:val="00DB6450"/>
    <w:rsid w:val="00DC089E"/>
    <w:rsid w:val="00DC4425"/>
    <w:rsid w:val="00DC4B9C"/>
    <w:rsid w:val="00DC4D07"/>
    <w:rsid w:val="00DC5338"/>
    <w:rsid w:val="00DC59DB"/>
    <w:rsid w:val="00DC59E1"/>
    <w:rsid w:val="00DC6B79"/>
    <w:rsid w:val="00DC74DF"/>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2DF"/>
    <w:rsid w:val="00DF13C7"/>
    <w:rsid w:val="00DF1731"/>
    <w:rsid w:val="00DF21B0"/>
    <w:rsid w:val="00DF327C"/>
    <w:rsid w:val="00DF3FDD"/>
    <w:rsid w:val="00DF5226"/>
    <w:rsid w:val="00DF5E69"/>
    <w:rsid w:val="00DF635F"/>
    <w:rsid w:val="00DF74BD"/>
    <w:rsid w:val="00E00DBE"/>
    <w:rsid w:val="00E01305"/>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39F6"/>
    <w:rsid w:val="00E34762"/>
    <w:rsid w:val="00E34EE8"/>
    <w:rsid w:val="00E354D1"/>
    <w:rsid w:val="00E36505"/>
    <w:rsid w:val="00E37AEB"/>
    <w:rsid w:val="00E42208"/>
    <w:rsid w:val="00E43550"/>
    <w:rsid w:val="00E436EE"/>
    <w:rsid w:val="00E46B87"/>
    <w:rsid w:val="00E46DC3"/>
    <w:rsid w:val="00E54244"/>
    <w:rsid w:val="00E553BA"/>
    <w:rsid w:val="00E56B37"/>
    <w:rsid w:val="00E600DD"/>
    <w:rsid w:val="00E6058C"/>
    <w:rsid w:val="00E613FB"/>
    <w:rsid w:val="00E623B8"/>
    <w:rsid w:val="00E62D01"/>
    <w:rsid w:val="00E6382D"/>
    <w:rsid w:val="00E6443A"/>
    <w:rsid w:val="00E652B1"/>
    <w:rsid w:val="00E65441"/>
    <w:rsid w:val="00E65FD7"/>
    <w:rsid w:val="00E70B01"/>
    <w:rsid w:val="00E70E40"/>
    <w:rsid w:val="00E74911"/>
    <w:rsid w:val="00E75008"/>
    <w:rsid w:val="00E75BA7"/>
    <w:rsid w:val="00E75DD2"/>
    <w:rsid w:val="00E774D1"/>
    <w:rsid w:val="00E8118A"/>
    <w:rsid w:val="00E81A9A"/>
    <w:rsid w:val="00E830A3"/>
    <w:rsid w:val="00E84561"/>
    <w:rsid w:val="00E848C3"/>
    <w:rsid w:val="00E84AF0"/>
    <w:rsid w:val="00E85148"/>
    <w:rsid w:val="00E85ECE"/>
    <w:rsid w:val="00E86133"/>
    <w:rsid w:val="00E873B2"/>
    <w:rsid w:val="00E87D68"/>
    <w:rsid w:val="00E91090"/>
    <w:rsid w:val="00E91EDD"/>
    <w:rsid w:val="00E91F6F"/>
    <w:rsid w:val="00E926C4"/>
    <w:rsid w:val="00E92819"/>
    <w:rsid w:val="00E92961"/>
    <w:rsid w:val="00E93FB1"/>
    <w:rsid w:val="00E9443C"/>
    <w:rsid w:val="00E94519"/>
    <w:rsid w:val="00E94DBF"/>
    <w:rsid w:val="00E96E32"/>
    <w:rsid w:val="00E973F9"/>
    <w:rsid w:val="00E977D1"/>
    <w:rsid w:val="00EA03C6"/>
    <w:rsid w:val="00EA07BA"/>
    <w:rsid w:val="00EA1F7E"/>
    <w:rsid w:val="00EA2BDC"/>
    <w:rsid w:val="00EA3001"/>
    <w:rsid w:val="00EA314D"/>
    <w:rsid w:val="00EA3157"/>
    <w:rsid w:val="00EA3888"/>
    <w:rsid w:val="00EA3D8C"/>
    <w:rsid w:val="00EA3E9D"/>
    <w:rsid w:val="00EA4A25"/>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79A"/>
    <w:rsid w:val="00ED0B83"/>
    <w:rsid w:val="00ED0F1E"/>
    <w:rsid w:val="00ED1466"/>
    <w:rsid w:val="00ED1FB1"/>
    <w:rsid w:val="00ED3307"/>
    <w:rsid w:val="00ED3CA3"/>
    <w:rsid w:val="00ED3F5D"/>
    <w:rsid w:val="00ED68E6"/>
    <w:rsid w:val="00ED6B64"/>
    <w:rsid w:val="00ED7093"/>
    <w:rsid w:val="00EE004D"/>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EF7C92"/>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F37"/>
    <w:rsid w:val="00F24048"/>
    <w:rsid w:val="00F25416"/>
    <w:rsid w:val="00F262B6"/>
    <w:rsid w:val="00F263F9"/>
    <w:rsid w:val="00F30424"/>
    <w:rsid w:val="00F30706"/>
    <w:rsid w:val="00F31CE4"/>
    <w:rsid w:val="00F334EC"/>
    <w:rsid w:val="00F339CF"/>
    <w:rsid w:val="00F4007B"/>
    <w:rsid w:val="00F4203E"/>
    <w:rsid w:val="00F42414"/>
    <w:rsid w:val="00F43068"/>
    <w:rsid w:val="00F43EBF"/>
    <w:rsid w:val="00F44004"/>
    <w:rsid w:val="00F45202"/>
    <w:rsid w:val="00F51D62"/>
    <w:rsid w:val="00F51F0F"/>
    <w:rsid w:val="00F52455"/>
    <w:rsid w:val="00F526BC"/>
    <w:rsid w:val="00F533B8"/>
    <w:rsid w:val="00F53C86"/>
    <w:rsid w:val="00F54788"/>
    <w:rsid w:val="00F55877"/>
    <w:rsid w:val="00F55A54"/>
    <w:rsid w:val="00F608F0"/>
    <w:rsid w:val="00F61722"/>
    <w:rsid w:val="00F6193C"/>
    <w:rsid w:val="00F6279F"/>
    <w:rsid w:val="00F62FF5"/>
    <w:rsid w:val="00F7007D"/>
    <w:rsid w:val="00F704FA"/>
    <w:rsid w:val="00F70DCA"/>
    <w:rsid w:val="00F71B92"/>
    <w:rsid w:val="00F7245F"/>
    <w:rsid w:val="00F72B44"/>
    <w:rsid w:val="00F738FA"/>
    <w:rsid w:val="00F763D4"/>
    <w:rsid w:val="00F76A23"/>
    <w:rsid w:val="00F76CE5"/>
    <w:rsid w:val="00F76FE8"/>
    <w:rsid w:val="00F779A3"/>
    <w:rsid w:val="00F77EA1"/>
    <w:rsid w:val="00F805C3"/>
    <w:rsid w:val="00F810B9"/>
    <w:rsid w:val="00F8206B"/>
    <w:rsid w:val="00F84529"/>
    <w:rsid w:val="00F85B4B"/>
    <w:rsid w:val="00F905C4"/>
    <w:rsid w:val="00F9126C"/>
    <w:rsid w:val="00F91330"/>
    <w:rsid w:val="00F913EC"/>
    <w:rsid w:val="00F91592"/>
    <w:rsid w:val="00F91688"/>
    <w:rsid w:val="00F91AFB"/>
    <w:rsid w:val="00F92DD5"/>
    <w:rsid w:val="00F93FDC"/>
    <w:rsid w:val="00F94AB3"/>
    <w:rsid w:val="00F9511D"/>
    <w:rsid w:val="00F96C8E"/>
    <w:rsid w:val="00F977B7"/>
    <w:rsid w:val="00FA01C0"/>
    <w:rsid w:val="00FA0C6F"/>
    <w:rsid w:val="00FA1A5D"/>
    <w:rsid w:val="00FA74FC"/>
    <w:rsid w:val="00FA773E"/>
    <w:rsid w:val="00FB05D6"/>
    <w:rsid w:val="00FB251B"/>
    <w:rsid w:val="00FB3713"/>
    <w:rsid w:val="00FB3A9E"/>
    <w:rsid w:val="00FB4C2B"/>
    <w:rsid w:val="00FB5F2C"/>
    <w:rsid w:val="00FB64B1"/>
    <w:rsid w:val="00FB64B2"/>
    <w:rsid w:val="00FB7C3C"/>
    <w:rsid w:val="00FC045F"/>
    <w:rsid w:val="00FC054D"/>
    <w:rsid w:val="00FC07DE"/>
    <w:rsid w:val="00FC16B2"/>
    <w:rsid w:val="00FC1B33"/>
    <w:rsid w:val="00FC1EB7"/>
    <w:rsid w:val="00FC200D"/>
    <w:rsid w:val="00FC22CE"/>
    <w:rsid w:val="00FC26F9"/>
    <w:rsid w:val="00FC3B37"/>
    <w:rsid w:val="00FC4BFF"/>
    <w:rsid w:val="00FC6036"/>
    <w:rsid w:val="00FC7171"/>
    <w:rsid w:val="00FC764C"/>
    <w:rsid w:val="00FC76EE"/>
    <w:rsid w:val="00FD0320"/>
    <w:rsid w:val="00FD033E"/>
    <w:rsid w:val="00FD0A35"/>
    <w:rsid w:val="00FD1958"/>
    <w:rsid w:val="00FD1E17"/>
    <w:rsid w:val="00FD3296"/>
    <w:rsid w:val="00FD3909"/>
    <w:rsid w:val="00FD3E10"/>
    <w:rsid w:val="00FD47A3"/>
    <w:rsid w:val="00FD6CD4"/>
    <w:rsid w:val="00FE1096"/>
    <w:rsid w:val="00FE1325"/>
    <w:rsid w:val="00FE13D0"/>
    <w:rsid w:val="00FE3019"/>
    <w:rsid w:val="00FE5CB8"/>
    <w:rsid w:val="00FE626D"/>
    <w:rsid w:val="00FF0933"/>
    <w:rsid w:val="00FF24D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17E8E-A8BB-41F5-9006-762773AC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5FC"/>
    <w:pPr>
      <w:spacing w:after="200" w:line="276" w:lineRule="auto"/>
    </w:pPr>
  </w:style>
  <w:style w:type="paragraph" w:styleId="Heading1">
    <w:name w:val="heading 1"/>
    <w:basedOn w:val="Normal"/>
    <w:next w:val="Normal"/>
    <w:link w:val="Heading1Char"/>
    <w:qFormat/>
    <w:rsid w:val="002947C2"/>
    <w:pPr>
      <w:numPr>
        <w:numId w:val="10"/>
      </w:numPr>
      <w:spacing w:after="0" w:line="360" w:lineRule="auto"/>
      <w:jc w:val="both"/>
      <w:outlineLvl w:val="0"/>
    </w:pPr>
    <w:rPr>
      <w:rFonts w:ascii="Arial" w:hAnsi="Arial"/>
      <w:kern w:val="2"/>
      <w:sz w:val="24"/>
      <w:lang w:val="en-GB"/>
      <w14:ligatures w14:val="standardContextual"/>
    </w:rPr>
  </w:style>
  <w:style w:type="paragraph" w:styleId="Heading2">
    <w:name w:val="heading 2"/>
    <w:basedOn w:val="Normal"/>
    <w:next w:val="Normal"/>
    <w:link w:val="Heading2Char"/>
    <w:autoRedefine/>
    <w:qFormat/>
    <w:rsid w:val="005837C7"/>
    <w:pPr>
      <w:numPr>
        <w:numId w:val="14"/>
      </w:numPr>
      <w:spacing w:after="0" w:line="360" w:lineRule="auto"/>
      <w:ind w:left="0" w:firstLine="0"/>
      <w:jc w:val="both"/>
      <w:outlineLvl w:val="1"/>
    </w:pPr>
    <w:rPr>
      <w:rFonts w:ascii="Arial" w:hAnsi="Arial" w:cs="Arial"/>
      <w:kern w:val="2"/>
      <w:sz w:val="24"/>
      <w:lang w:val="en-GB"/>
      <w14:ligatures w14:val="standardContextual"/>
    </w:rPr>
  </w:style>
  <w:style w:type="paragraph" w:styleId="Heading3">
    <w:name w:val="heading 3"/>
    <w:basedOn w:val="Normal"/>
    <w:next w:val="Normal"/>
    <w:link w:val="Heading3Char"/>
    <w:qFormat/>
    <w:rsid w:val="002947C2"/>
    <w:pPr>
      <w:numPr>
        <w:ilvl w:val="2"/>
        <w:numId w:val="10"/>
      </w:numPr>
      <w:spacing w:after="0" w:line="360" w:lineRule="auto"/>
      <w:jc w:val="both"/>
      <w:outlineLvl w:val="2"/>
    </w:pPr>
    <w:rPr>
      <w:rFonts w:ascii="Arial" w:hAnsi="Arial"/>
      <w:kern w:val="2"/>
      <w:sz w:val="24"/>
      <w:lang w:val="en-GB"/>
      <w14:ligatures w14:val="standardContextual"/>
    </w:rPr>
  </w:style>
  <w:style w:type="paragraph" w:styleId="Heading4">
    <w:name w:val="heading 4"/>
    <w:basedOn w:val="Normal"/>
    <w:next w:val="Normal"/>
    <w:link w:val="Heading4Char"/>
    <w:qFormat/>
    <w:rsid w:val="002947C2"/>
    <w:pPr>
      <w:numPr>
        <w:ilvl w:val="3"/>
        <w:numId w:val="10"/>
      </w:numPr>
      <w:spacing w:after="0" w:line="360" w:lineRule="auto"/>
      <w:jc w:val="both"/>
      <w:outlineLvl w:val="3"/>
    </w:pPr>
    <w:rPr>
      <w:rFonts w:ascii="Arial" w:hAnsi="Arial"/>
      <w:kern w:val="2"/>
      <w:sz w:val="24"/>
      <w:lang w:val="en-GB"/>
      <w14:ligatures w14:val="standardContextual"/>
    </w:rPr>
  </w:style>
  <w:style w:type="paragraph" w:styleId="Heading5">
    <w:name w:val="heading 5"/>
    <w:basedOn w:val="Normal"/>
    <w:next w:val="Normal"/>
    <w:link w:val="Heading5Char"/>
    <w:qFormat/>
    <w:rsid w:val="002947C2"/>
    <w:pPr>
      <w:numPr>
        <w:ilvl w:val="4"/>
        <w:numId w:val="10"/>
      </w:numPr>
      <w:spacing w:after="0" w:line="360" w:lineRule="auto"/>
      <w:jc w:val="both"/>
      <w:outlineLvl w:val="4"/>
    </w:pPr>
    <w:rPr>
      <w:rFonts w:ascii="Arial" w:hAnsi="Arial"/>
      <w:kern w:val="2"/>
      <w:sz w:val="24"/>
      <w:lang w:val="en-GB"/>
      <w14:ligatures w14:val="standardContextual"/>
    </w:rPr>
  </w:style>
  <w:style w:type="paragraph" w:styleId="Heading6">
    <w:name w:val="heading 6"/>
    <w:basedOn w:val="Normal"/>
    <w:next w:val="Normal"/>
    <w:link w:val="Heading6Char"/>
    <w:qFormat/>
    <w:rsid w:val="002947C2"/>
    <w:pPr>
      <w:numPr>
        <w:ilvl w:val="5"/>
        <w:numId w:val="10"/>
      </w:numPr>
      <w:spacing w:after="0" w:line="360" w:lineRule="auto"/>
      <w:jc w:val="both"/>
      <w:outlineLvl w:val="5"/>
    </w:pPr>
    <w:rPr>
      <w:rFonts w:ascii="Arial" w:hAnsi="Arial"/>
      <w:kern w:val="2"/>
      <w:sz w:val="24"/>
      <w:lang w:val="en-GB"/>
      <w14:ligatures w14:val="standardContextual"/>
    </w:rPr>
  </w:style>
  <w:style w:type="paragraph" w:styleId="Heading7">
    <w:name w:val="heading 7"/>
    <w:basedOn w:val="Normal"/>
    <w:next w:val="Normal"/>
    <w:link w:val="Heading7Char"/>
    <w:qFormat/>
    <w:rsid w:val="002947C2"/>
    <w:pPr>
      <w:numPr>
        <w:ilvl w:val="6"/>
        <w:numId w:val="10"/>
      </w:numPr>
      <w:spacing w:after="0" w:line="360" w:lineRule="auto"/>
      <w:jc w:val="both"/>
      <w:outlineLvl w:val="6"/>
    </w:pPr>
    <w:rPr>
      <w:rFonts w:ascii="Arial" w:hAnsi="Arial"/>
      <w:kern w:val="2"/>
      <w:sz w:val="24"/>
      <w:lang w:val="en-GB"/>
      <w14:ligatures w14:val="standardContextual"/>
    </w:rPr>
  </w:style>
  <w:style w:type="paragraph" w:styleId="Heading8">
    <w:name w:val="heading 8"/>
    <w:basedOn w:val="Normal"/>
    <w:next w:val="Normal"/>
    <w:link w:val="Heading8Char"/>
    <w:qFormat/>
    <w:rsid w:val="002947C2"/>
    <w:pPr>
      <w:numPr>
        <w:ilvl w:val="7"/>
        <w:numId w:val="10"/>
      </w:numPr>
      <w:spacing w:after="0" w:line="360" w:lineRule="auto"/>
      <w:jc w:val="both"/>
      <w:outlineLvl w:val="7"/>
    </w:pPr>
    <w:rPr>
      <w:rFonts w:ascii="Arial" w:hAnsi="Arial"/>
      <w:kern w:val="2"/>
      <w:sz w:val="24"/>
      <w:lang w:val="en-GB"/>
      <w14:ligatures w14:val="standardContextual"/>
    </w:rPr>
  </w:style>
  <w:style w:type="paragraph" w:styleId="Heading9">
    <w:name w:val="heading 9"/>
    <w:basedOn w:val="Normal"/>
    <w:next w:val="Normal"/>
    <w:link w:val="Heading9Char"/>
    <w:qFormat/>
    <w:rsid w:val="002947C2"/>
    <w:pPr>
      <w:numPr>
        <w:ilvl w:val="8"/>
        <w:numId w:val="10"/>
      </w:numPr>
      <w:spacing w:after="0" w:line="360" w:lineRule="auto"/>
      <w:jc w:val="both"/>
      <w:outlineLvl w:val="8"/>
    </w:pPr>
    <w:rPr>
      <w:rFonts w:ascii="Arial" w:hAnsi="Arial"/>
      <w:i/>
      <w:kern w:val="2"/>
      <w:sz w:val="18"/>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Main"/>
    <w:basedOn w:val="Normal"/>
    <w:link w:val="ListParagraphChar"/>
    <w:uiPriority w:val="34"/>
    <w:qFormat/>
    <w:rsid w:val="00795781"/>
    <w:pPr>
      <w:ind w:left="720"/>
      <w:contextualSpacing/>
    </w:pPr>
  </w:style>
  <w:style w:type="paragraph" w:styleId="FootnoteText">
    <w:name w:val="footnote text"/>
    <w:basedOn w:val="Normal"/>
    <w:link w:val="FootnoteTextChar"/>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semiHidden/>
    <w:rsid w:val="001B7253"/>
    <w:rPr>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nhideWhenUsed/>
    <w:qFormat/>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Main Char"/>
    <w:link w:val="ListParagraph"/>
    <w:uiPriority w:val="34"/>
    <w:locked/>
    <w:rsid w:val="003A1238"/>
  </w:style>
  <w:style w:type="character" w:styleId="Hyperlink">
    <w:name w:val="Hyperlink"/>
    <w:basedOn w:val="DefaultParagraphFont"/>
    <w:uiPriority w:val="99"/>
    <w:unhideWhenUsed/>
    <w:rsid w:val="00004A32"/>
    <w:rPr>
      <w:color w:val="0000FF"/>
      <w:u w:val="single"/>
    </w:rPr>
  </w:style>
  <w:style w:type="character" w:customStyle="1" w:styleId="Heading1Char">
    <w:name w:val="Heading 1 Char"/>
    <w:basedOn w:val="DefaultParagraphFont"/>
    <w:link w:val="Heading1"/>
    <w:rsid w:val="002947C2"/>
    <w:rPr>
      <w:rFonts w:ascii="Arial" w:hAnsi="Arial"/>
      <w:kern w:val="2"/>
      <w:sz w:val="24"/>
      <w:lang w:val="en-GB"/>
      <w14:ligatures w14:val="standardContextual"/>
    </w:rPr>
  </w:style>
  <w:style w:type="character" w:customStyle="1" w:styleId="Heading2Char">
    <w:name w:val="Heading 2 Char"/>
    <w:basedOn w:val="DefaultParagraphFont"/>
    <w:link w:val="Heading2"/>
    <w:rsid w:val="005837C7"/>
    <w:rPr>
      <w:rFonts w:ascii="Arial" w:hAnsi="Arial" w:cs="Arial"/>
      <w:kern w:val="2"/>
      <w:sz w:val="24"/>
      <w:lang w:val="en-GB"/>
      <w14:ligatures w14:val="standardContextual"/>
    </w:rPr>
  </w:style>
  <w:style w:type="character" w:customStyle="1" w:styleId="Heading3Char">
    <w:name w:val="Heading 3 Char"/>
    <w:basedOn w:val="DefaultParagraphFont"/>
    <w:link w:val="Heading3"/>
    <w:rsid w:val="002947C2"/>
    <w:rPr>
      <w:rFonts w:ascii="Arial" w:hAnsi="Arial"/>
      <w:kern w:val="2"/>
      <w:sz w:val="24"/>
      <w:lang w:val="en-GB"/>
      <w14:ligatures w14:val="standardContextual"/>
    </w:rPr>
  </w:style>
  <w:style w:type="character" w:customStyle="1" w:styleId="Heading4Char">
    <w:name w:val="Heading 4 Char"/>
    <w:basedOn w:val="DefaultParagraphFont"/>
    <w:link w:val="Heading4"/>
    <w:rsid w:val="002947C2"/>
    <w:rPr>
      <w:rFonts w:ascii="Arial" w:hAnsi="Arial"/>
      <w:kern w:val="2"/>
      <w:sz w:val="24"/>
      <w:lang w:val="en-GB"/>
      <w14:ligatures w14:val="standardContextual"/>
    </w:rPr>
  </w:style>
  <w:style w:type="character" w:customStyle="1" w:styleId="Heading5Char">
    <w:name w:val="Heading 5 Char"/>
    <w:basedOn w:val="DefaultParagraphFont"/>
    <w:link w:val="Heading5"/>
    <w:rsid w:val="002947C2"/>
    <w:rPr>
      <w:rFonts w:ascii="Arial" w:hAnsi="Arial"/>
      <w:kern w:val="2"/>
      <w:sz w:val="24"/>
      <w:lang w:val="en-GB"/>
      <w14:ligatures w14:val="standardContextual"/>
    </w:rPr>
  </w:style>
  <w:style w:type="character" w:customStyle="1" w:styleId="Heading6Char">
    <w:name w:val="Heading 6 Char"/>
    <w:basedOn w:val="DefaultParagraphFont"/>
    <w:link w:val="Heading6"/>
    <w:rsid w:val="002947C2"/>
    <w:rPr>
      <w:rFonts w:ascii="Arial" w:hAnsi="Arial"/>
      <w:kern w:val="2"/>
      <w:sz w:val="24"/>
      <w:lang w:val="en-GB"/>
      <w14:ligatures w14:val="standardContextual"/>
    </w:rPr>
  </w:style>
  <w:style w:type="character" w:customStyle="1" w:styleId="Heading7Char">
    <w:name w:val="Heading 7 Char"/>
    <w:basedOn w:val="DefaultParagraphFont"/>
    <w:link w:val="Heading7"/>
    <w:rsid w:val="002947C2"/>
    <w:rPr>
      <w:rFonts w:ascii="Arial" w:hAnsi="Arial"/>
      <w:kern w:val="2"/>
      <w:sz w:val="24"/>
      <w:lang w:val="en-GB"/>
      <w14:ligatures w14:val="standardContextual"/>
    </w:rPr>
  </w:style>
  <w:style w:type="character" w:customStyle="1" w:styleId="Heading8Char">
    <w:name w:val="Heading 8 Char"/>
    <w:basedOn w:val="DefaultParagraphFont"/>
    <w:link w:val="Heading8"/>
    <w:rsid w:val="002947C2"/>
    <w:rPr>
      <w:rFonts w:ascii="Arial" w:hAnsi="Arial"/>
      <w:kern w:val="2"/>
      <w:sz w:val="24"/>
      <w:lang w:val="en-GB"/>
      <w14:ligatures w14:val="standardContextual"/>
    </w:rPr>
  </w:style>
  <w:style w:type="character" w:customStyle="1" w:styleId="Heading9Char">
    <w:name w:val="Heading 9 Char"/>
    <w:basedOn w:val="DefaultParagraphFont"/>
    <w:link w:val="Heading9"/>
    <w:rsid w:val="002947C2"/>
    <w:rPr>
      <w:rFonts w:ascii="Arial" w:hAnsi="Arial"/>
      <w:i/>
      <w:kern w:val="2"/>
      <w:sz w:val="18"/>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2023-08-02T18:30:00+00:00</Judgment_x0020_Date>
    <Year xmlns="c1afb1bd-f2fb-40fd-9abb-aea55b4d7662">2023</Year>
  </documentManagement>
</p:properties>
</file>

<file path=customXml/itemProps1.xml><?xml version="1.0" encoding="utf-8"?>
<ds:datastoreItem xmlns:ds="http://schemas.openxmlformats.org/officeDocument/2006/customXml" ds:itemID="{7D6AC70A-7008-4A9F-A466-8AEFDAC5AB80}"/>
</file>

<file path=customXml/itemProps2.xml><?xml version="1.0" encoding="utf-8"?>
<ds:datastoreItem xmlns:ds="http://schemas.openxmlformats.org/officeDocument/2006/customXml" ds:itemID="{C77CD056-8EF0-4DB1-9DA4-72B3359F0DF2}"/>
</file>

<file path=customXml/itemProps3.xml><?xml version="1.0" encoding="utf-8"?>
<ds:datastoreItem xmlns:ds="http://schemas.openxmlformats.org/officeDocument/2006/customXml" ds:itemID="{5AF879D1-0852-4301-8385-12CC1CA3424D}"/>
</file>

<file path=customXml/itemProps4.xml><?xml version="1.0" encoding="utf-8"?>
<ds:datastoreItem xmlns:ds="http://schemas.openxmlformats.org/officeDocument/2006/customXml" ds:itemID="{292555D3-1FC9-4C13-B41A-905DD9E78F36}"/>
</file>

<file path=docProps/app.xml><?xml version="1.0" encoding="utf-8"?>
<Properties xmlns="http://schemas.openxmlformats.org/officeDocument/2006/extended-properties" xmlns:vt="http://schemas.openxmlformats.org/officeDocument/2006/docPropsVTypes">
  <Template>Normal</Template>
  <TotalTime>339</TotalTime>
  <Pages>11</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Namdeb Diamond Corporation (Pty) Ltd v Twenty Eleven Investments (Pty)       			Ltd (HC-MD-CIV-ACT-CON-2023/00237) [2023] NAHCMD 463 (3 August 2023)</dc:title>
  <dc:creator>Selma Nambahu</dc:creator>
  <cp:lastModifiedBy>Rosa Iteta</cp:lastModifiedBy>
  <cp:revision>77</cp:revision>
  <cp:lastPrinted>2023-08-02T11:23:00Z</cp:lastPrinted>
  <dcterms:created xsi:type="dcterms:W3CDTF">2023-07-25T10:49:00Z</dcterms:created>
  <dcterms:modified xsi:type="dcterms:W3CDTF">2023-08-03T13:06:00Z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47a16016c624c9999aaeecf9ce712433cd424126a529179ffcda9ce675bbfe5d</vt:lpwstr>
  </property>
  <property fmtid="{D5CDD505-2E9C-101B-9397-08002B2CF9AE}" pid="3" name="ContentTypeId">
    <vt:lpwstr>0x0101000ECE0F99B3F8644397ECB0C536651393</vt:lpwstr>
  </property>
</Properties>
</file>