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7F5C7B" w:rsidP="00B40844">
      <w:pPr>
        <w:spacing w:after="0" w:line="360" w:lineRule="auto"/>
        <w:jc w:val="center"/>
        <w:rPr>
          <w:rFonts w:ascii="Arial" w:hAnsi="Arial" w:cs="Arial"/>
          <w:bCs/>
          <w:sz w:val="24"/>
          <w:szCs w:val="24"/>
        </w:rPr>
      </w:pPr>
      <w:r>
        <w:rPr>
          <w:rFonts w:ascii="Arial" w:hAnsi="Arial" w:cs="Arial"/>
          <w:b/>
          <w:sz w:val="24"/>
          <w:szCs w:val="24"/>
        </w:rPr>
        <w:t xml:space="preserve">IN THE </w:t>
      </w:r>
      <w:r w:rsidR="00B40844"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E12D38" w:rsidRDefault="00E12D38" w:rsidP="00B40844">
      <w:pPr>
        <w:spacing w:after="0" w:line="360" w:lineRule="auto"/>
        <w:jc w:val="center"/>
        <w:rPr>
          <w:rFonts w:ascii="Arial" w:hAnsi="Arial" w:cs="Arial"/>
          <w:b/>
          <w:sz w:val="24"/>
          <w:szCs w:val="24"/>
        </w:rPr>
      </w:pPr>
    </w:p>
    <w:p w:rsidR="00002E9A" w:rsidRDefault="00002E9A" w:rsidP="00B40844">
      <w:pPr>
        <w:spacing w:after="0" w:line="360" w:lineRule="auto"/>
        <w:jc w:val="center"/>
        <w:rPr>
          <w:rFonts w:ascii="Arial" w:hAnsi="Arial" w:cs="Arial"/>
          <w:b/>
          <w:sz w:val="24"/>
          <w:szCs w:val="24"/>
        </w:rPr>
      </w:pPr>
      <w:r>
        <w:rPr>
          <w:rFonts w:ascii="Arial" w:eastAsia="Times New Roman" w:hAnsi="Arial" w:cs="Arial"/>
          <w:b/>
          <w:sz w:val="24"/>
          <w:szCs w:val="24"/>
          <w:lang w:val="en-US"/>
        </w:rPr>
        <w:t>PRACTICE DIRECTIVE 61</w:t>
      </w:r>
    </w:p>
    <w:tbl>
      <w:tblPr>
        <w:tblStyle w:val="TableGrid"/>
        <w:tblW w:w="10476" w:type="dxa"/>
        <w:tblInd w:w="-275" w:type="dxa"/>
        <w:tblLook w:val="04A0" w:firstRow="1" w:lastRow="0" w:firstColumn="1" w:lastColumn="0" w:noHBand="0" w:noVBand="1"/>
      </w:tblPr>
      <w:tblGrid>
        <w:gridCol w:w="5232"/>
        <w:gridCol w:w="1134"/>
        <w:gridCol w:w="4110"/>
      </w:tblGrid>
      <w:tr w:rsidR="00CA7995" w:rsidRPr="00CA7995" w:rsidTr="00002E9A">
        <w:trPr>
          <w:trHeight w:val="1396"/>
        </w:trPr>
        <w:tc>
          <w:tcPr>
            <w:tcW w:w="6366" w:type="dxa"/>
            <w:gridSpan w:val="2"/>
            <w:vMerge w:val="restart"/>
          </w:tcPr>
          <w:p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Case Title:</w:t>
            </w:r>
          </w:p>
          <w:p w:rsidR="00087410" w:rsidRPr="00087410" w:rsidRDefault="00087410" w:rsidP="00087410">
            <w:pPr>
              <w:spacing w:line="360" w:lineRule="auto"/>
              <w:jc w:val="both"/>
              <w:rPr>
                <w:rFonts w:ascii="Arial" w:hAnsi="Arial" w:cs="Arial"/>
                <w:sz w:val="24"/>
                <w:szCs w:val="24"/>
              </w:rPr>
            </w:pPr>
          </w:p>
          <w:p w:rsidR="00087410" w:rsidRPr="00CE55EE" w:rsidRDefault="00CE55EE" w:rsidP="00087410">
            <w:pPr>
              <w:spacing w:line="360" w:lineRule="auto"/>
              <w:jc w:val="both"/>
              <w:rPr>
                <w:rFonts w:ascii="Arial" w:hAnsi="Arial" w:cs="Arial"/>
                <w:sz w:val="24"/>
                <w:szCs w:val="24"/>
              </w:rPr>
            </w:pPr>
            <w:r w:rsidRPr="00CE55EE">
              <w:rPr>
                <w:rFonts w:ascii="Arial" w:hAnsi="Arial" w:cs="Arial"/>
                <w:sz w:val="24"/>
                <w:szCs w:val="24"/>
              </w:rPr>
              <w:t>NEDBANK NAMIBIA LIMITED</w:t>
            </w:r>
            <w:r w:rsidR="007F5C7B">
              <w:rPr>
                <w:rFonts w:ascii="Arial" w:hAnsi="Arial" w:cs="Arial"/>
                <w:sz w:val="24"/>
                <w:szCs w:val="24"/>
              </w:rPr>
              <w:tab/>
              <w:t xml:space="preserve"> </w:t>
            </w:r>
            <w:r w:rsidR="007F5C7B">
              <w:rPr>
                <w:rFonts w:ascii="Arial" w:hAnsi="Arial" w:cs="Arial"/>
                <w:sz w:val="24"/>
                <w:szCs w:val="24"/>
              </w:rPr>
              <w:tab/>
              <w:t xml:space="preserve">       </w:t>
            </w:r>
            <w:r w:rsidR="00087410" w:rsidRPr="00CE55EE">
              <w:rPr>
                <w:rFonts w:ascii="Arial" w:hAnsi="Arial" w:cs="Arial"/>
                <w:sz w:val="24"/>
                <w:szCs w:val="24"/>
              </w:rPr>
              <w:t>APPLICANT</w:t>
            </w:r>
          </w:p>
          <w:p w:rsidR="00087410" w:rsidRPr="00087410" w:rsidRDefault="00087410" w:rsidP="00087410">
            <w:pPr>
              <w:spacing w:line="360" w:lineRule="auto"/>
              <w:jc w:val="both"/>
              <w:rPr>
                <w:rFonts w:ascii="Arial" w:hAnsi="Arial" w:cs="Arial"/>
                <w:sz w:val="24"/>
                <w:szCs w:val="24"/>
              </w:rPr>
            </w:pPr>
          </w:p>
          <w:p w:rsidR="00087410" w:rsidRPr="00087410" w:rsidRDefault="00087410" w:rsidP="00087410">
            <w:pPr>
              <w:spacing w:line="360" w:lineRule="auto"/>
              <w:jc w:val="both"/>
              <w:rPr>
                <w:rFonts w:ascii="Arial" w:hAnsi="Arial" w:cs="Arial"/>
                <w:sz w:val="24"/>
                <w:szCs w:val="24"/>
              </w:rPr>
            </w:pPr>
            <w:r w:rsidRPr="00087410">
              <w:rPr>
                <w:rFonts w:ascii="Arial" w:hAnsi="Arial" w:cs="Arial"/>
                <w:sz w:val="24"/>
                <w:szCs w:val="24"/>
              </w:rPr>
              <w:t>and</w:t>
            </w:r>
          </w:p>
          <w:p w:rsidR="00087410" w:rsidRPr="00087410" w:rsidRDefault="00087410" w:rsidP="00087410">
            <w:pPr>
              <w:spacing w:line="360" w:lineRule="auto"/>
              <w:jc w:val="both"/>
              <w:rPr>
                <w:rFonts w:ascii="Arial" w:hAnsi="Arial" w:cs="Arial"/>
                <w:sz w:val="24"/>
                <w:szCs w:val="24"/>
              </w:rPr>
            </w:pPr>
          </w:p>
          <w:p w:rsidR="00087410" w:rsidRPr="00CE55EE" w:rsidRDefault="006A0CAF" w:rsidP="00087410">
            <w:pPr>
              <w:spacing w:line="360" w:lineRule="auto"/>
              <w:jc w:val="both"/>
              <w:rPr>
                <w:rFonts w:ascii="Arial" w:hAnsi="Arial" w:cs="Arial"/>
                <w:sz w:val="24"/>
                <w:szCs w:val="24"/>
              </w:rPr>
            </w:pPr>
            <w:r w:rsidRPr="006A0CAF">
              <w:rPr>
                <w:rFonts w:ascii="Arial" w:hAnsi="Arial" w:cs="Arial"/>
                <w:sz w:val="24"/>
                <w:szCs w:val="24"/>
              </w:rPr>
              <w:t>MILDRED NONTOBEKO JANTJIES</w:t>
            </w:r>
            <w:r w:rsidR="007F5C7B" w:rsidRPr="007F5C7B">
              <w:rPr>
                <w:rFonts w:ascii="Arial" w:hAnsi="Arial" w:cs="Arial"/>
                <w:sz w:val="24"/>
                <w:szCs w:val="24"/>
              </w:rPr>
              <w:tab/>
            </w:r>
            <w:r w:rsidR="007F5C7B">
              <w:rPr>
                <w:rFonts w:ascii="Arial" w:hAnsi="Arial" w:cs="Arial"/>
                <w:sz w:val="24"/>
                <w:szCs w:val="24"/>
              </w:rPr>
              <w:t xml:space="preserve">  </w:t>
            </w:r>
            <w:r w:rsidR="00087410" w:rsidRPr="00CE55EE">
              <w:rPr>
                <w:rFonts w:ascii="Arial" w:hAnsi="Arial" w:cs="Arial"/>
                <w:sz w:val="24"/>
                <w:szCs w:val="24"/>
              </w:rPr>
              <w:t>RESPONDENT</w:t>
            </w:r>
          </w:p>
          <w:p w:rsidR="00002E9A" w:rsidRPr="00002E9A" w:rsidRDefault="00002E9A" w:rsidP="00CE55EE">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5D0587" w:rsidRDefault="00CE55EE" w:rsidP="00937C89">
            <w:pPr>
              <w:spacing w:line="360" w:lineRule="auto"/>
              <w:jc w:val="both"/>
              <w:rPr>
                <w:rFonts w:ascii="Arial" w:hAnsi="Arial" w:cs="Arial"/>
                <w:sz w:val="24"/>
                <w:szCs w:val="24"/>
              </w:rPr>
            </w:pPr>
            <w:r w:rsidRPr="00CE55EE">
              <w:rPr>
                <w:rFonts w:ascii="Arial" w:hAnsi="Arial" w:cs="Arial"/>
                <w:sz w:val="24"/>
                <w:szCs w:val="24"/>
              </w:rPr>
              <w:t>HC-MD-CIV-ACT-CON-2019/05236</w:t>
            </w:r>
          </w:p>
          <w:p w:rsidR="001541FE" w:rsidRPr="001541FE" w:rsidRDefault="001541FE" w:rsidP="00937C89">
            <w:pPr>
              <w:spacing w:line="360" w:lineRule="auto"/>
              <w:jc w:val="both"/>
              <w:rPr>
                <w:rFonts w:ascii="Arial" w:hAnsi="Arial" w:cs="Arial"/>
                <w:sz w:val="24"/>
                <w:szCs w:val="24"/>
                <w:shd w:val="clear" w:color="auto" w:fill="FFFFFF"/>
              </w:rPr>
            </w:pPr>
            <w:r w:rsidRPr="001541FE">
              <w:rPr>
                <w:rFonts w:ascii="Arial" w:hAnsi="Arial" w:cs="Arial"/>
                <w:sz w:val="24"/>
                <w:szCs w:val="24"/>
                <w:shd w:val="clear" w:color="auto" w:fill="FFFFFF"/>
              </w:rPr>
              <w:t>(INT-HC-DECIMMPRO-2023/00144)</w:t>
            </w:r>
          </w:p>
        </w:tc>
      </w:tr>
      <w:tr w:rsidR="00CA7995" w:rsidRPr="00CA7995" w:rsidTr="00002E9A">
        <w:trPr>
          <w:trHeight w:val="968"/>
        </w:trPr>
        <w:tc>
          <w:tcPr>
            <w:tcW w:w="6366" w:type="dxa"/>
            <w:gridSpan w:val="2"/>
            <w:vMerge/>
          </w:tcPr>
          <w:p w:rsidR="00B40844" w:rsidRPr="00CA7995" w:rsidRDefault="00B40844" w:rsidP="00937C8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002E9A">
        <w:trPr>
          <w:trHeight w:val="965"/>
        </w:trPr>
        <w:tc>
          <w:tcPr>
            <w:tcW w:w="6366"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087410" w:rsidP="00C2633E">
            <w:pPr>
              <w:spacing w:line="360" w:lineRule="auto"/>
              <w:jc w:val="both"/>
              <w:rPr>
                <w:rFonts w:ascii="Arial" w:hAnsi="Arial" w:cs="Arial"/>
                <w:sz w:val="24"/>
                <w:szCs w:val="24"/>
              </w:rPr>
            </w:pPr>
            <w:r>
              <w:rPr>
                <w:rFonts w:ascii="Arial" w:hAnsi="Arial" w:cs="Arial"/>
                <w:sz w:val="24"/>
                <w:szCs w:val="24"/>
                <w:lang w:val="en-US"/>
              </w:rPr>
              <w:t>14</w:t>
            </w:r>
            <w:r w:rsidR="00212EC4" w:rsidRPr="00732939">
              <w:rPr>
                <w:rFonts w:ascii="Arial" w:hAnsi="Arial" w:cs="Arial"/>
                <w:sz w:val="24"/>
                <w:szCs w:val="24"/>
                <w:lang w:val="en-US"/>
              </w:rPr>
              <w:t xml:space="preserve"> July</w:t>
            </w:r>
            <w:r w:rsidR="00002E9A" w:rsidRPr="00732939">
              <w:rPr>
                <w:rFonts w:ascii="Arial" w:hAnsi="Arial" w:cs="Arial"/>
                <w:sz w:val="24"/>
                <w:szCs w:val="24"/>
                <w:lang w:val="en-US"/>
              </w:rPr>
              <w:t xml:space="preserve"> 2023</w:t>
            </w:r>
          </w:p>
        </w:tc>
      </w:tr>
      <w:tr w:rsidR="00CA7995" w:rsidRPr="00CA7995" w:rsidTr="00002E9A">
        <w:trPr>
          <w:trHeight w:val="991"/>
        </w:trPr>
        <w:tc>
          <w:tcPr>
            <w:tcW w:w="6366" w:type="dxa"/>
            <w:gridSpan w:val="2"/>
            <w:vMerge/>
          </w:tcPr>
          <w:p w:rsidR="00B40844" w:rsidRPr="00CA7995" w:rsidRDefault="00B40844" w:rsidP="00937C89">
            <w:pPr>
              <w:spacing w:line="360" w:lineRule="auto"/>
              <w:jc w:val="both"/>
              <w:rPr>
                <w:rFonts w:ascii="Arial" w:hAnsi="Arial" w:cs="Arial"/>
                <w:b/>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087410" w:rsidP="00C2633E">
            <w:pPr>
              <w:spacing w:line="360" w:lineRule="auto"/>
              <w:jc w:val="both"/>
              <w:rPr>
                <w:rFonts w:ascii="Arial" w:hAnsi="Arial" w:cs="Arial"/>
                <w:b/>
                <w:sz w:val="24"/>
                <w:szCs w:val="24"/>
              </w:rPr>
            </w:pPr>
            <w:r>
              <w:rPr>
                <w:rFonts w:ascii="Arial" w:hAnsi="Arial" w:cs="Arial"/>
                <w:sz w:val="24"/>
                <w:szCs w:val="24"/>
                <w:lang w:val="en-US"/>
              </w:rPr>
              <w:t>4 August</w:t>
            </w:r>
            <w:r w:rsidR="00E922FB">
              <w:rPr>
                <w:rFonts w:ascii="Arial" w:hAnsi="Arial" w:cs="Arial"/>
                <w:sz w:val="24"/>
                <w:szCs w:val="24"/>
                <w:lang w:val="en-US"/>
              </w:rPr>
              <w:t xml:space="preserve"> </w:t>
            </w:r>
            <w:r w:rsidR="00002E9A">
              <w:rPr>
                <w:rFonts w:ascii="Arial" w:hAnsi="Arial" w:cs="Arial"/>
                <w:sz w:val="24"/>
                <w:szCs w:val="24"/>
                <w:lang w:val="en-US"/>
              </w:rPr>
              <w:t>2023</w:t>
            </w:r>
          </w:p>
        </w:tc>
      </w:tr>
      <w:tr w:rsidR="00CA7995" w:rsidRPr="00CA7995" w:rsidTr="00002E9A">
        <w:trPr>
          <w:trHeight w:val="876"/>
        </w:trPr>
        <w:tc>
          <w:tcPr>
            <w:tcW w:w="10476" w:type="dxa"/>
            <w:gridSpan w:val="3"/>
          </w:tcPr>
          <w:p w:rsidR="009A084E" w:rsidRDefault="009A084E" w:rsidP="009A084E">
            <w:pPr>
              <w:spacing w:line="360" w:lineRule="auto"/>
              <w:jc w:val="both"/>
              <w:rPr>
                <w:rFonts w:ascii="Arial" w:hAnsi="Arial" w:cs="Arial"/>
                <w:b/>
                <w:sz w:val="24"/>
                <w:szCs w:val="24"/>
              </w:rPr>
            </w:pPr>
          </w:p>
          <w:p w:rsidR="00B40844" w:rsidRPr="005D0587" w:rsidRDefault="00B40844" w:rsidP="009A084E">
            <w:pPr>
              <w:spacing w:line="360" w:lineRule="auto"/>
              <w:jc w:val="both"/>
              <w:rPr>
                <w:rFonts w:ascii="Arial" w:hAnsi="Arial" w:cs="Arial"/>
                <w:i/>
                <w:sz w:val="24"/>
                <w:szCs w:val="24"/>
              </w:rPr>
            </w:pPr>
            <w:r w:rsidRPr="00CA7995">
              <w:rPr>
                <w:rFonts w:ascii="Arial" w:hAnsi="Arial" w:cs="Arial"/>
                <w:b/>
                <w:sz w:val="24"/>
                <w:szCs w:val="24"/>
              </w:rPr>
              <w:t xml:space="preserve">Neutral citation: </w:t>
            </w:r>
            <w:r w:rsidR="00CE55EE">
              <w:rPr>
                <w:rFonts w:ascii="Arial" w:hAnsi="Arial" w:cs="Arial"/>
                <w:i/>
                <w:sz w:val="24"/>
                <w:szCs w:val="24"/>
              </w:rPr>
              <w:t>Nedbank Namibia Ltd</w:t>
            </w:r>
            <w:r w:rsidR="00087410" w:rsidRPr="00087410">
              <w:rPr>
                <w:rFonts w:ascii="Arial" w:hAnsi="Arial" w:cs="Arial"/>
                <w:i/>
                <w:sz w:val="24"/>
                <w:szCs w:val="24"/>
              </w:rPr>
              <w:t xml:space="preserve"> v </w:t>
            </w:r>
            <w:r w:rsidR="00CE55EE">
              <w:rPr>
                <w:rFonts w:ascii="Arial" w:hAnsi="Arial" w:cs="Arial"/>
                <w:i/>
                <w:sz w:val="24"/>
                <w:szCs w:val="24"/>
              </w:rPr>
              <w:t>Jantjies</w:t>
            </w:r>
            <w:r w:rsidR="00087410" w:rsidRPr="00087410">
              <w:rPr>
                <w:rFonts w:ascii="Arial" w:hAnsi="Arial" w:cs="Arial"/>
                <w:i/>
                <w:sz w:val="24"/>
                <w:szCs w:val="24"/>
              </w:rPr>
              <w:t xml:space="preserve"> </w:t>
            </w:r>
            <w:r w:rsidR="00087410" w:rsidRPr="00087410">
              <w:rPr>
                <w:rFonts w:ascii="Arial" w:hAnsi="Arial" w:cs="Arial"/>
                <w:sz w:val="24"/>
                <w:szCs w:val="24"/>
              </w:rPr>
              <w:t>(</w:t>
            </w:r>
            <w:r w:rsidR="00FB44FB" w:rsidRPr="00FB44FB">
              <w:rPr>
                <w:rFonts w:ascii="Arial" w:hAnsi="Arial" w:cs="Arial"/>
                <w:sz w:val="24"/>
                <w:szCs w:val="24"/>
              </w:rPr>
              <w:t>INT-HC-DECIMMPRO-2023/00144</w:t>
            </w:r>
            <w:r w:rsidR="00087410" w:rsidRPr="00087410">
              <w:rPr>
                <w:rFonts w:ascii="Arial" w:hAnsi="Arial" w:cs="Arial"/>
                <w:sz w:val="24"/>
                <w:szCs w:val="24"/>
              </w:rPr>
              <w:t xml:space="preserve">) [2023] NAHCMD </w:t>
            </w:r>
            <w:r w:rsidR="009A084E">
              <w:rPr>
                <w:rFonts w:ascii="Arial" w:hAnsi="Arial" w:cs="Arial"/>
                <w:sz w:val="24"/>
                <w:szCs w:val="24"/>
              </w:rPr>
              <w:t>465</w:t>
            </w:r>
            <w:r w:rsidR="00087410" w:rsidRPr="00087410">
              <w:rPr>
                <w:rFonts w:ascii="Arial" w:hAnsi="Arial" w:cs="Arial"/>
                <w:sz w:val="24"/>
                <w:szCs w:val="24"/>
              </w:rPr>
              <w:t xml:space="preserve"> (4 August 2023)</w:t>
            </w:r>
            <w:bookmarkStart w:id="0" w:name="_GoBack"/>
            <w:bookmarkEnd w:id="0"/>
          </w:p>
        </w:tc>
      </w:tr>
      <w:tr w:rsidR="00002E9A" w:rsidRPr="00CA7995" w:rsidTr="00002E9A">
        <w:trPr>
          <w:trHeight w:val="876"/>
        </w:trPr>
        <w:tc>
          <w:tcPr>
            <w:tcW w:w="10476" w:type="dxa"/>
            <w:gridSpan w:val="3"/>
          </w:tcPr>
          <w:p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t>Results on merits:</w:t>
            </w:r>
          </w:p>
          <w:p w:rsidR="00002E9A" w:rsidRPr="00002E9A" w:rsidRDefault="00002E9A" w:rsidP="00002E9A">
            <w:pPr>
              <w:shd w:val="clear" w:color="auto" w:fill="FFFFFF"/>
              <w:rPr>
                <w:rFonts w:ascii="Arial" w:eastAsia="Times New Roman" w:hAnsi="Arial" w:cs="Arial"/>
                <w:sz w:val="24"/>
                <w:szCs w:val="24"/>
                <w:lang w:val="en-US"/>
              </w:rPr>
            </w:pPr>
          </w:p>
          <w:p w:rsidR="00002E9A" w:rsidRPr="00CA7995" w:rsidRDefault="00002E9A" w:rsidP="00002E9A">
            <w:pPr>
              <w:spacing w:line="360" w:lineRule="auto"/>
              <w:jc w:val="both"/>
              <w:rPr>
                <w:rFonts w:ascii="Arial" w:hAnsi="Arial" w:cs="Arial"/>
                <w:b/>
                <w:sz w:val="24"/>
                <w:szCs w:val="24"/>
              </w:rPr>
            </w:pPr>
            <w:r w:rsidRPr="00A2352A">
              <w:rPr>
                <w:rFonts w:ascii="Arial" w:eastAsia="Times New Roman" w:hAnsi="Arial" w:cs="Arial"/>
                <w:sz w:val="24"/>
                <w:szCs w:val="24"/>
                <w:lang w:val="en-US"/>
              </w:rPr>
              <w:t>Merits not considered.</w:t>
            </w:r>
          </w:p>
        </w:tc>
      </w:tr>
      <w:tr w:rsidR="00CA7995" w:rsidRPr="00CA7995" w:rsidTr="00002E9A">
        <w:tc>
          <w:tcPr>
            <w:tcW w:w="10476" w:type="dxa"/>
            <w:gridSpan w:val="3"/>
          </w:tcPr>
          <w:p w:rsidR="00B40844" w:rsidRPr="007F5C7B" w:rsidRDefault="00B40844" w:rsidP="00937C89">
            <w:pPr>
              <w:spacing w:line="360" w:lineRule="auto"/>
              <w:jc w:val="both"/>
              <w:rPr>
                <w:rFonts w:ascii="Arial" w:hAnsi="Arial" w:cs="Arial"/>
                <w:b/>
                <w:sz w:val="24"/>
                <w:szCs w:val="24"/>
              </w:rPr>
            </w:pPr>
            <w:r w:rsidRPr="00CA7995">
              <w:rPr>
                <w:rFonts w:ascii="Arial" w:hAnsi="Arial" w:cs="Arial"/>
                <w:b/>
                <w:sz w:val="24"/>
                <w:szCs w:val="24"/>
              </w:rPr>
              <w:t>The order:</w:t>
            </w:r>
          </w:p>
          <w:p w:rsidR="00CE55EE" w:rsidRDefault="00CE55EE" w:rsidP="00CE55EE">
            <w:pPr>
              <w:pStyle w:val="ListParagraph"/>
            </w:pPr>
          </w:p>
          <w:p w:rsidR="00CE55EE" w:rsidRDefault="00CE55EE" w:rsidP="00CE55EE">
            <w:pPr>
              <w:pStyle w:val="BodyText"/>
              <w:numPr>
                <w:ilvl w:val="0"/>
                <w:numId w:val="10"/>
              </w:numPr>
              <w:tabs>
                <w:tab w:val="clear" w:pos="729"/>
              </w:tabs>
            </w:pPr>
            <w:r>
              <w:t xml:space="preserve">The application in terms of </w:t>
            </w:r>
            <w:r w:rsidR="00B51531">
              <w:t xml:space="preserve">rule 108 is struck from </w:t>
            </w:r>
            <w:r w:rsidR="00B51531" w:rsidRPr="009A084E">
              <w:t>the roll</w:t>
            </w:r>
            <w:r w:rsidRPr="009A084E">
              <w:t xml:space="preserve"> with costs</w:t>
            </w:r>
            <w:r>
              <w:t xml:space="preserve">. </w:t>
            </w:r>
          </w:p>
          <w:p w:rsidR="008C2200" w:rsidRDefault="00CE55EE" w:rsidP="007F5C7B">
            <w:pPr>
              <w:pStyle w:val="BodyText"/>
              <w:numPr>
                <w:ilvl w:val="0"/>
                <w:numId w:val="10"/>
              </w:numPr>
              <w:tabs>
                <w:tab w:val="clear" w:pos="729"/>
              </w:tabs>
            </w:pPr>
            <w:r>
              <w:t xml:space="preserve">Such costs to include the cost of one instructing and one instructed counsel. </w:t>
            </w:r>
          </w:p>
          <w:p w:rsidR="009A084E" w:rsidRPr="007F5C7B" w:rsidRDefault="009A084E" w:rsidP="009A084E">
            <w:pPr>
              <w:pStyle w:val="BodyText"/>
              <w:tabs>
                <w:tab w:val="clear" w:pos="729"/>
              </w:tabs>
              <w:ind w:left="720"/>
            </w:pPr>
          </w:p>
        </w:tc>
      </w:tr>
      <w:tr w:rsidR="00CA7995" w:rsidRPr="00CA7995" w:rsidTr="00002E9A">
        <w:trPr>
          <w:trHeight w:val="548"/>
        </w:trPr>
        <w:tc>
          <w:tcPr>
            <w:tcW w:w="10476" w:type="dxa"/>
            <w:gridSpan w:val="3"/>
          </w:tcPr>
          <w:p w:rsidR="009A084E" w:rsidRDefault="009A084E" w:rsidP="008F5871">
            <w:pPr>
              <w:tabs>
                <w:tab w:val="right" w:pos="9693"/>
              </w:tabs>
              <w:spacing w:line="360" w:lineRule="auto"/>
              <w:jc w:val="both"/>
              <w:rPr>
                <w:rFonts w:ascii="Arial" w:hAnsi="Arial" w:cs="Arial"/>
                <w:b/>
                <w:sz w:val="24"/>
                <w:szCs w:val="24"/>
                <w:lang w:val="en-US"/>
              </w:rPr>
            </w:pPr>
          </w:p>
          <w:p w:rsidR="009A084E" w:rsidRDefault="009A084E" w:rsidP="008F5871">
            <w:pPr>
              <w:tabs>
                <w:tab w:val="right" w:pos="9693"/>
              </w:tabs>
              <w:spacing w:line="360" w:lineRule="auto"/>
              <w:jc w:val="both"/>
              <w:rPr>
                <w:rFonts w:ascii="Arial" w:hAnsi="Arial" w:cs="Arial"/>
                <w:b/>
                <w:sz w:val="24"/>
                <w:szCs w:val="24"/>
                <w:lang w:val="en-US"/>
              </w:rPr>
            </w:pPr>
          </w:p>
          <w:p w:rsidR="009A084E" w:rsidRDefault="009A084E" w:rsidP="008F5871">
            <w:pPr>
              <w:tabs>
                <w:tab w:val="right" w:pos="9693"/>
              </w:tabs>
              <w:spacing w:line="360" w:lineRule="auto"/>
              <w:jc w:val="both"/>
              <w:rPr>
                <w:rFonts w:ascii="Arial" w:hAnsi="Arial" w:cs="Arial"/>
                <w:b/>
                <w:sz w:val="24"/>
                <w:szCs w:val="24"/>
                <w:lang w:val="en-US"/>
              </w:rPr>
            </w:pPr>
          </w:p>
          <w:p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t>Reasons for orders:</w:t>
            </w:r>
          </w:p>
        </w:tc>
      </w:tr>
      <w:tr w:rsidR="00CA7995" w:rsidRPr="00CA7995" w:rsidTr="00002E9A">
        <w:tc>
          <w:tcPr>
            <w:tcW w:w="10476" w:type="dxa"/>
            <w:gridSpan w:val="3"/>
          </w:tcPr>
          <w:p w:rsidR="007F5C7B" w:rsidRDefault="007F5C7B" w:rsidP="00ED76B2">
            <w:pPr>
              <w:spacing w:line="360" w:lineRule="auto"/>
              <w:jc w:val="both"/>
              <w:rPr>
                <w:rFonts w:ascii="Arial" w:hAnsi="Arial" w:cs="Arial"/>
                <w:sz w:val="24"/>
                <w:szCs w:val="24"/>
              </w:rPr>
            </w:pPr>
          </w:p>
          <w:p w:rsidR="00E12D38" w:rsidRDefault="00E12D38" w:rsidP="00ED76B2">
            <w:pPr>
              <w:spacing w:line="360" w:lineRule="auto"/>
              <w:jc w:val="both"/>
              <w:rPr>
                <w:rFonts w:ascii="Arial" w:hAnsi="Arial" w:cs="Arial"/>
                <w:sz w:val="24"/>
                <w:szCs w:val="24"/>
              </w:rPr>
            </w:pPr>
            <w:r>
              <w:rPr>
                <w:rFonts w:ascii="Arial" w:hAnsi="Arial" w:cs="Arial"/>
                <w:sz w:val="24"/>
                <w:szCs w:val="24"/>
              </w:rPr>
              <w:t>PRINSLOO J:</w:t>
            </w:r>
          </w:p>
          <w:p w:rsidR="0075139D" w:rsidRDefault="0075139D" w:rsidP="00ED76B2">
            <w:pPr>
              <w:spacing w:line="360" w:lineRule="auto"/>
              <w:jc w:val="both"/>
              <w:rPr>
                <w:rFonts w:ascii="Arial" w:hAnsi="Arial" w:cs="Arial"/>
                <w:sz w:val="24"/>
                <w:szCs w:val="24"/>
              </w:rPr>
            </w:pPr>
          </w:p>
          <w:p w:rsidR="00CE55EE" w:rsidRDefault="00CE55EE" w:rsidP="00CE55EE">
            <w:pPr>
              <w:pStyle w:val="ListParagraph"/>
              <w:numPr>
                <w:ilvl w:val="0"/>
                <w:numId w:val="8"/>
              </w:numPr>
              <w:spacing w:line="360" w:lineRule="auto"/>
              <w:ind w:left="0" w:firstLine="0"/>
              <w:jc w:val="both"/>
              <w:rPr>
                <w:rFonts w:ascii="Arial" w:hAnsi="Arial" w:cs="Arial"/>
                <w:sz w:val="24"/>
                <w:szCs w:val="24"/>
              </w:rPr>
            </w:pPr>
            <w:r w:rsidRPr="0004663E">
              <w:rPr>
                <w:rFonts w:ascii="Arial" w:hAnsi="Arial" w:cs="Arial"/>
                <w:sz w:val="24"/>
                <w:szCs w:val="24"/>
              </w:rPr>
              <w:t>This is an applicati</w:t>
            </w:r>
            <w:r w:rsidR="00FB44FB">
              <w:rPr>
                <w:rFonts w:ascii="Arial" w:hAnsi="Arial" w:cs="Arial"/>
                <w:sz w:val="24"/>
                <w:szCs w:val="24"/>
              </w:rPr>
              <w:t xml:space="preserve">on in terms of rule 108 of the </w:t>
            </w:r>
            <w:r w:rsidR="00FB44FB" w:rsidRPr="009A084E">
              <w:rPr>
                <w:rFonts w:ascii="Arial" w:hAnsi="Arial" w:cs="Arial"/>
                <w:sz w:val="24"/>
                <w:szCs w:val="24"/>
              </w:rPr>
              <w:t>R</w:t>
            </w:r>
            <w:r w:rsidRPr="009A084E">
              <w:rPr>
                <w:rFonts w:ascii="Arial" w:hAnsi="Arial" w:cs="Arial"/>
                <w:sz w:val="24"/>
                <w:szCs w:val="24"/>
              </w:rPr>
              <w:t>ules</w:t>
            </w:r>
            <w:r w:rsidRPr="0004663E">
              <w:rPr>
                <w:rFonts w:ascii="Arial" w:hAnsi="Arial" w:cs="Arial"/>
                <w:sz w:val="24"/>
                <w:szCs w:val="24"/>
              </w:rPr>
              <w:t xml:space="preserve"> of </w:t>
            </w:r>
            <w:r w:rsidR="009A084E">
              <w:rPr>
                <w:rFonts w:ascii="Arial" w:hAnsi="Arial" w:cs="Arial"/>
                <w:sz w:val="24"/>
                <w:szCs w:val="24"/>
              </w:rPr>
              <w:t>Court</w:t>
            </w:r>
            <w:r w:rsidRPr="0004663E">
              <w:rPr>
                <w:rFonts w:ascii="Arial" w:hAnsi="Arial" w:cs="Arial"/>
                <w:sz w:val="24"/>
                <w:szCs w:val="24"/>
              </w:rPr>
              <w:t xml:space="preserve">. </w:t>
            </w:r>
          </w:p>
          <w:p w:rsidR="00CE55EE" w:rsidRPr="0004663E" w:rsidRDefault="00CE55EE" w:rsidP="00CE55EE">
            <w:pPr>
              <w:pStyle w:val="ListParagraph"/>
              <w:spacing w:line="360" w:lineRule="auto"/>
              <w:ind w:left="0"/>
              <w:jc w:val="both"/>
              <w:rPr>
                <w:rFonts w:ascii="Arial" w:hAnsi="Arial" w:cs="Arial"/>
                <w:sz w:val="24"/>
                <w:szCs w:val="24"/>
              </w:rPr>
            </w:pPr>
          </w:p>
          <w:p w:rsidR="00CE55EE" w:rsidRDefault="00CE55EE" w:rsidP="00CE55EE">
            <w:pPr>
              <w:pStyle w:val="BodyText"/>
              <w:numPr>
                <w:ilvl w:val="0"/>
                <w:numId w:val="8"/>
              </w:numPr>
              <w:tabs>
                <w:tab w:val="clear" w:pos="729"/>
              </w:tabs>
              <w:ind w:left="0" w:firstLine="0"/>
            </w:pPr>
            <w:r w:rsidRPr="0004663E">
              <w:t xml:space="preserve">The applicant Nedbank </w:t>
            </w:r>
            <w:r>
              <w:t>Namibia Ltd obtained judgment agai</w:t>
            </w:r>
            <w:r w:rsidR="00B51531">
              <w:t xml:space="preserve">nst the respondent Mildred </w:t>
            </w:r>
            <w:r w:rsidR="00B51531" w:rsidRPr="009A084E">
              <w:t>Nonto</w:t>
            </w:r>
            <w:r w:rsidRPr="009A084E">
              <w:t>beko</w:t>
            </w:r>
            <w:r>
              <w:t xml:space="preserve"> Jantjies on 12 June 2</w:t>
            </w:r>
            <w:r w:rsidR="00B51531">
              <w:t>020 in the amount of N$130 843.22 and N$573 627.</w:t>
            </w:r>
            <w:r>
              <w:t>13 plus interest at the rate of 16.4%, calculated daily, charged monthly in arrears and compounded from 24 October 2019 to date of final payment.</w:t>
            </w:r>
          </w:p>
          <w:p w:rsidR="00CE55EE" w:rsidRDefault="00CE55EE" w:rsidP="00CE55EE">
            <w:pPr>
              <w:pStyle w:val="ListParagraph"/>
            </w:pPr>
          </w:p>
          <w:p w:rsidR="00CE55EE" w:rsidRDefault="00CE55EE" w:rsidP="00CE55EE">
            <w:pPr>
              <w:pStyle w:val="BodyText"/>
              <w:numPr>
                <w:ilvl w:val="0"/>
                <w:numId w:val="8"/>
              </w:numPr>
              <w:tabs>
                <w:tab w:val="clear" w:pos="729"/>
              </w:tabs>
              <w:ind w:left="0" w:firstLine="0"/>
            </w:pPr>
            <w:r>
              <w:t xml:space="preserve">In terms of rule 104(1) the applicant caused a writ of execution to be issued by the office of the registrar on 22 June 2020. Personal service of the writ of execution could not be effected on the respondent at her chosen address as </w:t>
            </w:r>
            <w:r w:rsidR="00B51531">
              <w:t xml:space="preserve">she </w:t>
            </w:r>
            <w:r>
              <w:t xml:space="preserve">relocated to Katima Mulilo. The </w:t>
            </w:r>
            <w:r w:rsidRPr="009A084E">
              <w:t>Dep</w:t>
            </w:r>
            <w:r w:rsidR="00B51531" w:rsidRPr="009A084E">
              <w:t>uty She</w:t>
            </w:r>
            <w:r w:rsidRPr="009A084E">
              <w:t>riff,</w:t>
            </w:r>
            <w:r>
              <w:t xml:space="preserve"> by means of a return of service dated 16 July 2021, reported that </w:t>
            </w:r>
            <w:r w:rsidRPr="009A084E">
              <w:t xml:space="preserve">there </w:t>
            </w:r>
            <w:r w:rsidR="00B51531" w:rsidRPr="009A084E">
              <w:t>was</w:t>
            </w:r>
            <w:r w:rsidRPr="009A084E">
              <w:t xml:space="preserve"> no</w:t>
            </w:r>
            <w:r>
              <w:t xml:space="preserve"> sufficient movables located to satisfy the writ of execution. </w:t>
            </w:r>
          </w:p>
          <w:p w:rsidR="00CE55EE" w:rsidRDefault="00CE55EE" w:rsidP="00CE55EE">
            <w:pPr>
              <w:pStyle w:val="ListParagraph"/>
            </w:pPr>
          </w:p>
          <w:p w:rsidR="00CE55EE" w:rsidRPr="009A084E" w:rsidRDefault="00CE55EE" w:rsidP="00CE55EE">
            <w:pPr>
              <w:pStyle w:val="BodyText"/>
              <w:numPr>
                <w:ilvl w:val="0"/>
                <w:numId w:val="8"/>
              </w:numPr>
              <w:tabs>
                <w:tab w:val="clear" w:pos="729"/>
              </w:tabs>
              <w:ind w:left="0" w:firstLine="0"/>
            </w:pPr>
            <w:r>
              <w:t>O</w:t>
            </w:r>
            <w:r w:rsidR="006E558F">
              <w:t xml:space="preserve">n 18 </w:t>
            </w:r>
            <w:r w:rsidR="006E558F" w:rsidRPr="009A084E">
              <w:t>March 2022, the Deputy She</w:t>
            </w:r>
            <w:r w:rsidRPr="009A084E">
              <w:t xml:space="preserve">riff attended to the respondent’s Katima Mulilo address and reported </w:t>
            </w:r>
            <w:r w:rsidR="00B51531" w:rsidRPr="009A084E">
              <w:t>similarly</w:t>
            </w:r>
            <w:r w:rsidR="009A084E">
              <w:t>,</w:t>
            </w:r>
            <w:r w:rsidR="00B51531" w:rsidRPr="009A084E">
              <w:t xml:space="preserve"> </w:t>
            </w:r>
            <w:r w:rsidRPr="009A084E">
              <w:t>that there was not sufficient movable property to satisfy the writ of execut</w:t>
            </w:r>
            <w:r w:rsidR="007F5C7B" w:rsidRPr="009A084E">
              <w:t xml:space="preserve">ion despite a diligent search. </w:t>
            </w:r>
          </w:p>
          <w:p w:rsidR="00CE55EE" w:rsidRPr="009A084E" w:rsidRDefault="00CE55EE" w:rsidP="00CE55EE">
            <w:pPr>
              <w:pStyle w:val="ListParagraph"/>
            </w:pPr>
          </w:p>
          <w:p w:rsidR="00CE55EE" w:rsidRPr="009A084E" w:rsidRDefault="00CE55EE" w:rsidP="00CE55EE">
            <w:pPr>
              <w:pStyle w:val="BodyText"/>
              <w:numPr>
                <w:ilvl w:val="0"/>
                <w:numId w:val="8"/>
              </w:numPr>
              <w:tabs>
                <w:tab w:val="clear" w:pos="729"/>
              </w:tabs>
              <w:ind w:left="0" w:firstLine="0"/>
            </w:pPr>
            <w:r w:rsidRPr="009A084E">
              <w:t>In each of the</w:t>
            </w:r>
            <w:r w:rsidR="00B51531" w:rsidRPr="009A084E">
              <w:t xml:space="preserve"> two instances, the Deputy Sher</w:t>
            </w:r>
            <w:r w:rsidRPr="009A084E">
              <w:t xml:space="preserve">iff issued a nulla bona return. </w:t>
            </w:r>
          </w:p>
          <w:p w:rsidR="00CE55EE" w:rsidRPr="009A084E" w:rsidRDefault="00CE55EE" w:rsidP="00CE55EE">
            <w:pPr>
              <w:pStyle w:val="ListParagraph"/>
            </w:pPr>
          </w:p>
          <w:p w:rsidR="00CE55EE" w:rsidRDefault="009A084E" w:rsidP="00CE55EE">
            <w:pPr>
              <w:pStyle w:val="BodyText"/>
              <w:numPr>
                <w:ilvl w:val="0"/>
                <w:numId w:val="8"/>
              </w:numPr>
              <w:tabs>
                <w:tab w:val="clear" w:pos="729"/>
              </w:tabs>
              <w:ind w:left="0" w:firstLine="0"/>
            </w:pPr>
            <w:r>
              <w:t>On 8 March 2023 t</w:t>
            </w:r>
            <w:r w:rsidR="00CE55EE" w:rsidRPr="009A084E">
              <w:t xml:space="preserve">he applicant obtained leave from this court to serve the current application on the respondent by </w:t>
            </w:r>
            <w:r w:rsidR="006E558F" w:rsidRPr="009A084E">
              <w:t xml:space="preserve">way </w:t>
            </w:r>
            <w:r w:rsidR="00CE55EE" w:rsidRPr="009A084E">
              <w:t>of</w:t>
            </w:r>
            <w:r w:rsidR="00CE55EE">
              <w:t xml:space="preserve"> substituted service by publication in two newspapers.</w:t>
            </w:r>
          </w:p>
          <w:p w:rsidR="00CE55EE" w:rsidRDefault="00CE55EE" w:rsidP="00CE55EE">
            <w:pPr>
              <w:pStyle w:val="ListParagraph"/>
            </w:pPr>
          </w:p>
          <w:p w:rsidR="00CE55EE" w:rsidRDefault="00CE55EE" w:rsidP="00CE55EE">
            <w:pPr>
              <w:pStyle w:val="BodyText"/>
              <w:rPr>
                <w:u w:val="single"/>
              </w:rPr>
            </w:pPr>
            <w:r w:rsidRPr="0004663E">
              <w:rPr>
                <w:u w:val="single"/>
              </w:rPr>
              <w:t>The application</w:t>
            </w:r>
          </w:p>
          <w:p w:rsidR="00CE55EE" w:rsidRPr="0004663E" w:rsidRDefault="00CE55EE" w:rsidP="00CE55EE">
            <w:pPr>
              <w:pStyle w:val="BodyText"/>
              <w:rPr>
                <w:u w:val="single"/>
              </w:rPr>
            </w:pPr>
          </w:p>
          <w:p w:rsidR="00CE55EE" w:rsidRDefault="009A084E" w:rsidP="00CE55EE">
            <w:pPr>
              <w:pStyle w:val="BodyText"/>
              <w:numPr>
                <w:ilvl w:val="0"/>
                <w:numId w:val="8"/>
              </w:numPr>
              <w:tabs>
                <w:tab w:val="clear" w:pos="729"/>
              </w:tabs>
              <w:ind w:left="0" w:firstLine="0"/>
            </w:pPr>
            <w:r>
              <w:t xml:space="preserve">The applicant </w:t>
            </w:r>
            <w:r w:rsidR="00CE55EE">
              <w:t xml:space="preserve">is seeking an order declaring the immovable property situated at Erf 275, Gobabis, Omaheke Region executable. </w:t>
            </w:r>
          </w:p>
          <w:p w:rsidR="00CE55EE" w:rsidRDefault="00CE55EE" w:rsidP="00CE55EE">
            <w:pPr>
              <w:pStyle w:val="BodyText"/>
            </w:pPr>
          </w:p>
          <w:p w:rsidR="00CE55EE" w:rsidRDefault="00CE55EE" w:rsidP="00CE55EE">
            <w:pPr>
              <w:pStyle w:val="BodyText"/>
              <w:numPr>
                <w:ilvl w:val="0"/>
                <w:numId w:val="8"/>
              </w:numPr>
              <w:tabs>
                <w:tab w:val="clear" w:pos="729"/>
              </w:tabs>
              <w:ind w:left="0" w:firstLine="0"/>
            </w:pPr>
            <w:r>
              <w:t>The respondent is opposing the application. As points in limine, the respondent firstly avers that by the applicant’s own admission, there was non-compliance with the provisions o</w:t>
            </w:r>
            <w:r w:rsidR="00B51531">
              <w:t xml:space="preserve">f rule 108(3) by </w:t>
            </w:r>
            <w:r w:rsidR="00B51531" w:rsidRPr="009A084E">
              <w:t>the Deputy She</w:t>
            </w:r>
            <w:r w:rsidRPr="009A084E">
              <w:t>riff.</w:t>
            </w:r>
            <w:r>
              <w:t xml:space="preserve"> As a result of the non-compliance, the respondent submits that the current application is premature as compliance with rule 108(1)(</w:t>
            </w:r>
            <w:r w:rsidRPr="007F5C7B">
              <w:rPr>
                <w:i/>
              </w:rPr>
              <w:t>a</w:t>
            </w:r>
            <w:r>
              <w:t xml:space="preserve">) is a precondition for the declaratory relief sought under rule 108. In the alternative, the respondent pleads that the return as </w:t>
            </w:r>
            <w:r>
              <w:lastRenderedPageBreak/>
              <w:t>contemplated in rule 108(1)(</w:t>
            </w:r>
            <w:r w:rsidRPr="007F5C7B">
              <w:rPr>
                <w:i/>
              </w:rPr>
              <w:t>a</w:t>
            </w:r>
            <w:r w:rsidR="007F5C7B">
              <w:t>)</w:t>
            </w:r>
            <w:r>
              <w:t xml:space="preserve"> is dated 16 July 2021 and barred by the time provision in rule 108(4). </w:t>
            </w:r>
          </w:p>
          <w:p w:rsidR="00CE55EE" w:rsidRDefault="00CE55EE" w:rsidP="00CE55EE">
            <w:pPr>
              <w:pStyle w:val="ListParagraph"/>
            </w:pPr>
          </w:p>
          <w:p w:rsidR="00CE55EE" w:rsidRDefault="00CE55EE" w:rsidP="00CE55EE">
            <w:pPr>
              <w:pStyle w:val="BodyText"/>
              <w:numPr>
                <w:ilvl w:val="0"/>
                <w:numId w:val="8"/>
              </w:numPr>
              <w:tabs>
                <w:tab w:val="clear" w:pos="729"/>
              </w:tabs>
              <w:ind w:left="0" w:firstLine="0"/>
            </w:pPr>
            <w:r>
              <w:t xml:space="preserve">Secondly, the respondent pleaded that there was non-compliance </w:t>
            </w:r>
            <w:r w:rsidR="00B51531" w:rsidRPr="009A084E">
              <w:t xml:space="preserve">with </w:t>
            </w:r>
            <w:r w:rsidRPr="009A084E">
              <w:t>r</w:t>
            </w:r>
            <w:r>
              <w:t>ule 108(2)(</w:t>
            </w:r>
            <w:r w:rsidRPr="00B51531">
              <w:rPr>
                <w:i/>
              </w:rPr>
              <w:t>b</w:t>
            </w:r>
            <w:r>
              <w:t>) as the property in question is leased out to a third party and the personal service as contemplated in rule 108(2)(</w:t>
            </w:r>
            <w:r w:rsidRPr="00B51531">
              <w:rPr>
                <w:i/>
              </w:rPr>
              <w:t>b</w:t>
            </w:r>
            <w:r>
              <w:t>) was not effected on the third</w:t>
            </w:r>
            <w:r w:rsidR="009A084E">
              <w:t xml:space="preserve"> </w:t>
            </w:r>
            <w:r>
              <w:t xml:space="preserve">party lessee. In this regard, the respondent attached a confirmatory affidavit of the lessee Ms Louw to the record. </w:t>
            </w:r>
          </w:p>
          <w:p w:rsidR="00CE55EE" w:rsidRDefault="00CE55EE" w:rsidP="00CE55EE">
            <w:pPr>
              <w:pStyle w:val="BodyText"/>
            </w:pPr>
          </w:p>
          <w:p w:rsidR="00CE55EE" w:rsidRDefault="00CE55EE" w:rsidP="00CE55EE">
            <w:pPr>
              <w:pStyle w:val="BodyText"/>
              <w:rPr>
                <w:u w:val="single"/>
              </w:rPr>
            </w:pPr>
            <w:r w:rsidRPr="0004663E">
              <w:rPr>
                <w:u w:val="single"/>
              </w:rPr>
              <w:t>Arguments advanced</w:t>
            </w:r>
          </w:p>
          <w:p w:rsidR="00CE55EE" w:rsidRDefault="00CE55EE" w:rsidP="00CE55EE">
            <w:pPr>
              <w:pStyle w:val="BodyText"/>
              <w:rPr>
                <w:u w:val="single"/>
              </w:rPr>
            </w:pPr>
          </w:p>
          <w:p w:rsidR="00CE55EE" w:rsidRDefault="00CE55EE" w:rsidP="00CE55EE">
            <w:pPr>
              <w:pStyle w:val="BodyText"/>
              <w:rPr>
                <w:i/>
              </w:rPr>
            </w:pPr>
            <w:r w:rsidRPr="0004663E">
              <w:rPr>
                <w:i/>
              </w:rPr>
              <w:t>On behalf of the applicant</w:t>
            </w:r>
          </w:p>
          <w:p w:rsidR="007F5C7B" w:rsidRPr="0004663E" w:rsidRDefault="007F5C7B" w:rsidP="00CE55EE">
            <w:pPr>
              <w:pStyle w:val="BodyText"/>
              <w:rPr>
                <w:i/>
              </w:rPr>
            </w:pPr>
          </w:p>
          <w:p w:rsidR="00CE55EE" w:rsidRDefault="00CE55EE" w:rsidP="00CE55EE">
            <w:pPr>
              <w:pStyle w:val="BodyText"/>
              <w:numPr>
                <w:ilvl w:val="0"/>
                <w:numId w:val="8"/>
              </w:numPr>
              <w:tabs>
                <w:tab w:val="clear" w:pos="729"/>
              </w:tabs>
              <w:ind w:left="0" w:firstLine="0"/>
            </w:pPr>
            <w:r>
              <w:t>Ms Ambunda-Nashilundo argued in respect of the points raised in limine as follows:</w:t>
            </w:r>
          </w:p>
          <w:p w:rsidR="00B51531" w:rsidRDefault="00B51531" w:rsidP="00B51531">
            <w:pPr>
              <w:pStyle w:val="BodyText"/>
              <w:tabs>
                <w:tab w:val="clear" w:pos="729"/>
              </w:tabs>
            </w:pPr>
          </w:p>
          <w:p w:rsidR="00CE55EE" w:rsidRPr="0009239B" w:rsidRDefault="00CE55EE" w:rsidP="009A084E">
            <w:pPr>
              <w:pStyle w:val="BodyText"/>
              <w:numPr>
                <w:ilvl w:val="0"/>
                <w:numId w:val="9"/>
              </w:numPr>
              <w:tabs>
                <w:tab w:val="clear" w:pos="729"/>
              </w:tabs>
              <w:ind w:left="0" w:firstLine="720"/>
              <w:rPr>
                <w:i/>
              </w:rPr>
            </w:pPr>
            <w:r w:rsidRPr="009A084E">
              <w:rPr>
                <w:i/>
              </w:rPr>
              <w:t>Non-compliance with rule 108(3) and subsequently rule 108(1)(a):</w:t>
            </w:r>
            <w:r w:rsidRPr="009A084E">
              <w:t xml:space="preserve"> that there is no merit in the argument because the respondent does not contest the authenticity of the returns </w:t>
            </w:r>
            <w:r w:rsidR="00B51531" w:rsidRPr="009A084E">
              <w:t>of service nor does she contend</w:t>
            </w:r>
            <w:r w:rsidRPr="009A084E">
              <w:t xml:space="preserve"> that she was not served with the process. The respondent also</w:t>
            </w:r>
            <w:r w:rsidR="006E558F" w:rsidRPr="009A084E">
              <w:t xml:space="preserve"> does not allege prejudice nor </w:t>
            </w:r>
            <w:r w:rsidRPr="009A084E">
              <w:t>is any prejudice apparen</w:t>
            </w:r>
            <w:r w:rsidR="00B51531" w:rsidRPr="009A084E">
              <w:t>t as a result of the Deputy She</w:t>
            </w:r>
            <w:r w:rsidRPr="009A084E">
              <w:t>riff not having filed the return of service with the registrar’s office. Ms Ambunda-Nashilundu argued that since the 30 day time-bar is based on compliance with rule 108(3)</w:t>
            </w:r>
            <w:r w:rsidR="00B51531" w:rsidRPr="009A084E">
              <w:t xml:space="preserve"> the fact that the Deputy She</w:t>
            </w:r>
            <w:r w:rsidRPr="009A084E">
              <w:t xml:space="preserve">riff did not file the returns of service should not halt the proceedings for want </w:t>
            </w:r>
            <w:r w:rsidR="00B51531" w:rsidRPr="009A084E">
              <w:t>of compliance by the Deputy She</w:t>
            </w:r>
            <w:r w:rsidRPr="009A084E">
              <w:t>rif</w:t>
            </w:r>
            <w:r w:rsidR="00B51531" w:rsidRPr="009A084E">
              <w:t>f</w:t>
            </w:r>
            <w:r>
              <w:t xml:space="preserve">. </w:t>
            </w:r>
          </w:p>
          <w:p w:rsidR="00CE55EE" w:rsidRPr="00E34E02" w:rsidRDefault="00CE55EE" w:rsidP="00CE55EE">
            <w:pPr>
              <w:pStyle w:val="BodyText"/>
              <w:rPr>
                <w:i/>
              </w:rPr>
            </w:pPr>
          </w:p>
          <w:p w:rsidR="00CE55EE" w:rsidRDefault="00CE55EE" w:rsidP="00CE55EE">
            <w:pPr>
              <w:pStyle w:val="BodyText"/>
              <w:numPr>
                <w:ilvl w:val="0"/>
                <w:numId w:val="9"/>
              </w:numPr>
              <w:tabs>
                <w:tab w:val="clear" w:pos="729"/>
              </w:tabs>
              <w:ind w:left="0" w:firstLine="0"/>
              <w:rPr>
                <w:i/>
              </w:rPr>
            </w:pPr>
            <w:r>
              <w:rPr>
                <w:i/>
              </w:rPr>
              <w:t>Non-</w:t>
            </w:r>
            <w:r w:rsidR="007F5C7B">
              <w:rPr>
                <w:i/>
              </w:rPr>
              <w:t xml:space="preserve">compliance with rule 108(2)(b): </w:t>
            </w:r>
            <w:r w:rsidRPr="001147AD">
              <w:t>Ms</w:t>
            </w:r>
            <w:r>
              <w:t xml:space="preserve"> Ambunda-Nashilundu submitted that the service of the lessee would only be necessary where the property involved is the primary home of the debtor. Counsel further submitted that the immovable property in question is not the primary home of the </w:t>
            </w:r>
            <w:r w:rsidR="009A084E">
              <w:t>respondent</w:t>
            </w:r>
            <w:r>
              <w:t xml:space="preserve"> and the applicant is not obliged to serve the application on the lessee. It was further submitted that the lessee is aware of the proceedings </w:t>
            </w:r>
            <w:r w:rsidR="009A084E">
              <w:t xml:space="preserve">as is evident from the confirmatory affidavit. </w:t>
            </w:r>
          </w:p>
          <w:p w:rsidR="00CE55EE" w:rsidRPr="0004663E" w:rsidRDefault="00CE55EE" w:rsidP="007F5C7B">
            <w:pPr>
              <w:pStyle w:val="BodyText"/>
              <w:rPr>
                <w:i/>
              </w:rPr>
            </w:pPr>
          </w:p>
          <w:p w:rsidR="00CE55EE" w:rsidRDefault="00CE55EE" w:rsidP="00CE55EE">
            <w:pPr>
              <w:pStyle w:val="BodyText"/>
              <w:rPr>
                <w:i/>
              </w:rPr>
            </w:pPr>
            <w:r>
              <w:rPr>
                <w:i/>
              </w:rPr>
              <w:t>On behalf of the respondent</w:t>
            </w:r>
          </w:p>
          <w:p w:rsidR="00CE55EE" w:rsidRPr="0004663E" w:rsidRDefault="00CE55EE" w:rsidP="00CE55EE">
            <w:pPr>
              <w:pStyle w:val="BodyText"/>
              <w:rPr>
                <w:i/>
              </w:rPr>
            </w:pPr>
          </w:p>
          <w:p w:rsidR="00CE55EE" w:rsidRDefault="00CE55EE" w:rsidP="00CE55EE">
            <w:pPr>
              <w:pStyle w:val="BodyText"/>
              <w:numPr>
                <w:ilvl w:val="0"/>
                <w:numId w:val="8"/>
              </w:numPr>
              <w:tabs>
                <w:tab w:val="clear" w:pos="729"/>
              </w:tabs>
              <w:ind w:left="0" w:firstLine="0"/>
            </w:pPr>
            <w:r>
              <w:t xml:space="preserve">Mr Diedericks argued </w:t>
            </w:r>
            <w:r w:rsidRPr="009A084E">
              <w:t xml:space="preserve">that </w:t>
            </w:r>
            <w:r w:rsidR="00B51531" w:rsidRPr="009A084E">
              <w:t xml:space="preserve">the </w:t>
            </w:r>
            <w:r w:rsidRPr="009A084E">
              <w:t>rule 108(1)(</w:t>
            </w:r>
            <w:r w:rsidRPr="009A084E">
              <w:rPr>
                <w:i/>
              </w:rPr>
              <w:t>b</w:t>
            </w:r>
            <w:r w:rsidRPr="009A084E">
              <w:t xml:space="preserve">) application implicates the jurisdiction of this court to declare an immovable property specially executable. This power </w:t>
            </w:r>
            <w:r w:rsidR="006E558F" w:rsidRPr="009A084E">
              <w:t>afforded to the</w:t>
            </w:r>
            <w:r w:rsidR="006E558F">
              <w:t xml:space="preserve"> </w:t>
            </w:r>
            <w:r>
              <w:t xml:space="preserve">court is subject to an applicant’s compliance with rule 108(2). The latter sub-rule caters for two categories </w:t>
            </w:r>
            <w:r>
              <w:lastRenderedPageBreak/>
              <w:t>of persons, i.e. a debtor having the property as a primary residence, and a t</w:t>
            </w:r>
            <w:r w:rsidR="00B51531">
              <w:t xml:space="preserve">enant using the property as his </w:t>
            </w:r>
            <w:r>
              <w:t>/ her home.</w:t>
            </w:r>
          </w:p>
          <w:p w:rsidR="00CE55EE" w:rsidRDefault="00CE55EE" w:rsidP="00CE55EE">
            <w:pPr>
              <w:pStyle w:val="BodyText"/>
            </w:pPr>
          </w:p>
          <w:p w:rsidR="00CE55EE" w:rsidRDefault="00CE55EE" w:rsidP="00CE55EE">
            <w:pPr>
              <w:pStyle w:val="BodyText"/>
              <w:numPr>
                <w:ilvl w:val="0"/>
                <w:numId w:val="8"/>
              </w:numPr>
              <w:tabs>
                <w:tab w:val="clear" w:pos="729"/>
              </w:tabs>
              <w:ind w:left="0" w:firstLine="0"/>
            </w:pPr>
            <w:r>
              <w:t>In the answering papers of the respondent filed on 16 June 2023</w:t>
            </w:r>
            <w:r w:rsidR="006E558F">
              <w:t>,</w:t>
            </w:r>
            <w:r>
              <w:t xml:space="preserve"> she made it clear that there are tenants in the immovable property in question and provided the court with a confirmatory affidavit. However, despite being privy to th</w:t>
            </w:r>
            <w:r w:rsidR="009A084E">
              <w:t>is</w:t>
            </w:r>
            <w:r>
              <w:t xml:space="preserve"> information the applicant, instead of withdrawing the current application and causing service on the tenant, forged ahead with the application contrary to rule 108(2)(</w:t>
            </w:r>
            <w:r w:rsidRPr="007F5C7B">
              <w:rPr>
                <w:i/>
              </w:rPr>
              <w:t>b</w:t>
            </w:r>
            <w:r>
              <w:t>).</w:t>
            </w:r>
          </w:p>
          <w:p w:rsidR="00CE55EE" w:rsidRDefault="00CE55EE" w:rsidP="00CE55EE">
            <w:pPr>
              <w:pStyle w:val="ListParagraph"/>
            </w:pPr>
          </w:p>
          <w:p w:rsidR="00CE55EE" w:rsidRDefault="00CE55EE" w:rsidP="00CE55EE">
            <w:pPr>
              <w:pStyle w:val="BodyText"/>
              <w:numPr>
                <w:ilvl w:val="0"/>
                <w:numId w:val="8"/>
              </w:numPr>
              <w:tabs>
                <w:tab w:val="clear" w:pos="729"/>
              </w:tabs>
              <w:ind w:left="0" w:firstLine="0"/>
            </w:pPr>
            <w:r>
              <w:t>Mr Diedericks further submitted that the rule 108(1)(</w:t>
            </w:r>
            <w:r w:rsidRPr="007F5C7B">
              <w:rPr>
                <w:i/>
              </w:rPr>
              <w:t>a</w:t>
            </w:r>
            <w:r>
              <w:t>) return, albeit not filed by the Deputy Sheriff but by the applica</w:t>
            </w:r>
            <w:r w:rsidRPr="009A084E">
              <w:t xml:space="preserve">nt </w:t>
            </w:r>
            <w:r w:rsidR="00B51531" w:rsidRPr="009A084E">
              <w:t xml:space="preserve">in support of </w:t>
            </w:r>
            <w:r w:rsidRPr="009A084E">
              <w:t xml:space="preserve">the application for leave to serve by substituted </w:t>
            </w:r>
            <w:r w:rsidR="00B51531" w:rsidRPr="009A084E">
              <w:t>service,</w:t>
            </w:r>
            <w:r>
              <w:t xml:space="preserve"> evidences the following – </w:t>
            </w:r>
          </w:p>
          <w:p w:rsidR="00CE55EE" w:rsidRDefault="00CE55EE" w:rsidP="00CE55EE">
            <w:pPr>
              <w:pStyle w:val="ListParagraph"/>
            </w:pPr>
          </w:p>
          <w:p w:rsidR="00CE55EE" w:rsidRDefault="00CE55EE" w:rsidP="00CE55EE">
            <w:pPr>
              <w:pStyle w:val="BodyText"/>
            </w:pPr>
            <w:r>
              <w:t>(a) they are returns dated July 2021 and March 2022, and</w:t>
            </w:r>
          </w:p>
          <w:p w:rsidR="009A084E" w:rsidRDefault="009A084E" w:rsidP="00CE55EE">
            <w:pPr>
              <w:pStyle w:val="BodyText"/>
            </w:pPr>
          </w:p>
          <w:p w:rsidR="00CE55EE" w:rsidRDefault="00CE55EE" w:rsidP="00CE55EE">
            <w:pPr>
              <w:pStyle w:val="BodyText"/>
            </w:pPr>
            <w:r>
              <w:t xml:space="preserve">(b) was filed with this court by the applicant on 23 February 2023. </w:t>
            </w:r>
          </w:p>
          <w:p w:rsidR="00CE55EE" w:rsidRDefault="00CE55EE" w:rsidP="00CE55EE">
            <w:pPr>
              <w:pStyle w:val="BodyText"/>
            </w:pPr>
          </w:p>
          <w:p w:rsidR="00CE55EE" w:rsidRDefault="00CE55EE" w:rsidP="00CE55EE">
            <w:pPr>
              <w:pStyle w:val="BodyText"/>
              <w:numPr>
                <w:ilvl w:val="0"/>
                <w:numId w:val="8"/>
              </w:numPr>
              <w:tabs>
                <w:tab w:val="clear" w:pos="729"/>
              </w:tabs>
              <w:ind w:left="0" w:firstLine="0"/>
            </w:pPr>
            <w:r>
              <w:t>Mr Diederick contended that the issue is not the Deputy Sheriff’s non-compliance with rule 108(3). The issue is the fact that the application is time-barred and no condonation was sought by the applicant for non-compliance with rule 108(4)</w:t>
            </w:r>
            <w:r w:rsidR="009A084E">
              <w:t xml:space="preserve">. Accordingly, </w:t>
            </w:r>
            <w:r w:rsidR="00B51531">
              <w:t xml:space="preserve"> </w:t>
            </w:r>
            <w:r w:rsidR="00B51531" w:rsidRPr="009A084E">
              <w:t>r</w:t>
            </w:r>
            <w:r w:rsidRPr="009A084E">
              <w:t>ule</w:t>
            </w:r>
            <w:r>
              <w:t xml:space="preserve"> 54(2)(</w:t>
            </w:r>
            <w:r w:rsidRPr="007F5C7B">
              <w:rPr>
                <w:i/>
              </w:rPr>
              <w:t>a</w:t>
            </w:r>
            <w:r>
              <w:t>), read with rule 55(1), finds application.</w:t>
            </w:r>
          </w:p>
          <w:p w:rsidR="00CE55EE" w:rsidRDefault="00CE55EE" w:rsidP="00CE55EE">
            <w:pPr>
              <w:pStyle w:val="BodyText"/>
            </w:pPr>
          </w:p>
          <w:p w:rsidR="00CE55EE" w:rsidRDefault="00CE55EE" w:rsidP="00CE55EE">
            <w:pPr>
              <w:pStyle w:val="BodyText"/>
              <w:numPr>
                <w:ilvl w:val="0"/>
                <w:numId w:val="8"/>
              </w:numPr>
              <w:tabs>
                <w:tab w:val="clear" w:pos="729"/>
              </w:tabs>
              <w:ind w:left="0" w:firstLine="0"/>
            </w:pPr>
            <w:r>
              <w:t xml:space="preserve">In respect of the applicant’s contention that </w:t>
            </w:r>
            <w:r w:rsidR="009A084E">
              <w:t>‘</w:t>
            </w:r>
            <w:r>
              <w:t>the tenant is before court</w:t>
            </w:r>
            <w:r w:rsidR="009A084E">
              <w:t>’</w:t>
            </w:r>
            <w:r>
              <w:t xml:space="preserve"> for purposes of rule 108(2)(</w:t>
            </w:r>
            <w:r w:rsidRPr="007F5C7B">
              <w:rPr>
                <w:i/>
              </w:rPr>
              <w:t>b</w:t>
            </w:r>
            <w:r>
              <w:t xml:space="preserve">) because she filed a confirmatory affidavit is a conflation of the dual requirement of the rule as both the judgment debtor and tenant, where applicable, have an unqualified right to service of process. The nulla bona dating back to </w:t>
            </w:r>
            <w:r w:rsidRPr="009A084E">
              <w:t>2020</w:t>
            </w:r>
            <w:r w:rsidR="00B51531" w:rsidRPr="009A084E">
              <w:t xml:space="preserve"> of</w:t>
            </w:r>
            <w:r w:rsidRPr="009A084E">
              <w:t xml:space="preserve"> the</w:t>
            </w:r>
            <w:r>
              <w:t xml:space="preserve"> immovable property is no excuse for not serving the tenant at the subject property in 2023.</w:t>
            </w:r>
          </w:p>
          <w:p w:rsidR="00CE55EE" w:rsidRDefault="00CE55EE" w:rsidP="00CE55EE">
            <w:pPr>
              <w:pStyle w:val="ListParagraph"/>
            </w:pPr>
          </w:p>
          <w:p w:rsidR="00CE55EE" w:rsidRDefault="00CE55EE" w:rsidP="00CE55EE">
            <w:pPr>
              <w:pStyle w:val="BodyText"/>
              <w:numPr>
                <w:ilvl w:val="0"/>
                <w:numId w:val="8"/>
              </w:numPr>
              <w:tabs>
                <w:tab w:val="clear" w:pos="729"/>
              </w:tabs>
              <w:ind w:left="0" w:firstLine="0"/>
            </w:pPr>
            <w:r>
              <w:t xml:space="preserve">The court was referred to </w:t>
            </w:r>
            <w:r w:rsidRPr="00C76996">
              <w:rPr>
                <w:i/>
              </w:rPr>
              <w:t>Standard Bank Namibia Limited v Bock</w:t>
            </w:r>
            <w:r>
              <w:rPr>
                <w:rStyle w:val="FootnoteReference"/>
                <w:i/>
              </w:rPr>
              <w:footnoteReference w:id="1"/>
            </w:r>
            <w:r>
              <w:t xml:space="preserve"> wherein the court made it </w:t>
            </w:r>
            <w:r w:rsidR="009A084E">
              <w:t>clear</w:t>
            </w:r>
            <w:r>
              <w:t xml:space="preserve"> that </w:t>
            </w:r>
            <w:r w:rsidRPr="009A084E">
              <w:t xml:space="preserve">rule 108(2) contemplates two classes of persons who are entitled to personal notice of an intended </w:t>
            </w:r>
            <w:r w:rsidR="00036F0C" w:rsidRPr="009A084E">
              <w:t xml:space="preserve">application for declaring the property executable. </w:t>
            </w:r>
            <w:r w:rsidRPr="009A084E">
              <w:t>These</w:t>
            </w:r>
            <w:r>
              <w:t xml:space="preserve"> persons are entitled to make representations to the court in their own right.</w:t>
            </w:r>
          </w:p>
          <w:p w:rsidR="00CE55EE" w:rsidRDefault="00CE55EE" w:rsidP="00CE55EE">
            <w:pPr>
              <w:pStyle w:val="ListParagraph"/>
            </w:pPr>
          </w:p>
          <w:p w:rsidR="00CE55EE" w:rsidRDefault="00CE55EE" w:rsidP="00CE55EE">
            <w:pPr>
              <w:pStyle w:val="BodyText"/>
              <w:numPr>
                <w:ilvl w:val="0"/>
                <w:numId w:val="8"/>
              </w:numPr>
              <w:tabs>
                <w:tab w:val="clear" w:pos="729"/>
              </w:tabs>
              <w:ind w:left="0" w:firstLine="0"/>
            </w:pPr>
            <w:r>
              <w:lastRenderedPageBreak/>
              <w:t>As a result, Mr Diedericks is of the view that the application is defective for want of compliance with rule 108(2)(</w:t>
            </w:r>
            <w:r w:rsidRPr="007F5C7B">
              <w:rPr>
                <w:i/>
              </w:rPr>
              <w:t>b</w:t>
            </w:r>
            <w:r>
              <w:t>) and stands to be struck. Alternatively, the application is time-barred for want of compliance with rule 108(4) and stands to be dismissed.</w:t>
            </w:r>
          </w:p>
          <w:p w:rsidR="00CE55EE" w:rsidRPr="007F5C7B" w:rsidRDefault="00CE55EE" w:rsidP="007F5C7B">
            <w:pPr>
              <w:rPr>
                <w:rFonts w:ascii="Arial" w:hAnsi="Arial" w:cs="Arial"/>
              </w:rPr>
            </w:pPr>
          </w:p>
          <w:p w:rsidR="007F5C7B" w:rsidRPr="007F5C7B" w:rsidRDefault="00CE55EE" w:rsidP="007F5C7B">
            <w:pPr>
              <w:pStyle w:val="Heading1"/>
              <w:outlineLvl w:val="0"/>
            </w:pPr>
            <w:r w:rsidRPr="001147AD">
              <w:t>Discussion</w:t>
            </w:r>
          </w:p>
          <w:p w:rsidR="00CE55EE" w:rsidRPr="00ED686D" w:rsidRDefault="00CE55EE" w:rsidP="00CE55EE"/>
          <w:p w:rsidR="00CE55EE" w:rsidRPr="009A084E" w:rsidRDefault="00CE55EE" w:rsidP="00CE55EE">
            <w:pPr>
              <w:pStyle w:val="BodyText"/>
              <w:numPr>
                <w:ilvl w:val="0"/>
                <w:numId w:val="8"/>
              </w:numPr>
              <w:tabs>
                <w:tab w:val="clear" w:pos="729"/>
              </w:tabs>
              <w:ind w:left="0" w:firstLine="0"/>
            </w:pPr>
            <w:r>
              <w:t xml:space="preserve">I do not intend to engage in a long discussion on the principles of rule 108 as there </w:t>
            </w:r>
            <w:r w:rsidR="009A084E">
              <w:t>have</w:t>
            </w:r>
            <w:r>
              <w:t xml:space="preserve"> been man</w:t>
            </w:r>
            <w:r w:rsidRPr="009A084E">
              <w:t>y judgment</w:t>
            </w:r>
            <w:r w:rsidR="00BD1EDA" w:rsidRPr="009A084E">
              <w:t>s</w:t>
            </w:r>
            <w:r w:rsidRPr="009A084E">
              <w:t xml:space="preserve"> produced by this court in this regard. </w:t>
            </w:r>
          </w:p>
          <w:p w:rsidR="007F5C7B" w:rsidRPr="009A084E" w:rsidRDefault="007F5C7B" w:rsidP="007F5C7B">
            <w:pPr>
              <w:pStyle w:val="BodyText"/>
              <w:tabs>
                <w:tab w:val="clear" w:pos="729"/>
              </w:tabs>
            </w:pPr>
          </w:p>
          <w:p w:rsidR="00CE55EE" w:rsidRDefault="00CE55EE" w:rsidP="00CE55EE">
            <w:pPr>
              <w:pStyle w:val="BodyText"/>
              <w:numPr>
                <w:ilvl w:val="0"/>
                <w:numId w:val="8"/>
              </w:numPr>
              <w:tabs>
                <w:tab w:val="clear" w:pos="729"/>
              </w:tabs>
              <w:ind w:left="0" w:firstLine="0"/>
            </w:pPr>
            <w:r w:rsidRPr="009A084E">
              <w:t>It</w:t>
            </w:r>
            <w:r w:rsidR="00BD1EDA" w:rsidRPr="009A084E">
              <w:t xml:space="preserve"> is a fact that the Deputy Sher</w:t>
            </w:r>
            <w:r w:rsidRPr="009A084E">
              <w:t>iff d</w:t>
            </w:r>
            <w:r w:rsidR="009A084E">
              <w:t>id</w:t>
            </w:r>
            <w:r w:rsidRPr="009A084E">
              <w:t xml:space="preserve"> not comply with the provisions of rule 108(4) and I agree that the proceedings in terms of rule 108 cannot be halted because of the want o</w:t>
            </w:r>
            <w:r w:rsidR="00BD1EDA" w:rsidRPr="009A084E">
              <w:t>f compliance by the Deputy Sher</w:t>
            </w:r>
            <w:r w:rsidRPr="009A084E">
              <w:t>iff</w:t>
            </w:r>
            <w:r w:rsidR="009A084E">
              <w:t>. H</w:t>
            </w:r>
            <w:r w:rsidRPr="009A084E">
              <w:t>owever</w:t>
            </w:r>
            <w:r w:rsidR="009A084E">
              <w:t>,</w:t>
            </w:r>
            <w:r w:rsidRPr="009A084E">
              <w:t xml:space="preserve"> </w:t>
            </w:r>
            <w:r w:rsidR="009A084E">
              <w:t>I do not deem it necessary to decide this issue for the purposes of this ruling.</w:t>
            </w:r>
          </w:p>
          <w:p w:rsidR="00CE55EE" w:rsidRDefault="00CE55EE" w:rsidP="00CE55EE">
            <w:pPr>
              <w:pStyle w:val="BodyText"/>
            </w:pPr>
          </w:p>
          <w:p w:rsidR="00CE55EE" w:rsidRDefault="00CE55EE" w:rsidP="00CE55EE">
            <w:pPr>
              <w:pStyle w:val="BodyText"/>
              <w:numPr>
                <w:ilvl w:val="0"/>
                <w:numId w:val="8"/>
              </w:numPr>
              <w:tabs>
                <w:tab w:val="clear" w:pos="729"/>
              </w:tabs>
              <w:ind w:left="0" w:firstLine="0"/>
            </w:pPr>
            <w:r>
              <w:t xml:space="preserve">In respect </w:t>
            </w:r>
            <w:r w:rsidR="00BD1EDA">
              <w:t xml:space="preserve">of the issue raised </w:t>
            </w:r>
            <w:r w:rsidR="00BD1EDA" w:rsidRPr="009A084E">
              <w:t>in terms of rule</w:t>
            </w:r>
            <w:r w:rsidR="00BD1EDA">
              <w:t xml:space="preserve"> 108</w:t>
            </w:r>
            <w:r>
              <w:t>(2)(</w:t>
            </w:r>
            <w:r w:rsidRPr="007F5C7B">
              <w:rPr>
                <w:i/>
              </w:rPr>
              <w:t>b</w:t>
            </w:r>
            <w:r>
              <w:t>) and the failure to serve the application on the lessee of the property in question. The rule pertinently provides that:</w:t>
            </w:r>
          </w:p>
          <w:p w:rsidR="007F5C7B" w:rsidRDefault="007F5C7B" w:rsidP="007F5C7B">
            <w:pPr>
              <w:pStyle w:val="BodyText"/>
              <w:tabs>
                <w:tab w:val="clear" w:pos="729"/>
              </w:tabs>
            </w:pPr>
          </w:p>
          <w:p w:rsidR="00CE55EE" w:rsidRPr="00ED686D" w:rsidRDefault="00E46F7E" w:rsidP="00CE55EE">
            <w:pPr>
              <w:pStyle w:val="BodyText"/>
              <w:rPr>
                <w:sz w:val="22"/>
                <w:szCs w:val="22"/>
              </w:rPr>
            </w:pPr>
            <w:r w:rsidRPr="00E46F7E">
              <w:rPr>
                <w:sz w:val="22"/>
                <w:szCs w:val="22"/>
              </w:rPr>
              <w:tab/>
            </w:r>
            <w:r w:rsidR="007F5C7B">
              <w:rPr>
                <w:sz w:val="22"/>
                <w:szCs w:val="22"/>
              </w:rPr>
              <w:t>‘</w:t>
            </w:r>
            <w:r w:rsidR="00CE55EE" w:rsidRPr="00ED686D">
              <w:rPr>
                <w:sz w:val="22"/>
                <w:szCs w:val="22"/>
              </w:rPr>
              <w:t xml:space="preserve">If the immovable property sought to be attached is the primary home of the execution debtor or is leased to a third party as home the court may not declare that property to be specially executable unless – </w:t>
            </w:r>
          </w:p>
          <w:p w:rsidR="00CE55EE" w:rsidRDefault="00CE55EE" w:rsidP="00CE55EE">
            <w:pPr>
              <w:pStyle w:val="BodyText"/>
              <w:rPr>
                <w:sz w:val="22"/>
                <w:szCs w:val="22"/>
              </w:rPr>
            </w:pPr>
            <w:r w:rsidRPr="00ED686D">
              <w:rPr>
                <w:sz w:val="22"/>
                <w:szCs w:val="22"/>
              </w:rPr>
              <w:t xml:space="preserve">(a) the execution creditor has by means of </w:t>
            </w:r>
            <w:r w:rsidRPr="00ED686D">
              <w:rPr>
                <w:sz w:val="22"/>
                <w:szCs w:val="22"/>
                <w:u w:val="single"/>
              </w:rPr>
              <w:t>personal service effected by the deputy sheriff</w:t>
            </w:r>
            <w:r w:rsidRPr="00ED686D">
              <w:rPr>
                <w:sz w:val="22"/>
                <w:szCs w:val="22"/>
              </w:rPr>
              <w:t xml:space="preserve"> given notice on Form 24 to the execution debtor that application will be made to the court for an order declaring the property executable and calling on the execution debtor to provide reasons to the court why such an order should not be granted; </w:t>
            </w:r>
          </w:p>
          <w:p w:rsidR="009A084E" w:rsidRPr="00ED686D" w:rsidRDefault="009A084E" w:rsidP="00CE55EE">
            <w:pPr>
              <w:pStyle w:val="BodyText"/>
              <w:rPr>
                <w:sz w:val="22"/>
                <w:szCs w:val="22"/>
              </w:rPr>
            </w:pPr>
          </w:p>
          <w:p w:rsidR="00CE55EE" w:rsidRDefault="00CE55EE" w:rsidP="00CE55EE">
            <w:pPr>
              <w:pStyle w:val="BodyText"/>
              <w:rPr>
                <w:sz w:val="22"/>
                <w:szCs w:val="22"/>
              </w:rPr>
            </w:pPr>
            <w:r w:rsidRPr="00ED686D">
              <w:rPr>
                <w:sz w:val="22"/>
                <w:szCs w:val="22"/>
              </w:rPr>
              <w:t xml:space="preserve">(b) </w:t>
            </w:r>
            <w:r w:rsidRPr="00ED686D">
              <w:rPr>
                <w:sz w:val="22"/>
                <w:szCs w:val="22"/>
                <w:u w:val="single"/>
              </w:rPr>
              <w:t>the execution creditor has caused the notice referred to in paragraph (a) to be served personally on any lessee of the property so sought to be declared executable</w:t>
            </w:r>
            <w:r w:rsidR="00E46F7E">
              <w:rPr>
                <w:sz w:val="22"/>
                <w:szCs w:val="22"/>
              </w:rPr>
              <w:t>.</w:t>
            </w:r>
            <w:r w:rsidRPr="00ED686D">
              <w:rPr>
                <w:sz w:val="22"/>
                <w:szCs w:val="22"/>
              </w:rPr>
              <w:t>’</w:t>
            </w:r>
            <w:r>
              <w:rPr>
                <w:sz w:val="22"/>
                <w:szCs w:val="22"/>
              </w:rPr>
              <w:t xml:space="preserve"> (my emphasis)</w:t>
            </w:r>
          </w:p>
          <w:p w:rsidR="00CE55EE" w:rsidRPr="00ED686D" w:rsidRDefault="00CE55EE" w:rsidP="00CE55EE">
            <w:pPr>
              <w:pStyle w:val="BodyText"/>
              <w:rPr>
                <w:sz w:val="22"/>
                <w:szCs w:val="22"/>
              </w:rPr>
            </w:pPr>
          </w:p>
          <w:p w:rsidR="00CE55EE" w:rsidRDefault="00CE55EE" w:rsidP="00CE55EE">
            <w:pPr>
              <w:pStyle w:val="BodyText"/>
              <w:numPr>
                <w:ilvl w:val="0"/>
                <w:numId w:val="8"/>
              </w:numPr>
              <w:tabs>
                <w:tab w:val="clear" w:pos="729"/>
              </w:tabs>
              <w:ind w:left="0" w:firstLine="0"/>
            </w:pPr>
            <w:r>
              <w:t xml:space="preserve">I do not fully understand Ms Ambunda-Nashilundo’s argument when she submitted that the immovable property in question is not the primary home of the </w:t>
            </w:r>
            <w:r w:rsidR="004F42CF">
              <w:t>respondent</w:t>
            </w:r>
            <w:r>
              <w:t xml:space="preserve"> and the applicant is not obliged to serve the application on the lessee. This in my view is a </w:t>
            </w:r>
            <w:r w:rsidRPr="009A084E">
              <w:t>contradiction in terms</w:t>
            </w:r>
            <w:r>
              <w:t xml:space="preserve"> because when </w:t>
            </w:r>
            <w:r w:rsidR="004F42CF">
              <w:t>a</w:t>
            </w:r>
            <w:r>
              <w:t xml:space="preserve"> judgment debtor </w:t>
            </w:r>
            <w:r w:rsidR="00BD1EDA" w:rsidRPr="009A084E">
              <w:t xml:space="preserve">leases out </w:t>
            </w:r>
            <w:r w:rsidRPr="009A084E">
              <w:t>his</w:t>
            </w:r>
            <w:r>
              <w:t xml:space="preserve"> or her property it would not be the </w:t>
            </w:r>
            <w:r w:rsidR="004F42CF">
              <w:t xml:space="preserve">judgment </w:t>
            </w:r>
            <w:r>
              <w:t>debtor’s primary home. This would imply that there would never be an obligation on the judgment creditor to comply with rule 108(2)(</w:t>
            </w:r>
            <w:r w:rsidRPr="007F5C7B">
              <w:rPr>
                <w:i/>
              </w:rPr>
              <w:t>b</w:t>
            </w:r>
            <w:r>
              <w:t>).</w:t>
            </w:r>
          </w:p>
          <w:p w:rsidR="00CE55EE" w:rsidRDefault="00CE55EE" w:rsidP="00CE55EE">
            <w:pPr>
              <w:pStyle w:val="BodyText"/>
            </w:pPr>
          </w:p>
          <w:p w:rsidR="00CE55EE" w:rsidRDefault="00CE55EE" w:rsidP="00CE55EE">
            <w:pPr>
              <w:pStyle w:val="BodyText"/>
              <w:numPr>
                <w:ilvl w:val="0"/>
                <w:numId w:val="8"/>
              </w:numPr>
              <w:tabs>
                <w:tab w:val="clear" w:pos="729"/>
              </w:tabs>
              <w:ind w:left="0" w:firstLine="0"/>
            </w:pPr>
            <w:r>
              <w:t xml:space="preserve">One </w:t>
            </w:r>
            <w:r w:rsidRPr="009A084E">
              <w:t xml:space="preserve">should not lose sight of </w:t>
            </w:r>
            <w:r w:rsidR="004F42CF">
              <w:t xml:space="preserve">the </w:t>
            </w:r>
            <w:r w:rsidR="006E558F" w:rsidRPr="009A084E">
              <w:t xml:space="preserve">objective </w:t>
            </w:r>
            <w:r w:rsidRPr="009A084E">
              <w:t>of service of the applica</w:t>
            </w:r>
            <w:r w:rsidR="00BD1EDA" w:rsidRPr="009A084E">
              <w:t>tion. Service by the Deputy She</w:t>
            </w:r>
            <w:r w:rsidRPr="009A084E">
              <w:t xml:space="preserve">riff is </w:t>
            </w:r>
            <w:r w:rsidR="004F42CF">
              <w:t xml:space="preserve">not only </w:t>
            </w:r>
            <w:r w:rsidRPr="009A084E">
              <w:t>to inform the party of the application but also</w:t>
            </w:r>
            <w:r w:rsidR="004F42CF">
              <w:t xml:space="preserve"> to explain</w:t>
            </w:r>
            <w:r w:rsidRPr="009A084E">
              <w:t xml:space="preserve"> the </w:t>
            </w:r>
            <w:r w:rsidR="004F42CF">
              <w:t>nature</w:t>
            </w:r>
            <w:r w:rsidRPr="009A084E">
              <w:t xml:space="preserve"> of the </w:t>
            </w:r>
            <w:r w:rsidRPr="009A084E">
              <w:lastRenderedPageBreak/>
              <w:t xml:space="preserve">application, and I understand the rule to </w:t>
            </w:r>
            <w:r w:rsidR="00BD1EDA" w:rsidRPr="009A084E">
              <w:t xml:space="preserve">allow </w:t>
            </w:r>
            <w:r w:rsidRPr="009A084E">
              <w:t>the tenant to make representation</w:t>
            </w:r>
            <w:r w:rsidR="00FE1B43" w:rsidRPr="009A084E">
              <w:t>s</w:t>
            </w:r>
            <w:r w:rsidRPr="009A084E">
              <w:t xml:space="preserve"> to</w:t>
            </w:r>
            <w:r>
              <w:t xml:space="preserve"> the court in his or her own right. </w:t>
            </w:r>
          </w:p>
          <w:p w:rsidR="007F5C7B" w:rsidRDefault="007F5C7B" w:rsidP="00E46F7E"/>
          <w:p w:rsidR="00CE55EE" w:rsidRDefault="00CE55EE" w:rsidP="004F42CF">
            <w:pPr>
              <w:pStyle w:val="BodyText"/>
              <w:numPr>
                <w:ilvl w:val="0"/>
                <w:numId w:val="8"/>
              </w:numPr>
              <w:tabs>
                <w:tab w:val="clear" w:pos="729"/>
              </w:tabs>
              <w:ind w:left="0" w:firstLine="0"/>
            </w:pPr>
            <w:r>
              <w:t xml:space="preserve">I do not agree that the lessee is before </w:t>
            </w:r>
            <w:r w:rsidR="004F42CF">
              <w:t xml:space="preserve">the </w:t>
            </w:r>
            <w:r>
              <w:t xml:space="preserve">court because of the confirmatory affidavit that was filed. </w:t>
            </w:r>
          </w:p>
          <w:p w:rsidR="00CE55EE" w:rsidRDefault="00CE55EE" w:rsidP="00CE55EE">
            <w:pPr>
              <w:pStyle w:val="ListParagraph"/>
            </w:pPr>
          </w:p>
          <w:p w:rsidR="00CE55EE" w:rsidRDefault="00CE55EE" w:rsidP="00CE55EE">
            <w:pPr>
              <w:pStyle w:val="BodyText"/>
              <w:numPr>
                <w:ilvl w:val="0"/>
                <w:numId w:val="8"/>
              </w:numPr>
              <w:tabs>
                <w:tab w:val="clear" w:pos="729"/>
              </w:tabs>
              <w:ind w:left="0" w:firstLine="0"/>
            </w:pPr>
            <w:r>
              <w:t>In my view</w:t>
            </w:r>
            <w:r w:rsidR="004F42CF">
              <w:t>,</w:t>
            </w:r>
            <w:r>
              <w:t xml:space="preserve"> the application stands to be struck for lack of compliance with rule 108(2)(</w:t>
            </w:r>
            <w:r w:rsidRPr="00B51531">
              <w:rPr>
                <w:i/>
              </w:rPr>
              <w:t>b</w:t>
            </w:r>
            <w:r>
              <w:t xml:space="preserve">). </w:t>
            </w:r>
          </w:p>
          <w:p w:rsidR="001541F5" w:rsidRPr="00AB7BAE" w:rsidRDefault="001541F5" w:rsidP="00AB7BAE">
            <w:pPr>
              <w:spacing w:line="360" w:lineRule="auto"/>
              <w:jc w:val="both"/>
              <w:rPr>
                <w:rFonts w:ascii="Arial" w:hAnsi="Arial" w:cs="Arial"/>
                <w:sz w:val="24"/>
                <w:szCs w:val="24"/>
                <w:u w:val="single"/>
              </w:rPr>
            </w:pPr>
          </w:p>
          <w:p w:rsidR="0047362B" w:rsidRDefault="0047362B" w:rsidP="005D0587">
            <w:pPr>
              <w:tabs>
                <w:tab w:val="left" w:pos="729"/>
              </w:tabs>
              <w:spacing w:line="360" w:lineRule="auto"/>
              <w:jc w:val="both"/>
              <w:rPr>
                <w:rFonts w:ascii="Arial" w:hAnsi="Arial" w:cs="Arial"/>
                <w:sz w:val="24"/>
                <w:szCs w:val="24"/>
                <w:u w:val="single"/>
              </w:rPr>
            </w:pPr>
            <w:r w:rsidRPr="0047362B">
              <w:rPr>
                <w:rFonts w:ascii="Arial" w:hAnsi="Arial" w:cs="Arial"/>
                <w:sz w:val="24"/>
                <w:szCs w:val="24"/>
                <w:u w:val="single"/>
              </w:rPr>
              <w:t>Order</w:t>
            </w:r>
          </w:p>
          <w:p w:rsidR="0047362B" w:rsidRPr="0047362B" w:rsidRDefault="0047362B" w:rsidP="00E922FB">
            <w:pPr>
              <w:tabs>
                <w:tab w:val="left" w:pos="729"/>
              </w:tabs>
              <w:spacing w:line="360" w:lineRule="auto"/>
              <w:jc w:val="both"/>
              <w:rPr>
                <w:rFonts w:ascii="Arial" w:hAnsi="Arial" w:cs="Arial"/>
                <w:sz w:val="24"/>
                <w:szCs w:val="24"/>
                <w:u w:val="single"/>
              </w:rPr>
            </w:pPr>
          </w:p>
          <w:p w:rsidR="0047362B" w:rsidRDefault="001D7F5F" w:rsidP="0047362B">
            <w:pPr>
              <w:tabs>
                <w:tab w:val="left" w:pos="729"/>
              </w:tabs>
              <w:spacing w:line="360" w:lineRule="auto"/>
              <w:jc w:val="both"/>
              <w:rPr>
                <w:rFonts w:ascii="Arial" w:hAnsi="Arial" w:cs="Arial"/>
                <w:sz w:val="24"/>
                <w:szCs w:val="24"/>
              </w:rPr>
            </w:pPr>
            <w:r>
              <w:rPr>
                <w:rFonts w:ascii="Arial" w:hAnsi="Arial" w:cs="Arial"/>
                <w:sz w:val="24"/>
                <w:szCs w:val="24"/>
              </w:rPr>
              <w:t>[</w:t>
            </w:r>
            <w:r w:rsidR="00CE55EE">
              <w:rPr>
                <w:rFonts w:ascii="Arial" w:hAnsi="Arial" w:cs="Arial"/>
                <w:sz w:val="24"/>
                <w:szCs w:val="24"/>
              </w:rPr>
              <w:t>25</w:t>
            </w:r>
            <w:r w:rsidR="00C85435" w:rsidRPr="00C85435">
              <w:rPr>
                <w:rFonts w:ascii="Arial" w:hAnsi="Arial" w:cs="Arial"/>
                <w:sz w:val="24"/>
                <w:szCs w:val="24"/>
              </w:rPr>
              <w:t>]</w:t>
            </w:r>
            <w:r w:rsidR="00C85435" w:rsidRPr="00C85435">
              <w:rPr>
                <w:rFonts w:ascii="Arial" w:hAnsi="Arial" w:cs="Arial"/>
                <w:sz w:val="24"/>
                <w:szCs w:val="24"/>
              </w:rPr>
              <w:tab/>
              <w:t>As a result, I make the order as set out above.</w:t>
            </w:r>
          </w:p>
          <w:p w:rsidR="004F42CF" w:rsidRPr="00CA7995" w:rsidRDefault="004F42CF" w:rsidP="0047362B">
            <w:pPr>
              <w:tabs>
                <w:tab w:val="left" w:pos="729"/>
              </w:tabs>
              <w:spacing w:line="360" w:lineRule="auto"/>
              <w:jc w:val="both"/>
              <w:rPr>
                <w:rFonts w:ascii="Arial" w:hAnsi="Arial" w:cs="Arial"/>
                <w:sz w:val="24"/>
                <w:szCs w:val="24"/>
              </w:rPr>
            </w:pPr>
          </w:p>
        </w:tc>
      </w:tr>
      <w:tr w:rsidR="00CA7995" w:rsidRPr="00CA7995" w:rsidTr="0000513F">
        <w:tc>
          <w:tcPr>
            <w:tcW w:w="5232"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244"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00513F">
        <w:trPr>
          <w:trHeight w:val="1114"/>
        </w:trPr>
        <w:tc>
          <w:tcPr>
            <w:tcW w:w="5232" w:type="dxa"/>
          </w:tcPr>
          <w:p w:rsidR="00B40844" w:rsidRPr="00CA7995" w:rsidRDefault="00B40844" w:rsidP="00937C89">
            <w:pPr>
              <w:spacing w:line="360" w:lineRule="auto"/>
              <w:jc w:val="both"/>
              <w:rPr>
                <w:rFonts w:ascii="Arial" w:hAnsi="Arial" w:cs="Arial"/>
                <w:sz w:val="24"/>
                <w:szCs w:val="24"/>
              </w:rPr>
            </w:pPr>
          </w:p>
          <w:p w:rsidR="0000513F" w:rsidRDefault="0000513F"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244"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002E9A">
        <w:tc>
          <w:tcPr>
            <w:tcW w:w="1047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00513F">
        <w:tc>
          <w:tcPr>
            <w:tcW w:w="5232" w:type="dxa"/>
          </w:tcPr>
          <w:p w:rsidR="00B40844" w:rsidRPr="00CA7995" w:rsidRDefault="001B52B9" w:rsidP="00937C89">
            <w:pPr>
              <w:spacing w:line="360" w:lineRule="auto"/>
              <w:jc w:val="center"/>
              <w:rPr>
                <w:rFonts w:ascii="Arial" w:hAnsi="Arial" w:cs="Arial"/>
                <w:b/>
                <w:sz w:val="24"/>
                <w:szCs w:val="24"/>
              </w:rPr>
            </w:pPr>
            <w:r>
              <w:rPr>
                <w:rFonts w:ascii="Arial" w:hAnsi="Arial" w:cs="Arial"/>
                <w:b/>
                <w:sz w:val="24"/>
                <w:szCs w:val="24"/>
              </w:rPr>
              <w:t>Applicant</w:t>
            </w:r>
          </w:p>
        </w:tc>
        <w:tc>
          <w:tcPr>
            <w:tcW w:w="5244" w:type="dxa"/>
            <w:gridSpan w:val="2"/>
          </w:tcPr>
          <w:p w:rsidR="00B40844" w:rsidRPr="00CA7995" w:rsidRDefault="001B52B9" w:rsidP="00937C89">
            <w:pPr>
              <w:spacing w:line="360" w:lineRule="auto"/>
              <w:jc w:val="center"/>
              <w:rPr>
                <w:rFonts w:ascii="Arial" w:hAnsi="Arial" w:cs="Arial"/>
                <w:b/>
                <w:sz w:val="24"/>
                <w:szCs w:val="24"/>
              </w:rPr>
            </w:pPr>
            <w:r>
              <w:rPr>
                <w:rFonts w:ascii="Arial" w:hAnsi="Arial" w:cs="Arial"/>
                <w:b/>
                <w:sz w:val="24"/>
                <w:szCs w:val="24"/>
              </w:rPr>
              <w:t>Second Respondent</w:t>
            </w:r>
          </w:p>
        </w:tc>
      </w:tr>
      <w:tr w:rsidR="00CA7995" w:rsidRPr="00CA7995" w:rsidTr="0000513F">
        <w:tc>
          <w:tcPr>
            <w:tcW w:w="5232" w:type="dxa"/>
          </w:tcPr>
          <w:p w:rsidR="00B40844" w:rsidRDefault="001541FE" w:rsidP="00937C89">
            <w:pPr>
              <w:spacing w:line="360" w:lineRule="auto"/>
              <w:jc w:val="center"/>
              <w:rPr>
                <w:rFonts w:ascii="Arial" w:hAnsi="Arial" w:cs="Arial"/>
                <w:sz w:val="24"/>
                <w:szCs w:val="24"/>
              </w:rPr>
            </w:pPr>
            <w:r>
              <w:rPr>
                <w:rFonts w:ascii="Arial" w:hAnsi="Arial" w:cs="Arial"/>
                <w:sz w:val="24"/>
                <w:szCs w:val="24"/>
              </w:rPr>
              <w:t>L Ambunda-Nashilundu</w:t>
            </w:r>
          </w:p>
          <w:p w:rsidR="005D0587" w:rsidRDefault="001B52B9" w:rsidP="00937C89">
            <w:pPr>
              <w:spacing w:line="360" w:lineRule="auto"/>
              <w:jc w:val="center"/>
              <w:rPr>
                <w:rFonts w:ascii="Arial" w:hAnsi="Arial" w:cs="Arial"/>
                <w:sz w:val="24"/>
                <w:szCs w:val="24"/>
              </w:rPr>
            </w:pPr>
            <w:r>
              <w:rPr>
                <w:rFonts w:ascii="Arial" w:hAnsi="Arial" w:cs="Arial"/>
                <w:sz w:val="24"/>
                <w:szCs w:val="24"/>
              </w:rPr>
              <w:t>Instructed by</w:t>
            </w:r>
          </w:p>
          <w:p w:rsidR="00B40844" w:rsidRPr="00C85435" w:rsidRDefault="001541FE" w:rsidP="005D0587">
            <w:pPr>
              <w:spacing w:line="360" w:lineRule="auto"/>
              <w:jc w:val="center"/>
              <w:rPr>
                <w:rFonts w:ascii="Arial" w:hAnsi="Arial" w:cs="Arial"/>
                <w:sz w:val="24"/>
                <w:szCs w:val="24"/>
              </w:rPr>
            </w:pPr>
            <w:r w:rsidRPr="004F42CF">
              <w:rPr>
                <w:rFonts w:ascii="Arial" w:hAnsi="Arial" w:cs="Arial"/>
                <w:sz w:val="24"/>
                <w:szCs w:val="24"/>
              </w:rPr>
              <w:t>Englin</w:t>
            </w:r>
            <w:r w:rsidR="007F5C7B" w:rsidRPr="004F42CF">
              <w:rPr>
                <w:rFonts w:ascii="Arial" w:hAnsi="Arial" w:cs="Arial"/>
                <w:sz w:val="24"/>
                <w:szCs w:val="24"/>
              </w:rPr>
              <w:t>g</w:t>
            </w:r>
            <w:r w:rsidRPr="004F42CF">
              <w:rPr>
                <w:rFonts w:ascii="Arial" w:hAnsi="Arial" w:cs="Arial"/>
                <w:sz w:val="24"/>
                <w:szCs w:val="24"/>
              </w:rPr>
              <w:t>,</w:t>
            </w:r>
            <w:r>
              <w:rPr>
                <w:rFonts w:ascii="Arial" w:hAnsi="Arial" w:cs="Arial"/>
                <w:sz w:val="24"/>
                <w:szCs w:val="24"/>
              </w:rPr>
              <w:t xml:space="preserve"> Stritter and Partners</w:t>
            </w:r>
            <w:r w:rsidR="001B52B9">
              <w:rPr>
                <w:rFonts w:ascii="Arial" w:hAnsi="Arial" w:cs="Arial"/>
                <w:sz w:val="24"/>
                <w:szCs w:val="24"/>
              </w:rPr>
              <w:t>,</w:t>
            </w:r>
          </w:p>
          <w:p w:rsidR="00B40844" w:rsidRPr="00D24453" w:rsidRDefault="00B40844" w:rsidP="001B52B9">
            <w:pPr>
              <w:spacing w:line="360" w:lineRule="auto"/>
              <w:jc w:val="center"/>
              <w:rPr>
                <w:rFonts w:ascii="Arial" w:hAnsi="Arial" w:cs="Arial"/>
                <w:sz w:val="24"/>
                <w:szCs w:val="24"/>
              </w:rPr>
            </w:pPr>
            <w:r w:rsidRPr="00D24453">
              <w:rPr>
                <w:rFonts w:ascii="Arial" w:hAnsi="Arial" w:cs="Arial"/>
                <w:sz w:val="24"/>
                <w:szCs w:val="24"/>
              </w:rPr>
              <w:t>Windhoek</w:t>
            </w:r>
          </w:p>
        </w:tc>
        <w:tc>
          <w:tcPr>
            <w:tcW w:w="5244" w:type="dxa"/>
            <w:gridSpan w:val="2"/>
          </w:tcPr>
          <w:p w:rsidR="001B52B9" w:rsidRDefault="001541FE" w:rsidP="001B52B9">
            <w:pPr>
              <w:spacing w:line="360" w:lineRule="auto"/>
              <w:jc w:val="center"/>
              <w:rPr>
                <w:rFonts w:ascii="Arial" w:hAnsi="Arial" w:cs="Arial"/>
                <w:sz w:val="24"/>
                <w:szCs w:val="24"/>
              </w:rPr>
            </w:pPr>
            <w:r>
              <w:rPr>
                <w:rFonts w:ascii="Arial" w:hAnsi="Arial" w:cs="Arial"/>
                <w:sz w:val="24"/>
                <w:szCs w:val="24"/>
              </w:rPr>
              <w:t>J Diedericks</w:t>
            </w:r>
          </w:p>
          <w:p w:rsidR="001B52B9" w:rsidRDefault="006E558F" w:rsidP="001B52B9">
            <w:pPr>
              <w:spacing w:line="360" w:lineRule="auto"/>
              <w:jc w:val="center"/>
              <w:rPr>
                <w:rFonts w:ascii="Arial" w:hAnsi="Arial" w:cs="Arial"/>
                <w:sz w:val="24"/>
                <w:szCs w:val="24"/>
              </w:rPr>
            </w:pPr>
            <w:r w:rsidRPr="004F42CF">
              <w:rPr>
                <w:rFonts w:ascii="Arial" w:hAnsi="Arial" w:cs="Arial"/>
                <w:sz w:val="24"/>
                <w:szCs w:val="24"/>
              </w:rPr>
              <w:t>Instructed by</w:t>
            </w:r>
          </w:p>
          <w:p w:rsidR="001541FE" w:rsidRPr="001B52B9" w:rsidRDefault="001541FE" w:rsidP="001B52B9">
            <w:pPr>
              <w:spacing w:line="360" w:lineRule="auto"/>
              <w:jc w:val="center"/>
              <w:rPr>
                <w:rFonts w:ascii="Arial" w:hAnsi="Arial" w:cs="Arial"/>
                <w:sz w:val="24"/>
                <w:szCs w:val="24"/>
              </w:rPr>
            </w:pPr>
            <w:r>
              <w:rPr>
                <w:rFonts w:ascii="Arial" w:hAnsi="Arial" w:cs="Arial"/>
                <w:sz w:val="24"/>
                <w:szCs w:val="24"/>
              </w:rPr>
              <w:t>Africa Jantjies and Associates</w:t>
            </w:r>
          </w:p>
          <w:p w:rsidR="0000513F" w:rsidRPr="00CA7995" w:rsidRDefault="0000513F" w:rsidP="00937C89">
            <w:pPr>
              <w:spacing w:line="360" w:lineRule="auto"/>
              <w:jc w:val="center"/>
              <w:rPr>
                <w:rFonts w:ascii="Arial" w:hAnsi="Arial" w:cs="Arial"/>
                <w:sz w:val="24"/>
                <w:szCs w:val="24"/>
              </w:rPr>
            </w:pPr>
            <w:r>
              <w:rPr>
                <w:rFonts w:ascii="Arial" w:hAnsi="Arial" w:cs="Arial"/>
                <w:sz w:val="24"/>
                <w:szCs w:val="24"/>
              </w:rPr>
              <w:t>Windhoek</w:t>
            </w:r>
          </w:p>
        </w:tc>
      </w:tr>
    </w:tbl>
    <w:p w:rsidR="00B845CF" w:rsidRDefault="00B845CF"/>
    <w:sectPr w:rsidR="00B845CF" w:rsidSect="00E12D38">
      <w:headerReference w:type="default" r:id="rId9"/>
      <w:footerReference w:type="default" r:id="rId10"/>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869" w:rsidRDefault="00761869" w:rsidP="00B40844">
      <w:pPr>
        <w:spacing w:after="0" w:line="240" w:lineRule="auto"/>
      </w:pPr>
      <w:r>
        <w:separator/>
      </w:r>
    </w:p>
  </w:endnote>
  <w:endnote w:type="continuationSeparator" w:id="0">
    <w:p w:rsidR="00761869" w:rsidRDefault="00761869"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869" w:rsidRDefault="00761869" w:rsidP="00B40844">
      <w:pPr>
        <w:spacing w:after="0" w:line="240" w:lineRule="auto"/>
      </w:pPr>
      <w:r>
        <w:separator/>
      </w:r>
    </w:p>
  </w:footnote>
  <w:footnote w:type="continuationSeparator" w:id="0">
    <w:p w:rsidR="00761869" w:rsidRDefault="00761869" w:rsidP="00B40844">
      <w:pPr>
        <w:spacing w:after="0" w:line="240" w:lineRule="auto"/>
      </w:pPr>
      <w:r>
        <w:continuationSeparator/>
      </w:r>
    </w:p>
  </w:footnote>
  <w:footnote w:id="1">
    <w:p w:rsidR="00CE55EE" w:rsidRPr="00C76996" w:rsidRDefault="00CE55EE" w:rsidP="007F5C7B">
      <w:pPr>
        <w:pStyle w:val="FootnoteText"/>
        <w:spacing w:line="360" w:lineRule="auto"/>
      </w:pPr>
      <w:r>
        <w:rPr>
          <w:rStyle w:val="FootnoteReference"/>
        </w:rPr>
        <w:footnoteRef/>
      </w:r>
      <w:r>
        <w:t xml:space="preserve"> </w:t>
      </w:r>
      <w:r w:rsidRPr="00C76996">
        <w:rPr>
          <w:rFonts w:ascii="Arial" w:hAnsi="Arial" w:cs="Arial"/>
          <w:i/>
        </w:rPr>
        <w:t>Standard Bank Namibia Limited v Bock</w:t>
      </w:r>
      <w:r w:rsidRPr="00C76996">
        <w:rPr>
          <w:rFonts w:ascii="Arial" w:hAnsi="Arial" w:cs="Arial"/>
        </w:rPr>
        <w:t xml:space="preserve"> (HC-MD-CIV-ACT-CON-2018/04032) [2021] NAHCMD 78 (25 February 2021)</w:t>
      </w:r>
      <w:r>
        <w:rPr>
          <w:rFonts w:ascii="Arial" w:hAnsi="Arial" w:cs="Arial"/>
        </w:rPr>
        <w:t xml:space="preserve"> at para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82913"/>
      <w:docPartObj>
        <w:docPartGallery w:val="Page Numbers (Top of Page)"/>
        <w:docPartUnique/>
      </w:docPartObj>
    </w:sdtPr>
    <w:sdtEndPr>
      <w:rPr>
        <w:rFonts w:ascii="Arial" w:hAnsi="Arial" w:cs="Arial"/>
        <w:noProof/>
        <w:sz w:val="24"/>
        <w:szCs w:val="24"/>
      </w:rPr>
    </w:sdtEndPr>
    <w:sdtContent>
      <w:p w:rsidR="00E12D38" w:rsidRPr="00E12D38" w:rsidRDefault="00E12D38">
        <w:pPr>
          <w:pStyle w:val="Header"/>
          <w:jc w:val="right"/>
          <w:rPr>
            <w:rFonts w:ascii="Arial" w:hAnsi="Arial" w:cs="Arial"/>
            <w:sz w:val="24"/>
            <w:szCs w:val="24"/>
          </w:rPr>
        </w:pPr>
        <w:r w:rsidRPr="00E12D38">
          <w:rPr>
            <w:rFonts w:ascii="Arial" w:hAnsi="Arial" w:cs="Arial"/>
            <w:sz w:val="24"/>
            <w:szCs w:val="24"/>
          </w:rPr>
          <w:fldChar w:fldCharType="begin"/>
        </w:r>
        <w:r w:rsidRPr="00E12D38">
          <w:rPr>
            <w:rFonts w:ascii="Arial" w:hAnsi="Arial" w:cs="Arial"/>
            <w:sz w:val="24"/>
            <w:szCs w:val="24"/>
          </w:rPr>
          <w:instrText xml:space="preserve"> PAGE   \* MERGEFORMAT </w:instrText>
        </w:r>
        <w:r w:rsidRPr="00E12D38">
          <w:rPr>
            <w:rFonts w:ascii="Arial" w:hAnsi="Arial" w:cs="Arial"/>
            <w:sz w:val="24"/>
            <w:szCs w:val="24"/>
          </w:rPr>
          <w:fldChar w:fldCharType="separate"/>
        </w:r>
        <w:r w:rsidR="00C64E94">
          <w:rPr>
            <w:rFonts w:ascii="Arial" w:hAnsi="Arial" w:cs="Arial"/>
            <w:noProof/>
            <w:sz w:val="24"/>
            <w:szCs w:val="24"/>
          </w:rPr>
          <w:t>6</w:t>
        </w:r>
        <w:r w:rsidRPr="00E12D38">
          <w:rPr>
            <w:rFonts w:ascii="Arial" w:hAnsi="Arial" w:cs="Arial"/>
            <w:noProof/>
            <w:sz w:val="24"/>
            <w:szCs w:val="24"/>
          </w:rPr>
          <w:fldChar w:fldCharType="end"/>
        </w:r>
      </w:p>
    </w:sdtContent>
  </w:sdt>
  <w:p w:rsidR="00E12D38" w:rsidRDefault="00E12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17A2542B"/>
    <w:multiLevelType w:val="hybridMultilevel"/>
    <w:tmpl w:val="D5549396"/>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B7F39"/>
    <w:multiLevelType w:val="hybridMultilevel"/>
    <w:tmpl w:val="40BE20C0"/>
    <w:lvl w:ilvl="0" w:tplc="E02A289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B05B64"/>
    <w:multiLevelType w:val="hybridMultilevel"/>
    <w:tmpl w:val="19A40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1"/>
  </w:num>
  <w:num w:numId="6">
    <w:abstractNumId w:val="5"/>
  </w:num>
  <w:num w:numId="7">
    <w:abstractNumId w:val="4"/>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2E9A"/>
    <w:rsid w:val="0000513F"/>
    <w:rsid w:val="000142CE"/>
    <w:rsid w:val="00015808"/>
    <w:rsid w:val="00030A66"/>
    <w:rsid w:val="00036F0C"/>
    <w:rsid w:val="00052806"/>
    <w:rsid w:val="00053646"/>
    <w:rsid w:val="00087410"/>
    <w:rsid w:val="000929C5"/>
    <w:rsid w:val="000A6E7F"/>
    <w:rsid w:val="000D3C9C"/>
    <w:rsid w:val="000F39A3"/>
    <w:rsid w:val="000F4439"/>
    <w:rsid w:val="000F4C86"/>
    <w:rsid w:val="000F681E"/>
    <w:rsid w:val="00112F8B"/>
    <w:rsid w:val="00116AFB"/>
    <w:rsid w:val="001223B7"/>
    <w:rsid w:val="00124C63"/>
    <w:rsid w:val="001375D8"/>
    <w:rsid w:val="001467AD"/>
    <w:rsid w:val="00152FEA"/>
    <w:rsid w:val="001541F5"/>
    <w:rsid w:val="001541FE"/>
    <w:rsid w:val="0018718C"/>
    <w:rsid w:val="001B3825"/>
    <w:rsid w:val="001B52B9"/>
    <w:rsid w:val="001D7F5F"/>
    <w:rsid w:val="001E097B"/>
    <w:rsid w:val="001F4799"/>
    <w:rsid w:val="00212EC4"/>
    <w:rsid w:val="00214B00"/>
    <w:rsid w:val="00217744"/>
    <w:rsid w:val="00222FF1"/>
    <w:rsid w:val="00224808"/>
    <w:rsid w:val="002317B0"/>
    <w:rsid w:val="00232E65"/>
    <w:rsid w:val="0023549A"/>
    <w:rsid w:val="002536EA"/>
    <w:rsid w:val="002741C0"/>
    <w:rsid w:val="00276736"/>
    <w:rsid w:val="002A36E4"/>
    <w:rsid w:val="002A4AA3"/>
    <w:rsid w:val="002B38E0"/>
    <w:rsid w:val="002C1EF6"/>
    <w:rsid w:val="002D20C5"/>
    <w:rsid w:val="002E738E"/>
    <w:rsid w:val="0031523D"/>
    <w:rsid w:val="00322F39"/>
    <w:rsid w:val="00323AAF"/>
    <w:rsid w:val="00323E22"/>
    <w:rsid w:val="00340EA6"/>
    <w:rsid w:val="003422F5"/>
    <w:rsid w:val="0035617B"/>
    <w:rsid w:val="00371B8F"/>
    <w:rsid w:val="003802C5"/>
    <w:rsid w:val="003814D7"/>
    <w:rsid w:val="0038382D"/>
    <w:rsid w:val="003970DB"/>
    <w:rsid w:val="003A18AD"/>
    <w:rsid w:val="003A49EA"/>
    <w:rsid w:val="003C2574"/>
    <w:rsid w:val="003D165C"/>
    <w:rsid w:val="003D3059"/>
    <w:rsid w:val="00404B70"/>
    <w:rsid w:val="00412278"/>
    <w:rsid w:val="004211D2"/>
    <w:rsid w:val="00426C60"/>
    <w:rsid w:val="00431A65"/>
    <w:rsid w:val="004352E5"/>
    <w:rsid w:val="004358E2"/>
    <w:rsid w:val="00436C2B"/>
    <w:rsid w:val="00442FA7"/>
    <w:rsid w:val="0044564D"/>
    <w:rsid w:val="00463486"/>
    <w:rsid w:val="004665B1"/>
    <w:rsid w:val="00466B36"/>
    <w:rsid w:val="0047362B"/>
    <w:rsid w:val="00474C2A"/>
    <w:rsid w:val="00475B7A"/>
    <w:rsid w:val="004907E4"/>
    <w:rsid w:val="004936A7"/>
    <w:rsid w:val="004A1B08"/>
    <w:rsid w:val="004A2D48"/>
    <w:rsid w:val="004C646F"/>
    <w:rsid w:val="004F42CF"/>
    <w:rsid w:val="004F7DFE"/>
    <w:rsid w:val="00503F36"/>
    <w:rsid w:val="00535F29"/>
    <w:rsid w:val="00536EFF"/>
    <w:rsid w:val="00552964"/>
    <w:rsid w:val="005629DA"/>
    <w:rsid w:val="00564A4A"/>
    <w:rsid w:val="005676AD"/>
    <w:rsid w:val="00594F6C"/>
    <w:rsid w:val="005A4D90"/>
    <w:rsid w:val="005B62A0"/>
    <w:rsid w:val="005C0E24"/>
    <w:rsid w:val="005C21D7"/>
    <w:rsid w:val="005C3354"/>
    <w:rsid w:val="005D0587"/>
    <w:rsid w:val="005D7BD0"/>
    <w:rsid w:val="005F325C"/>
    <w:rsid w:val="005F32EB"/>
    <w:rsid w:val="00604332"/>
    <w:rsid w:val="00610BF1"/>
    <w:rsid w:val="006115E2"/>
    <w:rsid w:val="00612FDA"/>
    <w:rsid w:val="006165CC"/>
    <w:rsid w:val="00652898"/>
    <w:rsid w:val="00672C76"/>
    <w:rsid w:val="006829AD"/>
    <w:rsid w:val="00695745"/>
    <w:rsid w:val="006976D9"/>
    <w:rsid w:val="006A0BA4"/>
    <w:rsid w:val="006A0CAF"/>
    <w:rsid w:val="006A3F5E"/>
    <w:rsid w:val="006A416C"/>
    <w:rsid w:val="006B7521"/>
    <w:rsid w:val="006C38E0"/>
    <w:rsid w:val="006D0991"/>
    <w:rsid w:val="006D7203"/>
    <w:rsid w:val="006D7450"/>
    <w:rsid w:val="006E0FD4"/>
    <w:rsid w:val="006E558F"/>
    <w:rsid w:val="00702C62"/>
    <w:rsid w:val="00703171"/>
    <w:rsid w:val="00732939"/>
    <w:rsid w:val="00736DA4"/>
    <w:rsid w:val="00737C3D"/>
    <w:rsid w:val="00746C0C"/>
    <w:rsid w:val="0075139D"/>
    <w:rsid w:val="00753EBB"/>
    <w:rsid w:val="00761869"/>
    <w:rsid w:val="00766C68"/>
    <w:rsid w:val="0078274D"/>
    <w:rsid w:val="007853D8"/>
    <w:rsid w:val="007950C8"/>
    <w:rsid w:val="00796B9C"/>
    <w:rsid w:val="007D0792"/>
    <w:rsid w:val="007D6C74"/>
    <w:rsid w:val="007E25C7"/>
    <w:rsid w:val="007F4BE9"/>
    <w:rsid w:val="007F5C7B"/>
    <w:rsid w:val="007F68C4"/>
    <w:rsid w:val="008006A3"/>
    <w:rsid w:val="00805692"/>
    <w:rsid w:val="00812409"/>
    <w:rsid w:val="00815ED1"/>
    <w:rsid w:val="00816D5D"/>
    <w:rsid w:val="00821A0C"/>
    <w:rsid w:val="008275AC"/>
    <w:rsid w:val="00835300"/>
    <w:rsid w:val="0084304C"/>
    <w:rsid w:val="0084650C"/>
    <w:rsid w:val="008547F7"/>
    <w:rsid w:val="00882F73"/>
    <w:rsid w:val="00890A20"/>
    <w:rsid w:val="00892D9A"/>
    <w:rsid w:val="008954C3"/>
    <w:rsid w:val="008A1447"/>
    <w:rsid w:val="008B171D"/>
    <w:rsid w:val="008C2200"/>
    <w:rsid w:val="008E0730"/>
    <w:rsid w:val="008F5871"/>
    <w:rsid w:val="008F59A0"/>
    <w:rsid w:val="009042CA"/>
    <w:rsid w:val="0091061F"/>
    <w:rsid w:val="009279BE"/>
    <w:rsid w:val="00937C89"/>
    <w:rsid w:val="00960AE2"/>
    <w:rsid w:val="00970745"/>
    <w:rsid w:val="009733A9"/>
    <w:rsid w:val="00990873"/>
    <w:rsid w:val="009919F6"/>
    <w:rsid w:val="00997C11"/>
    <w:rsid w:val="009A084E"/>
    <w:rsid w:val="009A4CE1"/>
    <w:rsid w:val="009A7A59"/>
    <w:rsid w:val="009A7DA2"/>
    <w:rsid w:val="009C35C9"/>
    <w:rsid w:val="009C6F3F"/>
    <w:rsid w:val="009D27E8"/>
    <w:rsid w:val="00A00050"/>
    <w:rsid w:val="00A10E40"/>
    <w:rsid w:val="00A15CD1"/>
    <w:rsid w:val="00A22E0F"/>
    <w:rsid w:val="00A26B7B"/>
    <w:rsid w:val="00A3327E"/>
    <w:rsid w:val="00A50F13"/>
    <w:rsid w:val="00A66511"/>
    <w:rsid w:val="00A66651"/>
    <w:rsid w:val="00A75ED6"/>
    <w:rsid w:val="00A77ED5"/>
    <w:rsid w:val="00AA3ECB"/>
    <w:rsid w:val="00AB7BAE"/>
    <w:rsid w:val="00AC2D80"/>
    <w:rsid w:val="00AD72DD"/>
    <w:rsid w:val="00B01B6C"/>
    <w:rsid w:val="00B03A5D"/>
    <w:rsid w:val="00B121EA"/>
    <w:rsid w:val="00B20587"/>
    <w:rsid w:val="00B271D7"/>
    <w:rsid w:val="00B325B6"/>
    <w:rsid w:val="00B40844"/>
    <w:rsid w:val="00B45971"/>
    <w:rsid w:val="00B463CA"/>
    <w:rsid w:val="00B47800"/>
    <w:rsid w:val="00B50C99"/>
    <w:rsid w:val="00B51531"/>
    <w:rsid w:val="00B56E34"/>
    <w:rsid w:val="00B5737E"/>
    <w:rsid w:val="00B61AC7"/>
    <w:rsid w:val="00B675BA"/>
    <w:rsid w:val="00B808CB"/>
    <w:rsid w:val="00B845CF"/>
    <w:rsid w:val="00B92DE7"/>
    <w:rsid w:val="00B9407E"/>
    <w:rsid w:val="00B964BB"/>
    <w:rsid w:val="00BB13F4"/>
    <w:rsid w:val="00BB3273"/>
    <w:rsid w:val="00BC5931"/>
    <w:rsid w:val="00BD1EDA"/>
    <w:rsid w:val="00BE31AD"/>
    <w:rsid w:val="00BF77C2"/>
    <w:rsid w:val="00C04F28"/>
    <w:rsid w:val="00C06EB4"/>
    <w:rsid w:val="00C2633E"/>
    <w:rsid w:val="00C267D4"/>
    <w:rsid w:val="00C50AB1"/>
    <w:rsid w:val="00C64E94"/>
    <w:rsid w:val="00C73D5D"/>
    <w:rsid w:val="00C765F2"/>
    <w:rsid w:val="00C85435"/>
    <w:rsid w:val="00CA7995"/>
    <w:rsid w:val="00CC7431"/>
    <w:rsid w:val="00CD62C0"/>
    <w:rsid w:val="00CE55EE"/>
    <w:rsid w:val="00CF472D"/>
    <w:rsid w:val="00D113DD"/>
    <w:rsid w:val="00D14EF6"/>
    <w:rsid w:val="00D16BB2"/>
    <w:rsid w:val="00D24453"/>
    <w:rsid w:val="00D25285"/>
    <w:rsid w:val="00D25B16"/>
    <w:rsid w:val="00D27404"/>
    <w:rsid w:val="00D30D4D"/>
    <w:rsid w:val="00D361C8"/>
    <w:rsid w:val="00D37DAA"/>
    <w:rsid w:val="00D5070E"/>
    <w:rsid w:val="00D51E49"/>
    <w:rsid w:val="00D547B6"/>
    <w:rsid w:val="00D6224D"/>
    <w:rsid w:val="00D66488"/>
    <w:rsid w:val="00D80947"/>
    <w:rsid w:val="00D960EA"/>
    <w:rsid w:val="00DB2EAA"/>
    <w:rsid w:val="00DB5AA2"/>
    <w:rsid w:val="00DD76E7"/>
    <w:rsid w:val="00E0573A"/>
    <w:rsid w:val="00E12D38"/>
    <w:rsid w:val="00E221FD"/>
    <w:rsid w:val="00E33022"/>
    <w:rsid w:val="00E41BE5"/>
    <w:rsid w:val="00E46F7E"/>
    <w:rsid w:val="00E533BE"/>
    <w:rsid w:val="00E540B7"/>
    <w:rsid w:val="00E62DB3"/>
    <w:rsid w:val="00E922FB"/>
    <w:rsid w:val="00E94EF0"/>
    <w:rsid w:val="00E96F9E"/>
    <w:rsid w:val="00EA2DE2"/>
    <w:rsid w:val="00EB1AE0"/>
    <w:rsid w:val="00EC29B1"/>
    <w:rsid w:val="00ED0803"/>
    <w:rsid w:val="00ED5B76"/>
    <w:rsid w:val="00ED7008"/>
    <w:rsid w:val="00ED76B2"/>
    <w:rsid w:val="00EF184A"/>
    <w:rsid w:val="00EF2FFD"/>
    <w:rsid w:val="00EF604A"/>
    <w:rsid w:val="00F0235A"/>
    <w:rsid w:val="00F05CAB"/>
    <w:rsid w:val="00F0783D"/>
    <w:rsid w:val="00F170AB"/>
    <w:rsid w:val="00F32983"/>
    <w:rsid w:val="00F502F0"/>
    <w:rsid w:val="00F65529"/>
    <w:rsid w:val="00F65903"/>
    <w:rsid w:val="00F72231"/>
    <w:rsid w:val="00F7691A"/>
    <w:rsid w:val="00F82EDF"/>
    <w:rsid w:val="00F86130"/>
    <w:rsid w:val="00F92D04"/>
    <w:rsid w:val="00FA07D9"/>
    <w:rsid w:val="00FB0A6D"/>
    <w:rsid w:val="00FB2E9E"/>
    <w:rsid w:val="00FB44FB"/>
    <w:rsid w:val="00FB4837"/>
    <w:rsid w:val="00FB5F14"/>
    <w:rsid w:val="00FC2237"/>
    <w:rsid w:val="00FC6F2E"/>
    <w:rsid w:val="00FC7793"/>
    <w:rsid w:val="00FD68B7"/>
    <w:rsid w:val="00FE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CE55EE"/>
    <w:pPr>
      <w:keepNext/>
      <w:outlineLvl w:val="0"/>
    </w:pPr>
    <w:rPr>
      <w:rFonts w:ascii="Arial" w:hAnsi="Arial" w:cs="Arial"/>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6A3F5E"/>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6A3F5E"/>
    <w:rPr>
      <w:rFonts w:ascii="Arial" w:hAnsi="Arial" w:cs="Arial"/>
      <w:sz w:val="24"/>
      <w:szCs w:val="24"/>
      <w:lang w:val="en-ZA"/>
    </w:rPr>
  </w:style>
  <w:style w:type="paragraph" w:styleId="Header">
    <w:name w:val="header"/>
    <w:basedOn w:val="Normal"/>
    <w:link w:val="HeaderChar"/>
    <w:uiPriority w:val="99"/>
    <w:unhideWhenUsed/>
    <w:rsid w:val="00E12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D38"/>
    <w:rPr>
      <w:lang w:val="en-ZA"/>
    </w:rPr>
  </w:style>
  <w:style w:type="character" w:customStyle="1" w:styleId="Heading1Char">
    <w:name w:val="Heading 1 Char"/>
    <w:basedOn w:val="DefaultParagraphFont"/>
    <w:link w:val="Heading1"/>
    <w:uiPriority w:val="9"/>
    <w:rsid w:val="00CE55EE"/>
    <w:rPr>
      <w:rFonts w:ascii="Arial"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2023-08-03T18:30:00+00:00</Judgment_x0020_Date>
    <Year xmlns="c1afb1bd-f2fb-40fd-9abb-aea55b4d7662">2023</Year>
  </documentManagement>
</p:properties>
</file>

<file path=customXml/itemProps1.xml><?xml version="1.0" encoding="utf-8"?>
<ds:datastoreItem xmlns:ds="http://schemas.openxmlformats.org/officeDocument/2006/customXml" ds:itemID="{7D8D69DF-B9E4-4841-AFAC-B1469F8685CC}"/>
</file>

<file path=customXml/itemProps2.xml><?xml version="1.0" encoding="utf-8"?>
<ds:datastoreItem xmlns:ds="http://schemas.openxmlformats.org/officeDocument/2006/customXml" ds:itemID="{ACE1D061-E329-41FA-A30D-EF2EA2F8E794}"/>
</file>

<file path=customXml/itemProps3.xml><?xml version="1.0" encoding="utf-8"?>
<ds:datastoreItem xmlns:ds="http://schemas.openxmlformats.org/officeDocument/2006/customXml" ds:itemID="{1E823AED-FAAD-4BBF-86C3-037990849AEC}"/>
</file>

<file path=customXml/itemProps4.xml><?xml version="1.0" encoding="utf-8"?>
<ds:datastoreItem xmlns:ds="http://schemas.openxmlformats.org/officeDocument/2006/customXml" ds:itemID="{B65F9930-A70F-4DCF-B286-D8A259F5EB07}"/>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Nedbank Namibia Ltd v Jantjies (INT-HC-DECIMMPRO-2023-00144) [2023] NAHCMD 465 (4 August 2023)</dc:title>
  <dc:subject/>
  <dc:creator>shomany keister</dc:creator>
  <cp:keywords/>
  <dc:description/>
  <cp:lastModifiedBy>Charlet Mokomele</cp:lastModifiedBy>
  <cp:revision>2</cp:revision>
  <cp:lastPrinted>2023-08-03T08:45:00Z</cp:lastPrinted>
  <dcterms:created xsi:type="dcterms:W3CDTF">2023-08-04T13:40:00Z</dcterms:created>
  <dcterms:modified xsi:type="dcterms:W3CDTF">2023-08-04T13:40:00Z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3f772c309a9ad030a27b9669272ce1ebc8f4ae1590c9438bd4e7e51bc9337b28</vt:lpwstr>
  </property>
  <property fmtid="{D5CDD505-2E9C-101B-9397-08002B2CF9AE}" pid="3" name="ContentTypeId">
    <vt:lpwstr>0x0101000ECE0F99B3F8644397ECB0C536651393</vt:lpwstr>
  </property>
</Properties>
</file>