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53050" w14:textId="77777777" w:rsidR="00341832" w:rsidRDefault="00341832" w:rsidP="00341832">
      <w:pPr>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14:anchorId="3759C9CF" wp14:editId="0A9FCD0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05D7970" w14:textId="77777777" w:rsidR="00A11E60" w:rsidRDefault="00A11E60" w:rsidP="00341832">
                            <w:pPr>
                              <w:jc w:val="right"/>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59C9C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" strokecolor="white">
                <v:textbox>
                  <w:txbxContent>
                    <w:p w14:paraId="405D7970" w14:textId="77777777" w:rsidR="00A11E60" w:rsidRDefault="00A11E60" w:rsidP="00341832">
                      <w:pPr>
                        <w:jc w:val="right"/>
                        <w:rPr>
                          <w:rFonts w:cs="Calibri"/>
                        </w:rPr>
                      </w:pPr>
                    </w:p>
                  </w:txbxContent>
                </v:textbox>
              </v:shape>
            </w:pict>
          </mc:Fallback>
        </mc:AlternateContent>
      </w:r>
      <w:r>
        <w:rPr>
          <w:rFonts w:ascii="Arial" w:hAnsi="Arial" w:cs="Arial"/>
          <w:b/>
          <w:sz w:val="24"/>
          <w:szCs w:val="24"/>
        </w:rPr>
        <w:t>REPUBLIC OF NAMIBIA</w:t>
      </w:r>
    </w:p>
    <w:p w14:paraId="390B60D4" w14:textId="77777777" w:rsidR="00341832" w:rsidRDefault="00341832" w:rsidP="00341832">
      <w:pPr>
        <w:rPr>
          <w:rFonts w:ascii="Arial" w:hAnsi="Arial" w:cs="Arial"/>
          <w:b/>
        </w:rPr>
      </w:pPr>
    </w:p>
    <w:p w14:paraId="048E70D9" w14:textId="77777777" w:rsidR="00341832" w:rsidRDefault="00341832" w:rsidP="00341832">
      <w:pPr>
        <w:jc w:val="center"/>
        <w:rPr>
          <w:rFonts w:ascii="Arial" w:hAnsi="Arial" w:cs="Arial"/>
          <w:b/>
        </w:rPr>
      </w:pPr>
      <w:r>
        <w:rPr>
          <w:rFonts w:ascii="Arial" w:hAnsi="Arial" w:cs="Arial"/>
          <w:b/>
          <w:noProof/>
          <w:lang w:val="en-US"/>
        </w:rPr>
        <w:drawing>
          <wp:inline distT="0" distB="0" distL="0" distR="0" wp14:anchorId="2F89AD02" wp14:editId="4FBEFE4B">
            <wp:extent cx="1257300" cy="1318260"/>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318260"/>
                    </a:xfrm>
                    <a:prstGeom prst="rect">
                      <a:avLst/>
                    </a:prstGeom>
                    <a:noFill/>
                    <a:ln>
                      <a:noFill/>
                    </a:ln>
                  </pic:spPr>
                </pic:pic>
              </a:graphicData>
            </a:graphic>
          </wp:inline>
        </w:drawing>
      </w:r>
    </w:p>
    <w:p w14:paraId="678BE16A" w14:textId="77777777" w:rsidR="00341832" w:rsidRDefault="00341832" w:rsidP="00341832">
      <w:pPr>
        <w:spacing w:line="360" w:lineRule="auto"/>
        <w:jc w:val="center"/>
        <w:rPr>
          <w:rFonts w:ascii="Arial" w:hAnsi="Arial" w:cs="Arial"/>
          <w:b/>
          <w:sz w:val="24"/>
          <w:szCs w:val="24"/>
        </w:rPr>
      </w:pPr>
      <w:r>
        <w:rPr>
          <w:rFonts w:ascii="Arial" w:hAnsi="Arial" w:cs="Arial"/>
          <w:b/>
          <w:sz w:val="24"/>
          <w:szCs w:val="24"/>
        </w:rPr>
        <w:t>HIGH COURT OF NAMIBIA, MAIN DIVISION, WINDHOEK</w:t>
      </w:r>
    </w:p>
    <w:p w14:paraId="3DEB679F" w14:textId="0901B653" w:rsidR="004C0E33" w:rsidRPr="00A11E60" w:rsidRDefault="00A11E60" w:rsidP="00341832">
      <w:pPr>
        <w:jc w:val="center"/>
        <w:rPr>
          <w:rFonts w:ascii="Arial" w:hAnsi="Arial" w:cs="Arial"/>
          <w:b/>
          <w:iCs/>
          <w:sz w:val="24"/>
          <w:szCs w:val="24"/>
        </w:rPr>
      </w:pPr>
      <w:r w:rsidRPr="00A11E60">
        <w:rPr>
          <w:rFonts w:ascii="Arial" w:hAnsi="Arial" w:cs="Arial"/>
          <w:b/>
          <w:iCs/>
          <w:sz w:val="24"/>
          <w:szCs w:val="24"/>
        </w:rPr>
        <w:t>RULING IN TERMS OF PRACTICE DIRECTION 61</w:t>
      </w:r>
    </w:p>
    <w:p w14:paraId="29D337F6" w14:textId="77777777" w:rsidR="00341832" w:rsidRDefault="00341832" w:rsidP="00341832">
      <w:pPr>
        <w:spacing w:after="0" w:line="360" w:lineRule="auto"/>
        <w:jc w:val="both"/>
        <w:rPr>
          <w:rFonts w:ascii="Arial" w:hAnsi="Arial" w:cs="Arial"/>
          <w:sz w:val="24"/>
          <w:szCs w:val="24"/>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637"/>
        <w:gridCol w:w="4007"/>
      </w:tblGrid>
      <w:tr w:rsidR="00341832" w14:paraId="60994F54" w14:textId="77777777" w:rsidTr="00DC16E0">
        <w:trPr>
          <w:trHeight w:val="744"/>
        </w:trPr>
        <w:tc>
          <w:tcPr>
            <w:tcW w:w="5207" w:type="dxa"/>
            <w:gridSpan w:val="2"/>
            <w:vMerge w:val="restart"/>
            <w:tcBorders>
              <w:top w:val="single" w:sz="4" w:space="0" w:color="auto"/>
              <w:left w:val="single" w:sz="4" w:space="0" w:color="auto"/>
              <w:bottom w:val="single" w:sz="4" w:space="0" w:color="auto"/>
              <w:right w:val="single" w:sz="4" w:space="0" w:color="auto"/>
            </w:tcBorders>
            <w:hideMark/>
          </w:tcPr>
          <w:p w14:paraId="2716AA91" w14:textId="77777777" w:rsidR="00341832" w:rsidRDefault="00341832">
            <w:pPr>
              <w:spacing w:before="240" w:after="0" w:line="360" w:lineRule="auto"/>
              <w:jc w:val="both"/>
              <w:rPr>
                <w:rFonts w:ascii="Arial" w:hAnsi="Arial" w:cs="Arial"/>
                <w:sz w:val="24"/>
                <w:szCs w:val="24"/>
                <w:lang w:val="en-GB"/>
              </w:rPr>
            </w:pPr>
            <w:r>
              <w:rPr>
                <w:rFonts w:ascii="Arial" w:hAnsi="Arial" w:cs="Arial"/>
                <w:b/>
                <w:sz w:val="24"/>
                <w:szCs w:val="24"/>
                <w:lang w:val="en-GB"/>
              </w:rPr>
              <w:t>Case Title:</w:t>
            </w:r>
          </w:p>
          <w:p w14:paraId="2B9A3A1E" w14:textId="762FB8AC" w:rsidR="00341832" w:rsidRDefault="00A11E60" w:rsidP="00587FC1">
            <w:pPr>
              <w:tabs>
                <w:tab w:val="left" w:pos="6750"/>
              </w:tabs>
              <w:spacing w:after="0" w:line="360" w:lineRule="auto"/>
              <w:jc w:val="both"/>
              <w:rPr>
                <w:rFonts w:ascii="Arial" w:hAnsi="Arial" w:cs="Arial"/>
                <w:sz w:val="24"/>
                <w:szCs w:val="24"/>
                <w:lang w:val="en-GB"/>
              </w:rPr>
            </w:pPr>
            <w:r w:rsidRPr="00A11E60">
              <w:rPr>
                <w:rFonts w:ascii="Arial" w:hAnsi="Arial" w:cs="Arial"/>
                <w:sz w:val="24"/>
                <w:szCs w:val="24"/>
                <w:lang w:val="en-GB"/>
              </w:rPr>
              <w:t>HENTIES BAY ESTATES CC vs JANNIE GERBER</w:t>
            </w:r>
          </w:p>
        </w:tc>
        <w:tc>
          <w:tcPr>
            <w:tcW w:w="4007" w:type="dxa"/>
            <w:tcBorders>
              <w:top w:val="single" w:sz="4" w:space="0" w:color="auto"/>
              <w:left w:val="single" w:sz="4" w:space="0" w:color="auto"/>
              <w:bottom w:val="single" w:sz="4" w:space="0" w:color="auto"/>
              <w:right w:val="single" w:sz="4" w:space="0" w:color="auto"/>
            </w:tcBorders>
            <w:hideMark/>
          </w:tcPr>
          <w:p w14:paraId="56B468A3" w14:textId="79A1D5E1" w:rsidR="00341832" w:rsidRDefault="00341832" w:rsidP="00DD3AA1">
            <w:pPr>
              <w:spacing w:before="240" w:after="0" w:line="360" w:lineRule="auto"/>
              <w:jc w:val="both"/>
              <w:rPr>
                <w:rFonts w:ascii="Arial" w:hAnsi="Arial" w:cs="Arial"/>
                <w:sz w:val="24"/>
                <w:szCs w:val="24"/>
                <w:lang w:val="en-GB"/>
              </w:rPr>
            </w:pPr>
            <w:r>
              <w:rPr>
                <w:rFonts w:ascii="Arial" w:hAnsi="Arial" w:cs="Arial"/>
                <w:b/>
                <w:sz w:val="24"/>
                <w:szCs w:val="24"/>
                <w:lang w:val="en-GB"/>
              </w:rPr>
              <w:t>Case No:</w:t>
            </w:r>
            <w:r w:rsidR="007D56B6">
              <w:rPr>
                <w:rFonts w:ascii="Arial" w:hAnsi="Arial" w:cs="Arial"/>
                <w:b/>
                <w:sz w:val="24"/>
                <w:szCs w:val="24"/>
                <w:lang w:val="en-GB"/>
              </w:rPr>
              <w:t xml:space="preserve"> </w:t>
            </w:r>
            <w:r w:rsidR="00A11E60" w:rsidRPr="00A11E60">
              <w:rPr>
                <w:rFonts w:ascii="Arial" w:hAnsi="Arial" w:cs="Arial"/>
                <w:bCs/>
                <w:sz w:val="24"/>
                <w:szCs w:val="24"/>
                <w:lang w:val="en-GB"/>
              </w:rPr>
              <w:t>HC-MD-CIV-ACT-CON-2018/01651</w:t>
            </w:r>
          </w:p>
          <w:p w14:paraId="621F29F4" w14:textId="77777777" w:rsidR="00341832" w:rsidRDefault="00341832">
            <w:pPr>
              <w:spacing w:after="0" w:line="360" w:lineRule="auto"/>
              <w:rPr>
                <w:rFonts w:ascii="Arial" w:hAnsi="Arial" w:cs="Arial"/>
                <w:b/>
                <w:sz w:val="24"/>
                <w:szCs w:val="24"/>
                <w:lang w:val="en-GB"/>
              </w:rPr>
            </w:pPr>
          </w:p>
        </w:tc>
      </w:tr>
      <w:tr w:rsidR="00341832" w14:paraId="5419E03F" w14:textId="77777777" w:rsidTr="00DC16E0">
        <w:trPr>
          <w:trHeight w:val="8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85339C" w14:textId="77777777" w:rsidR="00341832" w:rsidRDefault="00341832">
            <w:pPr>
              <w:spacing w:after="0" w:line="240" w:lineRule="auto"/>
              <w:rPr>
                <w:rFonts w:ascii="Arial" w:hAnsi="Arial" w:cs="Arial"/>
                <w:sz w:val="24"/>
                <w:szCs w:val="24"/>
                <w:lang w:val="en-GB"/>
              </w:rPr>
            </w:pPr>
          </w:p>
        </w:tc>
        <w:tc>
          <w:tcPr>
            <w:tcW w:w="4007" w:type="dxa"/>
            <w:tcBorders>
              <w:top w:val="single" w:sz="4" w:space="0" w:color="auto"/>
              <w:left w:val="single" w:sz="4" w:space="0" w:color="auto"/>
              <w:bottom w:val="single" w:sz="4" w:space="0" w:color="auto"/>
              <w:right w:val="single" w:sz="4" w:space="0" w:color="auto"/>
            </w:tcBorders>
            <w:hideMark/>
          </w:tcPr>
          <w:p w14:paraId="3519EFAB" w14:textId="77777777" w:rsidR="00341832" w:rsidRDefault="00341832">
            <w:pPr>
              <w:spacing w:before="240" w:after="0" w:line="360" w:lineRule="auto"/>
              <w:jc w:val="both"/>
              <w:rPr>
                <w:rFonts w:ascii="Arial" w:hAnsi="Arial" w:cs="Arial"/>
                <w:sz w:val="24"/>
                <w:szCs w:val="24"/>
                <w:lang w:val="en-GB"/>
              </w:rPr>
            </w:pPr>
            <w:r>
              <w:rPr>
                <w:rFonts w:ascii="Arial" w:hAnsi="Arial" w:cs="Arial"/>
                <w:b/>
                <w:sz w:val="24"/>
                <w:szCs w:val="24"/>
                <w:lang w:val="en-GB"/>
              </w:rPr>
              <w:t>Division of Court:</w:t>
            </w:r>
          </w:p>
          <w:p w14:paraId="3F0C40AC" w14:textId="77777777" w:rsidR="00341832" w:rsidRDefault="005F05ED">
            <w:pPr>
              <w:spacing w:after="0" w:line="360" w:lineRule="auto"/>
              <w:jc w:val="both"/>
              <w:rPr>
                <w:rFonts w:ascii="Arial" w:hAnsi="Arial" w:cs="Arial"/>
                <w:sz w:val="24"/>
                <w:szCs w:val="24"/>
                <w:lang w:val="en-GB"/>
              </w:rPr>
            </w:pPr>
            <w:r>
              <w:rPr>
                <w:rFonts w:ascii="Arial" w:hAnsi="Arial" w:cs="Arial"/>
                <w:sz w:val="24"/>
                <w:szCs w:val="24"/>
                <w:lang w:val="en-GB"/>
              </w:rPr>
              <w:t>High Court (Main Division)</w:t>
            </w:r>
          </w:p>
        </w:tc>
      </w:tr>
      <w:tr w:rsidR="00341832" w14:paraId="7D115316" w14:textId="77777777" w:rsidTr="00DC16E0">
        <w:trPr>
          <w:trHeight w:val="645"/>
        </w:trPr>
        <w:tc>
          <w:tcPr>
            <w:tcW w:w="5207" w:type="dxa"/>
            <w:gridSpan w:val="2"/>
            <w:vMerge w:val="restart"/>
            <w:tcBorders>
              <w:top w:val="single" w:sz="4" w:space="0" w:color="auto"/>
              <w:left w:val="single" w:sz="4" w:space="0" w:color="auto"/>
              <w:bottom w:val="single" w:sz="4" w:space="0" w:color="auto"/>
              <w:right w:val="single" w:sz="4" w:space="0" w:color="auto"/>
            </w:tcBorders>
            <w:hideMark/>
          </w:tcPr>
          <w:p w14:paraId="7FBCC1F3" w14:textId="77777777" w:rsidR="00341832" w:rsidRDefault="00341832">
            <w:pPr>
              <w:spacing w:before="240" w:after="0" w:line="360" w:lineRule="auto"/>
              <w:jc w:val="both"/>
              <w:rPr>
                <w:rFonts w:ascii="Arial" w:hAnsi="Arial" w:cs="Arial"/>
                <w:b/>
                <w:sz w:val="24"/>
                <w:szCs w:val="24"/>
                <w:lang w:val="en-GB"/>
              </w:rPr>
            </w:pPr>
            <w:r>
              <w:rPr>
                <w:rFonts w:ascii="Arial" w:hAnsi="Arial" w:cs="Arial"/>
                <w:b/>
                <w:sz w:val="24"/>
                <w:szCs w:val="24"/>
                <w:lang w:val="en-GB"/>
              </w:rPr>
              <w:t>Heard before:</w:t>
            </w:r>
          </w:p>
          <w:p w14:paraId="07698B28" w14:textId="6B3D819E" w:rsidR="00341832" w:rsidRDefault="00341832">
            <w:pPr>
              <w:spacing w:after="0" w:line="360" w:lineRule="auto"/>
              <w:jc w:val="both"/>
              <w:rPr>
                <w:rFonts w:ascii="Arial" w:hAnsi="Arial" w:cs="Arial"/>
                <w:sz w:val="24"/>
                <w:szCs w:val="24"/>
                <w:lang w:val="en-GB"/>
              </w:rPr>
            </w:pPr>
            <w:r>
              <w:rPr>
                <w:rFonts w:ascii="Arial" w:hAnsi="Arial" w:cs="Arial"/>
                <w:sz w:val="24"/>
                <w:szCs w:val="24"/>
                <w:lang w:val="en-GB"/>
              </w:rPr>
              <w:t xml:space="preserve">Honourable </w:t>
            </w:r>
            <w:r w:rsidR="00CC42BD">
              <w:rPr>
                <w:rFonts w:ascii="Arial" w:hAnsi="Arial" w:cs="Arial"/>
                <w:sz w:val="24"/>
                <w:szCs w:val="24"/>
                <w:lang w:val="en-GB"/>
              </w:rPr>
              <w:t xml:space="preserve">Lady </w:t>
            </w:r>
            <w:r>
              <w:rPr>
                <w:rFonts w:ascii="Arial" w:hAnsi="Arial" w:cs="Arial"/>
                <w:sz w:val="24"/>
                <w:szCs w:val="24"/>
                <w:lang w:val="en-GB"/>
              </w:rPr>
              <w:t xml:space="preserve">Justice </w:t>
            </w:r>
            <w:r w:rsidR="009804AC">
              <w:rPr>
                <w:rFonts w:ascii="Arial" w:hAnsi="Arial" w:cs="Arial"/>
                <w:sz w:val="24"/>
                <w:szCs w:val="24"/>
                <w:lang w:val="en-GB"/>
              </w:rPr>
              <w:t>Schimming-Chase</w:t>
            </w:r>
          </w:p>
        </w:tc>
        <w:tc>
          <w:tcPr>
            <w:tcW w:w="4007" w:type="dxa"/>
            <w:tcBorders>
              <w:top w:val="single" w:sz="4" w:space="0" w:color="auto"/>
              <w:left w:val="single" w:sz="4" w:space="0" w:color="auto"/>
              <w:bottom w:val="single" w:sz="4" w:space="0" w:color="auto"/>
              <w:right w:val="single" w:sz="4" w:space="0" w:color="auto"/>
            </w:tcBorders>
            <w:hideMark/>
          </w:tcPr>
          <w:p w14:paraId="770C2504" w14:textId="77777777" w:rsidR="00E8248B" w:rsidRPr="008A69CF" w:rsidRDefault="00341832" w:rsidP="008A69CF">
            <w:pPr>
              <w:pStyle w:val="NoSpacing"/>
              <w:spacing w:line="360" w:lineRule="auto"/>
              <w:jc w:val="both"/>
              <w:rPr>
                <w:rFonts w:ascii="Arial" w:hAnsi="Arial" w:cs="Arial"/>
                <w:b/>
                <w:sz w:val="24"/>
                <w:lang w:val="en-GB"/>
              </w:rPr>
            </w:pPr>
            <w:r w:rsidRPr="008A69CF">
              <w:rPr>
                <w:rFonts w:ascii="Arial" w:hAnsi="Arial" w:cs="Arial"/>
                <w:b/>
                <w:sz w:val="24"/>
                <w:lang w:val="en-GB"/>
              </w:rPr>
              <w:t>Date of hearing:</w:t>
            </w:r>
            <w:r w:rsidR="007D56B6" w:rsidRPr="008A69CF">
              <w:rPr>
                <w:rFonts w:ascii="Arial" w:hAnsi="Arial" w:cs="Arial"/>
                <w:b/>
                <w:sz w:val="24"/>
                <w:lang w:val="en-GB"/>
              </w:rPr>
              <w:t xml:space="preserve"> </w:t>
            </w:r>
          </w:p>
          <w:p w14:paraId="27F50018" w14:textId="1133886A" w:rsidR="00341832" w:rsidRPr="008A69CF" w:rsidRDefault="00A11E60" w:rsidP="008A69CF">
            <w:pPr>
              <w:pStyle w:val="NoSpacing"/>
              <w:spacing w:line="360" w:lineRule="auto"/>
              <w:jc w:val="both"/>
              <w:rPr>
                <w:lang w:val="en-GB"/>
              </w:rPr>
            </w:pPr>
            <w:r>
              <w:rPr>
                <w:rFonts w:ascii="Arial" w:hAnsi="Arial" w:cs="Arial"/>
                <w:sz w:val="24"/>
                <w:lang w:val="en-GB"/>
              </w:rPr>
              <w:t>17</w:t>
            </w:r>
            <w:r w:rsidR="004C0E33">
              <w:rPr>
                <w:rFonts w:ascii="Arial" w:hAnsi="Arial" w:cs="Arial"/>
                <w:sz w:val="24"/>
                <w:lang w:val="en-GB"/>
              </w:rPr>
              <w:t xml:space="preserve"> July </w:t>
            </w:r>
            <w:r w:rsidR="00587FC1">
              <w:rPr>
                <w:rFonts w:ascii="Arial" w:hAnsi="Arial" w:cs="Arial"/>
                <w:sz w:val="24"/>
                <w:lang w:val="en-GB"/>
              </w:rPr>
              <w:t>2023</w:t>
            </w:r>
          </w:p>
        </w:tc>
      </w:tr>
      <w:tr w:rsidR="00341832" w14:paraId="3EB5DB3F" w14:textId="77777777" w:rsidTr="00DC16E0">
        <w:trPr>
          <w:trHeight w:val="5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AD5FF1" w14:textId="77777777" w:rsidR="00341832" w:rsidRDefault="00341832">
            <w:pPr>
              <w:spacing w:after="0" w:line="240" w:lineRule="auto"/>
              <w:rPr>
                <w:rFonts w:ascii="Arial" w:hAnsi="Arial" w:cs="Arial"/>
                <w:sz w:val="24"/>
                <w:szCs w:val="24"/>
                <w:lang w:val="en-GB"/>
              </w:rPr>
            </w:pPr>
          </w:p>
        </w:tc>
        <w:tc>
          <w:tcPr>
            <w:tcW w:w="4007" w:type="dxa"/>
            <w:tcBorders>
              <w:top w:val="single" w:sz="4" w:space="0" w:color="auto"/>
              <w:left w:val="single" w:sz="4" w:space="0" w:color="auto"/>
              <w:bottom w:val="single" w:sz="4" w:space="0" w:color="auto"/>
              <w:right w:val="single" w:sz="4" w:space="0" w:color="auto"/>
            </w:tcBorders>
            <w:hideMark/>
          </w:tcPr>
          <w:p w14:paraId="42465839" w14:textId="43E2A54F" w:rsidR="00341832" w:rsidRDefault="00CC42BD">
            <w:pPr>
              <w:spacing w:before="240" w:after="0" w:line="360" w:lineRule="auto"/>
              <w:jc w:val="both"/>
              <w:rPr>
                <w:rFonts w:ascii="Arial" w:hAnsi="Arial" w:cs="Arial"/>
                <w:b/>
                <w:sz w:val="24"/>
                <w:szCs w:val="24"/>
                <w:lang w:val="en-GB"/>
              </w:rPr>
            </w:pPr>
            <w:r>
              <w:rPr>
                <w:rFonts w:ascii="Arial" w:hAnsi="Arial" w:cs="Arial"/>
                <w:b/>
                <w:sz w:val="24"/>
                <w:szCs w:val="24"/>
                <w:lang w:val="en-GB"/>
              </w:rPr>
              <w:t>Date of order</w:t>
            </w:r>
            <w:r w:rsidR="00341832">
              <w:rPr>
                <w:rFonts w:ascii="Arial" w:hAnsi="Arial" w:cs="Arial"/>
                <w:b/>
                <w:sz w:val="24"/>
                <w:szCs w:val="24"/>
                <w:lang w:val="en-GB"/>
              </w:rPr>
              <w:t>:</w:t>
            </w:r>
          </w:p>
          <w:p w14:paraId="1FB35AFA" w14:textId="67C48A31" w:rsidR="00A466AB" w:rsidRPr="00A466AB" w:rsidRDefault="00A11E60">
            <w:pPr>
              <w:spacing w:after="0" w:line="360" w:lineRule="auto"/>
              <w:jc w:val="both"/>
              <w:rPr>
                <w:rFonts w:ascii="Arial" w:hAnsi="Arial" w:cs="Arial"/>
                <w:sz w:val="24"/>
                <w:szCs w:val="24"/>
                <w:lang w:val="en-GB"/>
              </w:rPr>
            </w:pPr>
            <w:r>
              <w:rPr>
                <w:rFonts w:ascii="Arial" w:hAnsi="Arial" w:cs="Arial"/>
                <w:sz w:val="24"/>
                <w:szCs w:val="24"/>
                <w:lang w:val="en-GB"/>
              </w:rPr>
              <w:t>7 August</w:t>
            </w:r>
            <w:r w:rsidR="00587FC1">
              <w:rPr>
                <w:rFonts w:ascii="Arial" w:hAnsi="Arial" w:cs="Arial"/>
                <w:sz w:val="24"/>
                <w:szCs w:val="24"/>
                <w:lang w:val="en-GB"/>
              </w:rPr>
              <w:t xml:space="preserve"> 2023</w:t>
            </w:r>
          </w:p>
        </w:tc>
      </w:tr>
      <w:tr w:rsidR="00341832" w14:paraId="7123F593" w14:textId="77777777" w:rsidTr="00DC16E0">
        <w:tc>
          <w:tcPr>
            <w:tcW w:w="9214" w:type="dxa"/>
            <w:gridSpan w:val="3"/>
            <w:tcBorders>
              <w:top w:val="single" w:sz="4" w:space="0" w:color="auto"/>
              <w:left w:val="single" w:sz="4" w:space="0" w:color="auto"/>
              <w:bottom w:val="single" w:sz="4" w:space="0" w:color="auto"/>
              <w:right w:val="single" w:sz="4" w:space="0" w:color="auto"/>
            </w:tcBorders>
          </w:tcPr>
          <w:p w14:paraId="271CD614" w14:textId="33E56348" w:rsidR="00341832" w:rsidRPr="0009073E" w:rsidRDefault="00341832" w:rsidP="0009073E">
            <w:pPr>
              <w:spacing w:before="240" w:after="0" w:line="360" w:lineRule="auto"/>
              <w:jc w:val="both"/>
              <w:rPr>
                <w:rFonts w:ascii="Arial" w:hAnsi="Arial" w:cs="Arial"/>
                <w:sz w:val="24"/>
                <w:szCs w:val="24"/>
                <w:lang w:val="en-GB"/>
              </w:rPr>
            </w:pPr>
            <w:r w:rsidRPr="007E259E">
              <w:rPr>
                <w:rFonts w:ascii="Arial" w:hAnsi="Arial" w:cs="Arial"/>
                <w:b/>
                <w:sz w:val="24"/>
                <w:szCs w:val="24"/>
                <w:lang w:val="en-GB"/>
              </w:rPr>
              <w:t xml:space="preserve">Neutral citation: </w:t>
            </w:r>
            <w:r w:rsidR="00A11E60" w:rsidRPr="00A11E60">
              <w:rPr>
                <w:rFonts w:ascii="Arial" w:hAnsi="Arial" w:cs="Arial"/>
                <w:i/>
                <w:iCs/>
                <w:sz w:val="24"/>
                <w:lang w:val="en-GB"/>
              </w:rPr>
              <w:t xml:space="preserve">Henties Bay Estates CC v Gerber </w:t>
            </w:r>
            <w:r w:rsidR="00A11E60" w:rsidRPr="00A11E60">
              <w:rPr>
                <w:rFonts w:ascii="Arial" w:hAnsi="Arial" w:cs="Arial"/>
                <w:iCs/>
                <w:sz w:val="24"/>
                <w:lang w:val="en-GB"/>
              </w:rPr>
              <w:t>(HC-MD-CIV-ACT-CON-</w:t>
            </w:r>
            <w:r w:rsidR="00A11E60" w:rsidRPr="00A11E60">
              <w:rPr>
                <w:rFonts w:ascii="Arial" w:hAnsi="Arial" w:cs="Arial"/>
                <w:iCs/>
                <w:sz w:val="24"/>
                <w:lang w:val="en-GB"/>
              </w:rPr>
              <w:tab/>
            </w:r>
            <w:r w:rsidR="00A11E60" w:rsidRPr="00A11E60">
              <w:rPr>
                <w:rFonts w:ascii="Arial" w:hAnsi="Arial" w:cs="Arial"/>
                <w:iCs/>
                <w:sz w:val="24"/>
                <w:lang w:val="en-GB"/>
              </w:rPr>
              <w:tab/>
            </w:r>
            <w:r w:rsidR="00A11E60" w:rsidRPr="00A11E60">
              <w:rPr>
                <w:rFonts w:ascii="Arial" w:hAnsi="Arial" w:cs="Arial"/>
                <w:iCs/>
                <w:sz w:val="24"/>
                <w:lang w:val="en-GB"/>
              </w:rPr>
              <w:tab/>
              <w:t xml:space="preserve">   </w:t>
            </w:r>
            <w:r w:rsidR="009E0F13">
              <w:rPr>
                <w:rFonts w:ascii="Arial" w:hAnsi="Arial" w:cs="Arial"/>
                <w:iCs/>
                <w:sz w:val="24"/>
                <w:lang w:val="en-GB"/>
              </w:rPr>
              <w:t xml:space="preserve">    2018/01651) [2023] NAHCMD 480</w:t>
            </w:r>
            <w:bookmarkStart w:id="0" w:name="_GoBack"/>
            <w:bookmarkEnd w:id="0"/>
            <w:r w:rsidR="00A11E60" w:rsidRPr="00A11E60">
              <w:rPr>
                <w:rFonts w:ascii="Arial" w:hAnsi="Arial" w:cs="Arial"/>
                <w:iCs/>
                <w:sz w:val="24"/>
                <w:lang w:val="en-GB"/>
              </w:rPr>
              <w:t xml:space="preserve"> (7 August 2023)</w:t>
            </w:r>
          </w:p>
          <w:p w14:paraId="184D8640" w14:textId="77777777" w:rsidR="00341832" w:rsidRDefault="00341832">
            <w:pPr>
              <w:pStyle w:val="form-control-static"/>
              <w:shd w:val="clear" w:color="auto" w:fill="FFFFFF"/>
              <w:spacing w:before="0" w:beforeAutospacing="0" w:after="0" w:afterAutospacing="0" w:line="360" w:lineRule="auto"/>
              <w:jc w:val="both"/>
              <w:rPr>
                <w:rFonts w:ascii="Arial" w:hAnsi="Arial" w:cs="Arial"/>
                <w:sz w:val="4"/>
                <w:szCs w:val="4"/>
                <w:lang w:val="en-GB"/>
              </w:rPr>
            </w:pPr>
          </w:p>
        </w:tc>
      </w:tr>
      <w:tr w:rsidR="00341832" w14:paraId="54FB3EB7" w14:textId="77777777" w:rsidTr="00DC16E0">
        <w:tc>
          <w:tcPr>
            <w:tcW w:w="9214" w:type="dxa"/>
            <w:gridSpan w:val="3"/>
            <w:tcBorders>
              <w:top w:val="single" w:sz="4" w:space="0" w:color="auto"/>
              <w:left w:val="single" w:sz="4" w:space="0" w:color="auto"/>
              <w:bottom w:val="single" w:sz="4" w:space="0" w:color="auto"/>
              <w:right w:val="single" w:sz="4" w:space="0" w:color="auto"/>
            </w:tcBorders>
            <w:hideMark/>
          </w:tcPr>
          <w:p w14:paraId="0B910EAD" w14:textId="77777777" w:rsidR="00341832" w:rsidRDefault="00341832">
            <w:pPr>
              <w:pStyle w:val="form-control-static"/>
              <w:shd w:val="clear" w:color="auto" w:fill="FFFFFF"/>
              <w:spacing w:before="240" w:beforeAutospacing="0" w:after="0" w:afterAutospacing="0" w:line="360" w:lineRule="auto"/>
              <w:rPr>
                <w:rFonts w:ascii="Arial" w:hAnsi="Arial" w:cs="Arial"/>
                <w:b/>
                <w:lang w:val="en-GB"/>
              </w:rPr>
            </w:pPr>
            <w:r>
              <w:rPr>
                <w:rFonts w:ascii="Arial" w:hAnsi="Arial" w:cs="Arial"/>
                <w:b/>
                <w:lang w:val="en-GB"/>
              </w:rPr>
              <w:t>Results on the merits:</w:t>
            </w:r>
          </w:p>
          <w:p w14:paraId="56ECC981" w14:textId="0880281B" w:rsidR="00341832" w:rsidRDefault="00341832" w:rsidP="00A11E60">
            <w:pPr>
              <w:pStyle w:val="form-control-static"/>
              <w:shd w:val="clear" w:color="auto" w:fill="FFFFFF"/>
              <w:spacing w:before="0" w:beforeAutospacing="0" w:after="0" w:afterAutospacing="0" w:line="360" w:lineRule="auto"/>
              <w:rPr>
                <w:rFonts w:ascii="Arial" w:hAnsi="Arial" w:cs="Arial"/>
                <w:lang w:val="en-GB"/>
              </w:rPr>
            </w:pPr>
            <w:r>
              <w:rPr>
                <w:rFonts w:ascii="Arial" w:hAnsi="Arial" w:cs="Arial"/>
                <w:lang w:val="en-GB"/>
              </w:rPr>
              <w:t xml:space="preserve">Merits </w:t>
            </w:r>
            <w:r w:rsidR="00A11E60">
              <w:rPr>
                <w:rFonts w:ascii="Arial" w:hAnsi="Arial" w:cs="Arial"/>
                <w:lang w:val="en-GB"/>
              </w:rPr>
              <w:t>not considered</w:t>
            </w:r>
            <w:r>
              <w:rPr>
                <w:rFonts w:ascii="Arial" w:hAnsi="Arial" w:cs="Arial"/>
                <w:lang w:val="en-GB"/>
              </w:rPr>
              <w:t>.</w:t>
            </w:r>
          </w:p>
        </w:tc>
      </w:tr>
      <w:tr w:rsidR="00341832" w14:paraId="351B6A1F" w14:textId="77777777" w:rsidTr="00DC16E0">
        <w:tc>
          <w:tcPr>
            <w:tcW w:w="9214" w:type="dxa"/>
            <w:gridSpan w:val="3"/>
            <w:tcBorders>
              <w:top w:val="single" w:sz="4" w:space="0" w:color="auto"/>
              <w:left w:val="single" w:sz="4" w:space="0" w:color="auto"/>
              <w:bottom w:val="single" w:sz="4" w:space="0" w:color="auto"/>
              <w:right w:val="single" w:sz="4" w:space="0" w:color="auto"/>
            </w:tcBorders>
          </w:tcPr>
          <w:p w14:paraId="45A1DF0D" w14:textId="77777777" w:rsidR="00341832" w:rsidRDefault="00341832">
            <w:pPr>
              <w:spacing w:after="0" w:line="360" w:lineRule="auto"/>
              <w:jc w:val="right"/>
              <w:rPr>
                <w:rFonts w:ascii="Arial" w:hAnsi="Arial" w:cs="Arial"/>
                <w:b/>
                <w:sz w:val="24"/>
                <w:szCs w:val="24"/>
                <w:lang w:val="en-GB"/>
              </w:rPr>
            </w:pPr>
          </w:p>
          <w:p w14:paraId="31A7EBEC" w14:textId="2350107D" w:rsidR="002836AB" w:rsidRPr="002836AB" w:rsidRDefault="002836AB" w:rsidP="00E06028">
            <w:pPr>
              <w:spacing w:after="0" w:line="360" w:lineRule="auto"/>
              <w:jc w:val="both"/>
              <w:rPr>
                <w:rFonts w:ascii="Arial" w:hAnsi="Arial" w:cs="Arial"/>
                <w:b/>
                <w:sz w:val="24"/>
                <w:szCs w:val="24"/>
                <w:lang w:val="en-GB"/>
              </w:rPr>
            </w:pPr>
            <w:r>
              <w:rPr>
                <w:rFonts w:ascii="Arial" w:hAnsi="Arial" w:cs="Arial"/>
                <w:b/>
                <w:sz w:val="24"/>
                <w:szCs w:val="24"/>
                <w:lang w:val="en-GB"/>
              </w:rPr>
              <w:t>IT IS HEREBY ORDERED THAT:</w:t>
            </w:r>
          </w:p>
          <w:p w14:paraId="7A31CE4E" w14:textId="2881185C" w:rsidR="00A11E60" w:rsidRDefault="00A11E60" w:rsidP="00A11E60">
            <w:pPr>
              <w:pStyle w:val="ListParagraph"/>
              <w:numPr>
                <w:ilvl w:val="0"/>
                <w:numId w:val="3"/>
              </w:numPr>
              <w:spacing w:after="0" w:line="360" w:lineRule="auto"/>
              <w:jc w:val="both"/>
              <w:rPr>
                <w:rFonts w:ascii="Arial" w:hAnsi="Arial" w:cs="Arial"/>
                <w:sz w:val="24"/>
                <w:szCs w:val="24"/>
              </w:rPr>
            </w:pPr>
            <w:r w:rsidRPr="00A11E60">
              <w:rPr>
                <w:rFonts w:ascii="Arial" w:hAnsi="Arial" w:cs="Arial"/>
                <w:sz w:val="24"/>
                <w:szCs w:val="24"/>
              </w:rPr>
              <w:t xml:space="preserve">The defendants must pay the plaintiff’s costs of suit from the date of the </w:t>
            </w:r>
            <w:r w:rsidR="00135D35">
              <w:rPr>
                <w:rFonts w:ascii="Arial" w:hAnsi="Arial" w:cs="Arial"/>
                <w:sz w:val="24"/>
                <w:szCs w:val="24"/>
              </w:rPr>
              <w:t>return of service</w:t>
            </w:r>
            <w:r w:rsidRPr="00A11E60">
              <w:rPr>
                <w:rFonts w:ascii="Arial" w:hAnsi="Arial" w:cs="Arial"/>
                <w:sz w:val="24"/>
                <w:szCs w:val="24"/>
              </w:rPr>
              <w:t xml:space="preserve"> until 29 July 2022, both days inclusive.</w:t>
            </w:r>
          </w:p>
          <w:p w14:paraId="0526246D" w14:textId="77777777" w:rsidR="005A655B" w:rsidRPr="00A11E60" w:rsidRDefault="005A655B" w:rsidP="005A655B">
            <w:pPr>
              <w:pStyle w:val="ListParagraph"/>
              <w:spacing w:after="0" w:line="360" w:lineRule="auto"/>
              <w:jc w:val="both"/>
              <w:rPr>
                <w:rFonts w:ascii="Arial" w:hAnsi="Arial" w:cs="Arial"/>
                <w:sz w:val="24"/>
                <w:szCs w:val="24"/>
              </w:rPr>
            </w:pPr>
          </w:p>
          <w:p w14:paraId="1D35D43A" w14:textId="489A6C78" w:rsidR="00341832" w:rsidRPr="00A11E60" w:rsidRDefault="00A11E60" w:rsidP="00A11E60">
            <w:pPr>
              <w:pStyle w:val="ListParagraph"/>
              <w:numPr>
                <w:ilvl w:val="0"/>
                <w:numId w:val="3"/>
              </w:numPr>
              <w:spacing w:after="0" w:line="360" w:lineRule="auto"/>
              <w:jc w:val="both"/>
              <w:rPr>
                <w:rFonts w:ascii="Arial" w:hAnsi="Arial" w:cs="Arial"/>
                <w:sz w:val="24"/>
                <w:szCs w:val="24"/>
              </w:rPr>
            </w:pPr>
            <w:r w:rsidRPr="00A11E60">
              <w:rPr>
                <w:rFonts w:ascii="Arial" w:hAnsi="Arial" w:cs="Arial"/>
                <w:sz w:val="24"/>
                <w:szCs w:val="24"/>
              </w:rPr>
              <w:t>The matter is regarded as finalised and removed from the roll.</w:t>
            </w:r>
          </w:p>
        </w:tc>
      </w:tr>
      <w:tr w:rsidR="00341832" w14:paraId="013A7A5C" w14:textId="77777777" w:rsidTr="00DC16E0">
        <w:tc>
          <w:tcPr>
            <w:tcW w:w="9214" w:type="dxa"/>
            <w:gridSpan w:val="3"/>
            <w:tcBorders>
              <w:top w:val="single" w:sz="4" w:space="0" w:color="auto"/>
              <w:left w:val="single" w:sz="4" w:space="0" w:color="auto"/>
              <w:bottom w:val="single" w:sz="4" w:space="0" w:color="auto"/>
              <w:right w:val="single" w:sz="4" w:space="0" w:color="auto"/>
            </w:tcBorders>
          </w:tcPr>
          <w:p w14:paraId="77C2F1D0" w14:textId="77777777" w:rsidR="00DD3AA1" w:rsidRDefault="00DD3AA1" w:rsidP="00DC16E0">
            <w:pPr>
              <w:spacing w:after="0" w:line="360" w:lineRule="auto"/>
              <w:jc w:val="both"/>
              <w:rPr>
                <w:rFonts w:ascii="Arial" w:hAnsi="Arial" w:cs="Arial"/>
                <w:sz w:val="24"/>
                <w:szCs w:val="24"/>
                <w:lang w:val="en-GB"/>
              </w:rPr>
            </w:pPr>
          </w:p>
          <w:p w14:paraId="0CC3AE81" w14:textId="77777777" w:rsidR="00DC16E0" w:rsidRPr="000B49B9" w:rsidRDefault="00DD3AA1" w:rsidP="00DC16E0">
            <w:pPr>
              <w:spacing w:after="0" w:line="360" w:lineRule="auto"/>
              <w:jc w:val="both"/>
              <w:rPr>
                <w:rFonts w:ascii="Arial" w:hAnsi="Arial" w:cs="Arial"/>
                <w:sz w:val="24"/>
                <w:szCs w:val="24"/>
                <w:lang w:val="en-GB"/>
              </w:rPr>
            </w:pPr>
            <w:r>
              <w:rPr>
                <w:rFonts w:ascii="Arial" w:hAnsi="Arial" w:cs="Arial"/>
                <w:sz w:val="24"/>
                <w:szCs w:val="24"/>
                <w:lang w:val="en-GB"/>
              </w:rPr>
              <w:t>SCHIMMING-CHASE</w:t>
            </w:r>
            <w:r w:rsidR="00DC16E0" w:rsidRPr="000B49B9">
              <w:rPr>
                <w:rFonts w:ascii="Arial" w:hAnsi="Arial" w:cs="Arial"/>
                <w:sz w:val="24"/>
                <w:szCs w:val="24"/>
                <w:lang w:val="en-GB"/>
              </w:rPr>
              <w:t xml:space="preserve"> J:</w:t>
            </w:r>
          </w:p>
          <w:p w14:paraId="4A0A3ABE" w14:textId="77777777" w:rsidR="009804AC" w:rsidRDefault="009804AC" w:rsidP="00DD3AA1">
            <w:pPr>
              <w:spacing w:after="0" w:line="360" w:lineRule="auto"/>
              <w:jc w:val="both"/>
              <w:rPr>
                <w:rFonts w:ascii="Arial" w:hAnsi="Arial" w:cs="Arial"/>
                <w:sz w:val="24"/>
                <w:szCs w:val="24"/>
                <w:u w:val="single"/>
                <w:shd w:val="clear" w:color="auto" w:fill="FFFFFF"/>
                <w:lang w:val="en-GB"/>
              </w:rPr>
            </w:pPr>
          </w:p>
          <w:p w14:paraId="78A2E21F" w14:textId="5AC7083E" w:rsidR="00A11E60" w:rsidRDefault="00A11E60" w:rsidP="00A11E60">
            <w:pPr>
              <w:pStyle w:val="Heading1"/>
            </w:pPr>
            <w:r>
              <w:t>The plaintif</w:t>
            </w:r>
            <w:r w:rsidR="00CC42BD">
              <w:t>f is Henties Bay Estates CC, a C</w:t>
            </w:r>
            <w:r>
              <w:t>lose Corporation duly registered in terms of the applicable legislation in the Republic of Namibia, having its main place of business at Erf 2033 Jakkalsputz Road, Henties Bay, Republic of Namibia.</w:t>
            </w:r>
          </w:p>
          <w:p w14:paraId="1BC9B520" w14:textId="77777777" w:rsidR="00A11E60" w:rsidRPr="00203CDF" w:rsidRDefault="00A11E60" w:rsidP="00A11E60"/>
          <w:p w14:paraId="24365BD4" w14:textId="01E0C2AF" w:rsidR="00A11E60" w:rsidRDefault="00A11E60" w:rsidP="00A11E60">
            <w:pPr>
              <w:pStyle w:val="Heading1"/>
            </w:pPr>
            <w:r>
              <w:t xml:space="preserve">The first defendant is Jannie Gerber, an adult male businessman. During litigation, the first defendant sadly passed away </w:t>
            </w:r>
            <w:r w:rsidR="00135D35">
              <w:t xml:space="preserve">on 8 July 2019, </w:t>
            </w:r>
            <w:r>
              <w:t xml:space="preserve">and the second defendant </w:t>
            </w:r>
            <w:r w:rsidR="00CC42BD">
              <w:t xml:space="preserve">(Magdalena Kuhn N.O) </w:t>
            </w:r>
            <w:r>
              <w:t>was joined as executor to the estate of the first defendant.</w:t>
            </w:r>
          </w:p>
          <w:p w14:paraId="546D8744" w14:textId="77777777" w:rsidR="00A11E60" w:rsidRPr="00003613" w:rsidRDefault="00A11E60" w:rsidP="00A11E60"/>
          <w:p w14:paraId="2A2FC145" w14:textId="4E9D0BD7" w:rsidR="00135D35" w:rsidRPr="00135D35" w:rsidRDefault="00D86C64" w:rsidP="006B3041">
            <w:pPr>
              <w:pStyle w:val="Heading1"/>
            </w:pPr>
            <w:r>
              <w:t>The plaintiff</w:t>
            </w:r>
            <w:r w:rsidR="006B3041">
              <w:t xml:space="preserve"> instituted action initially against the first defendant in April 2018.  </w:t>
            </w:r>
            <w:r w:rsidR="005A655B">
              <w:t>Its</w:t>
            </w:r>
            <w:r>
              <w:t xml:space="preserve"> claim against the </w:t>
            </w:r>
            <w:r w:rsidR="006B3041">
              <w:t xml:space="preserve">first </w:t>
            </w:r>
            <w:r>
              <w:t xml:space="preserve">defendant is based on the return of certain goods alleged to be in </w:t>
            </w:r>
            <w:r w:rsidR="00484AC5">
              <w:t>his</w:t>
            </w:r>
            <w:r>
              <w:t xml:space="preserve"> possession, alternatively, and if no longer in</w:t>
            </w:r>
            <w:r w:rsidR="006B3041">
              <w:t xml:space="preserve"> his</w:t>
            </w:r>
            <w:r>
              <w:t xml:space="preserve"> possession, that the </w:t>
            </w:r>
            <w:r w:rsidR="00484AC5">
              <w:t xml:space="preserve">first </w:t>
            </w:r>
            <w:r>
              <w:t xml:space="preserve">defendant disposed of the goods whilst </w:t>
            </w:r>
            <w:r w:rsidR="005A655B">
              <w:t>knowledgeable</w:t>
            </w:r>
            <w:r>
              <w:t xml:space="preserve"> of the plaintiff’s ownership. In the further alternative, the plaintiff alleges the conclusion of an oral agreement between the parties</w:t>
            </w:r>
            <w:r w:rsidR="00303BE5">
              <w:t xml:space="preserve"> </w:t>
            </w:r>
            <w:r w:rsidR="006B3041">
              <w:t xml:space="preserve">during March 2017, </w:t>
            </w:r>
            <w:r w:rsidR="00303BE5">
              <w:t xml:space="preserve">in terms of which the </w:t>
            </w:r>
            <w:r w:rsidR="00484AC5">
              <w:t xml:space="preserve">first </w:t>
            </w:r>
            <w:r w:rsidR="00303BE5">
              <w:t>defendant purchased from China and cleared the abovementioned goods as the plaintiff’s agent</w:t>
            </w:r>
            <w:r w:rsidR="006B3041">
              <w:t xml:space="preserve">. The </w:t>
            </w:r>
            <w:r w:rsidR="00484AC5">
              <w:t xml:space="preserve">first </w:t>
            </w:r>
            <w:r w:rsidR="006B3041">
              <w:t>defendant fails, despite demand, to deliver the goods, w</w:t>
            </w:r>
            <w:r w:rsidR="00303BE5">
              <w:t>hich included 144 boxes of mosai</w:t>
            </w:r>
            <w:r w:rsidR="006B3041">
              <w:t>c</w:t>
            </w:r>
            <w:r w:rsidR="00303BE5">
              <w:t xml:space="preserve"> tile</w:t>
            </w:r>
            <w:r w:rsidR="006B3041">
              <w:t xml:space="preserve">s. </w:t>
            </w:r>
          </w:p>
          <w:p w14:paraId="3F0AB722" w14:textId="77777777" w:rsidR="00A11E60" w:rsidRPr="00003613" w:rsidRDefault="00A11E60" w:rsidP="00A11E60"/>
          <w:p w14:paraId="19206075" w14:textId="14A36DC0" w:rsidR="00A11E60" w:rsidRDefault="006B3041" w:rsidP="00A11E60">
            <w:pPr>
              <w:pStyle w:val="Heading1"/>
            </w:pPr>
            <w:r>
              <w:t>The</w:t>
            </w:r>
            <w:r w:rsidR="00A11E60">
              <w:t xml:space="preserve"> </w:t>
            </w:r>
            <w:r w:rsidR="00484AC5">
              <w:t xml:space="preserve">first </w:t>
            </w:r>
            <w:r w:rsidR="00A11E60">
              <w:t>defendant defended the action on 6 June 2018. It is common cause between the parties that when the first defendant filed his plea, he delivered at least three counterclaims.</w:t>
            </w:r>
          </w:p>
          <w:p w14:paraId="0A211876" w14:textId="77777777" w:rsidR="00A11E60" w:rsidRPr="00003613" w:rsidRDefault="00A11E60" w:rsidP="00A11E60"/>
          <w:p w14:paraId="32B423EF" w14:textId="0AEA60EF" w:rsidR="00A11E60" w:rsidRDefault="00484AC5" w:rsidP="00A11E60">
            <w:pPr>
              <w:pStyle w:val="Heading1"/>
            </w:pPr>
            <w:r>
              <w:t>During the case management of the matter, and</w:t>
            </w:r>
            <w:r w:rsidR="005A655B">
              <w:t xml:space="preserve"> </w:t>
            </w:r>
            <w:r w:rsidR="00A11E60">
              <w:t xml:space="preserve">on 16 July 2020, the second defendant tendered the delivery of the tiles and a contribution of N$20 000 </w:t>
            </w:r>
            <w:r>
              <w:t>to</w:t>
            </w:r>
            <w:r w:rsidR="00A11E60">
              <w:t xml:space="preserve"> the plaintiff’s legal costs</w:t>
            </w:r>
            <w:r>
              <w:t>.</w:t>
            </w:r>
            <w:r w:rsidR="00A11E60">
              <w:t xml:space="preserve"> The plaintiff rejected the tender as it fell short of its claim, and costs incurred until that date.</w:t>
            </w:r>
          </w:p>
          <w:p w14:paraId="43D36316" w14:textId="77777777" w:rsidR="00A11E60" w:rsidRPr="00003613" w:rsidRDefault="00A11E60" w:rsidP="00A11E60"/>
          <w:p w14:paraId="1F8D25FA" w14:textId="4E6A9DD0" w:rsidR="00A11E60" w:rsidRDefault="00A11E60" w:rsidP="00A11E60">
            <w:pPr>
              <w:pStyle w:val="Heading1"/>
            </w:pPr>
            <w:r>
              <w:t xml:space="preserve">On 23 August 2021, the second defendant once more relayed the same tender. </w:t>
            </w:r>
            <w:r w:rsidR="00484AC5">
              <w:t xml:space="preserve">Which was similarly rejected by the plaintiff. </w:t>
            </w:r>
            <w:r>
              <w:t>On 9 June 2022, the second defendant tendered delivery of the tiles and taxed costs until 23 August 2021.</w:t>
            </w:r>
          </w:p>
          <w:p w14:paraId="04F69947" w14:textId="77777777" w:rsidR="00A11E60" w:rsidRPr="00163EA6" w:rsidRDefault="00A11E60" w:rsidP="00A11E60"/>
          <w:p w14:paraId="0362E7C7" w14:textId="77777777" w:rsidR="00A11E60" w:rsidRPr="00003613" w:rsidRDefault="00A11E60" w:rsidP="00A11E60">
            <w:pPr>
              <w:pStyle w:val="Heading1"/>
            </w:pPr>
            <w:r>
              <w:t xml:space="preserve">The crux of the </w:t>
            </w:r>
            <w:r w:rsidRPr="00163EA6">
              <w:rPr>
                <w:i/>
              </w:rPr>
              <w:t>lis</w:t>
            </w:r>
            <w:r>
              <w:t xml:space="preserve"> between the parties is thus, whether the plaintiff is entitled to its costs after 23 August 2021.</w:t>
            </w:r>
          </w:p>
          <w:p w14:paraId="04626C80" w14:textId="77777777" w:rsidR="00A11E60" w:rsidRPr="00260E2B" w:rsidRDefault="00A11E60" w:rsidP="00A11E60"/>
          <w:p w14:paraId="4EE92E9C" w14:textId="77777777" w:rsidR="00A11E60" w:rsidRDefault="00A11E60" w:rsidP="00A11E60">
            <w:pPr>
              <w:pStyle w:val="Heading1"/>
            </w:pPr>
            <w:r>
              <w:rPr>
                <w:lang w:val="en-US"/>
              </w:rPr>
              <w:t>T</w:t>
            </w:r>
            <w:r>
              <w:t xml:space="preserve">he purpose of an award of costs to a successful litigant is </w:t>
            </w:r>
            <w:r w:rsidRPr="006E3011">
              <w:t>inter alia</w:t>
            </w:r>
            <w:r>
              <w:t>, to indemnify that litigant for the actual expense to which he or she has been put through in having been unjustly compelled to initiate or defend litigation.</w:t>
            </w:r>
            <w:r>
              <w:rPr>
                <w:rStyle w:val="FootnoteReference"/>
              </w:rPr>
              <w:footnoteReference w:id="1"/>
            </w:r>
            <w:r>
              <w:t xml:space="preserve"> The basic rule is that subject to express enactments to the contrary, all costs are in the discretion of the court. Even the general rule, namely that costs follow the event, is subject to this overriding principle. This discretion must be exercised judicially upon a consideration of the facts of each case. In essence it is a matter of fairness to both sides, and ‘judicially’ means ‘not arbitrarily’.</w:t>
            </w:r>
            <w:r>
              <w:rPr>
                <w:rStyle w:val="FootnoteReference"/>
              </w:rPr>
              <w:footnoteReference w:id="2"/>
            </w:r>
            <w:r>
              <w:t xml:space="preserve"> </w:t>
            </w:r>
          </w:p>
          <w:p w14:paraId="62ADF4C8" w14:textId="77777777" w:rsidR="00A11E60" w:rsidRPr="006E3011" w:rsidRDefault="00A11E60" w:rsidP="00A11E60">
            <w:pPr>
              <w:rPr>
                <w:lang w:val="en-US"/>
              </w:rPr>
            </w:pPr>
          </w:p>
          <w:p w14:paraId="46947BE4" w14:textId="77777777" w:rsidR="00A11E60" w:rsidRDefault="00A11E60" w:rsidP="00A11E60">
            <w:pPr>
              <w:pStyle w:val="Heading1"/>
            </w:pPr>
            <w:r>
              <w:t xml:space="preserve">In </w:t>
            </w:r>
            <w:r w:rsidRPr="0096058F">
              <w:rPr>
                <w:i/>
              </w:rPr>
              <w:t>Ongombe Farmers Association v Tjiuro and Others</w:t>
            </w:r>
            <w:r>
              <w:t>,</w:t>
            </w:r>
            <w:r>
              <w:rPr>
                <w:rStyle w:val="FootnoteReference"/>
              </w:rPr>
              <w:footnoteReference w:id="3"/>
            </w:r>
            <w:r>
              <w:t xml:space="preserve"> Heathcote AJ held that:</w:t>
            </w:r>
          </w:p>
          <w:p w14:paraId="4961AE7F" w14:textId="77777777" w:rsidR="00A11E60" w:rsidRPr="0096058F" w:rsidRDefault="00A11E60" w:rsidP="00A11E60"/>
          <w:p w14:paraId="437021B7" w14:textId="77777777" w:rsidR="00A11E60" w:rsidRPr="00A11E60" w:rsidRDefault="00A11E60" w:rsidP="00A11E60">
            <w:pPr>
              <w:spacing w:line="360" w:lineRule="auto"/>
              <w:jc w:val="both"/>
              <w:rPr>
                <w:rFonts w:ascii="Arial" w:hAnsi="Arial" w:cs="Arial"/>
              </w:rPr>
            </w:pPr>
            <w:r>
              <w:tab/>
            </w:r>
            <w:r w:rsidRPr="00A11E60">
              <w:rPr>
                <w:rFonts w:ascii="Arial" w:hAnsi="Arial" w:cs="Arial"/>
              </w:rPr>
              <w:t xml:space="preserve">‘Where all the factual and legal issues have not been determined, but the parties nevertheless want the court to determine the issue of costs, the court does so by exercising discretion. It will suffice to refer to </w:t>
            </w:r>
            <w:r w:rsidRPr="00A11E60">
              <w:rPr>
                <w:rFonts w:ascii="Arial" w:hAnsi="Arial" w:cs="Arial"/>
                <w:i/>
              </w:rPr>
              <w:t>Channel Life Namibia Limited v Finance in Education (Pty) Ltd</w:t>
            </w:r>
            <w:r w:rsidRPr="00A11E60">
              <w:rPr>
                <w:rFonts w:ascii="Arial" w:hAnsi="Arial" w:cs="Arial"/>
              </w:rPr>
              <w:t xml:space="preserve"> 2004 NR 125 (HC) where Damaseb J (as he then was) discussed the relevant case law where a court must determine costs without the merits having been decided. In essence, he made two pertinent points: firstly, there can be no hard and fast rule that a court must never determine the merits to decide the costs. Sometimes it may be necessary to do so, and on other occasions, not; secondly, a factor which should be taken into consideration is that all parties should, as soon as possible, take steps to curtail costs.’</w:t>
            </w:r>
            <w:r w:rsidRPr="00A11E60">
              <w:rPr>
                <w:rStyle w:val="FootnoteReference"/>
                <w:rFonts w:ascii="Arial" w:hAnsi="Arial" w:cs="Arial"/>
              </w:rPr>
              <w:footnoteReference w:id="4"/>
            </w:r>
          </w:p>
          <w:p w14:paraId="3FCA52AE" w14:textId="77777777" w:rsidR="00A11E60" w:rsidRDefault="00A11E60" w:rsidP="00A11E60"/>
          <w:p w14:paraId="4FD2B7F3" w14:textId="77777777" w:rsidR="00A11E60" w:rsidRDefault="00A11E60" w:rsidP="00A11E60">
            <w:pPr>
              <w:pStyle w:val="Heading1"/>
            </w:pPr>
            <w:r w:rsidRPr="009E5BF3">
              <w:lastRenderedPageBreak/>
              <w:t>In</w:t>
            </w:r>
            <w:r>
              <w:rPr>
                <w:i/>
              </w:rPr>
              <w:t xml:space="preserve"> </w:t>
            </w:r>
            <w:r w:rsidRPr="005E5496">
              <w:rPr>
                <w:i/>
              </w:rPr>
              <w:t>Germishuys v Douglas Besproeiingsraad</w:t>
            </w:r>
            <w:r w:rsidRPr="005E5496">
              <w:t>,</w:t>
            </w:r>
            <w:r w:rsidRPr="005E5496">
              <w:rPr>
                <w:vertAlign w:val="superscript"/>
              </w:rPr>
              <w:footnoteReference w:id="5"/>
            </w:r>
            <w:r w:rsidRPr="005E5496">
              <w:t xml:space="preserve"> the court held:</w:t>
            </w:r>
          </w:p>
          <w:p w14:paraId="61E7BDD7" w14:textId="77777777" w:rsidR="00A11E60" w:rsidRDefault="00A11E60" w:rsidP="00A11E60">
            <w:pPr>
              <w:pStyle w:val="Heading1"/>
              <w:numPr>
                <w:ilvl w:val="0"/>
                <w:numId w:val="0"/>
              </w:numPr>
            </w:pPr>
          </w:p>
          <w:p w14:paraId="126AD5C6" w14:textId="77777777" w:rsidR="00A11E60" w:rsidRPr="005E5496" w:rsidRDefault="00A11E60" w:rsidP="00A11E60">
            <w:pPr>
              <w:pStyle w:val="Heading1"/>
              <w:numPr>
                <w:ilvl w:val="0"/>
                <w:numId w:val="0"/>
              </w:numPr>
              <w:ind w:firstLine="720"/>
              <w:rPr>
                <w:sz w:val="22"/>
              </w:rPr>
            </w:pPr>
            <w:r w:rsidRPr="005E5496">
              <w:rPr>
                <w:sz w:val="22"/>
              </w:rPr>
              <w:t xml:space="preserve">‘…Where a litigant withdraws an action or in effect withdraws it, very sound reasons must exist why a defendant or respondent should not be entitled to his costs. The plaintiff or applicant who withdraws his action or application is in the same position </w:t>
            </w:r>
            <w:r w:rsidRPr="009E5BF3">
              <w:rPr>
                <w:sz w:val="22"/>
                <w:u w:val="single"/>
              </w:rPr>
              <w:t>as an unsuccessful litigant</w:t>
            </w:r>
            <w:r w:rsidRPr="005E5496">
              <w:rPr>
                <w:sz w:val="22"/>
              </w:rPr>
              <w:t xml:space="preserve"> because, after all, his claim or application is futile and the defendant, or respondent, is entitled to all costs associated with the withdrawing plaintiff's or applicant's instit</w:t>
            </w:r>
            <w:r>
              <w:rPr>
                <w:sz w:val="22"/>
              </w:rPr>
              <w:t xml:space="preserve">ution of proceedings…’ </w:t>
            </w:r>
            <w:r w:rsidRPr="009E5BF3">
              <w:t>(Emphasis supplied).</w:t>
            </w:r>
          </w:p>
          <w:p w14:paraId="2797B94A" w14:textId="77777777" w:rsidR="00A11E60" w:rsidRPr="005E5496" w:rsidRDefault="00A11E60" w:rsidP="00A11E60">
            <w:pPr>
              <w:rPr>
                <w:lang w:val="en-US"/>
              </w:rPr>
            </w:pPr>
          </w:p>
          <w:p w14:paraId="02AC13BE" w14:textId="26996A20" w:rsidR="00A11E60" w:rsidRDefault="00A11E60" w:rsidP="00A11E60">
            <w:pPr>
              <w:pStyle w:val="Heading1"/>
            </w:pPr>
            <w:r>
              <w:t>The defendants in para 12.1</w:t>
            </w:r>
            <w:r w:rsidR="00484AC5">
              <w:t xml:space="preserve"> and 14 </w:t>
            </w:r>
            <w:r>
              <w:t xml:space="preserve"> of their heads of argument accept</w:t>
            </w:r>
            <w:r w:rsidR="00CC42BD">
              <w:t xml:space="preserve"> that</w:t>
            </w:r>
            <w:r>
              <w:t xml:space="preserve"> they were the unsuccessful party in the litigation, but dig in their heels as to the costs tender of 23 August 2021, and </w:t>
            </w:r>
            <w:r w:rsidR="00484AC5">
              <w:t xml:space="preserve">submit </w:t>
            </w:r>
            <w:r>
              <w:t>further that the plaintiff’s action became a profit-making exercise after such date.</w:t>
            </w:r>
          </w:p>
          <w:p w14:paraId="1E7E1AEB" w14:textId="77777777" w:rsidR="00A11E60" w:rsidRPr="005E5496" w:rsidRDefault="00A11E60" w:rsidP="00A11E60"/>
          <w:p w14:paraId="66DB7A5E" w14:textId="31AADDD7" w:rsidR="00A11E60" w:rsidRDefault="00A11E60" w:rsidP="00A11E60">
            <w:pPr>
              <w:pStyle w:val="Heading1"/>
            </w:pPr>
            <w:r>
              <w:t>The argument by the defendants must be rejected out of hand. On the authorities, it is clear the purpose of a cost order is to indemnify the successful litigant for costs incurred. The argument by the defendants that the tender of costs as of 23 August 2021, which amounted to the tender for the delivery of tiles including N$20 000 for costs</w:t>
            </w:r>
            <w:r w:rsidR="00484AC5">
              <w:t xml:space="preserve"> was sufficient to compensate the plaintiff in costs</w:t>
            </w:r>
            <w:r>
              <w:t xml:space="preserve">, is </w:t>
            </w:r>
            <w:r w:rsidR="00484AC5">
              <w:t>without merit.</w:t>
            </w:r>
          </w:p>
          <w:p w14:paraId="0CF2668E" w14:textId="77777777" w:rsidR="00A11E60" w:rsidRPr="00003613" w:rsidRDefault="00A11E60" w:rsidP="00A11E60"/>
          <w:p w14:paraId="4A551978" w14:textId="030D4824" w:rsidR="00A11E60" w:rsidRDefault="00A11E60" w:rsidP="00A11E60">
            <w:pPr>
              <w:pStyle w:val="Heading1"/>
            </w:pPr>
            <w:r>
              <w:t>I say so, keeping in mind, it is not in dispute between the parties that since 23 August 2021, the parties were not in agreement as to costs. The action of the plaintiff was instituted during 2018, and opposed by the first defendant during the same year. The parties litigated the matter to the extent that the first defendant filed a counterclaim, and witness statements, which statements never addressed</w:t>
            </w:r>
            <w:r w:rsidR="00484AC5">
              <w:t xml:space="preserve"> in any way or form, </w:t>
            </w:r>
            <w:r>
              <w:t>the counterclaims</w:t>
            </w:r>
            <w:r w:rsidR="00484AC5">
              <w:t xml:space="preserve"> instituted against the plaintiff</w:t>
            </w:r>
            <w:r>
              <w:t>.</w:t>
            </w:r>
          </w:p>
          <w:p w14:paraId="3DBF002A" w14:textId="77777777" w:rsidR="00A11E60" w:rsidRPr="00C75D3B" w:rsidRDefault="00A11E60" w:rsidP="00A11E60"/>
          <w:p w14:paraId="6376107D" w14:textId="17BEC8FB" w:rsidR="00A11E60" w:rsidRDefault="00A11E60" w:rsidP="00A11E60">
            <w:pPr>
              <w:pStyle w:val="Heading1"/>
            </w:pPr>
            <w:r>
              <w:t>It follows as a result,</w:t>
            </w:r>
            <w:r w:rsidR="00484AC5">
              <w:t xml:space="preserve"> that</w:t>
            </w:r>
            <w:r>
              <w:t xml:space="preserve"> if the first defendant by the date of tender abandoned his counterclaims, and tendered delivery and costs, the plaintiff was out of pocket for costs until at least such date. The plaintiff must thus be reimbursed for all costs associated with the institution of its action, opposition to the counterclaims, and </w:t>
            </w:r>
            <w:r>
              <w:lastRenderedPageBreak/>
              <w:t>withdrawal of the defendant’s counterclaims until such date, and which costs certainly do not amount to N$20 000.</w:t>
            </w:r>
            <w:r>
              <w:rPr>
                <w:rStyle w:val="FootnoteReference"/>
              </w:rPr>
              <w:footnoteReference w:id="6"/>
            </w:r>
          </w:p>
          <w:p w14:paraId="43638552" w14:textId="77777777" w:rsidR="00A11E60" w:rsidRPr="00C75D3B" w:rsidRDefault="00A11E60" w:rsidP="00A11E60"/>
          <w:p w14:paraId="5BFE6292" w14:textId="6725D95C" w:rsidR="00A11E60" w:rsidRDefault="00A11E60" w:rsidP="00A11E60">
            <w:pPr>
              <w:pStyle w:val="Heading1"/>
            </w:pPr>
            <w:r>
              <w:t xml:space="preserve">The only further question the court thus has to determine, accepting </w:t>
            </w:r>
            <w:r w:rsidR="007130B4">
              <w:t xml:space="preserve">that </w:t>
            </w:r>
            <w:r>
              <w:t>the tender until 23 August 2021 is unreasonable, is whether the plaintiff is entitled to further costs after such date.</w:t>
            </w:r>
          </w:p>
          <w:p w14:paraId="49185554" w14:textId="77777777" w:rsidR="00A11E60" w:rsidRPr="00003613" w:rsidRDefault="00A11E60" w:rsidP="00A11E60"/>
          <w:p w14:paraId="458E4CA2" w14:textId="66890A18" w:rsidR="00A11E60" w:rsidRDefault="00A11E60" w:rsidP="00A11E60">
            <w:pPr>
              <w:pStyle w:val="Heading1"/>
            </w:pPr>
            <w:r>
              <w:t xml:space="preserve">What is evident from the record, with reference to the parties’ joint status report of 15 October 2021, </w:t>
            </w:r>
            <w:r w:rsidR="007130B4">
              <w:t xml:space="preserve">and </w:t>
            </w:r>
            <w:r>
              <w:t>after the plaintiff rejected the offer of the defendants</w:t>
            </w:r>
            <w:r w:rsidR="007130B4">
              <w:t>;</w:t>
            </w:r>
            <w:r>
              <w:t xml:space="preserve"> </w:t>
            </w:r>
            <w:r w:rsidR="00CC42BD">
              <w:t xml:space="preserve">is that </w:t>
            </w:r>
            <w:r>
              <w:t>both parties remained actively engaged in litigating this matter. In their status report the parties canvass</w:t>
            </w:r>
            <w:r w:rsidR="007130B4">
              <w:t>ed</w:t>
            </w:r>
            <w:r>
              <w:t xml:space="preserve"> the issues of further discovery and filing of witness statements. The plaintiff as a result filed a discovery affidavit on 13 October 2021, and the defendants on 29 November 2021. </w:t>
            </w:r>
          </w:p>
          <w:p w14:paraId="7F1EC9E0" w14:textId="77777777" w:rsidR="00A11E60" w:rsidRPr="00003613" w:rsidRDefault="00A11E60" w:rsidP="00A11E60"/>
          <w:p w14:paraId="5B338D36" w14:textId="4AC15A38" w:rsidR="00A11E60" w:rsidRDefault="00A11E60" w:rsidP="00A11E60">
            <w:pPr>
              <w:pStyle w:val="Heading1"/>
            </w:pPr>
            <w:r>
              <w:t xml:space="preserve">The parties further engaged in settlement negotiations, and on 29 July 2022, the </w:t>
            </w:r>
            <w:r w:rsidR="007130B4">
              <w:t xml:space="preserve">second </w:t>
            </w:r>
            <w:r>
              <w:t xml:space="preserve">defendant increased the costs tender to N$150 000. The plaintiff then in August 2022 sought a postponement to consider a draft bill of costs in anticipation of accepting the offer. On 7 August 2022, the </w:t>
            </w:r>
            <w:r w:rsidR="007130B4">
              <w:t>second defendant</w:t>
            </w:r>
            <w:r>
              <w:t xml:space="preserve"> failed to appear in court, and the matter was postponed for sanctions hearing and allocation of hearing </w:t>
            </w:r>
            <w:r w:rsidRPr="0078709B">
              <w:t>dates</w:t>
            </w:r>
            <w:r>
              <w:t xml:space="preserve">. </w:t>
            </w:r>
            <w:r w:rsidRPr="0078709B">
              <w:t>On</w:t>
            </w:r>
            <w:r>
              <w:t xml:space="preserve"> 7 September 2022, the court accepted the explanation of the </w:t>
            </w:r>
            <w:r w:rsidR="005A655B">
              <w:t>second defendant</w:t>
            </w:r>
            <w:r w:rsidR="007130B4">
              <w:t xml:space="preserve"> for the failure to appear</w:t>
            </w:r>
            <w:r>
              <w:t xml:space="preserve">, and once more postponed the matter for allocation of trial dates </w:t>
            </w:r>
            <w:r w:rsidR="007130B4">
              <w:t>to</w:t>
            </w:r>
            <w:r>
              <w:t xml:space="preserve"> 2 November 2022. </w:t>
            </w:r>
          </w:p>
          <w:p w14:paraId="63BD2DC0" w14:textId="77777777" w:rsidR="00A11E60" w:rsidRPr="00003613" w:rsidRDefault="00A11E60" w:rsidP="00A11E60"/>
          <w:p w14:paraId="6B91167C" w14:textId="38508557" w:rsidR="00A11E60" w:rsidRDefault="00256433" w:rsidP="00A11E60">
            <w:pPr>
              <w:pStyle w:val="Heading1"/>
            </w:pPr>
            <w:r>
              <w:t xml:space="preserve">The matter was </w:t>
            </w:r>
            <w:r w:rsidR="00A11E60">
              <w:t>again postponed to 18 January 2023 for allocation of trial dates, when the matter was set down for trial during the week of 12 – 16 June 2023.</w:t>
            </w:r>
          </w:p>
          <w:p w14:paraId="381876ED" w14:textId="77777777" w:rsidR="00A11E60" w:rsidRPr="00003613" w:rsidRDefault="00A11E60" w:rsidP="00A11E60"/>
          <w:p w14:paraId="1D9740E2" w14:textId="77777777" w:rsidR="00A11E60" w:rsidRDefault="00A11E60" w:rsidP="00A11E60">
            <w:pPr>
              <w:pStyle w:val="Heading1"/>
            </w:pPr>
            <w:r>
              <w:t>When the parties appeared before me on 12 June 2023, the defendants filed their heads of argument on the same date, and the matter was postponed for the plaintiff to file its heads of argument, and for the parties to address the court on costs, which they did on 17 July 2023.</w:t>
            </w:r>
          </w:p>
          <w:p w14:paraId="4EA0EF53" w14:textId="77777777" w:rsidR="00A11E60" w:rsidRPr="00003613" w:rsidRDefault="00A11E60" w:rsidP="00A11E60"/>
          <w:p w14:paraId="117194AC" w14:textId="32551B9A" w:rsidR="00A11E60" w:rsidRDefault="00A11E60" w:rsidP="005A655B">
            <w:pPr>
              <w:pStyle w:val="Heading1"/>
            </w:pPr>
            <w:r>
              <w:t xml:space="preserve">What is </w:t>
            </w:r>
            <w:r w:rsidR="007130B4">
              <w:t>peculiar to me</w:t>
            </w:r>
            <w:r w:rsidR="00CC42BD">
              <w:t>,</w:t>
            </w:r>
            <w:r w:rsidR="007130B4">
              <w:t xml:space="preserve"> is the events subsequent to the tender of N$150 000 on </w:t>
            </w:r>
            <w:r w:rsidR="007130B4">
              <w:lastRenderedPageBreak/>
              <w:t>29 July 2022. Nothing appears to have happened between the parties.</w:t>
            </w:r>
            <w:r>
              <w:t xml:space="preserve"> It must thus be accepted that the tender fell by the wayside, </w:t>
            </w:r>
            <w:r w:rsidR="007130B4">
              <w:t xml:space="preserve">as it were, </w:t>
            </w:r>
            <w:r>
              <w:t>as the partie</w:t>
            </w:r>
            <w:r w:rsidR="005A655B">
              <w:t>s could not reach a compromise.</w:t>
            </w:r>
          </w:p>
          <w:p w14:paraId="3A3A9F56" w14:textId="77777777" w:rsidR="005A655B" w:rsidRPr="005A655B" w:rsidRDefault="005A655B" w:rsidP="005A655B"/>
          <w:p w14:paraId="4D6153FD" w14:textId="0610B778" w:rsidR="00A11E60" w:rsidRDefault="00A11E60" w:rsidP="00A11E60">
            <w:pPr>
              <w:pStyle w:val="Heading1"/>
            </w:pPr>
            <w:r>
              <w:t xml:space="preserve">Having considered the conspectus of this matter, </w:t>
            </w:r>
            <w:r w:rsidR="007130B4">
              <w:t xml:space="preserve">that at the very least, </w:t>
            </w:r>
            <w:r>
              <w:t>it was incumbent on the parties to consider and pursue the defendants’ costs tender of 29 July 2022, and whether such tender was reasonable in the circumstances. Neither party persisted in the prosecution of this tender, nor is</w:t>
            </w:r>
            <w:r w:rsidR="00CC42BD">
              <w:t xml:space="preserve"> there</w:t>
            </w:r>
            <w:r>
              <w:t xml:space="preserve"> an explanation proffered as to why.</w:t>
            </w:r>
          </w:p>
          <w:p w14:paraId="34E1BD05" w14:textId="77777777" w:rsidR="00A11E60" w:rsidRPr="009E5BF3" w:rsidRDefault="00A11E60" w:rsidP="00A11E60"/>
          <w:p w14:paraId="531D3505" w14:textId="279C2736" w:rsidR="00A11E60" w:rsidRDefault="00A11E60" w:rsidP="00A11E60">
            <w:pPr>
              <w:pStyle w:val="Heading1"/>
            </w:pPr>
            <w:r>
              <w:t xml:space="preserve">I thus find it reasonable in the circumstances to conclude, had the parties seriously considered the tender of 29 July </w:t>
            </w:r>
            <w:r w:rsidR="005A655B">
              <w:t>2022 that</w:t>
            </w:r>
            <w:r>
              <w:t xml:space="preserve"> may well and </w:t>
            </w:r>
            <w:r w:rsidR="00256433">
              <w:t>truly</w:t>
            </w:r>
            <w:r>
              <w:t xml:space="preserve"> have been the end of the matter. The absence of such consideration and address by the parties on why it was not done, does not place this court in a position to consider whether the tender may have been sufficient to reimburse the plaintiff or not.</w:t>
            </w:r>
          </w:p>
          <w:p w14:paraId="2287D03E" w14:textId="77777777" w:rsidR="00A11E60" w:rsidRPr="009E5BF3" w:rsidRDefault="00A11E60" w:rsidP="00A11E60"/>
          <w:p w14:paraId="4A09C3FA" w14:textId="7C5A8F20" w:rsidR="00A11E60" w:rsidRDefault="00AE774B" w:rsidP="005A655B">
            <w:pPr>
              <w:pStyle w:val="Heading1"/>
            </w:pPr>
            <w:r>
              <w:t xml:space="preserve">Therefore, and in light of the above circumstances, </w:t>
            </w:r>
            <w:r w:rsidR="00A11E60">
              <w:t xml:space="preserve">I exercise my discretion </w:t>
            </w:r>
            <w:r w:rsidR="00256433">
              <w:t>and find</w:t>
            </w:r>
            <w:r>
              <w:t xml:space="preserve"> that</w:t>
            </w:r>
            <w:r w:rsidR="00256433">
              <w:t xml:space="preserve"> the plaintiff </w:t>
            </w:r>
            <w:r w:rsidR="00A11E60">
              <w:t xml:space="preserve">does not stand to incur any further costs after the date of </w:t>
            </w:r>
            <w:r>
              <w:t xml:space="preserve">the tender of 29 July 2022, </w:t>
            </w:r>
            <w:r w:rsidR="00A11E60">
              <w:t xml:space="preserve">, and the </w:t>
            </w:r>
            <w:r>
              <w:t xml:space="preserve">second </w:t>
            </w:r>
            <w:r w:rsidR="00A11E60">
              <w:t>defendant do</w:t>
            </w:r>
            <w:r>
              <w:t>es</w:t>
            </w:r>
            <w:r w:rsidR="00A11E60">
              <w:t xml:space="preserve"> not stand to be further out of pocket after such date. </w:t>
            </w:r>
          </w:p>
          <w:p w14:paraId="75FF6627" w14:textId="77777777" w:rsidR="005A655B" w:rsidRPr="005A655B" w:rsidRDefault="005A655B" w:rsidP="005A655B"/>
          <w:p w14:paraId="73B034B2" w14:textId="77777777" w:rsidR="00A11E60" w:rsidRPr="00B203D2" w:rsidRDefault="00A11E60" w:rsidP="00A11E60">
            <w:pPr>
              <w:pStyle w:val="Heading1"/>
              <w:rPr>
                <w:lang w:val="en-GB"/>
              </w:rPr>
            </w:pPr>
            <w:r w:rsidRPr="00B203D2">
              <w:rPr>
                <w:lang w:val="en-GB"/>
              </w:rPr>
              <w:t>In the result, I make the following order:</w:t>
            </w:r>
          </w:p>
          <w:p w14:paraId="49E27990" w14:textId="77777777" w:rsidR="00A11E60" w:rsidRDefault="00A11E60" w:rsidP="00A11E60">
            <w:pPr>
              <w:pStyle w:val="ListParagraph"/>
              <w:tabs>
                <w:tab w:val="left" w:pos="0"/>
                <w:tab w:val="left" w:pos="567"/>
              </w:tabs>
              <w:ind w:left="0"/>
              <w:rPr>
                <w:lang w:val="en-GB"/>
              </w:rPr>
            </w:pPr>
          </w:p>
          <w:p w14:paraId="7855D8EA" w14:textId="77777777" w:rsidR="005A655B" w:rsidRDefault="005A655B" w:rsidP="005A655B">
            <w:pPr>
              <w:pStyle w:val="NoSpacing"/>
              <w:numPr>
                <w:ilvl w:val="0"/>
                <w:numId w:val="45"/>
              </w:numPr>
              <w:spacing w:line="360" w:lineRule="auto"/>
              <w:jc w:val="both"/>
              <w:rPr>
                <w:rFonts w:ascii="Arial" w:hAnsi="Arial" w:cs="Arial"/>
                <w:sz w:val="24"/>
                <w:lang w:val="en-GB"/>
              </w:rPr>
            </w:pPr>
            <w:r w:rsidRPr="005A655B">
              <w:rPr>
                <w:rFonts w:ascii="Arial" w:hAnsi="Arial" w:cs="Arial"/>
                <w:sz w:val="24"/>
                <w:lang w:val="en-GB"/>
              </w:rPr>
              <w:t>The defendants must pay the plaintiff’s costs of suit from the date of the return of service until 29 July 2022, both days inclusive.</w:t>
            </w:r>
          </w:p>
          <w:p w14:paraId="20E17A86" w14:textId="77777777" w:rsidR="005A655B" w:rsidRPr="005A655B" w:rsidRDefault="005A655B" w:rsidP="005A655B">
            <w:pPr>
              <w:pStyle w:val="NoSpacing"/>
              <w:spacing w:line="360" w:lineRule="auto"/>
              <w:ind w:left="720"/>
              <w:jc w:val="both"/>
              <w:rPr>
                <w:rFonts w:ascii="Arial" w:hAnsi="Arial" w:cs="Arial"/>
                <w:sz w:val="24"/>
                <w:lang w:val="en-GB"/>
              </w:rPr>
            </w:pPr>
          </w:p>
          <w:p w14:paraId="12DB46DE" w14:textId="106F822C" w:rsidR="00587FC1" w:rsidRPr="00A11E60" w:rsidRDefault="005A655B" w:rsidP="005A655B">
            <w:pPr>
              <w:pStyle w:val="NoSpacing"/>
              <w:numPr>
                <w:ilvl w:val="0"/>
                <w:numId w:val="45"/>
              </w:numPr>
              <w:spacing w:line="360" w:lineRule="auto"/>
              <w:jc w:val="both"/>
              <w:rPr>
                <w:rFonts w:ascii="Arial" w:hAnsi="Arial" w:cs="Arial"/>
                <w:sz w:val="24"/>
                <w:lang w:val="en-GB"/>
              </w:rPr>
            </w:pPr>
            <w:r w:rsidRPr="005A655B">
              <w:rPr>
                <w:rFonts w:ascii="Arial" w:hAnsi="Arial" w:cs="Arial"/>
                <w:sz w:val="24"/>
                <w:lang w:val="en-GB"/>
              </w:rPr>
              <w:t>The matter is regarded as finalised and removed from the roll.</w:t>
            </w:r>
          </w:p>
        </w:tc>
      </w:tr>
      <w:tr w:rsidR="00341832" w14:paraId="22F6DC70" w14:textId="77777777" w:rsidTr="00DC16E0">
        <w:tc>
          <w:tcPr>
            <w:tcW w:w="4570" w:type="dxa"/>
            <w:tcBorders>
              <w:top w:val="single" w:sz="4" w:space="0" w:color="auto"/>
              <w:left w:val="single" w:sz="4" w:space="0" w:color="auto"/>
              <w:bottom w:val="single" w:sz="4" w:space="0" w:color="auto"/>
              <w:right w:val="single" w:sz="4" w:space="0" w:color="auto"/>
            </w:tcBorders>
            <w:hideMark/>
          </w:tcPr>
          <w:p w14:paraId="3B74C861" w14:textId="77777777" w:rsidR="00341832" w:rsidRDefault="00341832">
            <w:pPr>
              <w:spacing w:after="0" w:line="360" w:lineRule="auto"/>
              <w:jc w:val="center"/>
              <w:rPr>
                <w:rFonts w:ascii="Arial" w:hAnsi="Arial" w:cs="Arial"/>
                <w:b/>
                <w:sz w:val="24"/>
                <w:szCs w:val="24"/>
                <w:lang w:val="en-GB"/>
              </w:rPr>
            </w:pPr>
            <w:r>
              <w:rPr>
                <w:rFonts w:ascii="Arial" w:hAnsi="Arial" w:cs="Arial"/>
                <w:b/>
                <w:sz w:val="24"/>
                <w:szCs w:val="24"/>
                <w:lang w:val="en-GB"/>
              </w:rPr>
              <w:lastRenderedPageBreak/>
              <w:t>Judge’s signature</w:t>
            </w:r>
          </w:p>
        </w:tc>
        <w:tc>
          <w:tcPr>
            <w:tcW w:w="4644" w:type="dxa"/>
            <w:gridSpan w:val="2"/>
            <w:tcBorders>
              <w:top w:val="single" w:sz="4" w:space="0" w:color="auto"/>
              <w:left w:val="single" w:sz="4" w:space="0" w:color="auto"/>
              <w:bottom w:val="single" w:sz="4" w:space="0" w:color="auto"/>
              <w:right w:val="single" w:sz="4" w:space="0" w:color="auto"/>
            </w:tcBorders>
            <w:hideMark/>
          </w:tcPr>
          <w:p w14:paraId="0A380A7C" w14:textId="77777777" w:rsidR="00341832" w:rsidRDefault="00341832">
            <w:pPr>
              <w:spacing w:after="0" w:line="360" w:lineRule="auto"/>
              <w:jc w:val="center"/>
              <w:rPr>
                <w:rFonts w:ascii="Arial" w:hAnsi="Arial" w:cs="Arial"/>
                <w:b/>
                <w:sz w:val="24"/>
                <w:szCs w:val="24"/>
                <w:lang w:val="en-GB"/>
              </w:rPr>
            </w:pPr>
            <w:r>
              <w:rPr>
                <w:rFonts w:ascii="Arial" w:hAnsi="Arial" w:cs="Arial"/>
                <w:b/>
                <w:sz w:val="24"/>
                <w:szCs w:val="24"/>
                <w:lang w:val="en-GB"/>
              </w:rPr>
              <w:t>Note to the parties:</w:t>
            </w:r>
          </w:p>
        </w:tc>
      </w:tr>
      <w:tr w:rsidR="00341832" w14:paraId="49EA6698" w14:textId="77777777" w:rsidTr="00DC16E0">
        <w:trPr>
          <w:trHeight w:val="1114"/>
        </w:trPr>
        <w:tc>
          <w:tcPr>
            <w:tcW w:w="4570" w:type="dxa"/>
            <w:tcBorders>
              <w:top w:val="single" w:sz="4" w:space="0" w:color="auto"/>
              <w:left w:val="single" w:sz="4" w:space="0" w:color="auto"/>
              <w:bottom w:val="single" w:sz="4" w:space="0" w:color="auto"/>
              <w:right w:val="single" w:sz="4" w:space="0" w:color="auto"/>
            </w:tcBorders>
          </w:tcPr>
          <w:p w14:paraId="737380A9" w14:textId="77777777" w:rsidR="00341832" w:rsidRDefault="00341832">
            <w:pPr>
              <w:spacing w:after="0" w:line="360" w:lineRule="auto"/>
              <w:jc w:val="both"/>
              <w:rPr>
                <w:rFonts w:ascii="Arial" w:hAnsi="Arial" w:cs="Arial"/>
                <w:sz w:val="24"/>
                <w:szCs w:val="24"/>
                <w:lang w:val="en-GB"/>
              </w:rPr>
            </w:pPr>
          </w:p>
          <w:p w14:paraId="311BDAA4" w14:textId="77777777" w:rsidR="00341832" w:rsidRDefault="00341832">
            <w:pPr>
              <w:spacing w:after="0" w:line="360" w:lineRule="auto"/>
              <w:jc w:val="both"/>
              <w:rPr>
                <w:rFonts w:ascii="Arial" w:hAnsi="Arial" w:cs="Arial"/>
                <w:sz w:val="24"/>
                <w:szCs w:val="24"/>
                <w:lang w:val="en-GB"/>
              </w:rPr>
            </w:pPr>
          </w:p>
        </w:tc>
        <w:tc>
          <w:tcPr>
            <w:tcW w:w="4644" w:type="dxa"/>
            <w:gridSpan w:val="2"/>
            <w:tcBorders>
              <w:top w:val="single" w:sz="4" w:space="0" w:color="auto"/>
              <w:left w:val="single" w:sz="4" w:space="0" w:color="auto"/>
              <w:bottom w:val="single" w:sz="4" w:space="0" w:color="auto"/>
              <w:right w:val="single" w:sz="4" w:space="0" w:color="auto"/>
            </w:tcBorders>
            <w:hideMark/>
          </w:tcPr>
          <w:p w14:paraId="149F9A2D" w14:textId="77777777" w:rsidR="00341832" w:rsidRDefault="00341832" w:rsidP="00116497">
            <w:pPr>
              <w:spacing w:after="0" w:line="360" w:lineRule="auto"/>
              <w:jc w:val="center"/>
              <w:rPr>
                <w:rFonts w:ascii="Arial" w:hAnsi="Arial" w:cs="Arial"/>
                <w:sz w:val="24"/>
                <w:szCs w:val="24"/>
                <w:lang w:val="en-GB"/>
              </w:rPr>
            </w:pPr>
            <w:r>
              <w:rPr>
                <w:rFonts w:ascii="Arial" w:hAnsi="Arial" w:cs="Arial"/>
                <w:sz w:val="24"/>
                <w:szCs w:val="24"/>
                <w:lang w:val="en-GB"/>
              </w:rPr>
              <w:t>Not applicable.</w:t>
            </w:r>
          </w:p>
        </w:tc>
      </w:tr>
      <w:tr w:rsidR="00341832" w14:paraId="742A027E" w14:textId="77777777" w:rsidTr="00DC16E0">
        <w:tc>
          <w:tcPr>
            <w:tcW w:w="9214" w:type="dxa"/>
            <w:gridSpan w:val="3"/>
            <w:tcBorders>
              <w:top w:val="single" w:sz="4" w:space="0" w:color="auto"/>
              <w:left w:val="single" w:sz="4" w:space="0" w:color="auto"/>
              <w:bottom w:val="single" w:sz="4" w:space="0" w:color="auto"/>
              <w:right w:val="single" w:sz="4" w:space="0" w:color="auto"/>
            </w:tcBorders>
            <w:hideMark/>
          </w:tcPr>
          <w:p w14:paraId="406EC28A" w14:textId="77777777" w:rsidR="00341832" w:rsidRDefault="00341832">
            <w:pPr>
              <w:spacing w:after="0" w:line="360" w:lineRule="auto"/>
              <w:jc w:val="center"/>
              <w:rPr>
                <w:rFonts w:ascii="Arial" w:hAnsi="Arial" w:cs="Arial"/>
                <w:b/>
                <w:sz w:val="24"/>
                <w:szCs w:val="24"/>
                <w:lang w:val="en-GB"/>
              </w:rPr>
            </w:pPr>
            <w:r>
              <w:rPr>
                <w:rFonts w:ascii="Arial" w:hAnsi="Arial" w:cs="Arial"/>
                <w:b/>
                <w:sz w:val="24"/>
                <w:szCs w:val="24"/>
                <w:lang w:val="en-GB"/>
              </w:rPr>
              <w:t>Counsel:</w:t>
            </w:r>
          </w:p>
        </w:tc>
      </w:tr>
      <w:tr w:rsidR="00341832" w14:paraId="6A5022C2" w14:textId="77777777" w:rsidTr="00DC16E0">
        <w:tc>
          <w:tcPr>
            <w:tcW w:w="4570" w:type="dxa"/>
            <w:tcBorders>
              <w:top w:val="single" w:sz="4" w:space="0" w:color="auto"/>
              <w:left w:val="single" w:sz="4" w:space="0" w:color="auto"/>
              <w:bottom w:val="single" w:sz="4" w:space="0" w:color="auto"/>
              <w:right w:val="single" w:sz="4" w:space="0" w:color="auto"/>
            </w:tcBorders>
            <w:hideMark/>
          </w:tcPr>
          <w:p w14:paraId="0AAE9E3A" w14:textId="77777777" w:rsidR="00341832" w:rsidRDefault="00450149" w:rsidP="00B603FA">
            <w:pPr>
              <w:spacing w:after="0" w:line="360" w:lineRule="auto"/>
              <w:jc w:val="center"/>
              <w:rPr>
                <w:rFonts w:ascii="Arial" w:hAnsi="Arial" w:cs="Arial"/>
                <w:b/>
                <w:sz w:val="24"/>
                <w:szCs w:val="24"/>
                <w:lang w:val="en-GB"/>
              </w:rPr>
            </w:pPr>
            <w:r>
              <w:rPr>
                <w:rFonts w:ascii="Arial" w:hAnsi="Arial" w:cs="Arial"/>
                <w:b/>
                <w:sz w:val="24"/>
                <w:szCs w:val="24"/>
                <w:lang w:val="en-GB"/>
              </w:rPr>
              <w:t>Plaintiff</w:t>
            </w:r>
          </w:p>
          <w:p w14:paraId="47D26B48" w14:textId="77777777" w:rsidR="00A11E60" w:rsidRPr="00A11E60" w:rsidRDefault="00A11E60" w:rsidP="00A11E60">
            <w:pPr>
              <w:spacing w:after="0" w:line="360" w:lineRule="auto"/>
              <w:jc w:val="center"/>
              <w:rPr>
                <w:rFonts w:ascii="Arial" w:hAnsi="Arial" w:cs="Arial"/>
                <w:bCs/>
                <w:sz w:val="24"/>
                <w:szCs w:val="24"/>
              </w:rPr>
            </w:pPr>
            <w:r w:rsidRPr="00A11E60">
              <w:rPr>
                <w:rFonts w:ascii="Arial" w:hAnsi="Arial" w:cs="Arial"/>
                <w:bCs/>
                <w:sz w:val="24"/>
                <w:szCs w:val="24"/>
              </w:rPr>
              <w:lastRenderedPageBreak/>
              <w:t>J Oliver</w:t>
            </w:r>
          </w:p>
          <w:p w14:paraId="6E6A888A" w14:textId="5D147653" w:rsidR="00A11E60" w:rsidRPr="00A11E60" w:rsidRDefault="00A11E60" w:rsidP="00A11E60">
            <w:pPr>
              <w:spacing w:after="0" w:line="360" w:lineRule="auto"/>
              <w:jc w:val="center"/>
              <w:rPr>
                <w:rFonts w:ascii="Arial" w:hAnsi="Arial" w:cs="Arial"/>
                <w:bCs/>
                <w:sz w:val="24"/>
                <w:szCs w:val="24"/>
              </w:rPr>
            </w:pPr>
            <w:r>
              <w:rPr>
                <w:rFonts w:ascii="Arial" w:hAnsi="Arial" w:cs="Arial"/>
                <w:bCs/>
                <w:sz w:val="24"/>
                <w:szCs w:val="24"/>
              </w:rPr>
              <w:t xml:space="preserve">Of </w:t>
            </w:r>
            <w:r w:rsidR="005A655B" w:rsidRPr="005A655B">
              <w:rPr>
                <w:rFonts w:ascii="Arial" w:hAnsi="Arial" w:cs="Arial"/>
                <w:bCs/>
                <w:sz w:val="24"/>
                <w:szCs w:val="24"/>
              </w:rPr>
              <w:t>Jan Olivier &amp; Co. Legal Practitioners</w:t>
            </w:r>
            <w:r>
              <w:rPr>
                <w:rFonts w:ascii="Arial" w:hAnsi="Arial" w:cs="Arial"/>
                <w:bCs/>
                <w:sz w:val="24"/>
                <w:szCs w:val="24"/>
              </w:rPr>
              <w:t>,</w:t>
            </w:r>
          </w:p>
          <w:p w14:paraId="4FDDDEC1" w14:textId="299EB00A" w:rsidR="00450149" w:rsidRPr="00450149" w:rsidRDefault="00A11E60" w:rsidP="00256433">
            <w:pPr>
              <w:spacing w:after="0" w:line="360" w:lineRule="auto"/>
              <w:rPr>
                <w:rFonts w:ascii="Arial" w:hAnsi="Arial" w:cs="Arial"/>
                <w:bCs/>
                <w:sz w:val="24"/>
                <w:szCs w:val="24"/>
                <w:lang w:val="en-GB"/>
              </w:rPr>
            </w:pPr>
            <w:r>
              <w:rPr>
                <w:rFonts w:ascii="Arial" w:hAnsi="Arial" w:cs="Arial"/>
                <w:bCs/>
                <w:sz w:val="24"/>
                <w:szCs w:val="24"/>
              </w:rPr>
              <w:tab/>
            </w:r>
            <w:r>
              <w:rPr>
                <w:rFonts w:ascii="Arial" w:hAnsi="Arial" w:cs="Arial"/>
                <w:bCs/>
                <w:sz w:val="24"/>
                <w:szCs w:val="24"/>
              </w:rPr>
              <w:tab/>
            </w:r>
            <w:r w:rsidR="005A655B">
              <w:rPr>
                <w:rFonts w:ascii="Arial" w:hAnsi="Arial" w:cs="Arial"/>
                <w:bCs/>
                <w:sz w:val="24"/>
                <w:szCs w:val="24"/>
              </w:rPr>
              <w:t>Walvis Bay</w:t>
            </w:r>
          </w:p>
        </w:tc>
        <w:tc>
          <w:tcPr>
            <w:tcW w:w="4644" w:type="dxa"/>
            <w:gridSpan w:val="2"/>
            <w:tcBorders>
              <w:top w:val="single" w:sz="4" w:space="0" w:color="auto"/>
              <w:left w:val="single" w:sz="4" w:space="0" w:color="auto"/>
              <w:bottom w:val="single" w:sz="4" w:space="0" w:color="auto"/>
              <w:right w:val="single" w:sz="4" w:space="0" w:color="auto"/>
            </w:tcBorders>
            <w:hideMark/>
          </w:tcPr>
          <w:p w14:paraId="0DB76776" w14:textId="303AE8AF" w:rsidR="00341832" w:rsidRDefault="004C0E33" w:rsidP="00B603FA">
            <w:pPr>
              <w:spacing w:after="0" w:line="360" w:lineRule="auto"/>
              <w:jc w:val="center"/>
              <w:rPr>
                <w:rFonts w:ascii="Arial" w:hAnsi="Arial" w:cs="Arial"/>
                <w:b/>
                <w:sz w:val="24"/>
                <w:szCs w:val="24"/>
                <w:lang w:val="en-GB"/>
              </w:rPr>
            </w:pPr>
            <w:r>
              <w:rPr>
                <w:rFonts w:ascii="Arial" w:hAnsi="Arial" w:cs="Arial"/>
                <w:b/>
                <w:sz w:val="24"/>
                <w:szCs w:val="24"/>
                <w:lang w:val="en-GB"/>
              </w:rPr>
              <w:lastRenderedPageBreak/>
              <w:t xml:space="preserve">First </w:t>
            </w:r>
            <w:r w:rsidR="00587FC1">
              <w:rPr>
                <w:rFonts w:ascii="Arial" w:hAnsi="Arial" w:cs="Arial"/>
                <w:b/>
                <w:sz w:val="24"/>
                <w:szCs w:val="24"/>
                <w:lang w:val="en-GB"/>
              </w:rPr>
              <w:t>Defendant</w:t>
            </w:r>
          </w:p>
          <w:p w14:paraId="37DE40B2" w14:textId="77777777" w:rsidR="00A11E60" w:rsidRPr="00A11E60" w:rsidRDefault="00A11E60" w:rsidP="00A11E60">
            <w:pPr>
              <w:spacing w:after="0" w:line="360" w:lineRule="auto"/>
              <w:jc w:val="center"/>
              <w:rPr>
                <w:rFonts w:ascii="Arial" w:hAnsi="Arial" w:cs="Arial"/>
                <w:bCs/>
                <w:sz w:val="24"/>
                <w:szCs w:val="24"/>
              </w:rPr>
            </w:pPr>
            <w:r w:rsidRPr="00A11E60">
              <w:rPr>
                <w:rFonts w:ascii="Arial" w:hAnsi="Arial" w:cs="Arial"/>
                <w:bCs/>
                <w:sz w:val="24"/>
                <w:szCs w:val="24"/>
              </w:rPr>
              <w:lastRenderedPageBreak/>
              <w:t>T Chibwana</w:t>
            </w:r>
          </w:p>
          <w:p w14:paraId="6464B318" w14:textId="4B63791D" w:rsidR="00A11E60" w:rsidRPr="00A11E60" w:rsidRDefault="00A11E60" w:rsidP="00A11E60">
            <w:pPr>
              <w:spacing w:after="0" w:line="360" w:lineRule="auto"/>
              <w:jc w:val="center"/>
              <w:rPr>
                <w:rFonts w:ascii="Arial" w:hAnsi="Arial" w:cs="Arial"/>
                <w:bCs/>
                <w:sz w:val="24"/>
                <w:szCs w:val="24"/>
              </w:rPr>
            </w:pPr>
            <w:r w:rsidRPr="00A11E60">
              <w:rPr>
                <w:rFonts w:ascii="Arial" w:hAnsi="Arial" w:cs="Arial"/>
                <w:bCs/>
                <w:sz w:val="24"/>
                <w:szCs w:val="24"/>
              </w:rPr>
              <w:t>Instructed by Neves Legal Practitioners</w:t>
            </w:r>
            <w:r>
              <w:rPr>
                <w:rFonts w:ascii="Arial" w:hAnsi="Arial" w:cs="Arial"/>
                <w:bCs/>
                <w:sz w:val="24"/>
                <w:szCs w:val="24"/>
              </w:rPr>
              <w:t>,</w:t>
            </w:r>
          </w:p>
          <w:p w14:paraId="0B522B34" w14:textId="63AA66BE" w:rsidR="0009073E" w:rsidRPr="00DD3AA1" w:rsidRDefault="00A11E60" w:rsidP="00256433">
            <w:pPr>
              <w:spacing w:after="0" w:line="360" w:lineRule="auto"/>
              <w:jc w:val="center"/>
              <w:rPr>
                <w:rFonts w:ascii="Arial" w:hAnsi="Arial" w:cs="Arial"/>
                <w:bCs/>
                <w:sz w:val="24"/>
                <w:szCs w:val="24"/>
                <w:lang w:val="en-GB"/>
              </w:rPr>
            </w:pPr>
            <w:r w:rsidRPr="00A11E60">
              <w:rPr>
                <w:rFonts w:ascii="Arial" w:hAnsi="Arial" w:cs="Arial"/>
                <w:bCs/>
                <w:sz w:val="24"/>
                <w:szCs w:val="24"/>
              </w:rPr>
              <w:t>Windhoek</w:t>
            </w:r>
          </w:p>
        </w:tc>
      </w:tr>
    </w:tbl>
    <w:p w14:paraId="1F526783" w14:textId="77777777" w:rsidR="00341832" w:rsidRDefault="00341832" w:rsidP="00341832">
      <w:pPr>
        <w:spacing w:after="0" w:line="360" w:lineRule="auto"/>
        <w:rPr>
          <w:rFonts w:ascii="Arial" w:hAnsi="Arial" w:cs="Arial"/>
          <w:sz w:val="24"/>
          <w:szCs w:val="24"/>
          <w:lang w:val="en-GB"/>
        </w:rPr>
      </w:pPr>
    </w:p>
    <w:sectPr w:rsidR="00341832" w:rsidSect="009A14A0">
      <w:headerReference w:type="default" r:id="rId9"/>
      <w:headerReference w:type="first" r:id="rId10"/>
      <w:footerReference w:type="first" r:id="rId11"/>
      <w:pgSz w:w="11906" w:h="16838"/>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6D86" w14:textId="77777777" w:rsidR="00CC2C4F" w:rsidRDefault="00CC2C4F" w:rsidP="00341832">
      <w:pPr>
        <w:spacing w:after="0" w:line="240" w:lineRule="auto"/>
      </w:pPr>
      <w:r>
        <w:separator/>
      </w:r>
    </w:p>
  </w:endnote>
  <w:endnote w:type="continuationSeparator" w:id="0">
    <w:p w14:paraId="39A687AF" w14:textId="77777777" w:rsidR="00CC2C4F" w:rsidRDefault="00CC2C4F" w:rsidP="0034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1D5C" w14:textId="77777777" w:rsidR="00A11E60" w:rsidRDefault="00A11E60">
    <w:pPr>
      <w:pStyle w:val="Footer"/>
      <w:jc w:val="right"/>
    </w:pPr>
  </w:p>
  <w:p w14:paraId="571D163B" w14:textId="77777777" w:rsidR="00A11E60" w:rsidRDefault="00A11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18022" w14:textId="77777777" w:rsidR="00CC2C4F" w:rsidRDefault="00CC2C4F" w:rsidP="00341832">
      <w:pPr>
        <w:spacing w:after="0" w:line="240" w:lineRule="auto"/>
      </w:pPr>
      <w:r>
        <w:separator/>
      </w:r>
    </w:p>
  </w:footnote>
  <w:footnote w:type="continuationSeparator" w:id="0">
    <w:p w14:paraId="7694C733" w14:textId="77777777" w:rsidR="00CC2C4F" w:rsidRDefault="00CC2C4F" w:rsidP="00341832">
      <w:pPr>
        <w:spacing w:after="0" w:line="240" w:lineRule="auto"/>
      </w:pPr>
      <w:r>
        <w:continuationSeparator/>
      </w:r>
    </w:p>
  </w:footnote>
  <w:footnote w:id="1">
    <w:p w14:paraId="67F0422E" w14:textId="77777777" w:rsidR="00A11E60" w:rsidRPr="00A11E60" w:rsidRDefault="00A11E60" w:rsidP="005A655B">
      <w:pPr>
        <w:pStyle w:val="FootnoteText"/>
        <w:rPr>
          <w:rFonts w:ascii="Arial" w:hAnsi="Arial" w:cs="Arial"/>
          <w:lang w:val="en-US"/>
        </w:rPr>
      </w:pPr>
      <w:r w:rsidRPr="00A11E60">
        <w:rPr>
          <w:rStyle w:val="FootnoteReference"/>
          <w:rFonts w:ascii="Arial" w:hAnsi="Arial" w:cs="Arial"/>
        </w:rPr>
        <w:footnoteRef/>
      </w:r>
      <w:r w:rsidRPr="00A11E60">
        <w:rPr>
          <w:rFonts w:ascii="Arial" w:hAnsi="Arial" w:cs="Arial"/>
        </w:rPr>
        <w:t xml:space="preserve"> </w:t>
      </w:r>
      <w:r w:rsidRPr="00A11E60">
        <w:rPr>
          <w:rFonts w:ascii="Arial" w:hAnsi="Arial" w:cs="Arial"/>
          <w:lang w:val="en-US"/>
        </w:rPr>
        <w:t>LAWSA Second Edition, Volume 3 Part 2: Civil Procedure and Costs para 289.</w:t>
      </w:r>
    </w:p>
  </w:footnote>
  <w:footnote w:id="2">
    <w:p w14:paraId="0727D2A1" w14:textId="77777777" w:rsidR="00A11E60" w:rsidRPr="00A11E60" w:rsidRDefault="00A11E60" w:rsidP="005A655B">
      <w:pPr>
        <w:pStyle w:val="FootnoteText"/>
        <w:rPr>
          <w:rFonts w:ascii="Arial" w:hAnsi="Arial" w:cs="Arial"/>
          <w:lang w:val="en-US"/>
        </w:rPr>
      </w:pPr>
      <w:r w:rsidRPr="00A11E60">
        <w:rPr>
          <w:rStyle w:val="FootnoteReference"/>
          <w:rFonts w:ascii="Arial" w:hAnsi="Arial" w:cs="Arial"/>
        </w:rPr>
        <w:footnoteRef/>
      </w:r>
      <w:r w:rsidRPr="00A11E60">
        <w:rPr>
          <w:rFonts w:ascii="Arial" w:hAnsi="Arial" w:cs="Arial"/>
        </w:rPr>
        <w:t xml:space="preserve"> LAWSA Second Edition, Volume 3 Part 2: Civil Procedure and Costs para 291; and the authorities collected there.</w:t>
      </w:r>
    </w:p>
  </w:footnote>
  <w:footnote w:id="3">
    <w:p w14:paraId="1DC81DE4" w14:textId="77777777" w:rsidR="00A11E60" w:rsidRPr="00A11E60" w:rsidRDefault="00A11E60" w:rsidP="005A655B">
      <w:pPr>
        <w:pStyle w:val="FootnoteText"/>
        <w:rPr>
          <w:rFonts w:ascii="Arial" w:hAnsi="Arial" w:cs="Arial"/>
          <w:lang w:val="en-US"/>
        </w:rPr>
      </w:pPr>
      <w:r w:rsidRPr="00A11E60">
        <w:rPr>
          <w:rStyle w:val="FootnoteReference"/>
          <w:rFonts w:ascii="Arial" w:hAnsi="Arial" w:cs="Arial"/>
        </w:rPr>
        <w:footnoteRef/>
      </w:r>
      <w:r w:rsidRPr="00A11E60">
        <w:rPr>
          <w:rFonts w:ascii="Arial" w:hAnsi="Arial" w:cs="Arial"/>
          <w:i/>
        </w:rPr>
        <w:t xml:space="preserve"> Ongombe Farmers Association v Tjiuro and Others</w:t>
      </w:r>
      <w:r w:rsidRPr="00A11E60">
        <w:rPr>
          <w:rFonts w:ascii="Arial" w:hAnsi="Arial" w:cs="Arial"/>
        </w:rPr>
        <w:t xml:space="preserve"> [2011] NAHC 194 (6 July 2011) para 18.</w:t>
      </w:r>
    </w:p>
  </w:footnote>
  <w:footnote w:id="4">
    <w:p w14:paraId="212F7E89" w14:textId="77777777" w:rsidR="00A11E60" w:rsidRPr="00A11E60" w:rsidRDefault="00A11E60" w:rsidP="005A655B">
      <w:pPr>
        <w:pStyle w:val="FootnoteText"/>
        <w:rPr>
          <w:rFonts w:ascii="Arial" w:hAnsi="Arial" w:cs="Arial"/>
          <w:lang w:val="en-GB"/>
        </w:rPr>
      </w:pPr>
      <w:r w:rsidRPr="00A11E60">
        <w:rPr>
          <w:rStyle w:val="FootnoteReference"/>
          <w:rFonts w:ascii="Arial" w:hAnsi="Arial" w:cs="Arial"/>
        </w:rPr>
        <w:footnoteRef/>
      </w:r>
      <w:r w:rsidRPr="00A11E60">
        <w:rPr>
          <w:rFonts w:ascii="Arial" w:hAnsi="Arial" w:cs="Arial"/>
        </w:rPr>
        <w:t xml:space="preserve"> </w:t>
      </w:r>
      <w:r w:rsidRPr="00A11E60">
        <w:rPr>
          <w:rFonts w:ascii="Arial" w:hAnsi="Arial" w:cs="Arial"/>
          <w:lang w:val="en-GB"/>
        </w:rPr>
        <w:t xml:space="preserve">See also </w:t>
      </w:r>
      <w:r w:rsidRPr="00A11E60">
        <w:rPr>
          <w:rFonts w:ascii="Arial" w:hAnsi="Arial" w:cs="Arial"/>
          <w:i/>
          <w:iCs/>
          <w:lang w:val="en-GB"/>
        </w:rPr>
        <w:t>Erf Sixty-Six, Vogelstrand (Pty) Ltd v Council of the Municipality of Swakopmund and Others</w:t>
      </w:r>
      <w:r w:rsidRPr="00A11E60">
        <w:rPr>
          <w:rFonts w:ascii="Arial" w:hAnsi="Arial" w:cs="Arial"/>
          <w:lang w:val="en-GB"/>
        </w:rPr>
        <w:t xml:space="preserve"> 2012 (1) NR 393 (HC) para 10.</w:t>
      </w:r>
    </w:p>
  </w:footnote>
  <w:footnote w:id="5">
    <w:p w14:paraId="361604EB" w14:textId="53772516" w:rsidR="00A11E60" w:rsidRPr="002C1C6E" w:rsidRDefault="00A11E60" w:rsidP="005A655B">
      <w:pPr>
        <w:pStyle w:val="FootnoteText"/>
        <w:tabs>
          <w:tab w:val="left" w:pos="0"/>
        </w:tabs>
        <w:rPr>
          <w:lang w:val="en-US"/>
        </w:rPr>
      </w:pPr>
      <w:r w:rsidRPr="00A11E60">
        <w:rPr>
          <w:rStyle w:val="FootnoteReference"/>
          <w:rFonts w:ascii="Arial" w:hAnsi="Arial" w:cs="Arial"/>
        </w:rPr>
        <w:footnoteRef/>
      </w:r>
      <w:r w:rsidRPr="00A11E60">
        <w:rPr>
          <w:rFonts w:ascii="Arial" w:hAnsi="Arial" w:cs="Arial"/>
        </w:rPr>
        <w:t xml:space="preserve"> </w:t>
      </w:r>
      <w:r w:rsidRPr="00A11E60">
        <w:rPr>
          <w:rFonts w:ascii="Arial" w:hAnsi="Arial" w:cs="Arial"/>
          <w:i/>
        </w:rPr>
        <w:t>Germishuys v Douglas Besproeiingsraad</w:t>
      </w:r>
      <w:r w:rsidRPr="00A11E60">
        <w:rPr>
          <w:rFonts w:ascii="Arial" w:hAnsi="Arial" w:cs="Arial"/>
        </w:rPr>
        <w:t xml:space="preserve"> 1973 (3) SA 299 (NC); Also see </w:t>
      </w:r>
      <w:r w:rsidRPr="00A11E60">
        <w:rPr>
          <w:rFonts w:ascii="Arial" w:hAnsi="Arial" w:cs="Arial"/>
          <w:i/>
        </w:rPr>
        <w:t>The Prosecutor General v Africa Autonet CC t/a Pacific Motors</w:t>
      </w:r>
      <w:r w:rsidR="00256433">
        <w:rPr>
          <w:rFonts w:ascii="Arial" w:hAnsi="Arial" w:cs="Arial"/>
        </w:rPr>
        <w:t xml:space="preserve"> </w:t>
      </w:r>
      <w:r w:rsidRPr="00A11E60">
        <w:rPr>
          <w:rFonts w:ascii="Arial" w:hAnsi="Arial" w:cs="Arial"/>
        </w:rPr>
        <w:t>(POCA 5/2017) [2017] NAHCMD 265 (13 September 2017) para 26.</w:t>
      </w:r>
    </w:p>
  </w:footnote>
  <w:footnote w:id="6">
    <w:p w14:paraId="50824EFB" w14:textId="77777777" w:rsidR="00A11E60" w:rsidRPr="007903F6" w:rsidRDefault="00A11E60" w:rsidP="005A655B">
      <w:pPr>
        <w:pStyle w:val="FootnoteText"/>
        <w:rPr>
          <w:lang w:val="en-US"/>
        </w:rPr>
      </w:pPr>
      <w:r w:rsidRPr="00A11E60">
        <w:rPr>
          <w:rStyle w:val="FootnoteReference"/>
          <w:rFonts w:ascii="Arial" w:hAnsi="Arial" w:cs="Arial"/>
        </w:rPr>
        <w:footnoteRef/>
      </w:r>
      <w:r w:rsidRPr="00A11E60">
        <w:rPr>
          <w:rFonts w:ascii="Arial" w:hAnsi="Arial" w:cs="Arial"/>
        </w:rPr>
        <w:t xml:space="preserve"> </w:t>
      </w:r>
      <w:r w:rsidRPr="00A11E60">
        <w:rPr>
          <w:rFonts w:ascii="Arial" w:hAnsi="Arial" w:cs="Arial"/>
          <w:lang w:val="en-US"/>
        </w:rPr>
        <w:t>See</w:t>
      </w:r>
      <w:r w:rsidRPr="00A11E60">
        <w:rPr>
          <w:rFonts w:ascii="Arial" w:hAnsi="Arial" w:cs="Arial"/>
        </w:rPr>
        <w:t xml:space="preserve"> </w:t>
      </w:r>
      <w:r w:rsidRPr="00A11E60">
        <w:rPr>
          <w:rFonts w:ascii="Arial" w:hAnsi="Arial" w:cs="Arial"/>
          <w:i/>
          <w:lang w:val="en-US"/>
        </w:rPr>
        <w:t xml:space="preserve">Germishuys </w:t>
      </w:r>
      <w:r w:rsidRPr="00A11E60">
        <w:rPr>
          <w:rFonts w:ascii="Arial" w:hAnsi="Arial" w:cs="Arial"/>
          <w:lang w:val="en-US"/>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68712"/>
      <w:docPartObj>
        <w:docPartGallery w:val="Page Numbers (Top of Page)"/>
        <w:docPartUnique/>
      </w:docPartObj>
    </w:sdtPr>
    <w:sdtEndPr>
      <w:rPr>
        <w:noProof/>
      </w:rPr>
    </w:sdtEndPr>
    <w:sdtContent>
      <w:p w14:paraId="18CDF29A" w14:textId="77777777" w:rsidR="00A11E60" w:rsidRDefault="00A11E60">
        <w:pPr>
          <w:pStyle w:val="Header"/>
          <w:jc w:val="right"/>
        </w:pPr>
        <w:r>
          <w:fldChar w:fldCharType="begin"/>
        </w:r>
        <w:r>
          <w:instrText xml:space="preserve"> PAGE   \* MERGEFORMAT </w:instrText>
        </w:r>
        <w:r>
          <w:fldChar w:fldCharType="separate"/>
        </w:r>
        <w:r w:rsidR="009E0F13">
          <w:rPr>
            <w:noProof/>
          </w:rPr>
          <w:t>2</w:t>
        </w:r>
        <w:r>
          <w:rPr>
            <w:noProof/>
          </w:rPr>
          <w:fldChar w:fldCharType="end"/>
        </w:r>
      </w:p>
    </w:sdtContent>
  </w:sdt>
  <w:p w14:paraId="2FE0AEBA" w14:textId="77777777" w:rsidR="00A11E60" w:rsidRDefault="00A11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B29B" w14:textId="77777777" w:rsidR="00A11E60" w:rsidRDefault="00A11E60" w:rsidP="009A14A0">
    <w:pPr>
      <w:pStyle w:val="Header"/>
    </w:pPr>
  </w:p>
  <w:p w14:paraId="2575CB69" w14:textId="77777777" w:rsidR="00A11E60" w:rsidRDefault="00A11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3686724"/>
    <w:multiLevelType w:val="hybridMultilevel"/>
    <w:tmpl w:val="40847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0156AB"/>
    <w:multiLevelType w:val="hybridMultilevel"/>
    <w:tmpl w:val="6E2887D4"/>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F97CCB"/>
    <w:multiLevelType w:val="hybridMultilevel"/>
    <w:tmpl w:val="93AEF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F6136"/>
    <w:multiLevelType w:val="hybridMultilevel"/>
    <w:tmpl w:val="51162916"/>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490FA7"/>
    <w:multiLevelType w:val="hybridMultilevel"/>
    <w:tmpl w:val="62F61326"/>
    <w:lvl w:ilvl="0" w:tplc="C5F4C3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13268F"/>
    <w:multiLevelType w:val="hybridMultilevel"/>
    <w:tmpl w:val="7040E49E"/>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10554"/>
    <w:multiLevelType w:val="hybridMultilevel"/>
    <w:tmpl w:val="C82CBA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4E56A9"/>
    <w:multiLevelType w:val="hybridMultilevel"/>
    <w:tmpl w:val="2166B636"/>
    <w:lvl w:ilvl="0" w:tplc="BE00B05E">
      <w:start w:val="4"/>
      <w:numFmt w:val="decimal"/>
      <w:lvlText w:val="[%1]"/>
      <w:lvlJc w:val="left"/>
      <w:pPr>
        <w:ind w:left="394" w:hanging="360"/>
      </w:pPr>
      <w:rPr>
        <w:rFonts w:ascii="Arial" w:hAnsi="Arial" w:cs="Arial" w:hint="default"/>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8E38C7"/>
    <w:multiLevelType w:val="hybridMultilevel"/>
    <w:tmpl w:val="D94A9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143E4"/>
    <w:multiLevelType w:val="hybridMultilevel"/>
    <w:tmpl w:val="22A44124"/>
    <w:lvl w:ilvl="0" w:tplc="5C08148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FB77D1"/>
    <w:multiLevelType w:val="hybridMultilevel"/>
    <w:tmpl w:val="C714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B59A2"/>
    <w:multiLevelType w:val="hybridMultilevel"/>
    <w:tmpl w:val="2EE0AFC8"/>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63B07"/>
    <w:multiLevelType w:val="hybridMultilevel"/>
    <w:tmpl w:val="7FEC1B30"/>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27D4E31"/>
    <w:multiLevelType w:val="hybridMultilevel"/>
    <w:tmpl w:val="CABE7CDA"/>
    <w:lvl w:ilvl="0" w:tplc="D7F6AE32">
      <w:start w:val="17"/>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340D7"/>
    <w:multiLevelType w:val="multilevel"/>
    <w:tmpl w:val="9146B3E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CD6B18"/>
    <w:multiLevelType w:val="hybridMultilevel"/>
    <w:tmpl w:val="93083EA4"/>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AA7AC7"/>
    <w:multiLevelType w:val="hybridMultilevel"/>
    <w:tmpl w:val="E40E7B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336F6E5B"/>
    <w:multiLevelType w:val="hybridMultilevel"/>
    <w:tmpl w:val="6114A44C"/>
    <w:lvl w:ilvl="0" w:tplc="7B028D44">
      <w:start w:val="1"/>
      <w:numFmt w:val="decimal"/>
      <w:lvlText w:val="[%1]"/>
      <w:lvlJc w:val="left"/>
      <w:pPr>
        <w:ind w:left="4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D64F69"/>
    <w:multiLevelType w:val="multilevel"/>
    <w:tmpl w:val="DA64CB52"/>
    <w:lvl w:ilvl="0">
      <w:start w:val="42"/>
      <w:numFmt w:val="decimal"/>
      <w:lvlText w:val="[%1]"/>
      <w:lvlJc w:val="left"/>
      <w:pPr>
        <w:ind w:left="678" w:hanging="408"/>
      </w:pPr>
      <w:rPr>
        <w:rFonts w:ascii="Arial" w:hAnsi="Arial" w:cs="Arial" w:hint="default"/>
        <w:sz w:val="24"/>
      </w:rPr>
    </w:lvl>
    <w:lvl w:ilvl="1">
      <w:start w:val="1"/>
      <w:numFmt w:val="decimal"/>
      <w:lvlText w:val="%1.%2."/>
      <w:lvlJc w:val="left"/>
      <w:pPr>
        <w:ind w:left="1710" w:hanging="7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230" w:hanging="1080"/>
      </w:pPr>
      <w:rPr>
        <w:rFonts w:cs="Times New Roman" w:hint="default"/>
      </w:rPr>
    </w:lvl>
    <w:lvl w:ilvl="5">
      <w:start w:val="1"/>
      <w:numFmt w:val="decimal"/>
      <w:lvlText w:val="%1.%2.%3.%4.%5.%6."/>
      <w:lvlJc w:val="left"/>
      <w:pPr>
        <w:ind w:left="5310"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10" w:hanging="1800"/>
      </w:pPr>
      <w:rPr>
        <w:rFonts w:cs="Times New Roman" w:hint="default"/>
      </w:rPr>
    </w:lvl>
    <w:lvl w:ilvl="8">
      <w:start w:val="1"/>
      <w:numFmt w:val="decimal"/>
      <w:lvlText w:val="%1.%2.%3.%4.%5.%6.%7.%8.%9."/>
      <w:lvlJc w:val="left"/>
      <w:pPr>
        <w:ind w:left="8190" w:hanging="2160"/>
      </w:pPr>
      <w:rPr>
        <w:rFonts w:cs="Times New Roman" w:hint="default"/>
      </w:rPr>
    </w:lvl>
  </w:abstractNum>
  <w:abstractNum w:abstractNumId="20">
    <w:nsid w:val="37E3455B"/>
    <w:multiLevelType w:val="hybridMultilevel"/>
    <w:tmpl w:val="6114A44C"/>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102635"/>
    <w:multiLevelType w:val="hybridMultilevel"/>
    <w:tmpl w:val="F9BC4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617CE2"/>
    <w:multiLevelType w:val="hybridMultilevel"/>
    <w:tmpl w:val="1EECC6CC"/>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F7F56"/>
    <w:multiLevelType w:val="hybridMultilevel"/>
    <w:tmpl w:val="90B86538"/>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9230E04"/>
    <w:multiLevelType w:val="multilevel"/>
    <w:tmpl w:val="C012FD14"/>
    <w:lvl w:ilvl="0">
      <w:start w:val="44"/>
      <w:numFmt w:val="decimal"/>
      <w:lvlText w:val="[%1]"/>
      <w:lvlJc w:val="left"/>
      <w:pPr>
        <w:ind w:left="768" w:hanging="408"/>
      </w:pPr>
      <w:rPr>
        <w:rFonts w:ascii="Arial" w:hAnsi="Arial" w:cs="Arial" w:hint="default"/>
        <w:sz w:val="24"/>
      </w:rPr>
    </w:lvl>
    <w:lvl w:ilvl="1">
      <w:start w:val="1"/>
      <w:numFmt w:val="decimal"/>
      <w:lvlText w:val="%1.%2."/>
      <w:lvlJc w:val="left"/>
      <w:pPr>
        <w:ind w:left="1710" w:hanging="7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230" w:hanging="1080"/>
      </w:pPr>
      <w:rPr>
        <w:rFonts w:cs="Times New Roman" w:hint="default"/>
      </w:rPr>
    </w:lvl>
    <w:lvl w:ilvl="5">
      <w:start w:val="1"/>
      <w:numFmt w:val="decimal"/>
      <w:lvlText w:val="%1.%2.%3.%4.%5.%6."/>
      <w:lvlJc w:val="left"/>
      <w:pPr>
        <w:ind w:left="5310"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10" w:hanging="1800"/>
      </w:pPr>
      <w:rPr>
        <w:rFonts w:cs="Times New Roman" w:hint="default"/>
      </w:rPr>
    </w:lvl>
    <w:lvl w:ilvl="8">
      <w:start w:val="1"/>
      <w:numFmt w:val="decimal"/>
      <w:lvlText w:val="%1.%2.%3.%4.%5.%6.%7.%8.%9."/>
      <w:lvlJc w:val="left"/>
      <w:pPr>
        <w:ind w:left="8190" w:hanging="2160"/>
      </w:pPr>
      <w:rPr>
        <w:rFonts w:cs="Times New Roman" w:hint="default"/>
      </w:rPr>
    </w:lvl>
  </w:abstractNum>
  <w:abstractNum w:abstractNumId="25">
    <w:nsid w:val="4A0031D4"/>
    <w:multiLevelType w:val="hybridMultilevel"/>
    <w:tmpl w:val="71F89226"/>
    <w:lvl w:ilvl="0" w:tplc="06D0B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A4463ED"/>
    <w:multiLevelType w:val="hybridMultilevel"/>
    <w:tmpl w:val="71F89226"/>
    <w:lvl w:ilvl="0" w:tplc="06D0B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B9F6825"/>
    <w:multiLevelType w:val="hybridMultilevel"/>
    <w:tmpl w:val="C8D672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4C785C12"/>
    <w:multiLevelType w:val="hybridMultilevel"/>
    <w:tmpl w:val="DB1AFE86"/>
    <w:lvl w:ilvl="0" w:tplc="0B286AD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26670"/>
    <w:multiLevelType w:val="hybridMultilevel"/>
    <w:tmpl w:val="4DF87F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D99193D"/>
    <w:multiLevelType w:val="hybridMultilevel"/>
    <w:tmpl w:val="19D2CF80"/>
    <w:lvl w:ilvl="0" w:tplc="AA4484E8">
      <w:start w:val="1"/>
      <w:numFmt w:val="decimal"/>
      <w:lvlText w:val="[%1]"/>
      <w:lvlJc w:val="left"/>
      <w:pPr>
        <w:ind w:left="644"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0354F8C"/>
    <w:multiLevelType w:val="hybridMultilevel"/>
    <w:tmpl w:val="AA002F5A"/>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29F6513"/>
    <w:multiLevelType w:val="hybridMultilevel"/>
    <w:tmpl w:val="A55E9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260793"/>
    <w:multiLevelType w:val="hybridMultilevel"/>
    <w:tmpl w:val="E6A0156A"/>
    <w:lvl w:ilvl="0" w:tplc="DD802FD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CC2FF5"/>
    <w:multiLevelType w:val="hybridMultilevel"/>
    <w:tmpl w:val="FFF040B6"/>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8EC2379"/>
    <w:multiLevelType w:val="hybridMultilevel"/>
    <w:tmpl w:val="49D2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BB0C78"/>
    <w:multiLevelType w:val="multilevel"/>
    <w:tmpl w:val="2856F64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C056D8"/>
    <w:multiLevelType w:val="hybridMultilevel"/>
    <w:tmpl w:val="CE96DD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11F22C4"/>
    <w:multiLevelType w:val="hybridMultilevel"/>
    <w:tmpl w:val="070A5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42A71A5"/>
    <w:multiLevelType w:val="hybridMultilevel"/>
    <w:tmpl w:val="2C3EAE64"/>
    <w:lvl w:ilvl="0" w:tplc="1C8A21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BC150D"/>
    <w:multiLevelType w:val="hybridMultilevel"/>
    <w:tmpl w:val="28EC31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05E27F1"/>
    <w:multiLevelType w:val="hybridMultilevel"/>
    <w:tmpl w:val="1DBC130A"/>
    <w:lvl w:ilvl="0" w:tplc="7B028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A665E3"/>
    <w:multiLevelType w:val="hybridMultilevel"/>
    <w:tmpl w:val="71F89226"/>
    <w:lvl w:ilvl="0" w:tplc="06D0B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C580EB8"/>
    <w:multiLevelType w:val="hybridMultilevel"/>
    <w:tmpl w:val="9EA6D3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7"/>
  </w:num>
  <w:num w:numId="6">
    <w:abstractNumId w:val="1"/>
  </w:num>
  <w:num w:numId="7">
    <w:abstractNumId w:val="18"/>
  </w:num>
  <w:num w:numId="8">
    <w:abstractNumId w:val="38"/>
  </w:num>
  <w:num w:numId="9">
    <w:abstractNumId w:val="40"/>
  </w:num>
  <w:num w:numId="10">
    <w:abstractNumId w:val="29"/>
  </w:num>
  <w:num w:numId="11">
    <w:abstractNumId w:val="43"/>
  </w:num>
  <w:num w:numId="12">
    <w:abstractNumId w:val="13"/>
  </w:num>
  <w:num w:numId="13">
    <w:abstractNumId w:val="23"/>
  </w:num>
  <w:num w:numId="14">
    <w:abstractNumId w:val="37"/>
  </w:num>
  <w:num w:numId="15">
    <w:abstractNumId w:val="21"/>
  </w:num>
  <w:num w:numId="16">
    <w:abstractNumId w:val="2"/>
  </w:num>
  <w:num w:numId="17">
    <w:abstractNumId w:val="16"/>
  </w:num>
  <w:num w:numId="18">
    <w:abstractNumId w:val="34"/>
  </w:num>
  <w:num w:numId="19">
    <w:abstractNumId w:val="41"/>
  </w:num>
  <w:num w:numId="20">
    <w:abstractNumId w:val="7"/>
  </w:num>
  <w:num w:numId="21">
    <w:abstractNumId w:val="4"/>
  </w:num>
  <w:num w:numId="22">
    <w:abstractNumId w:val="31"/>
  </w:num>
  <w:num w:numId="23">
    <w:abstractNumId w:val="10"/>
  </w:num>
  <w:num w:numId="24">
    <w:abstractNumId w:val="20"/>
  </w:num>
  <w:num w:numId="25">
    <w:abstractNumId w:val="42"/>
  </w:num>
  <w:num w:numId="26">
    <w:abstractNumId w:val="3"/>
  </w:num>
  <w:num w:numId="27">
    <w:abstractNumId w:val="6"/>
  </w:num>
  <w:num w:numId="28">
    <w:abstractNumId w:val="9"/>
  </w:num>
  <w:num w:numId="29">
    <w:abstractNumId w:val="35"/>
  </w:num>
  <w:num w:numId="30">
    <w:abstractNumId w:val="22"/>
  </w:num>
  <w:num w:numId="31">
    <w:abstractNumId w:val="11"/>
  </w:num>
  <w:num w:numId="32">
    <w:abstractNumId w:val="25"/>
  </w:num>
  <w:num w:numId="33">
    <w:abstractNumId w:val="33"/>
  </w:num>
  <w:num w:numId="34">
    <w:abstractNumId w:val="8"/>
  </w:num>
  <w:num w:numId="35">
    <w:abstractNumId w:val="39"/>
  </w:num>
  <w:num w:numId="36">
    <w:abstractNumId w:val="5"/>
  </w:num>
  <w:num w:numId="37">
    <w:abstractNumId w:val="14"/>
  </w:num>
  <w:num w:numId="38">
    <w:abstractNumId w:val="15"/>
  </w:num>
  <w:num w:numId="39">
    <w:abstractNumId w:val="36"/>
  </w:num>
  <w:num w:numId="40">
    <w:abstractNumId w:val="24"/>
  </w:num>
  <w:num w:numId="41">
    <w:abstractNumId w:val="19"/>
  </w:num>
  <w:num w:numId="42">
    <w:abstractNumId w:val="28"/>
  </w:num>
  <w:num w:numId="43">
    <w:abstractNumId w:val="0"/>
  </w:num>
  <w:num w:numId="44">
    <w:abstractNumId w:val="1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D2"/>
    <w:rsid w:val="00000CDB"/>
    <w:rsid w:val="000038C4"/>
    <w:rsid w:val="00006604"/>
    <w:rsid w:val="00013AC8"/>
    <w:rsid w:val="000252D0"/>
    <w:rsid w:val="000267BE"/>
    <w:rsid w:val="00041ACB"/>
    <w:rsid w:val="00042FC1"/>
    <w:rsid w:val="00046A2F"/>
    <w:rsid w:val="0006033F"/>
    <w:rsid w:val="00061739"/>
    <w:rsid w:val="00067823"/>
    <w:rsid w:val="000764BA"/>
    <w:rsid w:val="000808F6"/>
    <w:rsid w:val="00086E50"/>
    <w:rsid w:val="0009073E"/>
    <w:rsid w:val="00095D30"/>
    <w:rsid w:val="000974B8"/>
    <w:rsid w:val="000B32F0"/>
    <w:rsid w:val="000B49B9"/>
    <w:rsid w:val="000C31E3"/>
    <w:rsid w:val="000C4A89"/>
    <w:rsid w:val="000C6F31"/>
    <w:rsid w:val="000C7208"/>
    <w:rsid w:val="000D45D2"/>
    <w:rsid w:val="000F179A"/>
    <w:rsid w:val="000F5567"/>
    <w:rsid w:val="000F6CA9"/>
    <w:rsid w:val="00114D12"/>
    <w:rsid w:val="00116497"/>
    <w:rsid w:val="00121807"/>
    <w:rsid w:val="00130B13"/>
    <w:rsid w:val="0013319C"/>
    <w:rsid w:val="00133421"/>
    <w:rsid w:val="00135D35"/>
    <w:rsid w:val="001367E1"/>
    <w:rsid w:val="001379AE"/>
    <w:rsid w:val="001434C7"/>
    <w:rsid w:val="00144E6D"/>
    <w:rsid w:val="00147EEE"/>
    <w:rsid w:val="00151ABF"/>
    <w:rsid w:val="00154624"/>
    <w:rsid w:val="001547C7"/>
    <w:rsid w:val="00163F54"/>
    <w:rsid w:val="001648B2"/>
    <w:rsid w:val="0017313D"/>
    <w:rsid w:val="00176C28"/>
    <w:rsid w:val="00176D2D"/>
    <w:rsid w:val="0019059C"/>
    <w:rsid w:val="00191891"/>
    <w:rsid w:val="0019498D"/>
    <w:rsid w:val="001A0927"/>
    <w:rsid w:val="001A2895"/>
    <w:rsid w:val="001A7804"/>
    <w:rsid w:val="001B1F97"/>
    <w:rsid w:val="001B69B3"/>
    <w:rsid w:val="001D0677"/>
    <w:rsid w:val="001D0DC3"/>
    <w:rsid w:val="001D31B9"/>
    <w:rsid w:val="001D77A3"/>
    <w:rsid w:val="001E18EF"/>
    <w:rsid w:val="001E35E4"/>
    <w:rsid w:val="001F2F14"/>
    <w:rsid w:val="0020614E"/>
    <w:rsid w:val="00206972"/>
    <w:rsid w:val="002246E1"/>
    <w:rsid w:val="00256433"/>
    <w:rsid w:val="00264BAF"/>
    <w:rsid w:val="00265BC2"/>
    <w:rsid w:val="00272478"/>
    <w:rsid w:val="002725FE"/>
    <w:rsid w:val="002735B1"/>
    <w:rsid w:val="002836AB"/>
    <w:rsid w:val="0028678F"/>
    <w:rsid w:val="002908C8"/>
    <w:rsid w:val="00293459"/>
    <w:rsid w:val="003013CA"/>
    <w:rsid w:val="00302114"/>
    <w:rsid w:val="00303BE5"/>
    <w:rsid w:val="0032662A"/>
    <w:rsid w:val="00330575"/>
    <w:rsid w:val="00341832"/>
    <w:rsid w:val="003523C7"/>
    <w:rsid w:val="00363B0A"/>
    <w:rsid w:val="00377454"/>
    <w:rsid w:val="00382151"/>
    <w:rsid w:val="00397975"/>
    <w:rsid w:val="003A1E4D"/>
    <w:rsid w:val="003B0D31"/>
    <w:rsid w:val="003B19BC"/>
    <w:rsid w:val="003B4BAB"/>
    <w:rsid w:val="003C433D"/>
    <w:rsid w:val="003D3385"/>
    <w:rsid w:val="003E4F28"/>
    <w:rsid w:val="003E55CD"/>
    <w:rsid w:val="003E6B3F"/>
    <w:rsid w:val="003F179A"/>
    <w:rsid w:val="003F3620"/>
    <w:rsid w:val="003F367B"/>
    <w:rsid w:val="003F5E11"/>
    <w:rsid w:val="00401316"/>
    <w:rsid w:val="00410744"/>
    <w:rsid w:val="0041765A"/>
    <w:rsid w:val="004361E4"/>
    <w:rsid w:val="0043625C"/>
    <w:rsid w:val="00437411"/>
    <w:rsid w:val="00450149"/>
    <w:rsid w:val="00464042"/>
    <w:rsid w:val="004816B5"/>
    <w:rsid w:val="00484AC5"/>
    <w:rsid w:val="00493556"/>
    <w:rsid w:val="004B51D3"/>
    <w:rsid w:val="004C0E33"/>
    <w:rsid w:val="004D587D"/>
    <w:rsid w:val="004E3CA8"/>
    <w:rsid w:val="005013A4"/>
    <w:rsid w:val="005016E9"/>
    <w:rsid w:val="005064C8"/>
    <w:rsid w:val="00510BA3"/>
    <w:rsid w:val="00511BA2"/>
    <w:rsid w:val="00520685"/>
    <w:rsid w:val="00536894"/>
    <w:rsid w:val="00547EA5"/>
    <w:rsid w:val="00563189"/>
    <w:rsid w:val="005652E1"/>
    <w:rsid w:val="005660E1"/>
    <w:rsid w:val="0056623E"/>
    <w:rsid w:val="00585E47"/>
    <w:rsid w:val="0058628E"/>
    <w:rsid w:val="00587FC1"/>
    <w:rsid w:val="00590A1E"/>
    <w:rsid w:val="005A3160"/>
    <w:rsid w:val="005A5003"/>
    <w:rsid w:val="005A655B"/>
    <w:rsid w:val="005B48DA"/>
    <w:rsid w:val="005B527C"/>
    <w:rsid w:val="005D6C47"/>
    <w:rsid w:val="005F05ED"/>
    <w:rsid w:val="005F25D0"/>
    <w:rsid w:val="005F6C7C"/>
    <w:rsid w:val="00601C16"/>
    <w:rsid w:val="006027F1"/>
    <w:rsid w:val="00610482"/>
    <w:rsid w:val="0061345A"/>
    <w:rsid w:val="00620A50"/>
    <w:rsid w:val="00637B41"/>
    <w:rsid w:val="00650C54"/>
    <w:rsid w:val="00656D7E"/>
    <w:rsid w:val="00667104"/>
    <w:rsid w:val="006873C0"/>
    <w:rsid w:val="006A1AC5"/>
    <w:rsid w:val="006B3041"/>
    <w:rsid w:val="006B4882"/>
    <w:rsid w:val="006D4B08"/>
    <w:rsid w:val="006D52CE"/>
    <w:rsid w:val="006E4B2D"/>
    <w:rsid w:val="006F4AF2"/>
    <w:rsid w:val="006F5796"/>
    <w:rsid w:val="0070751E"/>
    <w:rsid w:val="00712E81"/>
    <w:rsid w:val="007130B4"/>
    <w:rsid w:val="0071755C"/>
    <w:rsid w:val="0072112C"/>
    <w:rsid w:val="007405A8"/>
    <w:rsid w:val="00746AE0"/>
    <w:rsid w:val="007516F1"/>
    <w:rsid w:val="00760111"/>
    <w:rsid w:val="00763FFB"/>
    <w:rsid w:val="00767AED"/>
    <w:rsid w:val="00793301"/>
    <w:rsid w:val="00793FFF"/>
    <w:rsid w:val="007950BC"/>
    <w:rsid w:val="007A4480"/>
    <w:rsid w:val="007B3584"/>
    <w:rsid w:val="007C399B"/>
    <w:rsid w:val="007D56B6"/>
    <w:rsid w:val="007E259E"/>
    <w:rsid w:val="007E61BD"/>
    <w:rsid w:val="007F680B"/>
    <w:rsid w:val="0080207D"/>
    <w:rsid w:val="00804682"/>
    <w:rsid w:val="008120FE"/>
    <w:rsid w:val="008312B6"/>
    <w:rsid w:val="008605DF"/>
    <w:rsid w:val="008642BA"/>
    <w:rsid w:val="008649FA"/>
    <w:rsid w:val="008825B7"/>
    <w:rsid w:val="0088380A"/>
    <w:rsid w:val="00884AC3"/>
    <w:rsid w:val="00887407"/>
    <w:rsid w:val="00895913"/>
    <w:rsid w:val="008A4346"/>
    <w:rsid w:val="008A69CF"/>
    <w:rsid w:val="008A69FA"/>
    <w:rsid w:val="008B2B1D"/>
    <w:rsid w:val="008B37D1"/>
    <w:rsid w:val="008C602D"/>
    <w:rsid w:val="008C60A3"/>
    <w:rsid w:val="008E0049"/>
    <w:rsid w:val="008F3A11"/>
    <w:rsid w:val="008F52B4"/>
    <w:rsid w:val="00913FF1"/>
    <w:rsid w:val="00914BAD"/>
    <w:rsid w:val="009205BF"/>
    <w:rsid w:val="009307D8"/>
    <w:rsid w:val="0093134B"/>
    <w:rsid w:val="009353D5"/>
    <w:rsid w:val="00936F8B"/>
    <w:rsid w:val="00944084"/>
    <w:rsid w:val="009460A8"/>
    <w:rsid w:val="00946169"/>
    <w:rsid w:val="009557E4"/>
    <w:rsid w:val="009562CA"/>
    <w:rsid w:val="00963210"/>
    <w:rsid w:val="00965CA0"/>
    <w:rsid w:val="00974E51"/>
    <w:rsid w:val="009804AC"/>
    <w:rsid w:val="00985B88"/>
    <w:rsid w:val="009A14A0"/>
    <w:rsid w:val="009A160C"/>
    <w:rsid w:val="009B1F3B"/>
    <w:rsid w:val="009B4E4B"/>
    <w:rsid w:val="009C13D2"/>
    <w:rsid w:val="009C15B2"/>
    <w:rsid w:val="009C15CA"/>
    <w:rsid w:val="009C48AE"/>
    <w:rsid w:val="009D1423"/>
    <w:rsid w:val="009E0F13"/>
    <w:rsid w:val="009E15DC"/>
    <w:rsid w:val="009F09F9"/>
    <w:rsid w:val="00A1116D"/>
    <w:rsid w:val="00A11E60"/>
    <w:rsid w:val="00A14740"/>
    <w:rsid w:val="00A1519D"/>
    <w:rsid w:val="00A466AB"/>
    <w:rsid w:val="00A47567"/>
    <w:rsid w:val="00A60DF1"/>
    <w:rsid w:val="00A676C9"/>
    <w:rsid w:val="00A728E9"/>
    <w:rsid w:val="00A81568"/>
    <w:rsid w:val="00AA433D"/>
    <w:rsid w:val="00AC53E7"/>
    <w:rsid w:val="00AE774B"/>
    <w:rsid w:val="00AF4575"/>
    <w:rsid w:val="00B075B2"/>
    <w:rsid w:val="00B26D31"/>
    <w:rsid w:val="00B278B7"/>
    <w:rsid w:val="00B30550"/>
    <w:rsid w:val="00B30BA1"/>
    <w:rsid w:val="00B3576A"/>
    <w:rsid w:val="00B4718D"/>
    <w:rsid w:val="00B5290A"/>
    <w:rsid w:val="00B54D64"/>
    <w:rsid w:val="00B55B1E"/>
    <w:rsid w:val="00B603FA"/>
    <w:rsid w:val="00B72370"/>
    <w:rsid w:val="00B77416"/>
    <w:rsid w:val="00B84E1D"/>
    <w:rsid w:val="00B9143A"/>
    <w:rsid w:val="00B967CC"/>
    <w:rsid w:val="00B96D96"/>
    <w:rsid w:val="00BA3ED1"/>
    <w:rsid w:val="00BB7B09"/>
    <w:rsid w:val="00BC0A26"/>
    <w:rsid w:val="00BC40C3"/>
    <w:rsid w:val="00BC73F6"/>
    <w:rsid w:val="00BD0523"/>
    <w:rsid w:val="00BD2F7A"/>
    <w:rsid w:val="00BD6A0D"/>
    <w:rsid w:val="00BE4E76"/>
    <w:rsid w:val="00BF1476"/>
    <w:rsid w:val="00BF7A83"/>
    <w:rsid w:val="00C3030C"/>
    <w:rsid w:val="00C51A1E"/>
    <w:rsid w:val="00C60949"/>
    <w:rsid w:val="00C731AF"/>
    <w:rsid w:val="00C85E48"/>
    <w:rsid w:val="00C86E49"/>
    <w:rsid w:val="00CC2C4F"/>
    <w:rsid w:val="00CC42BD"/>
    <w:rsid w:val="00CC6301"/>
    <w:rsid w:val="00CD4D53"/>
    <w:rsid w:val="00CD4E36"/>
    <w:rsid w:val="00CE45C3"/>
    <w:rsid w:val="00D0226C"/>
    <w:rsid w:val="00D10746"/>
    <w:rsid w:val="00D2074B"/>
    <w:rsid w:val="00D55BA7"/>
    <w:rsid w:val="00D64284"/>
    <w:rsid w:val="00D65E38"/>
    <w:rsid w:val="00D70122"/>
    <w:rsid w:val="00D81362"/>
    <w:rsid w:val="00D86C64"/>
    <w:rsid w:val="00D91697"/>
    <w:rsid w:val="00D957B2"/>
    <w:rsid w:val="00DC16E0"/>
    <w:rsid w:val="00DD1585"/>
    <w:rsid w:val="00DD3AA1"/>
    <w:rsid w:val="00DD5BA9"/>
    <w:rsid w:val="00DE2E76"/>
    <w:rsid w:val="00DE3225"/>
    <w:rsid w:val="00E06028"/>
    <w:rsid w:val="00E15FB6"/>
    <w:rsid w:val="00E20696"/>
    <w:rsid w:val="00E249E5"/>
    <w:rsid w:val="00E24E70"/>
    <w:rsid w:val="00E36AD2"/>
    <w:rsid w:val="00E47024"/>
    <w:rsid w:val="00E556CA"/>
    <w:rsid w:val="00E64DFF"/>
    <w:rsid w:val="00E72B16"/>
    <w:rsid w:val="00E777AF"/>
    <w:rsid w:val="00E8248B"/>
    <w:rsid w:val="00E87850"/>
    <w:rsid w:val="00E91889"/>
    <w:rsid w:val="00E96B2B"/>
    <w:rsid w:val="00E975C4"/>
    <w:rsid w:val="00EB2D77"/>
    <w:rsid w:val="00EC7E3A"/>
    <w:rsid w:val="00ED22D5"/>
    <w:rsid w:val="00ED5831"/>
    <w:rsid w:val="00EF5406"/>
    <w:rsid w:val="00F013AC"/>
    <w:rsid w:val="00F01C96"/>
    <w:rsid w:val="00F03A1C"/>
    <w:rsid w:val="00F063A8"/>
    <w:rsid w:val="00F36387"/>
    <w:rsid w:val="00F40B2A"/>
    <w:rsid w:val="00F41B1C"/>
    <w:rsid w:val="00F43CEC"/>
    <w:rsid w:val="00F54D86"/>
    <w:rsid w:val="00F7511F"/>
    <w:rsid w:val="00F80226"/>
    <w:rsid w:val="00F90310"/>
    <w:rsid w:val="00F9522A"/>
    <w:rsid w:val="00FA78B8"/>
    <w:rsid w:val="00FC0DE9"/>
    <w:rsid w:val="00FC7B60"/>
    <w:rsid w:val="00FD1DD5"/>
    <w:rsid w:val="00FD65FE"/>
    <w:rsid w:val="00FE3106"/>
    <w:rsid w:val="00FF4D06"/>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C31E"/>
  <w15:chartTrackingRefBased/>
  <w15:docId w15:val="{6E9E8719-7C33-4A5B-A7EF-D287875E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2D"/>
    <w:pPr>
      <w:spacing w:line="256" w:lineRule="auto"/>
    </w:pPr>
    <w:rPr>
      <w:rFonts w:ascii="Calibri" w:eastAsia="Calibri" w:hAnsi="Calibri" w:cs="Times New Roman"/>
      <w:lang w:val="en-ZA"/>
    </w:rPr>
  </w:style>
  <w:style w:type="paragraph" w:styleId="Heading1">
    <w:name w:val="heading 1"/>
    <w:basedOn w:val="Normal"/>
    <w:next w:val="Normal"/>
    <w:link w:val="Heading1Char"/>
    <w:uiPriority w:val="9"/>
    <w:qFormat/>
    <w:rsid w:val="00A11E60"/>
    <w:pPr>
      <w:widowControl w:val="0"/>
      <w:numPr>
        <w:numId w:val="43"/>
      </w:numPr>
      <w:spacing w:after="0" w:line="360" w:lineRule="auto"/>
      <w:ind w:left="0" w:firstLine="0"/>
      <w:jc w:val="both"/>
      <w:outlineLvl w:val="0"/>
    </w:pPr>
    <w:rPr>
      <w:rFonts w:ascii="Arial" w:eastAsia="Times New Roman" w:hAnsi="Arial" w:cs="Arial"/>
      <w:spacing w:val="-3"/>
      <w:sz w:val="24"/>
      <w:szCs w:val="24"/>
    </w:rPr>
  </w:style>
  <w:style w:type="paragraph" w:styleId="Heading4">
    <w:name w:val="heading 4"/>
    <w:basedOn w:val="Normal"/>
    <w:next w:val="Normal"/>
    <w:link w:val="Heading4Char"/>
    <w:qFormat/>
    <w:rsid w:val="00A11E60"/>
    <w:pPr>
      <w:widowControl w:val="0"/>
      <w:numPr>
        <w:ilvl w:val="3"/>
        <w:numId w:val="43"/>
      </w:numPr>
      <w:spacing w:after="0" w:line="360" w:lineRule="auto"/>
      <w:jc w:val="both"/>
      <w:outlineLvl w:val="3"/>
    </w:pPr>
    <w:rPr>
      <w:rFonts w:ascii="Arial" w:eastAsia="Times New Roman" w:hAnsi="Arial" w:cs="Arial"/>
      <w:spacing w:val="-3"/>
      <w:sz w:val="24"/>
      <w:szCs w:val="24"/>
    </w:rPr>
  </w:style>
  <w:style w:type="paragraph" w:styleId="Heading5">
    <w:name w:val="heading 5"/>
    <w:basedOn w:val="Normal"/>
    <w:next w:val="Normal"/>
    <w:link w:val="Heading5Char"/>
    <w:qFormat/>
    <w:rsid w:val="00A11E60"/>
    <w:pPr>
      <w:widowControl w:val="0"/>
      <w:numPr>
        <w:ilvl w:val="4"/>
        <w:numId w:val="43"/>
      </w:numPr>
      <w:spacing w:after="0" w:line="360" w:lineRule="auto"/>
      <w:jc w:val="both"/>
      <w:outlineLvl w:val="4"/>
    </w:pPr>
    <w:rPr>
      <w:rFonts w:ascii="Arial" w:eastAsia="Times New Roman" w:hAnsi="Arial" w:cs="Arial"/>
      <w:spacing w:val="-3"/>
      <w:sz w:val="24"/>
      <w:szCs w:val="24"/>
    </w:rPr>
  </w:style>
  <w:style w:type="paragraph" w:styleId="Heading6">
    <w:name w:val="heading 6"/>
    <w:basedOn w:val="Normal"/>
    <w:next w:val="Normal"/>
    <w:link w:val="Heading6Char"/>
    <w:qFormat/>
    <w:rsid w:val="00A11E60"/>
    <w:pPr>
      <w:widowControl w:val="0"/>
      <w:numPr>
        <w:ilvl w:val="5"/>
        <w:numId w:val="43"/>
      </w:numPr>
      <w:spacing w:after="0" w:line="360" w:lineRule="auto"/>
      <w:jc w:val="both"/>
      <w:outlineLvl w:val="5"/>
    </w:pPr>
    <w:rPr>
      <w:rFonts w:ascii="Arial" w:eastAsia="Times New Roman" w:hAnsi="Arial" w:cs="Arial"/>
      <w:i/>
      <w:spacing w:val="-3"/>
      <w:szCs w:val="24"/>
    </w:rPr>
  </w:style>
  <w:style w:type="paragraph" w:styleId="Heading7">
    <w:name w:val="heading 7"/>
    <w:basedOn w:val="Normal"/>
    <w:next w:val="Normal"/>
    <w:link w:val="Heading7Char"/>
    <w:qFormat/>
    <w:rsid w:val="00A11E60"/>
    <w:pPr>
      <w:widowControl w:val="0"/>
      <w:numPr>
        <w:ilvl w:val="6"/>
        <w:numId w:val="43"/>
      </w:numPr>
      <w:spacing w:after="0" w:line="360" w:lineRule="auto"/>
      <w:jc w:val="both"/>
      <w:outlineLvl w:val="6"/>
    </w:pPr>
    <w:rPr>
      <w:rFonts w:ascii="Arial" w:eastAsia="Times New Roman" w:hAnsi="Arial" w:cs="Arial"/>
      <w:spacing w:val="-3"/>
      <w:sz w:val="24"/>
      <w:szCs w:val="24"/>
    </w:rPr>
  </w:style>
  <w:style w:type="paragraph" w:styleId="Heading8">
    <w:name w:val="heading 8"/>
    <w:basedOn w:val="Normal"/>
    <w:next w:val="Normal"/>
    <w:link w:val="Heading8Char"/>
    <w:qFormat/>
    <w:rsid w:val="00A11E60"/>
    <w:pPr>
      <w:widowControl w:val="0"/>
      <w:numPr>
        <w:ilvl w:val="7"/>
        <w:numId w:val="43"/>
      </w:numPr>
      <w:spacing w:after="0" w:line="360" w:lineRule="auto"/>
      <w:jc w:val="both"/>
      <w:outlineLvl w:val="7"/>
    </w:pPr>
    <w:rPr>
      <w:rFonts w:ascii="Arial" w:eastAsia="Times New Roman" w:hAnsi="Arial" w:cs="Arial"/>
      <w:i/>
      <w:spacing w:val="-3"/>
      <w:sz w:val="24"/>
      <w:szCs w:val="24"/>
    </w:rPr>
  </w:style>
  <w:style w:type="paragraph" w:styleId="Heading9">
    <w:name w:val="heading 9"/>
    <w:basedOn w:val="Normal"/>
    <w:next w:val="Normal"/>
    <w:link w:val="Heading9Char"/>
    <w:qFormat/>
    <w:rsid w:val="00A11E60"/>
    <w:pPr>
      <w:widowControl w:val="0"/>
      <w:numPr>
        <w:ilvl w:val="8"/>
        <w:numId w:val="43"/>
      </w:numPr>
      <w:spacing w:after="0" w:line="360" w:lineRule="auto"/>
      <w:jc w:val="both"/>
      <w:outlineLvl w:val="8"/>
    </w:pPr>
    <w:rPr>
      <w:rFonts w:ascii="Arial" w:eastAsia="Times New Roman" w:hAnsi="Arial" w:cs="Arial"/>
      <w:i/>
      <w:spacing w:val="-3"/>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341832"/>
    <w:pPr>
      <w:spacing w:after="0" w:line="360" w:lineRule="auto"/>
      <w:jc w:val="both"/>
    </w:pPr>
    <w:rPr>
      <w:rFonts w:ascii="Arial Narrow" w:hAnsi="Arial Narrow"/>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341832"/>
    <w:rPr>
      <w:rFonts w:ascii="Arial Narrow" w:eastAsia="Calibri" w:hAnsi="Arial Narrow" w:cs="Times New Roman"/>
      <w:sz w:val="20"/>
      <w:szCs w:val="20"/>
      <w:lang w:val="en-ZA"/>
    </w:rPr>
  </w:style>
  <w:style w:type="character" w:customStyle="1" w:styleId="ListParagraphChar">
    <w:name w:val="List Paragraph Char"/>
    <w:aliases w:val="Bullet Main Char"/>
    <w:link w:val="ListParagraph"/>
    <w:uiPriority w:val="34"/>
    <w:locked/>
    <w:rsid w:val="00341832"/>
    <w:rPr>
      <w:lang w:val="en-US"/>
    </w:rPr>
  </w:style>
  <w:style w:type="paragraph" w:styleId="ListParagraph">
    <w:name w:val="List Paragraph"/>
    <w:aliases w:val="Bullet Main"/>
    <w:basedOn w:val="Normal"/>
    <w:link w:val="ListParagraphChar"/>
    <w:uiPriority w:val="34"/>
    <w:qFormat/>
    <w:rsid w:val="00341832"/>
    <w:pPr>
      <w:ind w:left="720"/>
      <w:contextualSpacing/>
    </w:pPr>
    <w:rPr>
      <w:rFonts w:asciiTheme="minorHAnsi" w:eastAsiaTheme="minorHAnsi" w:hAnsiTheme="minorHAnsi" w:cstheme="minorBidi"/>
      <w:lang w:val="en-US"/>
    </w:rPr>
  </w:style>
  <w:style w:type="paragraph" w:customStyle="1" w:styleId="form-control-static">
    <w:name w:val="form-control-static"/>
    <w:basedOn w:val="Normal"/>
    <w:rsid w:val="00341832"/>
    <w:pPr>
      <w:spacing w:before="100" w:beforeAutospacing="1" w:after="100" w:afterAutospacing="1" w:line="240" w:lineRule="auto"/>
    </w:pPr>
    <w:rPr>
      <w:rFonts w:ascii="Times New Roman" w:eastAsia="Times New Roman" w:hAnsi="Times New Roman"/>
      <w:sz w:val="24"/>
      <w:szCs w:val="24"/>
      <w:lang w:val="en-US"/>
    </w:rPr>
  </w:style>
  <w:style w:type="character" w:styleId="FootnoteReference">
    <w:name w:val="footnote reference"/>
    <w:aliases w:val="Footnotes refss,(NECG) Footnote Reference,fr,Appel note de bas de page,Ref,de nota al pie,註腳內容,Footnote symbol,Style 12,Footnote,Heading 6 Char1,do not use4 Char1,Footnote Reference1,Ref1,de nota al pie1,11 pt,註?腳內—e"/>
    <w:uiPriority w:val="99"/>
    <w:unhideWhenUsed/>
    <w:qFormat/>
    <w:rsid w:val="00341832"/>
    <w:rPr>
      <w:vertAlign w:val="superscript"/>
    </w:rPr>
  </w:style>
  <w:style w:type="paragraph" w:styleId="NoSpacing">
    <w:name w:val="No Spacing"/>
    <w:uiPriority w:val="1"/>
    <w:qFormat/>
    <w:rsid w:val="000F6CA9"/>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3C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3D"/>
    <w:rPr>
      <w:rFonts w:ascii="Segoe UI" w:eastAsia="Calibri" w:hAnsi="Segoe UI" w:cs="Segoe UI"/>
      <w:sz w:val="18"/>
      <w:szCs w:val="18"/>
      <w:lang w:val="en-ZA"/>
    </w:rPr>
  </w:style>
  <w:style w:type="paragraph" w:styleId="Header">
    <w:name w:val="header"/>
    <w:basedOn w:val="Normal"/>
    <w:link w:val="HeaderChar"/>
    <w:uiPriority w:val="99"/>
    <w:unhideWhenUsed/>
    <w:rsid w:val="00363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0A"/>
    <w:rPr>
      <w:rFonts w:ascii="Calibri" w:eastAsia="Calibri" w:hAnsi="Calibri" w:cs="Times New Roman"/>
      <w:lang w:val="en-ZA"/>
    </w:rPr>
  </w:style>
  <w:style w:type="paragraph" w:styleId="Footer">
    <w:name w:val="footer"/>
    <w:basedOn w:val="Normal"/>
    <w:link w:val="FooterChar"/>
    <w:uiPriority w:val="99"/>
    <w:unhideWhenUsed/>
    <w:rsid w:val="00363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0A"/>
    <w:rPr>
      <w:rFonts w:ascii="Calibri" w:eastAsia="Calibri" w:hAnsi="Calibri" w:cs="Times New Roman"/>
      <w:lang w:val="en-ZA"/>
    </w:rPr>
  </w:style>
  <w:style w:type="paragraph" w:styleId="NormalWeb">
    <w:name w:val="Normal (Web)"/>
    <w:basedOn w:val="Normal"/>
    <w:uiPriority w:val="99"/>
    <w:unhideWhenUsed/>
    <w:rsid w:val="00130B13"/>
    <w:rPr>
      <w:rFonts w:ascii="Times New Roman" w:hAnsi="Times New Roman"/>
      <w:sz w:val="24"/>
      <w:szCs w:val="24"/>
    </w:rPr>
  </w:style>
  <w:style w:type="character" w:styleId="Hyperlink">
    <w:name w:val="Hyperlink"/>
    <w:basedOn w:val="DefaultParagraphFont"/>
    <w:uiPriority w:val="99"/>
    <w:unhideWhenUsed/>
    <w:rsid w:val="00130B13"/>
    <w:rPr>
      <w:color w:val="0563C1" w:themeColor="hyperlink"/>
      <w:u w:val="single"/>
    </w:rPr>
  </w:style>
  <w:style w:type="character" w:customStyle="1" w:styleId="Heading1Char">
    <w:name w:val="Heading 1 Char"/>
    <w:basedOn w:val="DefaultParagraphFont"/>
    <w:link w:val="Heading1"/>
    <w:uiPriority w:val="9"/>
    <w:rsid w:val="00A11E60"/>
    <w:rPr>
      <w:rFonts w:ascii="Arial" w:eastAsia="Times New Roman" w:hAnsi="Arial" w:cs="Arial"/>
      <w:spacing w:val="-3"/>
      <w:sz w:val="24"/>
      <w:szCs w:val="24"/>
      <w:lang w:val="en-ZA"/>
    </w:rPr>
  </w:style>
  <w:style w:type="character" w:customStyle="1" w:styleId="Heading4Char">
    <w:name w:val="Heading 4 Char"/>
    <w:basedOn w:val="DefaultParagraphFont"/>
    <w:link w:val="Heading4"/>
    <w:rsid w:val="00A11E60"/>
    <w:rPr>
      <w:rFonts w:ascii="Arial" w:eastAsia="Times New Roman" w:hAnsi="Arial" w:cs="Arial"/>
      <w:spacing w:val="-3"/>
      <w:sz w:val="24"/>
      <w:szCs w:val="24"/>
      <w:lang w:val="en-ZA"/>
    </w:rPr>
  </w:style>
  <w:style w:type="character" w:customStyle="1" w:styleId="Heading5Char">
    <w:name w:val="Heading 5 Char"/>
    <w:basedOn w:val="DefaultParagraphFont"/>
    <w:link w:val="Heading5"/>
    <w:rsid w:val="00A11E60"/>
    <w:rPr>
      <w:rFonts w:ascii="Arial" w:eastAsia="Times New Roman" w:hAnsi="Arial" w:cs="Arial"/>
      <w:spacing w:val="-3"/>
      <w:sz w:val="24"/>
      <w:szCs w:val="24"/>
      <w:lang w:val="en-ZA"/>
    </w:rPr>
  </w:style>
  <w:style w:type="character" w:customStyle="1" w:styleId="Heading6Char">
    <w:name w:val="Heading 6 Char"/>
    <w:basedOn w:val="DefaultParagraphFont"/>
    <w:link w:val="Heading6"/>
    <w:rsid w:val="00A11E60"/>
    <w:rPr>
      <w:rFonts w:ascii="Arial" w:eastAsia="Times New Roman" w:hAnsi="Arial" w:cs="Arial"/>
      <w:i/>
      <w:spacing w:val="-3"/>
      <w:szCs w:val="24"/>
      <w:lang w:val="en-ZA"/>
    </w:rPr>
  </w:style>
  <w:style w:type="character" w:customStyle="1" w:styleId="Heading7Char">
    <w:name w:val="Heading 7 Char"/>
    <w:basedOn w:val="DefaultParagraphFont"/>
    <w:link w:val="Heading7"/>
    <w:rsid w:val="00A11E60"/>
    <w:rPr>
      <w:rFonts w:ascii="Arial" w:eastAsia="Times New Roman" w:hAnsi="Arial" w:cs="Arial"/>
      <w:spacing w:val="-3"/>
      <w:sz w:val="24"/>
      <w:szCs w:val="24"/>
      <w:lang w:val="en-ZA"/>
    </w:rPr>
  </w:style>
  <w:style w:type="character" w:customStyle="1" w:styleId="Heading8Char">
    <w:name w:val="Heading 8 Char"/>
    <w:basedOn w:val="DefaultParagraphFont"/>
    <w:link w:val="Heading8"/>
    <w:rsid w:val="00A11E60"/>
    <w:rPr>
      <w:rFonts w:ascii="Arial" w:eastAsia="Times New Roman" w:hAnsi="Arial" w:cs="Arial"/>
      <w:i/>
      <w:spacing w:val="-3"/>
      <w:sz w:val="24"/>
      <w:szCs w:val="24"/>
      <w:lang w:val="en-ZA"/>
    </w:rPr>
  </w:style>
  <w:style w:type="character" w:customStyle="1" w:styleId="Heading9Char">
    <w:name w:val="Heading 9 Char"/>
    <w:basedOn w:val="DefaultParagraphFont"/>
    <w:link w:val="Heading9"/>
    <w:rsid w:val="00A11E60"/>
    <w:rPr>
      <w:rFonts w:ascii="Arial" w:eastAsia="Times New Roman" w:hAnsi="Arial" w:cs="Arial"/>
      <w:i/>
      <w:spacing w:val="-3"/>
      <w:sz w:val="18"/>
      <w:szCs w:val="24"/>
      <w:lang w:val="en-ZA"/>
    </w:rPr>
  </w:style>
  <w:style w:type="paragraph" w:styleId="Revision">
    <w:name w:val="Revision"/>
    <w:hidden/>
    <w:uiPriority w:val="99"/>
    <w:semiHidden/>
    <w:rsid w:val="00135D35"/>
    <w:pPr>
      <w:spacing w:after="0" w:line="240" w:lineRule="auto"/>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0279">
      <w:bodyDiv w:val="1"/>
      <w:marLeft w:val="0"/>
      <w:marRight w:val="0"/>
      <w:marTop w:val="0"/>
      <w:marBottom w:val="0"/>
      <w:divBdr>
        <w:top w:val="none" w:sz="0" w:space="0" w:color="auto"/>
        <w:left w:val="none" w:sz="0" w:space="0" w:color="auto"/>
        <w:bottom w:val="none" w:sz="0" w:space="0" w:color="auto"/>
        <w:right w:val="none" w:sz="0" w:space="0" w:color="auto"/>
      </w:divBdr>
    </w:div>
    <w:div w:id="9504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2023-08-06T18:30:00+00:00</Judgment_x0020_Date>
    <Year xmlns="c1afb1bd-f2fb-40fd-9abb-aea55b4d7662">2023</Year>
  </documentManagement>
</p:properties>
</file>

<file path=customXml/itemProps1.xml><?xml version="1.0" encoding="utf-8"?>
<ds:datastoreItem xmlns:ds="http://schemas.openxmlformats.org/officeDocument/2006/customXml" ds:itemID="{138D9094-A0C0-4DE4-83E2-BCC76E2F1BAD}"/>
</file>

<file path=customXml/itemProps2.xml><?xml version="1.0" encoding="utf-8"?>
<ds:datastoreItem xmlns:ds="http://schemas.openxmlformats.org/officeDocument/2006/customXml" ds:itemID="{38C60D24-890C-4CB8-B3DC-328A7C4109F8}"/>
</file>

<file path=customXml/itemProps3.xml><?xml version="1.0" encoding="utf-8"?>
<ds:datastoreItem xmlns:ds="http://schemas.openxmlformats.org/officeDocument/2006/customXml" ds:itemID="{5975E53A-8FFE-4625-A210-58CC4E27E0A3}"/>
</file>

<file path=customXml/itemProps4.xml><?xml version="1.0" encoding="utf-8"?>
<ds:datastoreItem xmlns:ds="http://schemas.openxmlformats.org/officeDocument/2006/customXml" ds:itemID="{1129ECB2-9591-4176-9F69-9DC0E2C10686}"/>
</file>

<file path=docProps/app.xml><?xml version="1.0" encoding="utf-8"?>
<Properties xmlns="http://schemas.openxmlformats.org/officeDocument/2006/extended-properties" xmlns:vt="http://schemas.openxmlformats.org/officeDocument/2006/docPropsVTypes">
  <Template>Normal</Template>
  <TotalTime>9</TotalTime>
  <Pages>7</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Henties Bay Estates CC v Gerber (HC-MD-CIV-ACT-CON- 2018-01651) 2023 NAHCMD 480 (7 August 2023)</dc:title>
  <dc:subject/>
  <dc:creator>Bradley Khoa</dc:creator>
  <cp:keywords/>
  <dc:description/>
  <cp:lastModifiedBy>Bradley Khoa</cp:lastModifiedBy>
  <cp:revision>5</cp:revision>
  <cp:lastPrinted>2022-07-22T07:35:00Z</cp:lastPrinted>
  <dcterms:created xsi:type="dcterms:W3CDTF">2023-08-03T10:00:00Z</dcterms:created>
  <dcterms:modified xsi:type="dcterms:W3CDTF">2023-08-07T14:52:00Z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b9e0d30f92530c9a61c653dbcc178907e6bca9e143886839daf031a418ce5010</vt:lpwstr>
  </property>
  <property fmtid="{D5CDD505-2E9C-101B-9397-08002B2CF9AE}" pid="3" name="ContentTypeId">
    <vt:lpwstr>0x0101000ECE0F99B3F8644397ECB0C536651393</vt:lpwstr>
  </property>
</Properties>
</file>