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D965B8" w:rsidRDefault="00D965B8" w:rsidP="00B40844">
      <w:pPr>
        <w:spacing w:after="0" w:line="360" w:lineRule="auto"/>
        <w:jc w:val="center"/>
        <w:rPr>
          <w:rFonts w:ascii="Arial" w:hAnsi="Arial" w:cs="Arial"/>
          <w:b/>
          <w:sz w:val="24"/>
          <w:szCs w:val="24"/>
        </w:rPr>
      </w:pPr>
      <w:r>
        <w:rPr>
          <w:rFonts w:ascii="Arial" w:hAnsi="Arial" w:cs="Arial"/>
          <w:b/>
          <w:sz w:val="24"/>
          <w:szCs w:val="24"/>
        </w:rPr>
        <w:t>PRACTICE DIRECTI</w:t>
      </w:r>
      <w:r w:rsidR="00C851CA">
        <w:rPr>
          <w:rFonts w:ascii="Arial" w:hAnsi="Arial" w:cs="Arial"/>
          <w:b/>
          <w:sz w:val="24"/>
          <w:szCs w:val="24"/>
        </w:rPr>
        <w:t>ON</w:t>
      </w:r>
      <w:r>
        <w:rPr>
          <w:rFonts w:ascii="Arial" w:hAnsi="Arial" w:cs="Arial"/>
          <w:b/>
          <w:sz w:val="24"/>
          <w:szCs w:val="24"/>
        </w:rPr>
        <w:t xml:space="preserve"> 61</w:t>
      </w:r>
    </w:p>
    <w:p w:rsidR="00B40844" w:rsidRPr="00D965B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040503" w:rsidRDefault="00040503" w:rsidP="003C0ED1">
            <w:pPr>
              <w:jc w:val="both"/>
              <w:rPr>
                <w:rFonts w:ascii="Arial" w:hAnsi="Arial" w:cs="Arial"/>
                <w:sz w:val="24"/>
                <w:szCs w:val="24"/>
              </w:rPr>
            </w:pPr>
            <w:r w:rsidRPr="00040503">
              <w:rPr>
                <w:rFonts w:ascii="Arial" w:hAnsi="Arial" w:cs="Arial"/>
                <w:sz w:val="24"/>
                <w:szCs w:val="24"/>
              </w:rPr>
              <w:t xml:space="preserve">ARCHIE MBAKILE &amp; </w:t>
            </w:r>
            <w:r w:rsidR="003C0ED1">
              <w:rPr>
                <w:rFonts w:ascii="Arial" w:hAnsi="Arial" w:cs="Arial"/>
                <w:sz w:val="24"/>
                <w:szCs w:val="24"/>
              </w:rPr>
              <w:t>ANO</w:t>
            </w:r>
            <w:r w:rsidRPr="00040503">
              <w:rPr>
                <w:rFonts w:ascii="Arial" w:hAnsi="Arial" w:cs="Arial"/>
                <w:sz w:val="24"/>
                <w:szCs w:val="24"/>
              </w:rPr>
              <w:t>THER</w:t>
            </w:r>
            <w:r w:rsidR="00136505" w:rsidRPr="00040503">
              <w:rPr>
                <w:rFonts w:ascii="Arial" w:hAnsi="Arial" w:cs="Arial"/>
                <w:sz w:val="24"/>
                <w:szCs w:val="24"/>
                <w:shd w:val="clear" w:color="auto" w:fill="FFFFFF"/>
              </w:rPr>
              <w:t xml:space="preserve"> // </w:t>
            </w:r>
            <w:r w:rsidRPr="00040503">
              <w:rPr>
                <w:rFonts w:ascii="Arial" w:hAnsi="Arial" w:cs="Arial"/>
                <w:sz w:val="24"/>
                <w:szCs w:val="24"/>
              </w:rPr>
              <w:t xml:space="preserve">PATRICE URAYENEZA &amp; </w:t>
            </w:r>
            <w:r w:rsidR="003C0ED1">
              <w:rPr>
                <w:rFonts w:ascii="Arial" w:hAnsi="Arial" w:cs="Arial"/>
                <w:sz w:val="24"/>
                <w:szCs w:val="24"/>
              </w:rPr>
              <w:t xml:space="preserve">2 </w:t>
            </w:r>
            <w:r w:rsidRPr="00040503">
              <w:rPr>
                <w:rFonts w:ascii="Arial" w:hAnsi="Arial" w:cs="Arial"/>
                <w:sz w:val="24"/>
                <w:szCs w:val="24"/>
              </w:rPr>
              <w:t>OTHERS</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040503" w:rsidRDefault="00040503" w:rsidP="00937C89">
            <w:pPr>
              <w:spacing w:line="360" w:lineRule="auto"/>
              <w:jc w:val="both"/>
              <w:rPr>
                <w:rFonts w:ascii="Arial" w:hAnsi="Arial" w:cs="Arial"/>
                <w:sz w:val="24"/>
                <w:szCs w:val="24"/>
                <w:shd w:val="clear" w:color="auto" w:fill="FFFFFF"/>
              </w:rPr>
            </w:pPr>
            <w:r w:rsidRPr="00040503">
              <w:rPr>
                <w:rFonts w:ascii="Arial" w:hAnsi="Arial" w:cs="Arial"/>
                <w:sz w:val="24"/>
                <w:szCs w:val="24"/>
              </w:rPr>
              <w:t>HC-MD-CIV-ACT-OTH-2023/01061</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B40844" w:rsidP="00136505">
            <w:pPr>
              <w:spacing w:line="360" w:lineRule="auto"/>
              <w:jc w:val="both"/>
              <w:rPr>
                <w:rFonts w:ascii="Arial" w:hAnsi="Arial" w:cs="Arial"/>
                <w:sz w:val="24"/>
                <w:szCs w:val="24"/>
              </w:rPr>
            </w:pPr>
            <w:r w:rsidRPr="00CA7995">
              <w:rPr>
                <w:rFonts w:ascii="Arial" w:hAnsi="Arial" w:cs="Arial"/>
                <w:sz w:val="24"/>
                <w:szCs w:val="24"/>
              </w:rPr>
              <w:t xml:space="preserve">HONOURABLE MR JUSTICE </w:t>
            </w:r>
            <w:r w:rsidR="00136505">
              <w:rPr>
                <w:rFonts w:ascii="Arial" w:hAnsi="Arial" w:cs="Arial"/>
                <w:sz w:val="24"/>
                <w:szCs w:val="24"/>
              </w:rPr>
              <w:t>PARKER</w:t>
            </w:r>
            <w:r w:rsidRPr="00CA7995">
              <w:rPr>
                <w:rFonts w:ascii="Arial" w:hAnsi="Arial" w:cs="Arial"/>
                <w:sz w:val="24"/>
                <w:szCs w:val="24"/>
              </w:rPr>
              <w:t xml:space="preserve">, </w:t>
            </w:r>
            <w:r w:rsidR="00136505">
              <w:rPr>
                <w:rFonts w:ascii="Arial" w:hAnsi="Arial" w:cs="Arial"/>
                <w:sz w:val="24"/>
                <w:szCs w:val="24"/>
              </w:rPr>
              <w:t>ACTING</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3C0ED1" w:rsidP="003C0ED1">
            <w:pPr>
              <w:spacing w:line="360" w:lineRule="auto"/>
              <w:jc w:val="both"/>
              <w:rPr>
                <w:rFonts w:ascii="Arial" w:hAnsi="Arial" w:cs="Arial"/>
                <w:sz w:val="24"/>
                <w:szCs w:val="24"/>
              </w:rPr>
            </w:pPr>
            <w:r>
              <w:rPr>
                <w:rFonts w:ascii="Arial" w:hAnsi="Arial" w:cs="Arial"/>
                <w:sz w:val="24"/>
                <w:szCs w:val="24"/>
              </w:rPr>
              <w:t>19</w:t>
            </w:r>
            <w:r w:rsidR="00C2633E">
              <w:rPr>
                <w:rFonts w:ascii="Arial" w:hAnsi="Arial" w:cs="Arial"/>
                <w:sz w:val="24"/>
                <w:szCs w:val="24"/>
              </w:rPr>
              <w:t xml:space="preserve"> </w:t>
            </w:r>
            <w:r>
              <w:rPr>
                <w:rFonts w:ascii="Arial" w:hAnsi="Arial" w:cs="Arial"/>
                <w:sz w:val="24"/>
                <w:szCs w:val="24"/>
              </w:rPr>
              <w:t>July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3C0ED1" w:rsidP="003C0ED1">
            <w:pPr>
              <w:spacing w:line="360" w:lineRule="auto"/>
              <w:jc w:val="both"/>
              <w:rPr>
                <w:rFonts w:ascii="Arial" w:hAnsi="Arial" w:cs="Arial"/>
                <w:b/>
                <w:sz w:val="24"/>
                <w:szCs w:val="24"/>
              </w:rPr>
            </w:pPr>
            <w:r>
              <w:rPr>
                <w:rFonts w:ascii="Arial" w:hAnsi="Arial" w:cs="Arial"/>
                <w:sz w:val="24"/>
                <w:szCs w:val="24"/>
              </w:rPr>
              <w:t>8</w:t>
            </w:r>
            <w:r w:rsidR="00136505">
              <w:rPr>
                <w:rFonts w:ascii="Arial" w:hAnsi="Arial" w:cs="Arial"/>
                <w:sz w:val="24"/>
                <w:szCs w:val="24"/>
              </w:rPr>
              <w:t xml:space="preserve"> </w:t>
            </w:r>
            <w:r>
              <w:rPr>
                <w:rFonts w:ascii="Arial" w:hAnsi="Arial" w:cs="Arial"/>
                <w:sz w:val="24"/>
                <w:szCs w:val="24"/>
              </w:rPr>
              <w:t>August</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Pr="00CA7995" w:rsidRDefault="003C0ED1" w:rsidP="0003697D">
            <w:pPr>
              <w:spacing w:line="360" w:lineRule="auto"/>
              <w:ind w:left="2019" w:hanging="1986"/>
              <w:rPr>
                <w:rFonts w:ascii="Arial" w:hAnsi="Arial" w:cs="Arial"/>
                <w:sz w:val="24"/>
                <w:szCs w:val="24"/>
              </w:rPr>
            </w:pPr>
            <w:r>
              <w:rPr>
                <w:rFonts w:ascii="Arial" w:hAnsi="Arial" w:cs="Arial"/>
                <w:b/>
                <w:sz w:val="24"/>
                <w:szCs w:val="24"/>
              </w:rPr>
              <w:t>Neutral citation:</w:t>
            </w:r>
            <w:r w:rsidRPr="00CA7995">
              <w:rPr>
                <w:rFonts w:ascii="Arial" w:hAnsi="Arial" w:cs="Arial"/>
                <w:sz w:val="24"/>
                <w:szCs w:val="24"/>
              </w:rPr>
              <w:t xml:space="preserve"> </w:t>
            </w:r>
            <w:r w:rsidRPr="00CA7995">
              <w:rPr>
                <w:rFonts w:ascii="Arial" w:hAnsi="Arial" w:cs="Arial"/>
                <w:sz w:val="24"/>
                <w:szCs w:val="24"/>
              </w:rPr>
              <w:tab/>
            </w:r>
            <w:proofErr w:type="spellStart"/>
            <w:r w:rsidRPr="003C0ED1">
              <w:rPr>
                <w:rFonts w:ascii="Arial" w:hAnsi="Arial" w:cs="Arial"/>
                <w:i/>
                <w:sz w:val="24"/>
                <w:szCs w:val="24"/>
              </w:rPr>
              <w:t>Mbakile</w:t>
            </w:r>
            <w:proofErr w:type="spellEnd"/>
            <w:r w:rsidRPr="003C0ED1">
              <w:rPr>
                <w:rFonts w:ascii="Arial" w:hAnsi="Arial" w:cs="Arial"/>
                <w:i/>
                <w:sz w:val="24"/>
                <w:szCs w:val="24"/>
                <w:shd w:val="clear" w:color="auto" w:fill="FFFFFF"/>
              </w:rPr>
              <w:t xml:space="preserve"> v </w:t>
            </w:r>
            <w:proofErr w:type="spellStart"/>
            <w:r w:rsidRPr="003C0ED1">
              <w:rPr>
                <w:rFonts w:ascii="Arial" w:hAnsi="Arial" w:cs="Arial"/>
                <w:i/>
                <w:sz w:val="24"/>
                <w:szCs w:val="24"/>
              </w:rPr>
              <w:t>Urayeneza</w:t>
            </w:r>
            <w:proofErr w:type="spellEnd"/>
            <w:r w:rsidR="00B40844" w:rsidRPr="00CA7995">
              <w:rPr>
                <w:rFonts w:ascii="Arial" w:hAnsi="Arial" w:cs="Arial"/>
                <w:sz w:val="24"/>
                <w:szCs w:val="24"/>
              </w:rPr>
              <w:t xml:space="preserve"> (</w:t>
            </w:r>
            <w:r w:rsidRPr="00040503">
              <w:rPr>
                <w:rFonts w:ascii="Arial" w:hAnsi="Arial" w:cs="Arial"/>
                <w:sz w:val="24"/>
                <w:szCs w:val="24"/>
              </w:rPr>
              <w:t>HC-MD-CIV-ACT-OTH-2023/01061</w:t>
            </w:r>
            <w:r w:rsidR="00B40844" w:rsidRPr="00CA7995">
              <w:rPr>
                <w:rFonts w:ascii="Arial" w:hAnsi="Arial" w:cs="Arial"/>
                <w:sz w:val="24"/>
                <w:szCs w:val="24"/>
              </w:rPr>
              <w:t>)</w:t>
            </w:r>
            <w:r w:rsidR="00B40844" w:rsidRPr="00CA7995">
              <w:rPr>
                <w:rFonts w:ascii="Arial" w:hAnsi="Arial" w:cs="Arial"/>
                <w:b/>
                <w:sz w:val="24"/>
                <w:szCs w:val="24"/>
              </w:rPr>
              <w:t xml:space="preserve"> </w:t>
            </w:r>
            <w:r w:rsidR="00B40844" w:rsidRPr="00CA7995">
              <w:rPr>
                <w:rFonts w:ascii="Arial" w:hAnsi="Arial" w:cs="Arial"/>
                <w:sz w:val="24"/>
                <w:szCs w:val="24"/>
              </w:rPr>
              <w:t>[202</w:t>
            </w:r>
            <w:r w:rsidR="00B47800">
              <w:rPr>
                <w:rFonts w:ascii="Arial" w:hAnsi="Arial" w:cs="Arial"/>
                <w:sz w:val="24"/>
                <w:szCs w:val="24"/>
              </w:rPr>
              <w:t>3</w:t>
            </w:r>
            <w:r w:rsidR="00B40844" w:rsidRPr="00CA7995">
              <w:rPr>
                <w:rFonts w:ascii="Arial" w:hAnsi="Arial" w:cs="Arial"/>
                <w:sz w:val="24"/>
                <w:szCs w:val="24"/>
              </w:rPr>
              <w:t xml:space="preserve">] NAHCMD </w:t>
            </w:r>
            <w:r w:rsidR="00F66A89">
              <w:rPr>
                <w:rFonts w:ascii="Arial" w:hAnsi="Arial" w:cs="Arial"/>
                <w:sz w:val="24"/>
                <w:szCs w:val="24"/>
              </w:rPr>
              <w:t>486</w:t>
            </w:r>
            <w:bookmarkStart w:id="0" w:name="_GoBack"/>
            <w:bookmarkEnd w:id="0"/>
            <w:r w:rsidR="00B40844" w:rsidRPr="00CA7995">
              <w:rPr>
                <w:rFonts w:ascii="Arial" w:hAnsi="Arial" w:cs="Arial"/>
                <w:sz w:val="24"/>
                <w:szCs w:val="24"/>
              </w:rPr>
              <w:t xml:space="preserve"> (</w:t>
            </w:r>
            <w:r>
              <w:rPr>
                <w:rFonts w:ascii="Arial" w:hAnsi="Arial" w:cs="Arial"/>
                <w:sz w:val="24"/>
                <w:szCs w:val="24"/>
              </w:rPr>
              <w:t>8</w:t>
            </w:r>
            <w:r w:rsidR="00136505">
              <w:rPr>
                <w:rFonts w:ascii="Arial" w:hAnsi="Arial" w:cs="Arial"/>
                <w:sz w:val="24"/>
                <w:szCs w:val="24"/>
              </w:rPr>
              <w:t xml:space="preserve"> </w:t>
            </w:r>
            <w:r>
              <w:rPr>
                <w:rFonts w:ascii="Arial" w:hAnsi="Arial" w:cs="Arial"/>
                <w:sz w:val="24"/>
                <w:szCs w:val="24"/>
              </w:rPr>
              <w:t>August</w:t>
            </w:r>
            <w:r w:rsidR="00B47800">
              <w:rPr>
                <w:rFonts w:ascii="Arial" w:hAnsi="Arial" w:cs="Arial"/>
                <w:sz w:val="24"/>
                <w:szCs w:val="24"/>
              </w:rPr>
              <w:t xml:space="preserve"> 2023</w:t>
            </w:r>
            <w:r w:rsidR="00B40844" w:rsidRPr="00CA7995">
              <w:rPr>
                <w:rFonts w:ascii="Arial" w:hAnsi="Arial" w:cs="Arial"/>
                <w:sz w:val="24"/>
                <w:szCs w:val="24"/>
              </w:rPr>
              <w:t>)</w:t>
            </w:r>
          </w:p>
        </w:tc>
      </w:tr>
      <w:tr w:rsidR="00CA7995" w:rsidRPr="00CA7995" w:rsidTr="00136505">
        <w:tc>
          <w:tcPr>
            <w:tcW w:w="10206" w:type="dxa"/>
            <w:gridSpan w:val="3"/>
          </w:tcPr>
          <w:p w:rsidR="00B40844" w:rsidRPr="00B47800" w:rsidRDefault="00B40844" w:rsidP="00937C89">
            <w:pPr>
              <w:spacing w:line="360" w:lineRule="auto"/>
              <w:jc w:val="both"/>
              <w:rPr>
                <w:rFonts w:ascii="Arial" w:hAnsi="Arial" w:cs="Arial"/>
                <w:sz w:val="18"/>
                <w:szCs w:val="18"/>
              </w:rPr>
            </w:pPr>
          </w:p>
          <w:p w:rsidR="00B40844" w:rsidRDefault="004E3BFB" w:rsidP="00937C89">
            <w:pPr>
              <w:spacing w:line="360" w:lineRule="auto"/>
              <w:jc w:val="both"/>
              <w:rPr>
                <w:rFonts w:ascii="Arial" w:hAnsi="Arial" w:cs="Arial"/>
                <w:b/>
                <w:sz w:val="24"/>
                <w:szCs w:val="24"/>
              </w:rPr>
            </w:pPr>
            <w:r>
              <w:rPr>
                <w:rFonts w:ascii="Arial" w:hAnsi="Arial" w:cs="Arial"/>
                <w:b/>
                <w:sz w:val="24"/>
                <w:szCs w:val="24"/>
              </w:rPr>
              <w:t>O</w:t>
            </w:r>
            <w:r w:rsidR="00B40844" w:rsidRPr="00CA7995">
              <w:rPr>
                <w:rFonts w:ascii="Arial" w:hAnsi="Arial" w:cs="Arial"/>
                <w:b/>
                <w:sz w:val="24"/>
                <w:szCs w:val="24"/>
              </w:rPr>
              <w:t>rder:</w:t>
            </w:r>
          </w:p>
          <w:p w:rsidR="004E3BFB" w:rsidRPr="00CA7995" w:rsidRDefault="004E3BFB" w:rsidP="00937C89">
            <w:pPr>
              <w:spacing w:line="360" w:lineRule="auto"/>
              <w:jc w:val="both"/>
              <w:rPr>
                <w:rFonts w:ascii="Arial" w:hAnsi="Arial" w:cs="Arial"/>
                <w:b/>
                <w:sz w:val="24"/>
                <w:szCs w:val="24"/>
              </w:rPr>
            </w:pPr>
          </w:p>
          <w:p w:rsidR="004E43B9" w:rsidRPr="004E43B9" w:rsidRDefault="004E43B9" w:rsidP="004E43B9">
            <w:pPr>
              <w:pStyle w:val="ListParagraph"/>
              <w:numPr>
                <w:ilvl w:val="0"/>
                <w:numId w:val="13"/>
              </w:numPr>
              <w:spacing w:line="360" w:lineRule="auto"/>
              <w:ind w:hanging="687"/>
              <w:jc w:val="both"/>
              <w:rPr>
                <w:rFonts w:ascii="Arial" w:hAnsi="Arial" w:cs="Arial"/>
                <w:sz w:val="24"/>
                <w:szCs w:val="24"/>
              </w:rPr>
            </w:pPr>
            <w:r w:rsidRPr="004E43B9">
              <w:rPr>
                <w:rFonts w:ascii="Arial" w:hAnsi="Arial" w:cs="Arial"/>
                <w:sz w:val="24"/>
                <w:szCs w:val="24"/>
              </w:rPr>
              <w:t>Summary judgment is granted with costs against the first and second defendants, the one paying, the other to be absolved, in the following terms:</w:t>
            </w:r>
          </w:p>
          <w:p w:rsidR="004E43B9" w:rsidRPr="00AD78EF" w:rsidRDefault="004E43B9" w:rsidP="004E43B9">
            <w:pPr>
              <w:spacing w:line="360" w:lineRule="auto"/>
              <w:ind w:left="743" w:hanging="743"/>
              <w:jc w:val="both"/>
              <w:rPr>
                <w:rFonts w:ascii="Arial" w:hAnsi="Arial" w:cs="Arial"/>
                <w:sz w:val="24"/>
                <w:szCs w:val="24"/>
              </w:rPr>
            </w:pPr>
          </w:p>
          <w:p w:rsidR="004E43B9" w:rsidRPr="00E67DB8" w:rsidRDefault="004E43B9" w:rsidP="004E43B9">
            <w:pPr>
              <w:pStyle w:val="ListParagraph"/>
              <w:numPr>
                <w:ilvl w:val="0"/>
                <w:numId w:val="12"/>
              </w:numPr>
              <w:spacing w:line="360" w:lineRule="auto"/>
              <w:jc w:val="both"/>
              <w:rPr>
                <w:rFonts w:ascii="Arial" w:hAnsi="Arial" w:cs="Arial"/>
                <w:sz w:val="24"/>
                <w:szCs w:val="24"/>
              </w:rPr>
            </w:pPr>
            <w:r w:rsidRPr="00E67DB8">
              <w:rPr>
                <w:rFonts w:ascii="Arial" w:hAnsi="Arial" w:cs="Arial"/>
                <w:sz w:val="24"/>
                <w:szCs w:val="24"/>
              </w:rPr>
              <w:t>Payment of N$326 000 into the account of the third defendant, plus interest on the said amount at the rate of 20 p</w:t>
            </w:r>
            <w:r>
              <w:rPr>
                <w:rFonts w:ascii="Arial" w:hAnsi="Arial" w:cs="Arial"/>
                <w:sz w:val="24"/>
                <w:szCs w:val="24"/>
              </w:rPr>
              <w:t>e</w:t>
            </w:r>
            <w:r w:rsidRPr="00E67DB8">
              <w:rPr>
                <w:rFonts w:ascii="Arial" w:hAnsi="Arial" w:cs="Arial"/>
                <w:sz w:val="24"/>
                <w:szCs w:val="24"/>
              </w:rPr>
              <w:t xml:space="preserve">r cent per annum </w:t>
            </w:r>
            <w:r w:rsidR="00442D1E" w:rsidRPr="00442D1E">
              <w:rPr>
                <w:rFonts w:ascii="Arial" w:hAnsi="Arial" w:cs="Arial"/>
                <w:i/>
                <w:sz w:val="24"/>
                <w:szCs w:val="24"/>
              </w:rPr>
              <w:t>a</w:t>
            </w:r>
            <w:r w:rsidR="00442D1E">
              <w:rPr>
                <w:rFonts w:ascii="Arial" w:hAnsi="Arial" w:cs="Arial"/>
                <w:sz w:val="24"/>
                <w:szCs w:val="24"/>
              </w:rPr>
              <w:t xml:space="preserve"> </w:t>
            </w:r>
            <w:proofErr w:type="spellStart"/>
            <w:r w:rsidRPr="00E67DB8">
              <w:rPr>
                <w:rFonts w:ascii="Arial" w:hAnsi="Arial" w:cs="Arial"/>
                <w:i/>
                <w:iCs/>
                <w:sz w:val="24"/>
                <w:szCs w:val="24"/>
              </w:rPr>
              <w:t>tempora</w:t>
            </w:r>
            <w:proofErr w:type="spellEnd"/>
            <w:r w:rsidRPr="00E67DB8">
              <w:rPr>
                <w:rFonts w:ascii="Arial" w:hAnsi="Arial" w:cs="Arial"/>
                <w:i/>
                <w:iCs/>
                <w:sz w:val="24"/>
                <w:szCs w:val="24"/>
              </w:rPr>
              <w:t xml:space="preserve"> </w:t>
            </w:r>
            <w:proofErr w:type="spellStart"/>
            <w:r w:rsidRPr="00E67DB8">
              <w:rPr>
                <w:rFonts w:ascii="Arial" w:hAnsi="Arial" w:cs="Arial"/>
                <w:i/>
                <w:iCs/>
                <w:sz w:val="24"/>
                <w:szCs w:val="24"/>
              </w:rPr>
              <w:t>morae</w:t>
            </w:r>
            <w:proofErr w:type="spellEnd"/>
            <w:r w:rsidRPr="00E67DB8">
              <w:rPr>
                <w:rFonts w:ascii="Arial" w:hAnsi="Arial" w:cs="Arial"/>
                <w:sz w:val="24"/>
                <w:szCs w:val="24"/>
              </w:rPr>
              <w:t xml:space="preserve"> from 1 Ma</w:t>
            </w:r>
            <w:r>
              <w:rPr>
                <w:rFonts w:ascii="Arial" w:hAnsi="Arial" w:cs="Arial"/>
                <w:sz w:val="24"/>
                <w:szCs w:val="24"/>
              </w:rPr>
              <w:t>r</w:t>
            </w:r>
            <w:r w:rsidRPr="00E67DB8">
              <w:rPr>
                <w:rFonts w:ascii="Arial" w:hAnsi="Arial" w:cs="Arial"/>
                <w:sz w:val="24"/>
                <w:szCs w:val="24"/>
              </w:rPr>
              <w:t>ch 2023 to the date of full and final payment; and</w:t>
            </w:r>
          </w:p>
          <w:p w:rsidR="004E43B9" w:rsidRPr="00E67DB8" w:rsidRDefault="004E43B9" w:rsidP="004E43B9">
            <w:pPr>
              <w:pStyle w:val="ListParagraph"/>
              <w:spacing w:line="360" w:lineRule="auto"/>
              <w:ind w:left="1448"/>
              <w:jc w:val="both"/>
              <w:rPr>
                <w:rFonts w:ascii="Arial" w:hAnsi="Arial" w:cs="Arial"/>
                <w:sz w:val="24"/>
                <w:szCs w:val="24"/>
              </w:rPr>
            </w:pPr>
          </w:p>
          <w:p w:rsidR="004E43B9" w:rsidRPr="00AD78EF" w:rsidRDefault="004E43B9" w:rsidP="004E43B9">
            <w:pPr>
              <w:spacing w:line="360" w:lineRule="auto"/>
              <w:ind w:left="743" w:hanging="743"/>
              <w:jc w:val="both"/>
              <w:rPr>
                <w:rFonts w:ascii="Arial" w:hAnsi="Arial" w:cs="Arial"/>
                <w:sz w:val="24"/>
                <w:szCs w:val="24"/>
              </w:rPr>
            </w:pPr>
            <w:r w:rsidRPr="00AD78EF">
              <w:rPr>
                <w:rFonts w:ascii="Arial" w:hAnsi="Arial" w:cs="Arial"/>
                <w:sz w:val="24"/>
                <w:szCs w:val="24"/>
              </w:rPr>
              <w:tab/>
              <w:t>(b)</w:t>
            </w:r>
            <w:r w:rsidRPr="00AD78EF">
              <w:rPr>
                <w:rFonts w:ascii="Arial" w:hAnsi="Arial" w:cs="Arial"/>
                <w:sz w:val="24"/>
                <w:szCs w:val="24"/>
              </w:rPr>
              <w:tab/>
              <w:t>Costs of suit.</w:t>
            </w:r>
          </w:p>
          <w:p w:rsidR="004E43B9" w:rsidRPr="00AD78EF" w:rsidRDefault="004E43B9" w:rsidP="004E43B9">
            <w:pPr>
              <w:spacing w:line="360" w:lineRule="auto"/>
              <w:ind w:left="743" w:hanging="743"/>
              <w:jc w:val="both"/>
              <w:rPr>
                <w:rFonts w:ascii="Arial" w:hAnsi="Arial" w:cs="Arial"/>
                <w:sz w:val="24"/>
                <w:szCs w:val="24"/>
              </w:rPr>
            </w:pPr>
          </w:p>
          <w:p w:rsidR="004E43B9" w:rsidRPr="00AD78EF" w:rsidRDefault="004E43B9" w:rsidP="004E43B9">
            <w:pPr>
              <w:spacing w:line="360" w:lineRule="auto"/>
              <w:ind w:left="743" w:hanging="743"/>
              <w:jc w:val="both"/>
              <w:rPr>
                <w:rFonts w:ascii="Arial" w:hAnsi="Arial" w:cs="Arial"/>
                <w:sz w:val="24"/>
                <w:szCs w:val="24"/>
              </w:rPr>
            </w:pPr>
            <w:r w:rsidRPr="00AD78EF">
              <w:rPr>
                <w:rFonts w:ascii="Arial" w:hAnsi="Arial" w:cs="Arial"/>
                <w:sz w:val="24"/>
                <w:szCs w:val="24"/>
              </w:rPr>
              <w:t>2.</w:t>
            </w:r>
            <w:r w:rsidRPr="00AD78EF">
              <w:rPr>
                <w:rFonts w:ascii="Arial" w:hAnsi="Arial" w:cs="Arial"/>
                <w:sz w:val="24"/>
                <w:szCs w:val="24"/>
              </w:rPr>
              <w:tab/>
              <w:t>The matter is finalised and removed from the roll.</w:t>
            </w:r>
          </w:p>
          <w:p w:rsidR="008C2200" w:rsidRPr="00B47800" w:rsidRDefault="008C2200" w:rsidP="00B47800">
            <w:pPr>
              <w:pStyle w:val="NormalWeb"/>
              <w:shd w:val="clear" w:color="auto" w:fill="FFFFFF"/>
              <w:spacing w:before="0" w:beforeAutospacing="0" w:after="0" w:afterAutospacing="0" w:line="360" w:lineRule="auto"/>
              <w:ind w:left="23"/>
              <w:jc w:val="both"/>
              <w:rPr>
                <w:rFonts w:ascii="Arial" w:hAnsi="Arial" w:cs="Arial"/>
              </w:rPr>
            </w:pPr>
          </w:p>
        </w:tc>
      </w:tr>
      <w:tr w:rsidR="00CA7995" w:rsidRPr="00CA7995" w:rsidTr="00136505">
        <w:trPr>
          <w:trHeight w:val="548"/>
        </w:trPr>
        <w:tc>
          <w:tcPr>
            <w:tcW w:w="10206" w:type="dxa"/>
            <w:gridSpan w:val="3"/>
          </w:tcPr>
          <w:p w:rsidR="00B40844" w:rsidRDefault="003B03B0"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w:t>
            </w:r>
            <w:r w:rsidR="00B40844" w:rsidRPr="00CA7995">
              <w:rPr>
                <w:rFonts w:ascii="Arial" w:hAnsi="Arial" w:cs="Arial"/>
                <w:b/>
                <w:sz w:val="24"/>
                <w:szCs w:val="24"/>
              </w:rPr>
              <w:t>easons for the above order:</w:t>
            </w:r>
          </w:p>
          <w:p w:rsidR="00C647EC" w:rsidRPr="00CA7995" w:rsidRDefault="00C647EC" w:rsidP="00937C89">
            <w:pPr>
              <w:tabs>
                <w:tab w:val="right" w:pos="9693"/>
              </w:tabs>
              <w:spacing w:line="360" w:lineRule="auto"/>
              <w:jc w:val="both"/>
              <w:rPr>
                <w:rFonts w:ascii="Arial" w:hAnsi="Arial" w:cs="Arial"/>
                <w:b/>
                <w:sz w:val="24"/>
                <w:szCs w:val="24"/>
              </w:rPr>
            </w:pPr>
          </w:p>
        </w:tc>
      </w:tr>
      <w:tr w:rsidR="00CA7995" w:rsidRPr="00CA7995" w:rsidTr="00136505">
        <w:tc>
          <w:tcPr>
            <w:tcW w:w="10206" w:type="dxa"/>
            <w:gridSpan w:val="3"/>
          </w:tcPr>
          <w:p w:rsidR="0003697D" w:rsidRDefault="0003697D" w:rsidP="00ED76B2">
            <w:pPr>
              <w:spacing w:line="360" w:lineRule="auto"/>
              <w:jc w:val="both"/>
              <w:rPr>
                <w:rFonts w:ascii="Arial" w:hAnsi="Arial" w:cs="Arial"/>
                <w:sz w:val="24"/>
                <w:szCs w:val="24"/>
              </w:rPr>
            </w:pPr>
          </w:p>
          <w:p w:rsidR="00B40844" w:rsidRDefault="003B03B0" w:rsidP="00ED76B2">
            <w:pPr>
              <w:spacing w:line="360" w:lineRule="auto"/>
              <w:jc w:val="both"/>
              <w:rPr>
                <w:rFonts w:ascii="Arial" w:hAnsi="Arial" w:cs="Arial"/>
                <w:sz w:val="24"/>
                <w:szCs w:val="24"/>
              </w:rPr>
            </w:pPr>
            <w:r>
              <w:rPr>
                <w:rFonts w:ascii="Arial" w:hAnsi="Arial" w:cs="Arial"/>
                <w:sz w:val="24"/>
                <w:szCs w:val="24"/>
              </w:rPr>
              <w:t>PARKER AJ:</w:t>
            </w:r>
          </w:p>
          <w:p w:rsidR="003B03B0" w:rsidRPr="00CA7995" w:rsidRDefault="003B03B0" w:rsidP="00ED76B2">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Pr="00AD78EF">
              <w:rPr>
                <w:rFonts w:ascii="Arial" w:hAnsi="Arial" w:cs="Arial"/>
                <w:sz w:val="24"/>
                <w:szCs w:val="24"/>
              </w:rPr>
              <w:tab/>
              <w:t>The plaintiffs have instituted a derivative action under Case No. HC-MD-CIV-ACT-OTH-2023/01061. The instant matter is an application for a summary judgment order against the first and second defendants.</w:t>
            </w:r>
          </w:p>
          <w:p w:rsidR="00AD78EF" w:rsidRPr="00AD78EF" w:rsidRDefault="00AD78EF" w:rsidP="00AD78EF">
            <w:pPr>
              <w:spacing w:line="360" w:lineRule="auto"/>
              <w:ind w:left="720"/>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[2]</w:t>
            </w:r>
            <w:r w:rsidRPr="00AD78EF">
              <w:rPr>
                <w:rFonts w:ascii="Arial" w:hAnsi="Arial" w:cs="Arial"/>
                <w:sz w:val="24"/>
                <w:szCs w:val="24"/>
              </w:rPr>
              <w:tab/>
              <w:t>The particulars of claim in substance carry the hallmark of a derivative action in virtue of the joinder of the majority shareholder and one of the directors (the alleged wrongdoer) of the company as the first defendant, and the company as the third defendant when no relief is claimed against it, which the plaintiffs have claimed against the first defendant. The claim is against the second defendant, who is the financial manager, of the company, too. He has been joined because he did the unlawful bidding of the first defendant which is the cause of action in this matter.</w:t>
            </w:r>
          </w:p>
          <w:p w:rsidR="00AD78EF" w:rsidRPr="00AD78EF" w:rsidRDefault="00AD78EF" w:rsidP="00AD78EF">
            <w:pPr>
              <w:spacing w:line="360" w:lineRule="auto"/>
              <w:ind w:left="720"/>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[3]</w:t>
            </w:r>
            <w:r w:rsidRPr="00AD78EF">
              <w:rPr>
                <w:rFonts w:ascii="Arial" w:hAnsi="Arial" w:cs="Arial"/>
                <w:sz w:val="24"/>
                <w:szCs w:val="24"/>
              </w:rPr>
              <w:tab/>
              <w:t xml:space="preserve"> Relying on textual authority, the Supreme Court formulated the principle of derivative action in the following terms:</w:t>
            </w:r>
          </w:p>
          <w:p w:rsidR="00AD78EF" w:rsidRPr="00AD78EF" w:rsidRDefault="00AD78EF" w:rsidP="00AD78EF">
            <w:pPr>
              <w:spacing w:line="360" w:lineRule="auto"/>
              <w:ind w:left="720"/>
              <w:jc w:val="both"/>
              <w:rPr>
                <w:rFonts w:ascii="Arial" w:hAnsi="Arial" w:cs="Arial"/>
                <w:sz w:val="24"/>
                <w:szCs w:val="24"/>
              </w:rPr>
            </w:pPr>
          </w:p>
          <w:p w:rsidR="00AD78EF" w:rsidRPr="00AD78EF" w:rsidRDefault="00AD78EF" w:rsidP="00AD78EF">
            <w:pPr>
              <w:spacing w:line="360" w:lineRule="auto"/>
              <w:ind w:left="33" w:firstLine="687"/>
              <w:jc w:val="both"/>
              <w:rPr>
                <w:rFonts w:ascii="Arial" w:hAnsi="Arial" w:cs="Arial"/>
                <w:sz w:val="24"/>
                <w:szCs w:val="24"/>
              </w:rPr>
            </w:pPr>
            <w:r w:rsidRPr="00AD78EF">
              <w:rPr>
                <w:rFonts w:ascii="Arial" w:hAnsi="Arial" w:cs="Arial"/>
              </w:rPr>
              <w:t>‘If the company cannot or will not act against those who wronged it, a derivative action on behalf of the company may be instituted in certain circumstances. Such an action will have to be instituted against the wrongdoers by somebody acting on behalf of himself and all the other shareholders other than the wrongdoers. The company being unable to act as a plaintiff must be joined as a nominal defendant so that it is a party to the proceedings and any order of the court can be made applicable to it.’</w:t>
            </w:r>
            <w:r w:rsidRPr="00AD78EF">
              <w:rPr>
                <w:rStyle w:val="FootnoteReference"/>
                <w:rFonts w:ascii="Arial" w:hAnsi="Arial" w:cs="Arial"/>
                <w:sz w:val="24"/>
                <w:szCs w:val="24"/>
              </w:rPr>
              <w:footnoteReference w:id="1"/>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[4]</w:t>
            </w:r>
            <w:r w:rsidRPr="00AD78EF">
              <w:rPr>
                <w:rFonts w:ascii="Arial" w:hAnsi="Arial" w:cs="Arial"/>
                <w:sz w:val="24"/>
                <w:szCs w:val="24"/>
              </w:rPr>
              <w:tab/>
              <w:t>A variety of wrongdoers are conceivable, and they include majority shareholders and board directors, among others.</w:t>
            </w:r>
            <w:r w:rsidRPr="00AD78EF">
              <w:rPr>
                <w:rStyle w:val="FootnoteReference"/>
                <w:rFonts w:ascii="Arial" w:hAnsi="Arial" w:cs="Arial"/>
                <w:sz w:val="24"/>
                <w:szCs w:val="24"/>
              </w:rPr>
              <w:footnoteReference w:id="2"/>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[5]</w:t>
            </w:r>
            <w:r w:rsidRPr="00AD78EF">
              <w:rPr>
                <w:rFonts w:ascii="Arial" w:hAnsi="Arial" w:cs="Arial"/>
                <w:sz w:val="24"/>
                <w:szCs w:val="24"/>
              </w:rPr>
              <w:tab/>
              <w:t>The plaintiffs</w:t>
            </w:r>
            <w:r w:rsidR="00FF497E">
              <w:rPr>
                <w:rFonts w:ascii="Arial" w:hAnsi="Arial" w:cs="Arial"/>
                <w:sz w:val="24"/>
                <w:szCs w:val="24"/>
              </w:rPr>
              <w:t>, represented by Mr</w:t>
            </w:r>
            <w:r w:rsidRPr="00AD78EF">
              <w:rPr>
                <w:rFonts w:ascii="Arial" w:hAnsi="Arial" w:cs="Arial"/>
                <w:sz w:val="24"/>
                <w:szCs w:val="24"/>
              </w:rPr>
              <w:t xml:space="preserve"> </w:t>
            </w:r>
            <w:proofErr w:type="spellStart"/>
            <w:r w:rsidRPr="00AD78EF">
              <w:rPr>
                <w:rFonts w:ascii="Arial" w:hAnsi="Arial" w:cs="Arial"/>
                <w:sz w:val="24"/>
                <w:szCs w:val="24"/>
              </w:rPr>
              <w:t>Bangamwabo</w:t>
            </w:r>
            <w:proofErr w:type="spellEnd"/>
            <w:r w:rsidRPr="00AD78EF">
              <w:rPr>
                <w:rFonts w:ascii="Arial" w:hAnsi="Arial" w:cs="Arial"/>
                <w:sz w:val="24"/>
                <w:szCs w:val="24"/>
              </w:rPr>
              <w:t xml:space="preserve">, have brought a summary judgment application. The first and second defendants, represented by Ms </w:t>
            </w:r>
            <w:proofErr w:type="spellStart"/>
            <w:r w:rsidRPr="00AD78EF">
              <w:rPr>
                <w:rFonts w:ascii="Arial" w:hAnsi="Arial" w:cs="Arial"/>
                <w:sz w:val="24"/>
                <w:szCs w:val="24"/>
              </w:rPr>
              <w:t>Jakob</w:t>
            </w:r>
            <w:proofErr w:type="spellEnd"/>
            <w:r w:rsidRPr="00AD78EF">
              <w:rPr>
                <w:rFonts w:ascii="Arial" w:hAnsi="Arial" w:cs="Arial"/>
                <w:sz w:val="24"/>
                <w:szCs w:val="24"/>
              </w:rPr>
              <w:t>, have moved to reject the application.</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[6]</w:t>
            </w:r>
            <w:r w:rsidRPr="00AD78EF">
              <w:rPr>
                <w:rFonts w:ascii="Arial" w:hAnsi="Arial" w:cs="Arial"/>
                <w:sz w:val="24"/>
                <w:szCs w:val="24"/>
              </w:rPr>
              <w:tab/>
              <w:t>In resisting the application, the first defendant has filed an opposing affidavit and states that he has done so on his own behalf and on behalf of the second and third defendants. The second defendant is the financial manager of the third defendant, an incorporated company. The first defendant is the m</w:t>
            </w:r>
            <w:r w:rsidR="00FF497E">
              <w:rPr>
                <w:rFonts w:ascii="Arial" w:hAnsi="Arial" w:cs="Arial"/>
                <w:sz w:val="24"/>
                <w:szCs w:val="24"/>
              </w:rPr>
              <w:t>ajority shareholder</w:t>
            </w:r>
            <w:r w:rsidRPr="00AD78EF">
              <w:rPr>
                <w:rFonts w:ascii="Arial" w:hAnsi="Arial" w:cs="Arial"/>
                <w:sz w:val="24"/>
                <w:szCs w:val="24"/>
              </w:rPr>
              <w:t xml:space="preserve"> of the third defendant, holding 55</w:t>
            </w:r>
            <w:r w:rsidR="00FF497E" w:rsidRPr="00E67DB8">
              <w:rPr>
                <w:rFonts w:ascii="Arial" w:hAnsi="Arial" w:cs="Arial"/>
                <w:sz w:val="24"/>
                <w:szCs w:val="24"/>
              </w:rPr>
              <w:t xml:space="preserve"> p</w:t>
            </w:r>
            <w:r w:rsidR="00FF497E">
              <w:rPr>
                <w:rFonts w:ascii="Arial" w:hAnsi="Arial" w:cs="Arial"/>
                <w:sz w:val="24"/>
                <w:szCs w:val="24"/>
              </w:rPr>
              <w:t>e</w:t>
            </w:r>
            <w:r w:rsidR="00FF497E" w:rsidRPr="00E67DB8">
              <w:rPr>
                <w:rFonts w:ascii="Arial" w:hAnsi="Arial" w:cs="Arial"/>
                <w:sz w:val="24"/>
                <w:szCs w:val="24"/>
              </w:rPr>
              <w:t>r cent</w:t>
            </w:r>
            <w:r w:rsidRPr="00AD78EF">
              <w:rPr>
                <w:rFonts w:ascii="Arial" w:hAnsi="Arial" w:cs="Arial"/>
                <w:sz w:val="24"/>
                <w:szCs w:val="24"/>
              </w:rPr>
              <w:t xml:space="preserve"> of shares. The first plaintiff holds 22.5</w:t>
            </w:r>
            <w:r w:rsidR="00FF497E" w:rsidRPr="00E67DB8">
              <w:rPr>
                <w:rFonts w:ascii="Arial" w:hAnsi="Arial" w:cs="Arial"/>
                <w:sz w:val="24"/>
                <w:szCs w:val="24"/>
              </w:rPr>
              <w:t xml:space="preserve"> p</w:t>
            </w:r>
            <w:r w:rsidR="00FF497E">
              <w:rPr>
                <w:rFonts w:ascii="Arial" w:hAnsi="Arial" w:cs="Arial"/>
                <w:sz w:val="24"/>
                <w:szCs w:val="24"/>
              </w:rPr>
              <w:t>e</w:t>
            </w:r>
            <w:r w:rsidR="00FF497E" w:rsidRPr="00E67DB8">
              <w:rPr>
                <w:rFonts w:ascii="Arial" w:hAnsi="Arial" w:cs="Arial"/>
                <w:sz w:val="24"/>
                <w:szCs w:val="24"/>
              </w:rPr>
              <w:t>r cent</w:t>
            </w:r>
            <w:r w:rsidRPr="00AD78EF">
              <w:rPr>
                <w:rFonts w:ascii="Arial" w:hAnsi="Arial" w:cs="Arial"/>
                <w:sz w:val="24"/>
                <w:szCs w:val="24"/>
              </w:rPr>
              <w:t xml:space="preserve"> </w:t>
            </w:r>
            <w:r w:rsidR="0003697D">
              <w:rPr>
                <w:rFonts w:ascii="Arial" w:hAnsi="Arial" w:cs="Arial"/>
                <w:sz w:val="24"/>
                <w:szCs w:val="24"/>
              </w:rPr>
              <w:t>of share</w:t>
            </w:r>
            <w:r w:rsidR="00AA761D">
              <w:rPr>
                <w:rFonts w:ascii="Arial" w:hAnsi="Arial" w:cs="Arial"/>
                <w:sz w:val="24"/>
                <w:szCs w:val="24"/>
              </w:rPr>
              <w:t>s</w:t>
            </w:r>
            <w:r w:rsidR="0003697D">
              <w:rPr>
                <w:rFonts w:ascii="Arial" w:hAnsi="Arial" w:cs="Arial"/>
                <w:sz w:val="24"/>
                <w:szCs w:val="24"/>
              </w:rPr>
              <w:t xml:space="preserve"> of the third defendant</w:t>
            </w:r>
            <w:r w:rsidRPr="00AD78EF">
              <w:rPr>
                <w:rFonts w:ascii="Arial" w:hAnsi="Arial" w:cs="Arial"/>
                <w:sz w:val="24"/>
                <w:szCs w:val="24"/>
              </w:rPr>
              <w:t xml:space="preserve"> and the second plaintiff 22.5</w:t>
            </w:r>
            <w:r w:rsidR="00FF497E" w:rsidRPr="00E67DB8">
              <w:rPr>
                <w:rFonts w:ascii="Arial" w:hAnsi="Arial" w:cs="Arial"/>
                <w:sz w:val="24"/>
                <w:szCs w:val="24"/>
              </w:rPr>
              <w:t xml:space="preserve"> p</w:t>
            </w:r>
            <w:r w:rsidR="00FF497E">
              <w:rPr>
                <w:rFonts w:ascii="Arial" w:hAnsi="Arial" w:cs="Arial"/>
                <w:sz w:val="24"/>
                <w:szCs w:val="24"/>
              </w:rPr>
              <w:t>e</w:t>
            </w:r>
            <w:r w:rsidR="00FF497E" w:rsidRPr="00E67DB8">
              <w:rPr>
                <w:rFonts w:ascii="Arial" w:hAnsi="Arial" w:cs="Arial"/>
                <w:sz w:val="24"/>
                <w:szCs w:val="24"/>
              </w:rPr>
              <w:t>r cent</w:t>
            </w:r>
            <w:r w:rsidRPr="00AD78EF">
              <w:rPr>
                <w:rFonts w:ascii="Arial" w:hAnsi="Arial" w:cs="Arial"/>
                <w:sz w:val="24"/>
                <w:szCs w:val="24"/>
              </w:rPr>
              <w:t xml:space="preserve"> shares.</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[7]</w:t>
            </w:r>
            <w:r w:rsidRPr="00AD78EF">
              <w:rPr>
                <w:rFonts w:ascii="Arial" w:hAnsi="Arial" w:cs="Arial"/>
                <w:sz w:val="24"/>
                <w:szCs w:val="24"/>
              </w:rPr>
              <w:tab/>
              <w:t>The shareholding structure is in the particulars of claim. I have no good reason to hold that it is not correct. The first defendant alleges that the legitimacy of the plaintiffs as shareholders is yet to be determined in a separate action under Case No. HC-MD-CIV-ACT-CON-2021/00463. That may be so. But that should not concern this court. This court is seized with the action under Case No. HC-MD-CIV-ACT-OTH-2023/01061.</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[8]</w:t>
            </w:r>
            <w:r w:rsidRPr="00AD78EF">
              <w:rPr>
                <w:rFonts w:ascii="Arial" w:hAnsi="Arial" w:cs="Arial"/>
                <w:sz w:val="24"/>
                <w:szCs w:val="24"/>
              </w:rPr>
              <w:tab/>
              <w:t xml:space="preserve">As Mr </w:t>
            </w:r>
            <w:proofErr w:type="spellStart"/>
            <w:r w:rsidRPr="00AD78EF">
              <w:rPr>
                <w:rFonts w:ascii="Arial" w:hAnsi="Arial" w:cs="Arial"/>
                <w:sz w:val="24"/>
                <w:szCs w:val="24"/>
              </w:rPr>
              <w:t>Bangamwabo</w:t>
            </w:r>
            <w:proofErr w:type="spellEnd"/>
            <w:r w:rsidRPr="00AD78EF">
              <w:rPr>
                <w:rFonts w:ascii="Arial" w:hAnsi="Arial" w:cs="Arial"/>
                <w:sz w:val="24"/>
                <w:szCs w:val="24"/>
              </w:rPr>
              <w:t xml:space="preserve"> stressed in his submission, the plaintiffs, as minority shareholders, have instituted a derivate action to enforce the company’s rights. A minority shareholder is entitled to sue where a wrong has been done to the company to restrain its continuance, or to recover the company’s assets. The courts have recognised that a derivate action may be instituted by an individual shareholder where the company has failed, as is the case in the instant matter, to do so.</w:t>
            </w:r>
            <w:r w:rsidRPr="00AD78EF">
              <w:rPr>
                <w:rStyle w:val="FootnoteReference"/>
                <w:rFonts w:ascii="Arial" w:hAnsi="Arial" w:cs="Arial"/>
                <w:sz w:val="24"/>
                <w:szCs w:val="24"/>
              </w:rPr>
              <w:footnoteReference w:id="3"/>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 xml:space="preserve"> [9]</w:t>
            </w:r>
            <w:r w:rsidRPr="00AD78EF">
              <w:rPr>
                <w:rFonts w:ascii="Arial" w:hAnsi="Arial" w:cs="Arial"/>
                <w:sz w:val="24"/>
                <w:szCs w:val="24"/>
              </w:rPr>
              <w:tab/>
              <w:t xml:space="preserve">As respects the purpose of rule 60 of the rules of court and the burden of the defendant who wishes to resist the summary judgment order, I stated in </w:t>
            </w:r>
            <w:r w:rsidRPr="00AD78EF">
              <w:rPr>
                <w:rFonts w:ascii="Arial" w:hAnsi="Arial" w:cs="Arial"/>
                <w:i/>
                <w:iCs/>
                <w:sz w:val="24"/>
                <w:szCs w:val="24"/>
              </w:rPr>
              <w:t>Bank Windhoek Limited v Nicodemus</w:t>
            </w:r>
            <w:r w:rsidRPr="00AD78EF">
              <w:rPr>
                <w:rFonts w:ascii="Arial" w:hAnsi="Arial" w:cs="Arial"/>
                <w:sz w:val="24"/>
                <w:szCs w:val="24"/>
              </w:rPr>
              <w:t xml:space="preserve"> thus:</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ind w:left="33" w:firstLine="687"/>
              <w:jc w:val="both"/>
              <w:rPr>
                <w:rFonts w:ascii="Arial" w:hAnsi="Arial" w:cs="Arial"/>
              </w:rPr>
            </w:pPr>
            <w:r>
              <w:rPr>
                <w:rFonts w:ascii="Arial" w:hAnsi="Arial" w:cs="Arial"/>
              </w:rPr>
              <w:t>‘</w:t>
            </w:r>
            <w:r w:rsidRPr="00AD78EF">
              <w:rPr>
                <w:rFonts w:ascii="Arial" w:hAnsi="Arial" w:cs="Arial"/>
              </w:rPr>
              <w:t>[3]</w:t>
            </w:r>
            <w:r w:rsidRPr="00AD78EF">
              <w:rPr>
                <w:rFonts w:ascii="Arial" w:hAnsi="Arial" w:cs="Arial"/>
              </w:rPr>
              <w:tab/>
              <w:t>The purpose of an order in terms of rule 60 of the rules of court is to enable a plaintiff to obtain a summary judgment swiftly without trial, if the plaintiff has a clear case and if the defendant is unable to set up a bona fide defence, which is good in law or raise an issue against the claim which ought to be tried.</w:t>
            </w:r>
          </w:p>
          <w:p w:rsidR="00AD78EF" w:rsidRPr="00AD78EF" w:rsidRDefault="00AD78EF" w:rsidP="00AD78EF">
            <w:pPr>
              <w:spacing w:line="360" w:lineRule="auto"/>
              <w:ind w:left="720"/>
              <w:jc w:val="both"/>
              <w:rPr>
                <w:rFonts w:ascii="Arial" w:hAnsi="Arial" w:cs="Arial"/>
              </w:rPr>
            </w:pPr>
          </w:p>
          <w:p w:rsidR="00AD78EF" w:rsidRPr="00AD78EF" w:rsidRDefault="00AD78EF" w:rsidP="00AD78EF">
            <w:pPr>
              <w:spacing w:line="360" w:lineRule="auto"/>
              <w:ind w:left="33"/>
              <w:jc w:val="both"/>
              <w:rPr>
                <w:rFonts w:ascii="Arial" w:hAnsi="Arial" w:cs="Arial"/>
                <w:sz w:val="24"/>
                <w:szCs w:val="24"/>
              </w:rPr>
            </w:pPr>
            <w:r w:rsidRPr="00AD78EF">
              <w:rPr>
                <w:rFonts w:ascii="Arial" w:hAnsi="Arial" w:cs="Arial"/>
              </w:rPr>
              <w:t>[4]</w:t>
            </w:r>
            <w:r w:rsidRPr="00AD78EF">
              <w:rPr>
                <w:rFonts w:ascii="Arial" w:hAnsi="Arial" w:cs="Arial"/>
              </w:rPr>
              <w:tab/>
              <w:t xml:space="preserve">It follows inexorably that to resist a summary judgment order, the defendant bears the onus of satisfying the court that he or she has set up a bona fide defence which is good in law or that he or she has raised an issue which ought to be tried. To establish these requisites, the defendant must fully disclose the nature and grounds of the defence and the material facts upon which that defence is </w:t>
            </w:r>
            <w:r w:rsidRPr="00AD78EF">
              <w:rPr>
                <w:rFonts w:ascii="Arial" w:hAnsi="Arial" w:cs="Arial"/>
              </w:rPr>
              <w:lastRenderedPageBreak/>
              <w:t>founded, in the sense that there need to be factual material placed before the court sufficiently placing in doubt that the plaintiff’s claim is unanswerable.</w:t>
            </w:r>
            <w:r w:rsidRPr="00AD78EF">
              <w:rPr>
                <w:rFonts w:ascii="Arial" w:hAnsi="Arial" w:cs="Arial"/>
                <w:sz w:val="24"/>
                <w:szCs w:val="24"/>
              </w:rPr>
              <w:t>’</w:t>
            </w:r>
            <w:r w:rsidRPr="00AD78EF">
              <w:rPr>
                <w:rStyle w:val="FootnoteReference"/>
                <w:rFonts w:ascii="Arial" w:hAnsi="Arial" w:cs="Arial"/>
                <w:sz w:val="24"/>
                <w:szCs w:val="24"/>
              </w:rPr>
              <w:footnoteReference w:id="4"/>
            </w:r>
          </w:p>
          <w:p w:rsidR="00AD78EF" w:rsidRPr="00AD78EF" w:rsidRDefault="00AD78EF" w:rsidP="00AD78EF">
            <w:pPr>
              <w:spacing w:line="360" w:lineRule="auto"/>
              <w:ind w:left="720"/>
              <w:jc w:val="both"/>
              <w:rPr>
                <w:rFonts w:ascii="Arial" w:hAnsi="Arial" w:cs="Arial"/>
                <w:sz w:val="24"/>
                <w:szCs w:val="24"/>
              </w:rPr>
            </w:pPr>
          </w:p>
          <w:p w:rsidR="00AD78EF" w:rsidRDefault="00AD78EF" w:rsidP="00AD78EF">
            <w:pPr>
              <w:spacing w:line="360" w:lineRule="auto"/>
              <w:jc w:val="both"/>
              <w:rPr>
                <w:rFonts w:ascii="Arial" w:hAnsi="Arial" w:cs="Arial"/>
                <w:sz w:val="24"/>
                <w:szCs w:val="24"/>
              </w:rPr>
            </w:pPr>
            <w:r w:rsidRPr="00AD78EF">
              <w:rPr>
                <w:rFonts w:ascii="Arial" w:hAnsi="Arial" w:cs="Arial"/>
                <w:sz w:val="24"/>
                <w:szCs w:val="24"/>
              </w:rPr>
              <w:t>[10]</w:t>
            </w:r>
            <w:r w:rsidRPr="00AD78EF">
              <w:rPr>
                <w:rFonts w:ascii="Arial" w:hAnsi="Arial" w:cs="Arial"/>
                <w:sz w:val="24"/>
                <w:szCs w:val="24"/>
              </w:rPr>
              <w:tab/>
              <w:t>In the instant matter, the factual material that the first defendant has placed before the court in his attempt to resist summary judgment is the following verbatim:</w:t>
            </w:r>
          </w:p>
          <w:p w:rsidR="00E67DB8" w:rsidRPr="00AD78EF" w:rsidRDefault="00E67DB8" w:rsidP="00AD78EF">
            <w:pPr>
              <w:spacing w:line="360" w:lineRule="auto"/>
              <w:jc w:val="both"/>
              <w:rPr>
                <w:rFonts w:ascii="Arial" w:hAnsi="Arial" w:cs="Arial"/>
                <w:sz w:val="24"/>
                <w:szCs w:val="24"/>
              </w:rPr>
            </w:pPr>
          </w:p>
          <w:p w:rsidR="00AD78EF" w:rsidRPr="00E67DB8" w:rsidRDefault="00AD78EF" w:rsidP="00E67DB8">
            <w:pPr>
              <w:spacing w:line="360" w:lineRule="auto"/>
              <w:ind w:left="34" w:firstLine="687"/>
              <w:jc w:val="both"/>
              <w:rPr>
                <w:rFonts w:ascii="Arial" w:hAnsi="Arial" w:cs="Arial"/>
              </w:rPr>
            </w:pPr>
            <w:r w:rsidRPr="00E67DB8">
              <w:rPr>
                <w:rFonts w:ascii="Arial" w:hAnsi="Arial" w:cs="Arial"/>
              </w:rPr>
              <w:t>‘(1)</w:t>
            </w:r>
            <w:r w:rsidRPr="00E67DB8">
              <w:rPr>
                <w:rFonts w:ascii="Arial" w:hAnsi="Arial" w:cs="Arial"/>
              </w:rPr>
              <w:tab/>
              <w:t>I am the majority shareholder in and of the Third Defendant, with 55% shares.</w:t>
            </w:r>
          </w:p>
          <w:p w:rsidR="00AD78EF" w:rsidRPr="00E67DB8" w:rsidRDefault="00AD78EF" w:rsidP="00E67DB8">
            <w:pPr>
              <w:spacing w:line="360" w:lineRule="auto"/>
              <w:ind w:left="34" w:firstLine="687"/>
              <w:jc w:val="both"/>
              <w:rPr>
                <w:rFonts w:ascii="Arial" w:hAnsi="Arial" w:cs="Arial"/>
              </w:rPr>
            </w:pPr>
            <w:r w:rsidRPr="00E67DB8">
              <w:rPr>
                <w:rFonts w:ascii="Arial" w:hAnsi="Arial" w:cs="Arial"/>
              </w:rPr>
              <w:t xml:space="preserve"> </w:t>
            </w:r>
          </w:p>
          <w:p w:rsidR="00AD78EF" w:rsidRPr="00E67DB8" w:rsidRDefault="00AD78EF" w:rsidP="00E67DB8">
            <w:pPr>
              <w:spacing w:line="360" w:lineRule="auto"/>
              <w:ind w:left="34"/>
              <w:jc w:val="both"/>
              <w:rPr>
                <w:rFonts w:ascii="Arial" w:hAnsi="Arial" w:cs="Arial"/>
              </w:rPr>
            </w:pPr>
            <w:r w:rsidRPr="00E67DB8">
              <w:rPr>
                <w:rFonts w:ascii="Arial" w:hAnsi="Arial" w:cs="Arial"/>
              </w:rPr>
              <w:t>(2)</w:t>
            </w:r>
            <w:r w:rsidRPr="00E67DB8">
              <w:rPr>
                <w:rFonts w:ascii="Arial" w:hAnsi="Arial" w:cs="Arial"/>
              </w:rPr>
              <w:tab/>
              <w:t>On or about 01 May 2020, I instructed the Second Defendant, sole signatory to the Third Defendant’s account in Namibia to make a payment of N$326 000 from the Third Defendant’s account of Squirrel Investment CC.</w:t>
            </w:r>
          </w:p>
          <w:p w:rsidR="00AD78EF" w:rsidRPr="00E67DB8" w:rsidRDefault="00AD78EF" w:rsidP="00E67DB8">
            <w:pPr>
              <w:spacing w:line="360" w:lineRule="auto"/>
              <w:ind w:left="34" w:firstLine="687"/>
              <w:jc w:val="both"/>
              <w:rPr>
                <w:rFonts w:ascii="Arial" w:hAnsi="Arial" w:cs="Arial"/>
              </w:rPr>
            </w:pPr>
          </w:p>
          <w:p w:rsidR="00AD78EF" w:rsidRPr="00E67DB8" w:rsidRDefault="00AD78EF" w:rsidP="00E67DB8">
            <w:pPr>
              <w:spacing w:line="360" w:lineRule="auto"/>
              <w:ind w:left="34" w:hanging="33"/>
              <w:jc w:val="both"/>
              <w:rPr>
                <w:rFonts w:ascii="Arial" w:hAnsi="Arial" w:cs="Arial"/>
              </w:rPr>
            </w:pPr>
            <w:r w:rsidRPr="00E67DB8">
              <w:rPr>
                <w:rFonts w:ascii="Arial" w:hAnsi="Arial" w:cs="Arial"/>
              </w:rPr>
              <w:t>(3)</w:t>
            </w:r>
            <w:r w:rsidRPr="00E67DB8">
              <w:rPr>
                <w:rFonts w:ascii="Arial" w:hAnsi="Arial" w:cs="Arial"/>
              </w:rPr>
              <w:tab/>
              <w:t>I am the sole owner and Managing Director of Squirrel Investment CC, and it owns the Forklift that was rented out to the Third Defendant.</w:t>
            </w:r>
          </w:p>
          <w:p w:rsidR="00AD78EF" w:rsidRPr="00E67DB8" w:rsidRDefault="00AD78EF" w:rsidP="00E67DB8">
            <w:pPr>
              <w:spacing w:line="360" w:lineRule="auto"/>
              <w:ind w:left="34" w:firstLine="687"/>
              <w:jc w:val="both"/>
              <w:rPr>
                <w:rFonts w:ascii="Arial" w:hAnsi="Arial" w:cs="Arial"/>
              </w:rPr>
            </w:pPr>
          </w:p>
          <w:p w:rsidR="00AD78EF" w:rsidRPr="00E67DB8" w:rsidRDefault="00AD78EF" w:rsidP="00E67DB8">
            <w:pPr>
              <w:spacing w:line="360" w:lineRule="auto"/>
              <w:ind w:left="34"/>
              <w:jc w:val="both"/>
              <w:rPr>
                <w:rFonts w:ascii="Arial" w:hAnsi="Arial" w:cs="Arial"/>
              </w:rPr>
            </w:pPr>
            <w:r w:rsidRPr="00E67DB8">
              <w:rPr>
                <w:rFonts w:ascii="Arial" w:hAnsi="Arial" w:cs="Arial"/>
              </w:rPr>
              <w:t>(4)</w:t>
            </w:r>
            <w:r w:rsidRPr="00E67DB8">
              <w:rPr>
                <w:rFonts w:ascii="Arial" w:hAnsi="Arial" w:cs="Arial"/>
              </w:rPr>
              <w:tab/>
              <w:t xml:space="preserve">This transfer was for a partial payment of money in the amount of N$1,800,000.00. This was in line with a board meeting thereon. Attached hereto are the minutes to (of) the meeting held on 5 December 2019 and marked as </w:t>
            </w:r>
            <w:proofErr w:type="spellStart"/>
            <w:r w:rsidRPr="00E67DB8">
              <w:rPr>
                <w:rFonts w:ascii="Arial" w:hAnsi="Arial" w:cs="Arial"/>
              </w:rPr>
              <w:t>Annexture</w:t>
            </w:r>
            <w:proofErr w:type="spellEnd"/>
            <w:r w:rsidRPr="00E67DB8">
              <w:rPr>
                <w:rFonts w:ascii="Arial" w:hAnsi="Arial" w:cs="Arial"/>
              </w:rPr>
              <w:t xml:space="preserve"> “C”.’ </w:t>
            </w:r>
          </w:p>
          <w:p w:rsidR="00AD78EF" w:rsidRPr="00AD78EF" w:rsidRDefault="00AD78EF" w:rsidP="00AD78EF">
            <w:pPr>
              <w:spacing w:line="360" w:lineRule="auto"/>
              <w:ind w:left="1440" w:hanging="720"/>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[11]</w:t>
            </w:r>
            <w:r w:rsidRPr="00AD78EF">
              <w:rPr>
                <w:rFonts w:ascii="Arial" w:hAnsi="Arial" w:cs="Arial"/>
                <w:sz w:val="24"/>
                <w:szCs w:val="24"/>
              </w:rPr>
              <w:tab/>
              <w:t>It is important to note that the first defendant is a shareholder and one of the directors of the company. The director bears fiduciary duties to the company, that is, the duty to act bona fide and the duty to avoid a conflict of interest. Breach of any of the duties results in liability for the director. The duty to act bona fide is a subjective overarching duty. The bone and marrow of this duty is that the director must act honestly.</w:t>
            </w:r>
            <w:r w:rsidRPr="00AD78EF">
              <w:rPr>
                <w:rStyle w:val="FootnoteReference"/>
                <w:rFonts w:ascii="Arial" w:hAnsi="Arial" w:cs="Arial"/>
                <w:sz w:val="24"/>
                <w:szCs w:val="24"/>
              </w:rPr>
              <w:footnoteReference w:id="5"/>
            </w:r>
            <w:r w:rsidRPr="00AD78EF">
              <w:rPr>
                <w:rFonts w:ascii="Arial" w:hAnsi="Arial" w:cs="Arial"/>
                <w:sz w:val="24"/>
                <w:szCs w:val="24"/>
              </w:rPr>
              <w:t xml:space="preserve"> The fiduciary duty to avoid a conflict of interest requires the director to exercise the duty in the interests of the company.</w:t>
            </w:r>
            <w:r w:rsidRPr="00AD78EF">
              <w:rPr>
                <w:rStyle w:val="FootnoteReference"/>
                <w:rFonts w:ascii="Arial" w:hAnsi="Arial" w:cs="Arial"/>
                <w:sz w:val="24"/>
                <w:szCs w:val="24"/>
              </w:rPr>
              <w:footnoteReference w:id="6"/>
            </w:r>
            <w:r w:rsidRPr="00AD78EF">
              <w:rPr>
                <w:rFonts w:ascii="Arial" w:hAnsi="Arial" w:cs="Arial"/>
                <w:sz w:val="24"/>
                <w:szCs w:val="24"/>
              </w:rPr>
              <w:t xml:space="preserve"> </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E67DB8">
              <w:rPr>
                <w:rFonts w:ascii="Arial" w:hAnsi="Arial" w:cs="Arial"/>
                <w:sz w:val="24"/>
                <w:szCs w:val="24"/>
              </w:rPr>
              <w:t>2</w:t>
            </w:r>
            <w:r w:rsidRPr="00AD78EF">
              <w:rPr>
                <w:rFonts w:ascii="Arial" w:hAnsi="Arial" w:cs="Arial"/>
                <w:sz w:val="24"/>
                <w:szCs w:val="24"/>
              </w:rPr>
              <w:t>]</w:t>
            </w:r>
            <w:r w:rsidRPr="00AD78EF">
              <w:rPr>
                <w:rFonts w:ascii="Arial" w:hAnsi="Arial" w:cs="Arial"/>
                <w:sz w:val="24"/>
                <w:szCs w:val="24"/>
              </w:rPr>
              <w:tab/>
              <w:t>In the instant matter, the allegation is that the first defendant unlawfully and fraudulently transferred out of the bank account of the company (the third defendant) to a close corporation external to the company an amount of N$326 000. The first defendant admits unambiguously that he instructed the second defendant to effect the aforementioned transfer, and he is the owner and the managing director of the aforesaid external entity, Squirrel Investment CC. Doubtless, the transfer of the funds amounted to an expropriation of assets of the company.</w:t>
            </w:r>
            <w:r w:rsidRPr="00AD78EF">
              <w:rPr>
                <w:rStyle w:val="FootnoteReference"/>
                <w:rFonts w:ascii="Arial" w:hAnsi="Arial" w:cs="Arial"/>
                <w:sz w:val="24"/>
                <w:szCs w:val="24"/>
              </w:rPr>
              <w:footnoteReference w:id="7"/>
            </w:r>
            <w:r w:rsidRPr="00AD78EF">
              <w:rPr>
                <w:rFonts w:ascii="Arial" w:hAnsi="Arial" w:cs="Arial"/>
                <w:sz w:val="24"/>
                <w:szCs w:val="24"/>
              </w:rPr>
              <w:t xml:space="preserve"> </w:t>
            </w:r>
            <w:r w:rsidRPr="00AD78EF">
              <w:rPr>
                <w:rFonts w:ascii="Arial" w:hAnsi="Arial" w:cs="Arial"/>
                <w:sz w:val="24"/>
                <w:szCs w:val="24"/>
              </w:rPr>
              <w:lastRenderedPageBreak/>
              <w:t>That undoubtedly resulted in the breach by the first defendant of his fiduciary duty, which includes exercising the duty i</w:t>
            </w:r>
            <w:r w:rsidR="00DB4575">
              <w:rPr>
                <w:rFonts w:ascii="Arial" w:hAnsi="Arial" w:cs="Arial"/>
                <w:sz w:val="24"/>
                <w:szCs w:val="24"/>
              </w:rPr>
              <w:t>n the interests of the company.</w:t>
            </w:r>
            <w:r w:rsidRPr="00AD78EF">
              <w:rPr>
                <w:rStyle w:val="FootnoteReference"/>
                <w:rFonts w:ascii="Arial" w:hAnsi="Arial" w:cs="Arial"/>
                <w:sz w:val="24"/>
                <w:szCs w:val="24"/>
              </w:rPr>
              <w:footnoteReference w:id="8"/>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E67DB8">
              <w:rPr>
                <w:rFonts w:ascii="Arial" w:hAnsi="Arial" w:cs="Arial"/>
                <w:sz w:val="24"/>
                <w:szCs w:val="24"/>
              </w:rPr>
              <w:t>3</w:t>
            </w:r>
            <w:r w:rsidRPr="00AD78EF">
              <w:rPr>
                <w:rFonts w:ascii="Arial" w:hAnsi="Arial" w:cs="Arial"/>
                <w:sz w:val="24"/>
                <w:szCs w:val="24"/>
              </w:rPr>
              <w:t>]</w:t>
            </w:r>
            <w:r w:rsidRPr="00AD78EF">
              <w:rPr>
                <w:rFonts w:ascii="Arial" w:hAnsi="Arial" w:cs="Arial"/>
                <w:sz w:val="24"/>
                <w:szCs w:val="24"/>
              </w:rPr>
              <w:tab/>
              <w:t xml:space="preserve"> The first respondent’s reliance on Annexure ‘C’ to his answering papers (</w:t>
            </w:r>
            <w:proofErr w:type="spellStart"/>
            <w:r w:rsidRPr="00AD78EF">
              <w:rPr>
                <w:rFonts w:ascii="Arial" w:hAnsi="Arial" w:cs="Arial"/>
                <w:sz w:val="24"/>
                <w:szCs w:val="24"/>
              </w:rPr>
              <w:t>ie</w:t>
            </w:r>
            <w:proofErr w:type="spellEnd"/>
            <w:r w:rsidRPr="00AD78EF">
              <w:rPr>
                <w:rFonts w:ascii="Arial" w:hAnsi="Arial" w:cs="Arial"/>
                <w:sz w:val="24"/>
                <w:szCs w:val="24"/>
              </w:rPr>
              <w:t xml:space="preserve"> the Board Meeting Minutes) does not even begin to get off the starting blocks. </w:t>
            </w:r>
            <w:proofErr w:type="spellStart"/>
            <w:r w:rsidRPr="00AD78EF">
              <w:rPr>
                <w:rFonts w:ascii="Arial" w:hAnsi="Arial" w:cs="Arial"/>
                <w:sz w:val="24"/>
                <w:szCs w:val="24"/>
              </w:rPr>
              <w:t>No where</w:t>
            </w:r>
            <w:proofErr w:type="spellEnd"/>
            <w:r w:rsidRPr="00AD78EF">
              <w:rPr>
                <w:rFonts w:ascii="Arial" w:hAnsi="Arial" w:cs="Arial"/>
                <w:sz w:val="24"/>
                <w:szCs w:val="24"/>
              </w:rPr>
              <w:t xml:space="preserve"> in the Minutes is there a record that the Board resolved that the first defendant could transfer the aforementioned amount to his close corporation. Indeed, during her oral submission, Ms </w:t>
            </w:r>
            <w:proofErr w:type="spellStart"/>
            <w:r w:rsidRPr="00AD78EF">
              <w:rPr>
                <w:rFonts w:ascii="Arial" w:hAnsi="Arial" w:cs="Arial"/>
                <w:sz w:val="24"/>
                <w:szCs w:val="24"/>
              </w:rPr>
              <w:t>Jakob</w:t>
            </w:r>
            <w:proofErr w:type="spellEnd"/>
            <w:r w:rsidRPr="00AD78EF">
              <w:rPr>
                <w:rFonts w:ascii="Arial" w:hAnsi="Arial" w:cs="Arial"/>
                <w:sz w:val="24"/>
                <w:szCs w:val="24"/>
              </w:rPr>
              <w:t xml:space="preserve"> was invited by the court to point to su</w:t>
            </w:r>
            <w:r w:rsidR="00DB4575">
              <w:rPr>
                <w:rFonts w:ascii="Arial" w:hAnsi="Arial" w:cs="Arial"/>
                <w:sz w:val="24"/>
                <w:szCs w:val="24"/>
              </w:rPr>
              <w:t xml:space="preserve">ch item of resolution. Ms </w:t>
            </w:r>
            <w:proofErr w:type="spellStart"/>
            <w:r w:rsidR="00DB4575">
              <w:rPr>
                <w:rFonts w:ascii="Arial" w:hAnsi="Arial" w:cs="Arial"/>
                <w:sz w:val="24"/>
                <w:szCs w:val="24"/>
              </w:rPr>
              <w:t>Jakob</w:t>
            </w:r>
            <w:proofErr w:type="spellEnd"/>
            <w:r w:rsidRPr="00AD78EF">
              <w:rPr>
                <w:rFonts w:ascii="Arial" w:hAnsi="Arial" w:cs="Arial"/>
                <w:sz w:val="24"/>
                <w:szCs w:val="24"/>
              </w:rPr>
              <w:t xml:space="preserve"> failed to point to such item in Annexure ‘C’.</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E67DB8">
              <w:rPr>
                <w:rFonts w:ascii="Arial" w:hAnsi="Arial" w:cs="Arial"/>
                <w:sz w:val="24"/>
                <w:szCs w:val="24"/>
              </w:rPr>
              <w:t>4</w:t>
            </w:r>
            <w:r w:rsidRPr="00AD78EF">
              <w:rPr>
                <w:rFonts w:ascii="Arial" w:hAnsi="Arial" w:cs="Arial"/>
                <w:sz w:val="24"/>
                <w:szCs w:val="24"/>
              </w:rPr>
              <w:t>]</w:t>
            </w:r>
            <w:r w:rsidRPr="00AD78EF">
              <w:rPr>
                <w:rFonts w:ascii="Arial" w:hAnsi="Arial" w:cs="Arial"/>
                <w:sz w:val="24"/>
                <w:szCs w:val="24"/>
              </w:rPr>
              <w:tab/>
              <w:t>It follows irresolutely and is well-grounded that the first defendant has not placed before the court any factual material to establish that he has a bona fide defence which is good in law; neither has he raised a triable issue that ought to be tried and, thus, ‘sufficiently placing in doubt that the plaintiffs’ claim is unanswerable’.</w:t>
            </w:r>
            <w:r w:rsidRPr="00AD78EF">
              <w:rPr>
                <w:rStyle w:val="FootnoteReference"/>
                <w:rFonts w:ascii="Arial" w:hAnsi="Arial" w:cs="Arial"/>
                <w:sz w:val="24"/>
                <w:szCs w:val="24"/>
              </w:rPr>
              <w:footnoteReference w:id="9"/>
            </w:r>
            <w:r w:rsidRPr="00AD78EF">
              <w:rPr>
                <w:rFonts w:ascii="Arial" w:hAnsi="Arial" w:cs="Arial"/>
                <w:sz w:val="24"/>
                <w:szCs w:val="24"/>
              </w:rPr>
              <w:t xml:space="preserve">  The second defendant stands in the same boat.</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E67DB8">
              <w:rPr>
                <w:rFonts w:ascii="Arial" w:hAnsi="Arial" w:cs="Arial"/>
                <w:sz w:val="24"/>
                <w:szCs w:val="24"/>
              </w:rPr>
              <w:t>5</w:t>
            </w:r>
            <w:r w:rsidRPr="00AD78EF">
              <w:rPr>
                <w:rFonts w:ascii="Arial" w:hAnsi="Arial" w:cs="Arial"/>
                <w:sz w:val="24"/>
                <w:szCs w:val="24"/>
              </w:rPr>
              <w:t>]</w:t>
            </w:r>
            <w:r w:rsidRPr="00AD78EF">
              <w:rPr>
                <w:rFonts w:ascii="Arial" w:hAnsi="Arial" w:cs="Arial"/>
                <w:sz w:val="24"/>
                <w:szCs w:val="24"/>
              </w:rPr>
              <w:tab/>
              <w:t>In my view, on the facts, the delivery of notice to defend the action was done solely as a mere delaying tactic, amounting to an abuse of the process of the court.</w:t>
            </w:r>
            <w:r w:rsidRPr="00AD78EF">
              <w:rPr>
                <w:rStyle w:val="FootnoteReference"/>
                <w:rFonts w:ascii="Arial" w:hAnsi="Arial" w:cs="Arial"/>
                <w:sz w:val="24"/>
                <w:szCs w:val="24"/>
              </w:rPr>
              <w:footnoteReference w:id="10"/>
            </w:r>
          </w:p>
          <w:p w:rsidR="00AD78EF" w:rsidRPr="00AD78EF" w:rsidRDefault="00AD78EF" w:rsidP="00AD78EF">
            <w:pPr>
              <w:spacing w:line="360" w:lineRule="auto"/>
              <w:jc w:val="both"/>
              <w:rPr>
                <w:rFonts w:ascii="Arial" w:hAnsi="Arial" w:cs="Arial"/>
                <w:sz w:val="24"/>
                <w:szCs w:val="24"/>
              </w:rPr>
            </w:pPr>
          </w:p>
          <w:p w:rsid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E67DB8">
              <w:rPr>
                <w:rFonts w:ascii="Arial" w:hAnsi="Arial" w:cs="Arial"/>
                <w:sz w:val="24"/>
                <w:szCs w:val="24"/>
              </w:rPr>
              <w:t>6</w:t>
            </w:r>
            <w:r w:rsidRPr="00AD78EF">
              <w:rPr>
                <w:rFonts w:ascii="Arial" w:hAnsi="Arial" w:cs="Arial"/>
                <w:sz w:val="24"/>
                <w:szCs w:val="24"/>
              </w:rPr>
              <w:t>]</w:t>
            </w:r>
            <w:r w:rsidRPr="00AD78EF">
              <w:rPr>
                <w:rFonts w:ascii="Arial" w:hAnsi="Arial" w:cs="Arial"/>
                <w:sz w:val="24"/>
                <w:szCs w:val="24"/>
              </w:rPr>
              <w:tab/>
              <w:t>Based on these reasons, I conclude that the plaintiffs have made out a case for summary judgment against the first defendant and the second defendant. In the result, I make the following order:</w:t>
            </w:r>
          </w:p>
          <w:p w:rsidR="00E67DB8" w:rsidRPr="00AD78EF" w:rsidRDefault="00E67DB8" w:rsidP="00AD78EF">
            <w:pPr>
              <w:spacing w:line="360" w:lineRule="auto"/>
              <w:jc w:val="both"/>
              <w:rPr>
                <w:rFonts w:ascii="Arial" w:hAnsi="Arial" w:cs="Arial"/>
                <w:sz w:val="24"/>
                <w:szCs w:val="24"/>
              </w:rPr>
            </w:pPr>
          </w:p>
          <w:p w:rsidR="00AD78EF" w:rsidRDefault="00AD78EF" w:rsidP="00E67DB8">
            <w:pPr>
              <w:spacing w:line="360" w:lineRule="auto"/>
              <w:ind w:left="743" w:hanging="743"/>
              <w:jc w:val="both"/>
              <w:rPr>
                <w:rFonts w:ascii="Arial" w:hAnsi="Arial" w:cs="Arial"/>
                <w:sz w:val="24"/>
                <w:szCs w:val="24"/>
              </w:rPr>
            </w:pPr>
            <w:r w:rsidRPr="00AD78EF">
              <w:rPr>
                <w:rFonts w:ascii="Arial" w:hAnsi="Arial" w:cs="Arial"/>
                <w:sz w:val="24"/>
                <w:szCs w:val="24"/>
              </w:rPr>
              <w:t>1.</w:t>
            </w:r>
            <w:r w:rsidRPr="00AD78EF">
              <w:rPr>
                <w:rFonts w:ascii="Arial" w:hAnsi="Arial" w:cs="Arial"/>
                <w:sz w:val="24"/>
                <w:szCs w:val="24"/>
              </w:rPr>
              <w:tab/>
              <w:t>Summary judgment is granted with costs against the first and second defendants, the one paying, the other to be absolved, in the following terms:</w:t>
            </w:r>
          </w:p>
          <w:p w:rsidR="00E67DB8" w:rsidRPr="00AD78EF" w:rsidRDefault="00E67DB8" w:rsidP="00E67DB8">
            <w:pPr>
              <w:spacing w:line="360" w:lineRule="auto"/>
              <w:ind w:left="743" w:hanging="743"/>
              <w:jc w:val="both"/>
              <w:rPr>
                <w:rFonts w:ascii="Arial" w:hAnsi="Arial" w:cs="Arial"/>
                <w:sz w:val="24"/>
                <w:szCs w:val="24"/>
              </w:rPr>
            </w:pPr>
          </w:p>
          <w:p w:rsidR="00AD78EF" w:rsidRPr="00E67DB8" w:rsidRDefault="00AD78EF" w:rsidP="00E67DB8">
            <w:pPr>
              <w:pStyle w:val="ListParagraph"/>
              <w:numPr>
                <w:ilvl w:val="0"/>
                <w:numId w:val="12"/>
              </w:numPr>
              <w:spacing w:line="360" w:lineRule="auto"/>
              <w:jc w:val="both"/>
              <w:rPr>
                <w:rFonts w:ascii="Arial" w:hAnsi="Arial" w:cs="Arial"/>
                <w:sz w:val="24"/>
                <w:szCs w:val="24"/>
              </w:rPr>
            </w:pPr>
            <w:r w:rsidRPr="00E67DB8">
              <w:rPr>
                <w:rFonts w:ascii="Arial" w:hAnsi="Arial" w:cs="Arial"/>
                <w:sz w:val="24"/>
                <w:szCs w:val="24"/>
              </w:rPr>
              <w:t>Payment of N$326 000 into the account of the third defendant, plus interest on the said amount at the rate of 20 p</w:t>
            </w:r>
            <w:r w:rsidR="00E67DB8">
              <w:rPr>
                <w:rFonts w:ascii="Arial" w:hAnsi="Arial" w:cs="Arial"/>
                <w:sz w:val="24"/>
                <w:szCs w:val="24"/>
              </w:rPr>
              <w:t>e</w:t>
            </w:r>
            <w:r w:rsidRPr="00E67DB8">
              <w:rPr>
                <w:rFonts w:ascii="Arial" w:hAnsi="Arial" w:cs="Arial"/>
                <w:sz w:val="24"/>
                <w:szCs w:val="24"/>
              </w:rPr>
              <w:t xml:space="preserve">r cent per annum </w:t>
            </w:r>
            <w:r w:rsidR="00AA7F9C" w:rsidRPr="00AA7F9C">
              <w:rPr>
                <w:rFonts w:ascii="Arial" w:hAnsi="Arial" w:cs="Arial"/>
                <w:i/>
                <w:sz w:val="24"/>
                <w:szCs w:val="24"/>
              </w:rPr>
              <w:t>a</w:t>
            </w:r>
            <w:r w:rsidR="00AA7F9C">
              <w:rPr>
                <w:rFonts w:ascii="Arial" w:hAnsi="Arial" w:cs="Arial"/>
                <w:sz w:val="24"/>
                <w:szCs w:val="24"/>
              </w:rPr>
              <w:t xml:space="preserve"> </w:t>
            </w:r>
            <w:proofErr w:type="spellStart"/>
            <w:r w:rsidRPr="00E67DB8">
              <w:rPr>
                <w:rFonts w:ascii="Arial" w:hAnsi="Arial" w:cs="Arial"/>
                <w:i/>
                <w:iCs/>
                <w:sz w:val="24"/>
                <w:szCs w:val="24"/>
              </w:rPr>
              <w:t>tempora</w:t>
            </w:r>
            <w:proofErr w:type="spellEnd"/>
            <w:r w:rsidRPr="00E67DB8">
              <w:rPr>
                <w:rFonts w:ascii="Arial" w:hAnsi="Arial" w:cs="Arial"/>
                <w:i/>
                <w:iCs/>
                <w:sz w:val="24"/>
                <w:szCs w:val="24"/>
              </w:rPr>
              <w:t xml:space="preserve"> </w:t>
            </w:r>
            <w:proofErr w:type="spellStart"/>
            <w:r w:rsidRPr="00E67DB8">
              <w:rPr>
                <w:rFonts w:ascii="Arial" w:hAnsi="Arial" w:cs="Arial"/>
                <w:i/>
                <w:iCs/>
                <w:sz w:val="24"/>
                <w:szCs w:val="24"/>
              </w:rPr>
              <w:t>morae</w:t>
            </w:r>
            <w:proofErr w:type="spellEnd"/>
            <w:r w:rsidRPr="00E67DB8">
              <w:rPr>
                <w:rFonts w:ascii="Arial" w:hAnsi="Arial" w:cs="Arial"/>
                <w:sz w:val="24"/>
                <w:szCs w:val="24"/>
              </w:rPr>
              <w:t xml:space="preserve"> from 1 Ma</w:t>
            </w:r>
            <w:r w:rsidR="00DB4575">
              <w:rPr>
                <w:rFonts w:ascii="Arial" w:hAnsi="Arial" w:cs="Arial"/>
                <w:sz w:val="24"/>
                <w:szCs w:val="24"/>
              </w:rPr>
              <w:t>r</w:t>
            </w:r>
            <w:r w:rsidRPr="00E67DB8">
              <w:rPr>
                <w:rFonts w:ascii="Arial" w:hAnsi="Arial" w:cs="Arial"/>
                <w:sz w:val="24"/>
                <w:szCs w:val="24"/>
              </w:rPr>
              <w:t>ch 2023 to the date of full and final payment; and</w:t>
            </w:r>
          </w:p>
          <w:p w:rsidR="00E67DB8" w:rsidRPr="00E67DB8" w:rsidRDefault="00E67DB8" w:rsidP="00E67DB8">
            <w:pPr>
              <w:pStyle w:val="ListParagraph"/>
              <w:spacing w:line="360" w:lineRule="auto"/>
              <w:ind w:left="1448"/>
              <w:jc w:val="both"/>
              <w:rPr>
                <w:rFonts w:ascii="Arial" w:hAnsi="Arial" w:cs="Arial"/>
                <w:sz w:val="24"/>
                <w:szCs w:val="24"/>
              </w:rPr>
            </w:pPr>
          </w:p>
          <w:p w:rsidR="00AD78EF" w:rsidRPr="00AD78EF" w:rsidRDefault="00AD78EF" w:rsidP="00E67DB8">
            <w:pPr>
              <w:spacing w:line="360" w:lineRule="auto"/>
              <w:ind w:left="743" w:hanging="743"/>
              <w:jc w:val="both"/>
              <w:rPr>
                <w:rFonts w:ascii="Arial" w:hAnsi="Arial" w:cs="Arial"/>
                <w:sz w:val="24"/>
                <w:szCs w:val="24"/>
              </w:rPr>
            </w:pPr>
            <w:r w:rsidRPr="00AD78EF">
              <w:rPr>
                <w:rFonts w:ascii="Arial" w:hAnsi="Arial" w:cs="Arial"/>
                <w:sz w:val="24"/>
                <w:szCs w:val="24"/>
              </w:rPr>
              <w:tab/>
              <w:t>(b)</w:t>
            </w:r>
            <w:r w:rsidRPr="00AD78EF">
              <w:rPr>
                <w:rFonts w:ascii="Arial" w:hAnsi="Arial" w:cs="Arial"/>
                <w:sz w:val="24"/>
                <w:szCs w:val="24"/>
              </w:rPr>
              <w:tab/>
              <w:t>Costs of suit.</w:t>
            </w:r>
          </w:p>
          <w:p w:rsidR="00AD78EF" w:rsidRPr="00AD78EF" w:rsidRDefault="00AD78EF" w:rsidP="00E67DB8">
            <w:pPr>
              <w:spacing w:line="360" w:lineRule="auto"/>
              <w:ind w:left="743" w:hanging="743"/>
              <w:jc w:val="both"/>
              <w:rPr>
                <w:rFonts w:ascii="Arial" w:hAnsi="Arial" w:cs="Arial"/>
                <w:sz w:val="24"/>
                <w:szCs w:val="24"/>
              </w:rPr>
            </w:pPr>
          </w:p>
          <w:p w:rsidR="00AD78EF" w:rsidRPr="00AD78EF" w:rsidRDefault="00AD78EF" w:rsidP="00E67DB8">
            <w:pPr>
              <w:spacing w:line="360" w:lineRule="auto"/>
              <w:ind w:left="743" w:hanging="743"/>
              <w:jc w:val="both"/>
              <w:rPr>
                <w:rFonts w:ascii="Arial" w:hAnsi="Arial" w:cs="Arial"/>
                <w:sz w:val="24"/>
                <w:szCs w:val="24"/>
              </w:rPr>
            </w:pPr>
            <w:r w:rsidRPr="00AD78EF">
              <w:rPr>
                <w:rFonts w:ascii="Arial" w:hAnsi="Arial" w:cs="Arial"/>
                <w:sz w:val="24"/>
                <w:szCs w:val="24"/>
              </w:rPr>
              <w:t>2.</w:t>
            </w:r>
            <w:r w:rsidRPr="00AD78EF">
              <w:rPr>
                <w:rFonts w:ascii="Arial" w:hAnsi="Arial" w:cs="Arial"/>
                <w:sz w:val="24"/>
                <w:szCs w:val="24"/>
              </w:rPr>
              <w:tab/>
              <w:t>The matter is finalised and removed from the roll.</w:t>
            </w:r>
          </w:p>
          <w:p w:rsidR="00AD78EF" w:rsidRPr="00AD78EF" w:rsidRDefault="00AD78EF" w:rsidP="00AD78EF">
            <w:pPr>
              <w:spacing w:line="360" w:lineRule="auto"/>
              <w:jc w:val="both"/>
              <w:rPr>
                <w:rFonts w:ascii="Arial" w:hAnsi="Arial" w:cs="Arial"/>
                <w:sz w:val="24"/>
                <w:szCs w:val="24"/>
              </w:rPr>
            </w:pPr>
          </w:p>
          <w:p w:rsidR="00C04F28" w:rsidRPr="00CA7995" w:rsidRDefault="00C04F28" w:rsidP="00A85792">
            <w:pPr>
              <w:tabs>
                <w:tab w:val="left" w:pos="729"/>
              </w:tabs>
              <w:spacing w:line="360" w:lineRule="auto"/>
              <w:jc w:val="both"/>
              <w:rPr>
                <w:rFonts w:ascii="Arial" w:hAnsi="Arial" w:cs="Arial"/>
                <w:sz w:val="24"/>
                <w:szCs w:val="24"/>
              </w:rPr>
            </w:pPr>
          </w:p>
        </w:tc>
      </w:tr>
      <w:tr w:rsidR="00CA7995" w:rsidRPr="00CA7995" w:rsidTr="00136505">
        <w:tc>
          <w:tcPr>
            <w:tcW w:w="4770"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695549" w:rsidP="00937C89">
            <w:pPr>
              <w:spacing w:line="360" w:lineRule="auto"/>
              <w:jc w:val="center"/>
              <w:rPr>
                <w:rFonts w:ascii="Arial" w:hAnsi="Arial" w:cs="Arial"/>
                <w:b/>
                <w:sz w:val="24"/>
                <w:szCs w:val="24"/>
              </w:rPr>
            </w:pPr>
            <w:r>
              <w:rPr>
                <w:rFonts w:ascii="Arial" w:hAnsi="Arial" w:cs="Arial"/>
                <w:b/>
                <w:sz w:val="24"/>
                <w:szCs w:val="24"/>
              </w:rPr>
              <w:t>Plaintiff</w:t>
            </w:r>
            <w:r w:rsidR="003C0ED1">
              <w:rPr>
                <w:rFonts w:ascii="Arial" w:hAnsi="Arial" w:cs="Arial"/>
                <w:b/>
                <w:sz w:val="24"/>
                <w:szCs w:val="24"/>
              </w:rPr>
              <w:t>s</w:t>
            </w:r>
          </w:p>
        </w:tc>
        <w:tc>
          <w:tcPr>
            <w:tcW w:w="5436" w:type="dxa"/>
            <w:gridSpan w:val="2"/>
          </w:tcPr>
          <w:p w:rsidR="00B40844" w:rsidRPr="00CA7995" w:rsidRDefault="00695549" w:rsidP="00937C89">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136505">
        <w:tc>
          <w:tcPr>
            <w:tcW w:w="4770" w:type="dxa"/>
          </w:tcPr>
          <w:p w:rsidR="00346731" w:rsidRPr="003C0ED1" w:rsidRDefault="003C0ED1" w:rsidP="00937C89">
            <w:pPr>
              <w:spacing w:line="360" w:lineRule="auto"/>
              <w:jc w:val="center"/>
              <w:rPr>
                <w:rFonts w:ascii="Arial" w:hAnsi="Arial" w:cs="Arial"/>
                <w:sz w:val="24"/>
                <w:szCs w:val="24"/>
              </w:rPr>
            </w:pPr>
            <w:r>
              <w:rPr>
                <w:rFonts w:ascii="Arial" w:hAnsi="Arial" w:cs="Arial"/>
                <w:sz w:val="24"/>
                <w:szCs w:val="24"/>
              </w:rPr>
              <w:t>F</w:t>
            </w:r>
            <w:r w:rsidRPr="003C0ED1">
              <w:rPr>
                <w:rFonts w:ascii="Arial" w:hAnsi="Arial" w:cs="Arial"/>
                <w:sz w:val="24"/>
                <w:szCs w:val="24"/>
              </w:rPr>
              <w:t xml:space="preserve"> </w:t>
            </w:r>
            <w:proofErr w:type="spellStart"/>
            <w:r>
              <w:rPr>
                <w:rFonts w:ascii="Arial" w:hAnsi="Arial" w:cs="Arial"/>
                <w:sz w:val="24"/>
                <w:szCs w:val="24"/>
              </w:rPr>
              <w:t>B</w:t>
            </w:r>
            <w:r w:rsidRPr="003C0ED1">
              <w:rPr>
                <w:rFonts w:ascii="Arial" w:hAnsi="Arial" w:cs="Arial"/>
                <w:sz w:val="24"/>
                <w:szCs w:val="24"/>
              </w:rPr>
              <w:t>angamwabo</w:t>
            </w:r>
            <w:proofErr w:type="spellEnd"/>
          </w:p>
          <w:p w:rsidR="00B40844" w:rsidRPr="00F605BE" w:rsidRDefault="0003697D" w:rsidP="00937C89">
            <w:pPr>
              <w:spacing w:line="360" w:lineRule="auto"/>
              <w:jc w:val="center"/>
              <w:rPr>
                <w:rFonts w:ascii="Arial" w:hAnsi="Arial" w:cs="Arial"/>
                <w:sz w:val="24"/>
                <w:szCs w:val="24"/>
              </w:rPr>
            </w:pPr>
            <w:r w:rsidRPr="00F605BE">
              <w:rPr>
                <w:rFonts w:ascii="Arial" w:hAnsi="Arial" w:cs="Arial"/>
                <w:sz w:val="24"/>
                <w:szCs w:val="24"/>
              </w:rPr>
              <w:t>O</w:t>
            </w:r>
            <w:r w:rsidR="003558A3" w:rsidRPr="00F605BE">
              <w:rPr>
                <w:rFonts w:ascii="Arial" w:hAnsi="Arial" w:cs="Arial"/>
                <w:sz w:val="24"/>
                <w:szCs w:val="24"/>
              </w:rPr>
              <w:t>f</w:t>
            </w:r>
          </w:p>
          <w:p w:rsidR="00B40844" w:rsidRPr="00136505" w:rsidRDefault="003C0ED1" w:rsidP="00937C89">
            <w:pPr>
              <w:spacing w:line="360" w:lineRule="auto"/>
              <w:jc w:val="center"/>
              <w:rPr>
                <w:rFonts w:ascii="Arial" w:hAnsi="Arial" w:cs="Arial"/>
                <w:sz w:val="24"/>
                <w:szCs w:val="24"/>
              </w:rPr>
            </w:pPr>
            <w:r>
              <w:rPr>
                <w:rFonts w:ascii="Arial" w:hAnsi="Arial" w:cs="Arial"/>
                <w:sz w:val="24"/>
                <w:szCs w:val="24"/>
              </w:rPr>
              <w:t>FB</w:t>
            </w:r>
            <w:r w:rsidRPr="003C0ED1">
              <w:rPr>
                <w:rFonts w:ascii="Arial" w:hAnsi="Arial" w:cs="Arial"/>
                <w:sz w:val="24"/>
                <w:szCs w:val="24"/>
              </w:rPr>
              <w:t xml:space="preserve"> </w:t>
            </w:r>
            <w:r>
              <w:rPr>
                <w:rFonts w:ascii="Arial" w:hAnsi="Arial" w:cs="Arial"/>
                <w:sz w:val="24"/>
                <w:szCs w:val="24"/>
              </w:rPr>
              <w:t>L</w:t>
            </w:r>
            <w:r w:rsidRPr="003C0ED1">
              <w:rPr>
                <w:rFonts w:ascii="Arial" w:hAnsi="Arial" w:cs="Arial"/>
                <w:sz w:val="24"/>
                <w:szCs w:val="24"/>
              </w:rPr>
              <w:t xml:space="preserve">aw </w:t>
            </w:r>
            <w:r>
              <w:rPr>
                <w:rFonts w:ascii="Arial" w:hAnsi="Arial" w:cs="Arial"/>
                <w:sz w:val="24"/>
                <w:szCs w:val="24"/>
              </w:rPr>
              <w:t>C</w:t>
            </w:r>
            <w:r w:rsidRPr="003C0ED1">
              <w:rPr>
                <w:rFonts w:ascii="Arial" w:hAnsi="Arial" w:cs="Arial"/>
                <w:sz w:val="24"/>
                <w:szCs w:val="24"/>
              </w:rPr>
              <w:t>hambers</w:t>
            </w:r>
            <w:r w:rsidR="00136505" w:rsidRPr="003558A3">
              <w:rPr>
                <w:rFonts w:ascii="Arial" w:hAnsi="Arial" w:cs="Arial"/>
                <w:sz w:val="24"/>
                <w:szCs w:val="24"/>
              </w:rPr>
              <w:t>,</w:t>
            </w:r>
            <w:r w:rsidR="00136505" w:rsidRPr="00136505">
              <w:rPr>
                <w:rFonts w:ascii="Arial" w:hAnsi="Arial" w:cs="Arial"/>
                <w:sz w:val="24"/>
                <w:szCs w:val="24"/>
              </w:rPr>
              <w:t xml:space="preserve"> Windhoek</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9E2A0F" w:rsidRPr="007446E2" w:rsidRDefault="00AA7F9C" w:rsidP="00136505">
            <w:pPr>
              <w:spacing w:line="360" w:lineRule="auto"/>
              <w:jc w:val="center"/>
              <w:rPr>
                <w:rFonts w:ascii="Arial" w:hAnsi="Arial" w:cs="Arial"/>
                <w:sz w:val="24"/>
                <w:szCs w:val="24"/>
              </w:rPr>
            </w:pPr>
            <w:r>
              <w:rPr>
                <w:rFonts w:ascii="Arial" w:hAnsi="Arial" w:cs="Arial"/>
                <w:sz w:val="24"/>
                <w:szCs w:val="24"/>
              </w:rPr>
              <w:t>V</w:t>
            </w:r>
            <w:r w:rsidR="007446E2">
              <w:rPr>
                <w:rFonts w:ascii="Arial" w:hAnsi="Arial" w:cs="Arial"/>
                <w:sz w:val="24"/>
                <w:szCs w:val="24"/>
              </w:rPr>
              <w:t xml:space="preserve"> </w:t>
            </w:r>
            <w:proofErr w:type="spellStart"/>
            <w:r w:rsidR="007446E2">
              <w:rPr>
                <w:rFonts w:ascii="Arial" w:hAnsi="Arial" w:cs="Arial"/>
                <w:sz w:val="24"/>
                <w:szCs w:val="24"/>
              </w:rPr>
              <w:t>J</w:t>
            </w:r>
            <w:r w:rsidR="007446E2" w:rsidRPr="007446E2">
              <w:rPr>
                <w:rFonts w:ascii="Arial" w:hAnsi="Arial" w:cs="Arial"/>
                <w:sz w:val="24"/>
                <w:szCs w:val="24"/>
              </w:rPr>
              <w:t>akob</w:t>
            </w:r>
            <w:proofErr w:type="spellEnd"/>
          </w:p>
          <w:p w:rsidR="00B40844" w:rsidRPr="00136505" w:rsidRDefault="0003697D" w:rsidP="00136505">
            <w:pPr>
              <w:spacing w:line="360" w:lineRule="auto"/>
              <w:jc w:val="center"/>
              <w:rPr>
                <w:rFonts w:ascii="Arial" w:hAnsi="Arial" w:cs="Arial"/>
                <w:sz w:val="24"/>
                <w:szCs w:val="24"/>
              </w:rPr>
            </w:pPr>
            <w:r>
              <w:rPr>
                <w:rFonts w:ascii="Arial" w:hAnsi="Arial" w:cs="Arial"/>
                <w:sz w:val="24"/>
                <w:szCs w:val="24"/>
              </w:rPr>
              <w:t>O</w:t>
            </w:r>
            <w:r w:rsidR="007446E2">
              <w:rPr>
                <w:rFonts w:ascii="Arial" w:hAnsi="Arial" w:cs="Arial"/>
                <w:sz w:val="24"/>
                <w:szCs w:val="24"/>
              </w:rPr>
              <w:t>f</w:t>
            </w:r>
          </w:p>
          <w:p w:rsidR="00B40844" w:rsidRPr="007446E2" w:rsidRDefault="007446E2" w:rsidP="00937C89">
            <w:pPr>
              <w:spacing w:line="360" w:lineRule="auto"/>
              <w:jc w:val="center"/>
              <w:rPr>
                <w:rFonts w:ascii="Arial" w:hAnsi="Arial" w:cs="Arial"/>
                <w:sz w:val="24"/>
                <w:szCs w:val="24"/>
              </w:rPr>
            </w:pPr>
            <w:proofErr w:type="spellStart"/>
            <w:r w:rsidRPr="007446E2">
              <w:rPr>
                <w:rFonts w:ascii="Arial" w:hAnsi="Arial" w:cs="Arial"/>
                <w:sz w:val="24"/>
                <w:szCs w:val="24"/>
              </w:rPr>
              <w:t>Nambili</w:t>
            </w:r>
            <w:proofErr w:type="spellEnd"/>
            <w:r w:rsidRPr="007446E2">
              <w:rPr>
                <w:rFonts w:ascii="Arial" w:hAnsi="Arial" w:cs="Arial"/>
                <w:sz w:val="24"/>
                <w:szCs w:val="24"/>
              </w:rPr>
              <w:t xml:space="preserve"> </w:t>
            </w:r>
            <w:proofErr w:type="spellStart"/>
            <w:r w:rsidRPr="007446E2">
              <w:rPr>
                <w:rFonts w:ascii="Arial" w:hAnsi="Arial" w:cs="Arial"/>
                <w:sz w:val="24"/>
                <w:szCs w:val="24"/>
              </w:rPr>
              <w:t>Mhata</w:t>
            </w:r>
            <w:proofErr w:type="spellEnd"/>
            <w:r w:rsidRPr="007446E2">
              <w:rPr>
                <w:rFonts w:ascii="Arial" w:hAnsi="Arial" w:cs="Arial"/>
                <w:sz w:val="24"/>
                <w:szCs w:val="24"/>
              </w:rPr>
              <w:t xml:space="preserve"> Legal Practitioners, Windhoek</w:t>
            </w:r>
          </w:p>
        </w:tc>
      </w:tr>
    </w:tbl>
    <w:p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4B8" w:rsidRDefault="00BB64B8" w:rsidP="00B40844">
      <w:pPr>
        <w:spacing w:after="0" w:line="240" w:lineRule="auto"/>
      </w:pPr>
      <w:r>
        <w:separator/>
      </w:r>
    </w:p>
  </w:endnote>
  <w:endnote w:type="continuationSeparator" w:id="0">
    <w:p w:rsidR="00BB64B8" w:rsidRDefault="00BB64B8"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4B8" w:rsidRDefault="00BB64B8" w:rsidP="00B40844">
      <w:pPr>
        <w:spacing w:after="0" w:line="240" w:lineRule="auto"/>
      </w:pPr>
      <w:r>
        <w:separator/>
      </w:r>
    </w:p>
  </w:footnote>
  <w:footnote w:type="continuationSeparator" w:id="0">
    <w:p w:rsidR="00BB64B8" w:rsidRDefault="00BB64B8" w:rsidP="00B40844">
      <w:pPr>
        <w:spacing w:after="0" w:line="240" w:lineRule="auto"/>
      </w:pPr>
      <w:r>
        <w:continuationSeparator/>
      </w:r>
    </w:p>
  </w:footnote>
  <w:footnote w:id="1">
    <w:p w:rsidR="00AD78EF" w:rsidRPr="00AD78EF" w:rsidRDefault="00AD78EF" w:rsidP="00AD78EF">
      <w:pPr>
        <w:pStyle w:val="FootnoteText"/>
        <w:jc w:val="both"/>
        <w:rPr>
          <w:rFonts w:ascii="Arial" w:hAnsi="Arial" w:cs="Arial"/>
          <w:lang w:val="en-US"/>
        </w:rPr>
      </w:pPr>
      <w:r w:rsidRPr="00AD78EF">
        <w:rPr>
          <w:rStyle w:val="FootnoteReference"/>
          <w:rFonts w:ascii="Arial" w:hAnsi="Arial" w:cs="Arial"/>
        </w:rPr>
        <w:footnoteRef/>
      </w:r>
      <w:r w:rsidRPr="00AD78EF">
        <w:rPr>
          <w:rFonts w:ascii="Arial" w:hAnsi="Arial" w:cs="Arial"/>
        </w:rPr>
        <w:t xml:space="preserve"> </w:t>
      </w:r>
      <w:proofErr w:type="spellStart"/>
      <w:r w:rsidRPr="00AD78EF">
        <w:rPr>
          <w:rFonts w:ascii="Arial" w:hAnsi="Arial" w:cs="Arial"/>
          <w:i/>
          <w:iCs/>
          <w:lang w:val="en-US"/>
        </w:rPr>
        <w:t>Kaese</w:t>
      </w:r>
      <w:proofErr w:type="spellEnd"/>
      <w:r w:rsidRPr="00AD78EF">
        <w:rPr>
          <w:rFonts w:ascii="Arial" w:hAnsi="Arial" w:cs="Arial"/>
          <w:i/>
          <w:iCs/>
          <w:lang w:val="en-US"/>
        </w:rPr>
        <w:t xml:space="preserve"> v Schacht and </w:t>
      </w:r>
      <w:proofErr w:type="gramStart"/>
      <w:r w:rsidRPr="00AD78EF">
        <w:rPr>
          <w:rFonts w:ascii="Arial" w:hAnsi="Arial" w:cs="Arial"/>
          <w:i/>
          <w:iCs/>
          <w:lang w:val="en-US"/>
        </w:rPr>
        <w:t>Another</w:t>
      </w:r>
      <w:proofErr w:type="gramEnd"/>
      <w:r w:rsidRPr="00AD78EF">
        <w:rPr>
          <w:rFonts w:ascii="Arial" w:hAnsi="Arial" w:cs="Arial"/>
          <w:lang w:val="en-US"/>
        </w:rPr>
        <w:t xml:space="preserve"> 2010 (1) NR 199 (SC) para 18.</w:t>
      </w:r>
    </w:p>
  </w:footnote>
  <w:footnote w:id="2">
    <w:p w:rsidR="00AD78EF" w:rsidRPr="00AD78EF" w:rsidRDefault="00AD78EF" w:rsidP="00AD78EF">
      <w:pPr>
        <w:pStyle w:val="FootnoteText"/>
        <w:jc w:val="both"/>
        <w:rPr>
          <w:rFonts w:ascii="Arial" w:hAnsi="Arial" w:cs="Arial"/>
          <w:i/>
          <w:iCs/>
          <w:lang w:val="en-US"/>
        </w:rPr>
      </w:pPr>
      <w:r w:rsidRPr="00AD78EF">
        <w:rPr>
          <w:rStyle w:val="FootnoteReference"/>
          <w:rFonts w:ascii="Arial" w:hAnsi="Arial" w:cs="Arial"/>
        </w:rPr>
        <w:footnoteRef/>
      </w:r>
      <w:r w:rsidRPr="00AD78EF">
        <w:rPr>
          <w:rFonts w:ascii="Arial" w:hAnsi="Arial" w:cs="Arial"/>
        </w:rPr>
        <w:t xml:space="preserve"> </w:t>
      </w:r>
      <w:proofErr w:type="spellStart"/>
      <w:r w:rsidRPr="00AD78EF">
        <w:rPr>
          <w:rFonts w:ascii="Arial" w:hAnsi="Arial" w:cs="Arial"/>
          <w:i/>
          <w:iCs/>
          <w:lang w:val="en-US"/>
        </w:rPr>
        <w:t>Loc</w:t>
      </w:r>
      <w:proofErr w:type="spellEnd"/>
      <w:r w:rsidRPr="00AD78EF">
        <w:rPr>
          <w:rFonts w:ascii="Arial" w:hAnsi="Arial" w:cs="Arial"/>
          <w:i/>
          <w:iCs/>
          <w:lang w:val="en-US"/>
        </w:rPr>
        <w:t xml:space="preserve"> cit.</w:t>
      </w:r>
    </w:p>
  </w:footnote>
  <w:footnote w:id="3">
    <w:p w:rsidR="00AD78EF" w:rsidRPr="00AD78EF" w:rsidRDefault="00AD78EF" w:rsidP="00AD78EF">
      <w:pPr>
        <w:pStyle w:val="FootnoteText"/>
        <w:jc w:val="both"/>
        <w:rPr>
          <w:rFonts w:ascii="Arial" w:hAnsi="Arial" w:cs="Arial"/>
          <w:lang w:val="en-US"/>
        </w:rPr>
      </w:pPr>
      <w:r w:rsidRPr="00AD78EF">
        <w:rPr>
          <w:rStyle w:val="FootnoteReference"/>
          <w:rFonts w:ascii="Arial" w:hAnsi="Arial" w:cs="Arial"/>
        </w:rPr>
        <w:footnoteRef/>
      </w:r>
      <w:r w:rsidRPr="00AD78EF">
        <w:rPr>
          <w:rFonts w:ascii="Arial" w:hAnsi="Arial" w:cs="Arial"/>
        </w:rPr>
        <w:t xml:space="preserve"> </w:t>
      </w:r>
      <w:r w:rsidRPr="00AD78EF">
        <w:rPr>
          <w:rFonts w:ascii="Arial" w:hAnsi="Arial" w:cs="Arial"/>
          <w:lang w:val="en-US"/>
        </w:rPr>
        <w:t xml:space="preserve">LCB Gower </w:t>
      </w:r>
      <w:proofErr w:type="gramStart"/>
      <w:r w:rsidRPr="00AD78EF">
        <w:rPr>
          <w:rFonts w:ascii="Arial" w:hAnsi="Arial" w:cs="Arial"/>
          <w:i/>
          <w:iCs/>
          <w:lang w:val="en-US"/>
        </w:rPr>
        <w:t>The</w:t>
      </w:r>
      <w:proofErr w:type="gramEnd"/>
      <w:r w:rsidRPr="00AD78EF">
        <w:rPr>
          <w:rFonts w:ascii="Arial" w:hAnsi="Arial" w:cs="Arial"/>
          <w:i/>
          <w:iCs/>
          <w:lang w:val="en-US"/>
        </w:rPr>
        <w:t xml:space="preserve"> Principles of Modern Company Law</w:t>
      </w:r>
      <w:r w:rsidRPr="00AD78EF">
        <w:rPr>
          <w:rFonts w:ascii="Arial" w:hAnsi="Arial" w:cs="Arial"/>
          <w:lang w:val="en-US"/>
        </w:rPr>
        <w:t xml:space="preserve"> 3 </w:t>
      </w:r>
      <w:proofErr w:type="spellStart"/>
      <w:r w:rsidRPr="00AD78EF">
        <w:rPr>
          <w:rFonts w:ascii="Arial" w:hAnsi="Arial" w:cs="Arial"/>
          <w:lang w:val="en-US"/>
        </w:rPr>
        <w:t>ed</w:t>
      </w:r>
      <w:proofErr w:type="spellEnd"/>
      <w:r w:rsidRPr="00AD78EF">
        <w:rPr>
          <w:rFonts w:ascii="Arial" w:hAnsi="Arial" w:cs="Arial"/>
          <w:lang w:val="en-US"/>
        </w:rPr>
        <w:t xml:space="preserve"> (1969) at 587; and </w:t>
      </w:r>
      <w:proofErr w:type="spellStart"/>
      <w:r w:rsidRPr="00AD78EF">
        <w:rPr>
          <w:rFonts w:ascii="Arial" w:hAnsi="Arial" w:cs="Arial"/>
          <w:i/>
          <w:iCs/>
          <w:lang w:val="en-US"/>
        </w:rPr>
        <w:t>Kaese</w:t>
      </w:r>
      <w:proofErr w:type="spellEnd"/>
      <w:r w:rsidRPr="00AD78EF">
        <w:rPr>
          <w:rFonts w:ascii="Arial" w:hAnsi="Arial" w:cs="Arial"/>
          <w:i/>
          <w:iCs/>
          <w:lang w:val="en-US"/>
        </w:rPr>
        <w:t xml:space="preserve"> v </w:t>
      </w:r>
      <w:proofErr w:type="spellStart"/>
      <w:r w:rsidRPr="00AD78EF">
        <w:rPr>
          <w:rFonts w:ascii="Arial" w:hAnsi="Arial" w:cs="Arial"/>
          <w:i/>
          <w:iCs/>
          <w:lang w:val="en-US"/>
        </w:rPr>
        <w:t>Schact</w:t>
      </w:r>
      <w:proofErr w:type="spellEnd"/>
      <w:r w:rsidRPr="00AD78EF">
        <w:rPr>
          <w:rFonts w:ascii="Arial" w:hAnsi="Arial" w:cs="Arial"/>
          <w:i/>
          <w:iCs/>
          <w:lang w:val="en-US"/>
        </w:rPr>
        <w:t xml:space="preserve"> and Another</w:t>
      </w:r>
      <w:r w:rsidRPr="00AD78EF">
        <w:rPr>
          <w:rFonts w:ascii="Arial" w:hAnsi="Arial" w:cs="Arial"/>
          <w:lang w:val="en-US"/>
        </w:rPr>
        <w:t xml:space="preserve"> footnote 1 para 17</w:t>
      </w:r>
      <w:r w:rsidR="00E67DB8">
        <w:rPr>
          <w:rFonts w:ascii="Arial" w:hAnsi="Arial" w:cs="Arial"/>
          <w:lang w:val="en-US"/>
        </w:rPr>
        <w:t>.</w:t>
      </w:r>
    </w:p>
  </w:footnote>
  <w:footnote w:id="4">
    <w:p w:rsidR="00AD78EF" w:rsidRPr="00AD78EF" w:rsidRDefault="00AD78EF" w:rsidP="00AD78EF">
      <w:pPr>
        <w:pStyle w:val="FootnoteText"/>
        <w:jc w:val="both"/>
        <w:rPr>
          <w:rFonts w:ascii="Arial" w:hAnsi="Arial" w:cs="Arial"/>
          <w:lang w:val="en-US"/>
        </w:rPr>
      </w:pPr>
      <w:r w:rsidRPr="00AD78EF">
        <w:rPr>
          <w:rStyle w:val="FootnoteReference"/>
          <w:rFonts w:ascii="Arial" w:hAnsi="Arial" w:cs="Arial"/>
        </w:rPr>
        <w:footnoteRef/>
      </w:r>
      <w:r w:rsidRPr="00AD78EF">
        <w:rPr>
          <w:rFonts w:ascii="Arial" w:hAnsi="Arial" w:cs="Arial"/>
        </w:rPr>
        <w:t xml:space="preserve"> </w:t>
      </w:r>
      <w:r w:rsidRPr="00AD78EF">
        <w:rPr>
          <w:rFonts w:ascii="Arial" w:hAnsi="Arial" w:cs="Arial"/>
          <w:i/>
          <w:iCs/>
          <w:lang w:val="en-US"/>
        </w:rPr>
        <w:t>Bank Windhoek v Nicodemus</w:t>
      </w:r>
      <w:r w:rsidRPr="00AD78EF">
        <w:rPr>
          <w:rFonts w:ascii="Arial" w:hAnsi="Arial" w:cs="Arial"/>
          <w:lang w:val="en-US"/>
        </w:rPr>
        <w:t xml:space="preserve"> [2023] NAHCMD 376 (5 July 2023), relying on </w:t>
      </w:r>
      <w:r w:rsidRPr="00AD78EF">
        <w:rPr>
          <w:rFonts w:ascii="Arial" w:hAnsi="Arial" w:cs="Arial"/>
          <w:i/>
          <w:iCs/>
          <w:lang w:val="en-US"/>
        </w:rPr>
        <w:t xml:space="preserve">Radial Truss Industries (Pty) Ltd v </w:t>
      </w:r>
      <w:proofErr w:type="spellStart"/>
      <w:r w:rsidRPr="00AD78EF">
        <w:rPr>
          <w:rFonts w:ascii="Arial" w:hAnsi="Arial" w:cs="Arial"/>
          <w:i/>
          <w:iCs/>
          <w:lang w:val="en-US"/>
        </w:rPr>
        <w:t>Aquatan</w:t>
      </w:r>
      <w:proofErr w:type="spellEnd"/>
      <w:r w:rsidRPr="00AD78EF">
        <w:rPr>
          <w:rFonts w:ascii="Arial" w:hAnsi="Arial" w:cs="Arial"/>
          <w:i/>
          <w:iCs/>
          <w:lang w:val="en-US"/>
        </w:rPr>
        <w:t xml:space="preserve"> (Pty) Ltd</w:t>
      </w:r>
      <w:r w:rsidRPr="00AD78EF">
        <w:rPr>
          <w:rFonts w:ascii="Arial" w:hAnsi="Arial" w:cs="Arial"/>
          <w:lang w:val="en-US"/>
        </w:rPr>
        <w:t xml:space="preserve"> [2019] NASC (10 April 2019) para 37.</w:t>
      </w:r>
    </w:p>
  </w:footnote>
  <w:footnote w:id="5">
    <w:p w:rsidR="00AD78EF" w:rsidRPr="00E67DB8" w:rsidRDefault="00AD78EF" w:rsidP="00E67DB8">
      <w:pPr>
        <w:pStyle w:val="FootnoteText"/>
        <w:jc w:val="both"/>
        <w:rPr>
          <w:rFonts w:ascii="Arial" w:hAnsi="Arial" w:cs="Arial"/>
          <w:lang w:val="en-US"/>
        </w:rPr>
      </w:pPr>
      <w:r w:rsidRPr="00E67DB8">
        <w:rPr>
          <w:rStyle w:val="FootnoteReference"/>
          <w:rFonts w:ascii="Arial" w:hAnsi="Arial" w:cs="Arial"/>
        </w:rPr>
        <w:footnoteRef/>
      </w:r>
      <w:r w:rsidRPr="00E67DB8">
        <w:rPr>
          <w:rFonts w:ascii="Arial" w:hAnsi="Arial" w:cs="Arial"/>
        </w:rPr>
        <w:t xml:space="preserve"> </w:t>
      </w:r>
      <w:r w:rsidRPr="00E67DB8">
        <w:rPr>
          <w:rFonts w:ascii="Arial" w:hAnsi="Arial" w:cs="Arial"/>
          <w:lang w:val="en-US"/>
        </w:rPr>
        <w:t xml:space="preserve">Piet </w:t>
      </w:r>
      <w:proofErr w:type="spellStart"/>
      <w:r w:rsidRPr="00E67DB8">
        <w:rPr>
          <w:rFonts w:ascii="Arial" w:hAnsi="Arial" w:cs="Arial"/>
          <w:lang w:val="en-US"/>
        </w:rPr>
        <w:t>Delport</w:t>
      </w:r>
      <w:proofErr w:type="spellEnd"/>
      <w:r w:rsidRPr="00E67DB8">
        <w:rPr>
          <w:rFonts w:ascii="Arial" w:hAnsi="Arial" w:cs="Arial"/>
          <w:lang w:val="en-US"/>
        </w:rPr>
        <w:t xml:space="preserve"> </w:t>
      </w:r>
      <w:r w:rsidRPr="00E67DB8">
        <w:rPr>
          <w:rFonts w:ascii="Arial" w:hAnsi="Arial" w:cs="Arial"/>
          <w:i/>
          <w:iCs/>
          <w:lang w:val="en-US"/>
        </w:rPr>
        <w:t>New Entrepreneurial</w:t>
      </w:r>
      <w:r w:rsidRPr="00E67DB8">
        <w:rPr>
          <w:rFonts w:ascii="Arial" w:hAnsi="Arial" w:cs="Arial"/>
          <w:lang w:val="en-US"/>
        </w:rPr>
        <w:t xml:space="preserve"> </w:t>
      </w:r>
      <w:r w:rsidRPr="00E67DB8">
        <w:rPr>
          <w:rFonts w:ascii="Arial" w:hAnsi="Arial" w:cs="Arial"/>
          <w:i/>
          <w:iCs/>
          <w:lang w:val="en-US"/>
        </w:rPr>
        <w:t>Law</w:t>
      </w:r>
      <w:r w:rsidRPr="00E67DB8">
        <w:rPr>
          <w:rFonts w:ascii="Arial" w:hAnsi="Arial" w:cs="Arial"/>
          <w:lang w:val="en-US"/>
        </w:rPr>
        <w:t xml:space="preserve"> (2014) at 141.</w:t>
      </w:r>
    </w:p>
  </w:footnote>
  <w:footnote w:id="6">
    <w:p w:rsidR="00AD78EF" w:rsidRPr="00E67DB8" w:rsidRDefault="00AD78EF" w:rsidP="00E67DB8">
      <w:pPr>
        <w:pStyle w:val="FootnoteText"/>
        <w:jc w:val="both"/>
        <w:rPr>
          <w:rFonts w:ascii="Arial" w:hAnsi="Arial" w:cs="Arial"/>
          <w:lang w:val="en-US"/>
        </w:rPr>
      </w:pPr>
      <w:r w:rsidRPr="00E67DB8">
        <w:rPr>
          <w:rStyle w:val="FootnoteReference"/>
          <w:rFonts w:ascii="Arial" w:hAnsi="Arial" w:cs="Arial"/>
        </w:rPr>
        <w:footnoteRef/>
      </w:r>
      <w:r w:rsidRPr="00E67DB8">
        <w:rPr>
          <w:rFonts w:ascii="Arial" w:hAnsi="Arial" w:cs="Arial"/>
        </w:rPr>
        <w:t xml:space="preserve"> </w:t>
      </w:r>
      <w:r w:rsidRPr="00E67DB8">
        <w:rPr>
          <w:rFonts w:ascii="Arial" w:hAnsi="Arial" w:cs="Arial"/>
          <w:i/>
          <w:iCs/>
          <w:lang w:val="en-US"/>
        </w:rPr>
        <w:t>Da Silva v CH Chemicals (Pty) Ltd</w:t>
      </w:r>
      <w:r w:rsidRPr="00E67DB8">
        <w:rPr>
          <w:rFonts w:ascii="Arial" w:hAnsi="Arial" w:cs="Arial"/>
          <w:lang w:val="en-US"/>
        </w:rPr>
        <w:t xml:space="preserve"> [2009] 1 All SA 216 (SCA).</w:t>
      </w:r>
    </w:p>
  </w:footnote>
  <w:footnote w:id="7">
    <w:p w:rsidR="00AD78EF" w:rsidRPr="00E67DB8" w:rsidRDefault="00AD78EF" w:rsidP="00E67DB8">
      <w:pPr>
        <w:pStyle w:val="FootnoteText"/>
        <w:jc w:val="both"/>
        <w:rPr>
          <w:rFonts w:ascii="Arial" w:hAnsi="Arial" w:cs="Arial"/>
          <w:lang w:val="en-US"/>
        </w:rPr>
      </w:pPr>
      <w:r w:rsidRPr="00E67DB8">
        <w:rPr>
          <w:rStyle w:val="FootnoteReference"/>
          <w:rFonts w:ascii="Arial" w:hAnsi="Arial" w:cs="Arial"/>
        </w:rPr>
        <w:footnoteRef/>
      </w:r>
      <w:r w:rsidRPr="00E67DB8">
        <w:rPr>
          <w:rFonts w:ascii="Arial" w:hAnsi="Arial" w:cs="Arial"/>
        </w:rPr>
        <w:t xml:space="preserve"> </w:t>
      </w:r>
      <w:r w:rsidRPr="00E67DB8">
        <w:rPr>
          <w:rFonts w:ascii="Arial" w:hAnsi="Arial" w:cs="Arial"/>
          <w:lang w:val="en-US"/>
        </w:rPr>
        <w:t xml:space="preserve">LCB Gower </w:t>
      </w:r>
      <w:proofErr w:type="gramStart"/>
      <w:r w:rsidRPr="00E67DB8">
        <w:rPr>
          <w:rFonts w:ascii="Arial" w:hAnsi="Arial" w:cs="Arial"/>
          <w:i/>
          <w:iCs/>
          <w:lang w:val="en-US"/>
        </w:rPr>
        <w:t>The</w:t>
      </w:r>
      <w:proofErr w:type="gramEnd"/>
      <w:r w:rsidRPr="00E67DB8">
        <w:rPr>
          <w:rFonts w:ascii="Arial" w:hAnsi="Arial" w:cs="Arial"/>
          <w:i/>
          <w:iCs/>
          <w:lang w:val="en-US"/>
        </w:rPr>
        <w:t xml:space="preserve"> Principles of Modern Company Law</w:t>
      </w:r>
      <w:r w:rsidRPr="00E67DB8">
        <w:rPr>
          <w:rFonts w:ascii="Arial" w:hAnsi="Arial" w:cs="Arial"/>
          <w:lang w:val="en-US"/>
        </w:rPr>
        <w:t xml:space="preserve"> footnote 3 at 588.</w:t>
      </w:r>
    </w:p>
  </w:footnote>
  <w:footnote w:id="8">
    <w:p w:rsidR="00AD78EF" w:rsidRPr="00E67DB8" w:rsidRDefault="00AD78EF" w:rsidP="00E67DB8">
      <w:pPr>
        <w:pStyle w:val="FootnoteText"/>
        <w:jc w:val="both"/>
        <w:rPr>
          <w:rFonts w:ascii="Arial" w:hAnsi="Arial" w:cs="Arial"/>
          <w:lang w:val="en-US"/>
        </w:rPr>
      </w:pPr>
      <w:r w:rsidRPr="00E67DB8">
        <w:rPr>
          <w:rStyle w:val="FootnoteReference"/>
          <w:rFonts w:ascii="Arial" w:hAnsi="Arial" w:cs="Arial"/>
        </w:rPr>
        <w:footnoteRef/>
      </w:r>
      <w:r w:rsidRPr="00E67DB8">
        <w:rPr>
          <w:rFonts w:ascii="Arial" w:hAnsi="Arial" w:cs="Arial"/>
        </w:rPr>
        <w:t xml:space="preserve"> </w:t>
      </w:r>
      <w:r w:rsidRPr="00E67DB8">
        <w:rPr>
          <w:rFonts w:ascii="Arial" w:hAnsi="Arial" w:cs="Arial"/>
          <w:i/>
          <w:iCs/>
          <w:lang w:val="en-US"/>
        </w:rPr>
        <w:t>Da Silva v CH Chemicals (Pty) Ltd</w:t>
      </w:r>
      <w:r w:rsidRPr="00E67DB8">
        <w:rPr>
          <w:rFonts w:ascii="Arial" w:hAnsi="Arial" w:cs="Arial"/>
          <w:lang w:val="en-US"/>
        </w:rPr>
        <w:t xml:space="preserve"> footnote 6.</w:t>
      </w:r>
    </w:p>
  </w:footnote>
  <w:footnote w:id="9">
    <w:p w:rsidR="00AD78EF" w:rsidRPr="00FF497E" w:rsidRDefault="00AD78EF" w:rsidP="00FF497E">
      <w:pPr>
        <w:pStyle w:val="FootnoteText"/>
        <w:jc w:val="both"/>
        <w:rPr>
          <w:rFonts w:ascii="Arial" w:hAnsi="Arial" w:cs="Arial"/>
          <w:lang w:val="en-US"/>
        </w:rPr>
      </w:pPr>
      <w:r w:rsidRPr="00FF497E">
        <w:rPr>
          <w:rStyle w:val="FootnoteReference"/>
          <w:rFonts w:ascii="Arial" w:hAnsi="Arial" w:cs="Arial"/>
        </w:rPr>
        <w:footnoteRef/>
      </w:r>
      <w:r w:rsidRPr="00FF497E">
        <w:rPr>
          <w:rFonts w:ascii="Arial" w:hAnsi="Arial" w:cs="Arial"/>
        </w:rPr>
        <w:t xml:space="preserve"> </w:t>
      </w:r>
      <w:r w:rsidRPr="00FF497E">
        <w:rPr>
          <w:rFonts w:ascii="Arial" w:hAnsi="Arial" w:cs="Arial"/>
          <w:i/>
          <w:iCs/>
          <w:lang w:val="en-US"/>
        </w:rPr>
        <w:t xml:space="preserve">Radial Truss Industries (Pty) Ltd v </w:t>
      </w:r>
      <w:proofErr w:type="spellStart"/>
      <w:r w:rsidRPr="00FF497E">
        <w:rPr>
          <w:rFonts w:ascii="Arial" w:hAnsi="Arial" w:cs="Arial"/>
          <w:i/>
          <w:iCs/>
          <w:lang w:val="en-US"/>
        </w:rPr>
        <w:t>Aquatan</w:t>
      </w:r>
      <w:proofErr w:type="spellEnd"/>
      <w:r w:rsidRPr="00FF497E">
        <w:rPr>
          <w:rFonts w:ascii="Arial" w:hAnsi="Arial" w:cs="Arial"/>
          <w:i/>
          <w:iCs/>
          <w:lang w:val="en-US"/>
        </w:rPr>
        <w:t xml:space="preserve"> (Pty) Ltd</w:t>
      </w:r>
      <w:r w:rsidRPr="00FF497E">
        <w:rPr>
          <w:rFonts w:ascii="Arial" w:hAnsi="Arial" w:cs="Arial"/>
          <w:lang w:val="en-US"/>
        </w:rPr>
        <w:t xml:space="preserve"> footnote 4 para 37.</w:t>
      </w:r>
    </w:p>
  </w:footnote>
  <w:footnote w:id="10">
    <w:p w:rsidR="00AD78EF" w:rsidRPr="00FF497E" w:rsidRDefault="00AD78EF" w:rsidP="00FF497E">
      <w:pPr>
        <w:pStyle w:val="FootnoteText"/>
        <w:jc w:val="both"/>
        <w:rPr>
          <w:rFonts w:ascii="Arial" w:hAnsi="Arial" w:cs="Arial"/>
          <w:lang w:val="en-US"/>
        </w:rPr>
      </w:pPr>
      <w:r w:rsidRPr="00FF497E">
        <w:rPr>
          <w:rStyle w:val="FootnoteReference"/>
          <w:rFonts w:ascii="Arial" w:hAnsi="Arial" w:cs="Arial"/>
        </w:rPr>
        <w:footnoteRef/>
      </w:r>
      <w:r w:rsidRPr="00FF497E">
        <w:rPr>
          <w:rFonts w:ascii="Arial" w:hAnsi="Arial" w:cs="Arial"/>
        </w:rPr>
        <w:t xml:space="preserve"> </w:t>
      </w:r>
      <w:r w:rsidRPr="00FF497E">
        <w:rPr>
          <w:rFonts w:ascii="Arial" w:hAnsi="Arial" w:cs="Arial"/>
          <w:i/>
          <w:iCs/>
          <w:lang w:val="en-US"/>
        </w:rPr>
        <w:t>First National Bank of Namibia v Yeung Tai Foodstuff &amp; Trading C</w:t>
      </w:r>
      <w:r w:rsidRPr="00FF497E">
        <w:rPr>
          <w:rFonts w:ascii="Arial" w:hAnsi="Arial" w:cs="Arial"/>
          <w:lang w:val="en-US"/>
        </w:rPr>
        <w:t xml:space="preserve"> [2022] NAHCMD (28 March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rPr>
        <w:noProof/>
      </w:rPr>
    </w:sdtEndPr>
    <w:sdtContent>
      <w:p w:rsidR="00157447" w:rsidRDefault="00157447">
        <w:pPr>
          <w:pStyle w:val="Header"/>
          <w:jc w:val="right"/>
        </w:pPr>
        <w:r w:rsidRPr="00157447">
          <w:rPr>
            <w:rFonts w:ascii="Arial" w:hAnsi="Arial" w:cs="Arial"/>
            <w:sz w:val="24"/>
            <w:szCs w:val="24"/>
          </w:rPr>
          <w:fldChar w:fldCharType="begin"/>
        </w:r>
        <w:r w:rsidRPr="00157447">
          <w:rPr>
            <w:rFonts w:ascii="Arial" w:hAnsi="Arial" w:cs="Arial"/>
            <w:sz w:val="24"/>
            <w:szCs w:val="24"/>
          </w:rPr>
          <w:instrText xml:space="preserve"> PAGE   \* MERGEFORMAT </w:instrText>
        </w:r>
        <w:r w:rsidRPr="00157447">
          <w:rPr>
            <w:rFonts w:ascii="Arial" w:hAnsi="Arial" w:cs="Arial"/>
            <w:sz w:val="24"/>
            <w:szCs w:val="24"/>
          </w:rPr>
          <w:fldChar w:fldCharType="separate"/>
        </w:r>
        <w:r w:rsidR="00F66A89">
          <w:rPr>
            <w:rFonts w:ascii="Arial" w:hAnsi="Arial" w:cs="Arial"/>
            <w:noProof/>
            <w:sz w:val="24"/>
            <w:szCs w:val="24"/>
          </w:rPr>
          <w:t>2</w:t>
        </w:r>
        <w:r w:rsidRPr="00157447">
          <w:rPr>
            <w:rFonts w:ascii="Arial" w:hAnsi="Arial" w:cs="Arial"/>
            <w:noProof/>
            <w:sz w:val="24"/>
            <w:szCs w:val="24"/>
          </w:rPr>
          <w:fldChar w:fldCharType="end"/>
        </w:r>
      </w:p>
    </w:sdtContent>
  </w:sdt>
  <w:p w:rsidR="00157447"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2AF2D60"/>
    <w:multiLevelType w:val="hybridMultilevel"/>
    <w:tmpl w:val="F97220AC"/>
    <w:lvl w:ilvl="0" w:tplc="F74A9030">
      <w:start w:val="1"/>
      <w:numFmt w:val="lowerLetter"/>
      <w:lvlText w:val="(%1)"/>
      <w:lvlJc w:val="left"/>
      <w:pPr>
        <w:ind w:left="1448" w:hanging="70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FB660E4"/>
    <w:multiLevelType w:val="hybridMultilevel"/>
    <w:tmpl w:val="F4D073DA"/>
    <w:lvl w:ilvl="0" w:tplc="19901F10">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5145C86"/>
    <w:multiLevelType w:val="hybridMultilevel"/>
    <w:tmpl w:val="A20064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8423D41"/>
    <w:multiLevelType w:val="hybridMultilevel"/>
    <w:tmpl w:val="46848B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nsid w:val="51740DAB"/>
    <w:multiLevelType w:val="hybridMultilevel"/>
    <w:tmpl w:val="AF5A905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11"/>
  </w:num>
  <w:num w:numId="3">
    <w:abstractNumId w:val="9"/>
  </w:num>
  <w:num w:numId="4">
    <w:abstractNumId w:val="3"/>
  </w:num>
  <w:num w:numId="5">
    <w:abstractNumId w:val="1"/>
  </w:num>
  <w:num w:numId="6">
    <w:abstractNumId w:val="5"/>
  </w:num>
  <w:num w:numId="7">
    <w:abstractNumId w:val="4"/>
  </w:num>
  <w:num w:numId="8">
    <w:abstractNumId w:val="12"/>
  </w:num>
  <w:num w:numId="9">
    <w:abstractNumId w:val="6"/>
  </w:num>
  <w:num w:numId="10">
    <w:abstractNumId w:val="7"/>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2EEF"/>
    <w:rsid w:val="000142CE"/>
    <w:rsid w:val="00015808"/>
    <w:rsid w:val="000200BD"/>
    <w:rsid w:val="00030A66"/>
    <w:rsid w:val="00035FE3"/>
    <w:rsid w:val="0003697D"/>
    <w:rsid w:val="00040503"/>
    <w:rsid w:val="00052806"/>
    <w:rsid w:val="00053646"/>
    <w:rsid w:val="00061672"/>
    <w:rsid w:val="000929C5"/>
    <w:rsid w:val="0009362E"/>
    <w:rsid w:val="000A6E7F"/>
    <w:rsid w:val="000D3710"/>
    <w:rsid w:val="000E7C99"/>
    <w:rsid w:val="000F2FD9"/>
    <w:rsid w:val="000F39A3"/>
    <w:rsid w:val="000F681E"/>
    <w:rsid w:val="00116AFB"/>
    <w:rsid w:val="00117280"/>
    <w:rsid w:val="001223B7"/>
    <w:rsid w:val="00124C63"/>
    <w:rsid w:val="00136505"/>
    <w:rsid w:val="00152FEA"/>
    <w:rsid w:val="00153ED0"/>
    <w:rsid w:val="00157447"/>
    <w:rsid w:val="0018718C"/>
    <w:rsid w:val="001B3825"/>
    <w:rsid w:val="001B5539"/>
    <w:rsid w:val="001B6FC8"/>
    <w:rsid w:val="001E097B"/>
    <w:rsid w:val="001E2A2D"/>
    <w:rsid w:val="00217744"/>
    <w:rsid w:val="00224808"/>
    <w:rsid w:val="002317B0"/>
    <w:rsid w:val="0023549A"/>
    <w:rsid w:val="002536EA"/>
    <w:rsid w:val="002569DB"/>
    <w:rsid w:val="00276736"/>
    <w:rsid w:val="00282B03"/>
    <w:rsid w:val="002863C2"/>
    <w:rsid w:val="002A4AA3"/>
    <w:rsid w:val="002B3034"/>
    <w:rsid w:val="002B38E0"/>
    <w:rsid w:val="002C1EF6"/>
    <w:rsid w:val="002D20C5"/>
    <w:rsid w:val="002D407B"/>
    <w:rsid w:val="002E738E"/>
    <w:rsid w:val="00301CC7"/>
    <w:rsid w:val="0031523D"/>
    <w:rsid w:val="00322F39"/>
    <w:rsid w:val="00323AAF"/>
    <w:rsid w:val="00323E22"/>
    <w:rsid w:val="00340EA6"/>
    <w:rsid w:val="00346731"/>
    <w:rsid w:val="003558A3"/>
    <w:rsid w:val="00371B8F"/>
    <w:rsid w:val="0038382D"/>
    <w:rsid w:val="003A18AD"/>
    <w:rsid w:val="003B03B0"/>
    <w:rsid w:val="003B3CA5"/>
    <w:rsid w:val="003C0ED1"/>
    <w:rsid w:val="003C2574"/>
    <w:rsid w:val="003D165C"/>
    <w:rsid w:val="003D3059"/>
    <w:rsid w:val="00404B70"/>
    <w:rsid w:val="00412278"/>
    <w:rsid w:val="00422167"/>
    <w:rsid w:val="00426C60"/>
    <w:rsid w:val="00431A65"/>
    <w:rsid w:val="004352E5"/>
    <w:rsid w:val="004358E2"/>
    <w:rsid w:val="00436C2B"/>
    <w:rsid w:val="004416D0"/>
    <w:rsid w:val="00442D1E"/>
    <w:rsid w:val="00463486"/>
    <w:rsid w:val="004665B1"/>
    <w:rsid w:val="00466B36"/>
    <w:rsid w:val="00474C2A"/>
    <w:rsid w:val="00475B7A"/>
    <w:rsid w:val="00476A49"/>
    <w:rsid w:val="00490505"/>
    <w:rsid w:val="004907E4"/>
    <w:rsid w:val="004936A7"/>
    <w:rsid w:val="004A2D48"/>
    <w:rsid w:val="004C646F"/>
    <w:rsid w:val="004E3BFB"/>
    <w:rsid w:val="004E43B9"/>
    <w:rsid w:val="005019F0"/>
    <w:rsid w:val="00503F36"/>
    <w:rsid w:val="00523D75"/>
    <w:rsid w:val="00535F29"/>
    <w:rsid w:val="00536EFF"/>
    <w:rsid w:val="00544777"/>
    <w:rsid w:val="005629DA"/>
    <w:rsid w:val="00594F6C"/>
    <w:rsid w:val="005A4D90"/>
    <w:rsid w:val="005B62A0"/>
    <w:rsid w:val="005C0E24"/>
    <w:rsid w:val="005C21D7"/>
    <w:rsid w:val="005C3354"/>
    <w:rsid w:val="005E584F"/>
    <w:rsid w:val="005E7A0F"/>
    <w:rsid w:val="005F325C"/>
    <w:rsid w:val="005F32EB"/>
    <w:rsid w:val="00604628"/>
    <w:rsid w:val="00610BF1"/>
    <w:rsid w:val="006115E2"/>
    <w:rsid w:val="00672C76"/>
    <w:rsid w:val="006830DB"/>
    <w:rsid w:val="0069227A"/>
    <w:rsid w:val="00695549"/>
    <w:rsid w:val="00695745"/>
    <w:rsid w:val="006976D9"/>
    <w:rsid w:val="006A0BA4"/>
    <w:rsid w:val="006A1E08"/>
    <w:rsid w:val="006B53A4"/>
    <w:rsid w:val="006B5854"/>
    <w:rsid w:val="006B7521"/>
    <w:rsid w:val="006D0991"/>
    <w:rsid w:val="006D7450"/>
    <w:rsid w:val="006E0FD4"/>
    <w:rsid w:val="006F07B3"/>
    <w:rsid w:val="007002B1"/>
    <w:rsid w:val="00700B1F"/>
    <w:rsid w:val="00702C62"/>
    <w:rsid w:val="00703171"/>
    <w:rsid w:val="00705C05"/>
    <w:rsid w:val="00730A0B"/>
    <w:rsid w:val="00730ECB"/>
    <w:rsid w:val="00736DA4"/>
    <w:rsid w:val="007446E2"/>
    <w:rsid w:val="00746C0C"/>
    <w:rsid w:val="00766B6F"/>
    <w:rsid w:val="00766C68"/>
    <w:rsid w:val="007824DD"/>
    <w:rsid w:val="0078274D"/>
    <w:rsid w:val="007853D8"/>
    <w:rsid w:val="007950C8"/>
    <w:rsid w:val="0079789B"/>
    <w:rsid w:val="007979CA"/>
    <w:rsid w:val="007C7A12"/>
    <w:rsid w:val="007D0792"/>
    <w:rsid w:val="007D6C74"/>
    <w:rsid w:val="007E43B6"/>
    <w:rsid w:val="007F68C4"/>
    <w:rsid w:val="008006A3"/>
    <w:rsid w:val="00812409"/>
    <w:rsid w:val="00816D5D"/>
    <w:rsid w:val="008206BE"/>
    <w:rsid w:val="00821A0C"/>
    <w:rsid w:val="008275AC"/>
    <w:rsid w:val="00835300"/>
    <w:rsid w:val="0087368D"/>
    <w:rsid w:val="00882F73"/>
    <w:rsid w:val="00890A20"/>
    <w:rsid w:val="00892D9A"/>
    <w:rsid w:val="00896BA9"/>
    <w:rsid w:val="008A1447"/>
    <w:rsid w:val="008B2925"/>
    <w:rsid w:val="008C2200"/>
    <w:rsid w:val="008E0730"/>
    <w:rsid w:val="008F59A0"/>
    <w:rsid w:val="009241FD"/>
    <w:rsid w:val="00924CE7"/>
    <w:rsid w:val="009279BE"/>
    <w:rsid w:val="00937C89"/>
    <w:rsid w:val="009733A9"/>
    <w:rsid w:val="009919F6"/>
    <w:rsid w:val="00997C11"/>
    <w:rsid w:val="009A7A59"/>
    <w:rsid w:val="009B0F36"/>
    <w:rsid w:val="009C35C9"/>
    <w:rsid w:val="009C6F3F"/>
    <w:rsid w:val="009D27E8"/>
    <w:rsid w:val="009E2A0F"/>
    <w:rsid w:val="009E444A"/>
    <w:rsid w:val="009F6340"/>
    <w:rsid w:val="00A10E40"/>
    <w:rsid w:val="00A15CD1"/>
    <w:rsid w:val="00A22E0F"/>
    <w:rsid w:val="00A2391E"/>
    <w:rsid w:val="00A26B7B"/>
    <w:rsid w:val="00A3327E"/>
    <w:rsid w:val="00A50F13"/>
    <w:rsid w:val="00A57FE5"/>
    <w:rsid w:val="00A66511"/>
    <w:rsid w:val="00A75ED6"/>
    <w:rsid w:val="00A83422"/>
    <w:rsid w:val="00A85792"/>
    <w:rsid w:val="00A922A7"/>
    <w:rsid w:val="00A9498C"/>
    <w:rsid w:val="00AA3ECB"/>
    <w:rsid w:val="00AA761D"/>
    <w:rsid w:val="00AA7F9C"/>
    <w:rsid w:val="00AD72DD"/>
    <w:rsid w:val="00AD78EF"/>
    <w:rsid w:val="00AF3CC5"/>
    <w:rsid w:val="00AF42EC"/>
    <w:rsid w:val="00B01B6C"/>
    <w:rsid w:val="00B121EA"/>
    <w:rsid w:val="00B40844"/>
    <w:rsid w:val="00B47800"/>
    <w:rsid w:val="00B50C99"/>
    <w:rsid w:val="00B56E34"/>
    <w:rsid w:val="00B5737E"/>
    <w:rsid w:val="00B61AC7"/>
    <w:rsid w:val="00B808CB"/>
    <w:rsid w:val="00B845CF"/>
    <w:rsid w:val="00B92DE7"/>
    <w:rsid w:val="00B9407E"/>
    <w:rsid w:val="00BB13F4"/>
    <w:rsid w:val="00BB3273"/>
    <w:rsid w:val="00BB64B8"/>
    <w:rsid w:val="00BC5931"/>
    <w:rsid w:val="00BE31AD"/>
    <w:rsid w:val="00C04F28"/>
    <w:rsid w:val="00C06EB4"/>
    <w:rsid w:val="00C2633E"/>
    <w:rsid w:val="00C53CDF"/>
    <w:rsid w:val="00C647EC"/>
    <w:rsid w:val="00C64FEF"/>
    <w:rsid w:val="00C73D5D"/>
    <w:rsid w:val="00C851CA"/>
    <w:rsid w:val="00CA7995"/>
    <w:rsid w:val="00CB1183"/>
    <w:rsid w:val="00CC7431"/>
    <w:rsid w:val="00CD62C0"/>
    <w:rsid w:val="00CF0031"/>
    <w:rsid w:val="00D04B6F"/>
    <w:rsid w:val="00D113DD"/>
    <w:rsid w:val="00D231FE"/>
    <w:rsid w:val="00D24453"/>
    <w:rsid w:val="00D25285"/>
    <w:rsid w:val="00D30D4D"/>
    <w:rsid w:val="00D37DAA"/>
    <w:rsid w:val="00D5070E"/>
    <w:rsid w:val="00D547B6"/>
    <w:rsid w:val="00D6224D"/>
    <w:rsid w:val="00D80947"/>
    <w:rsid w:val="00D960EA"/>
    <w:rsid w:val="00D965B8"/>
    <w:rsid w:val="00DA2283"/>
    <w:rsid w:val="00DB4575"/>
    <w:rsid w:val="00DB5AA2"/>
    <w:rsid w:val="00DD76E7"/>
    <w:rsid w:val="00E0573A"/>
    <w:rsid w:val="00E221FD"/>
    <w:rsid w:val="00E41BE5"/>
    <w:rsid w:val="00E533BE"/>
    <w:rsid w:val="00E5361F"/>
    <w:rsid w:val="00E62DB3"/>
    <w:rsid w:val="00E67DB8"/>
    <w:rsid w:val="00E96F9E"/>
    <w:rsid w:val="00EA2DE2"/>
    <w:rsid w:val="00EB1AE0"/>
    <w:rsid w:val="00EC6B73"/>
    <w:rsid w:val="00ED5B76"/>
    <w:rsid w:val="00ED7008"/>
    <w:rsid w:val="00ED76B2"/>
    <w:rsid w:val="00EF184A"/>
    <w:rsid w:val="00EF2FFD"/>
    <w:rsid w:val="00F0235A"/>
    <w:rsid w:val="00F05CAB"/>
    <w:rsid w:val="00F0783D"/>
    <w:rsid w:val="00F20FFA"/>
    <w:rsid w:val="00F21EDB"/>
    <w:rsid w:val="00F2599B"/>
    <w:rsid w:val="00F4726A"/>
    <w:rsid w:val="00F605BE"/>
    <w:rsid w:val="00F6175C"/>
    <w:rsid w:val="00F65529"/>
    <w:rsid w:val="00F65903"/>
    <w:rsid w:val="00F66A89"/>
    <w:rsid w:val="00F72231"/>
    <w:rsid w:val="00F7691A"/>
    <w:rsid w:val="00F82EDF"/>
    <w:rsid w:val="00F92D04"/>
    <w:rsid w:val="00FB2E9E"/>
    <w:rsid w:val="00FB5F14"/>
    <w:rsid w:val="00FC2237"/>
    <w:rsid w:val="00FC6F2E"/>
    <w:rsid w:val="00FD68B7"/>
    <w:rsid w:val="00FF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2023-08-07T18:30:00+00:00</Judgment_x0020_Date>
    <Year xmlns="c1afb1bd-f2fb-40fd-9abb-aea55b4d7662">2023</Year>
  </documentManagement>
</p:properties>
</file>

<file path=customXml/itemProps1.xml><?xml version="1.0" encoding="utf-8"?>
<ds:datastoreItem xmlns:ds="http://schemas.openxmlformats.org/officeDocument/2006/customXml" ds:itemID="{7AE5EA3F-E725-4776-9624-4FBD4205567D}"/>
</file>

<file path=customXml/itemProps2.xml><?xml version="1.0" encoding="utf-8"?>
<ds:datastoreItem xmlns:ds="http://schemas.openxmlformats.org/officeDocument/2006/customXml" ds:itemID="{305426F8-587A-461E-A48F-A30CCD7C0DC0}"/>
</file>

<file path=customXml/itemProps3.xml><?xml version="1.0" encoding="utf-8"?>
<ds:datastoreItem xmlns:ds="http://schemas.openxmlformats.org/officeDocument/2006/customXml" ds:itemID="{A27B971B-1DCC-4DDF-9FAA-DFB6DD3C6D9E}"/>
</file>

<file path=customXml/itemProps4.xml><?xml version="1.0" encoding="utf-8"?>
<ds:datastoreItem xmlns:ds="http://schemas.openxmlformats.org/officeDocument/2006/customXml" ds:itemID="{E79C7577-050F-4249-9C16-31CC223482E4}"/>
</file>

<file path=docProps/app.xml><?xml version="1.0" encoding="utf-8"?>
<Properties xmlns="http://schemas.openxmlformats.org/officeDocument/2006/extended-properties" xmlns:vt="http://schemas.openxmlformats.org/officeDocument/2006/docPropsVTypes">
  <Template>Normal</Template>
  <TotalTime>3</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Mbakile v Urayeneza (HC-MD-CIV-ACT-OTH-202301061) [2023] NAHCMD 486 (8 August 2023)</dc:title>
  <dc:subject/>
  <dc:creator>shomany keister</dc:creator>
  <cp:keywords/>
  <dc:description/>
  <cp:lastModifiedBy>Michelle M. Jagger</cp:lastModifiedBy>
  <cp:revision>3</cp:revision>
  <cp:lastPrinted>2023-08-08T06:31:00Z</cp:lastPrinted>
  <dcterms:created xsi:type="dcterms:W3CDTF">2023-08-02T14:11:00Z</dcterms:created>
  <dcterms:modified xsi:type="dcterms:W3CDTF">2023-08-08T06:32:00Z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