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9D12ED"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9D12ED" w:rsidRDefault="009D12ED"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632" w:type="dxa"/>
        <w:tblInd w:w="-431" w:type="dxa"/>
        <w:tblLook w:val="04A0" w:firstRow="1" w:lastRow="0" w:firstColumn="1" w:lastColumn="0" w:noHBand="0" w:noVBand="1"/>
      </w:tblPr>
      <w:tblGrid>
        <w:gridCol w:w="5388"/>
        <w:gridCol w:w="1134"/>
        <w:gridCol w:w="4110"/>
      </w:tblGrid>
      <w:tr w:rsidR="00CA7995" w:rsidRPr="00CA7995" w:rsidTr="00E74A40">
        <w:trPr>
          <w:trHeight w:val="1396"/>
        </w:trPr>
        <w:tc>
          <w:tcPr>
            <w:tcW w:w="6522"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B40844" w:rsidRPr="00211029" w:rsidRDefault="00FC6147" w:rsidP="00341C0F">
            <w:pPr>
              <w:tabs>
                <w:tab w:val="left" w:pos="3564"/>
                <w:tab w:val="left" w:pos="3706"/>
                <w:tab w:val="left" w:pos="4273"/>
              </w:tabs>
              <w:spacing w:line="360" w:lineRule="auto"/>
              <w:jc w:val="both"/>
              <w:rPr>
                <w:rFonts w:ascii="Arial" w:hAnsi="Arial" w:cs="Arial"/>
                <w:sz w:val="24"/>
                <w:szCs w:val="24"/>
              </w:rPr>
            </w:pPr>
            <w:r w:rsidRPr="00211029">
              <w:rPr>
                <w:rFonts w:ascii="Arial" w:hAnsi="Arial" w:cs="Arial"/>
                <w:sz w:val="24"/>
                <w:szCs w:val="24"/>
              </w:rPr>
              <w:t>XINFENG INVESTMENTS (PTY) LTD       1</w:t>
            </w:r>
            <w:r w:rsidRPr="00211029">
              <w:rPr>
                <w:rFonts w:ascii="Arial" w:hAnsi="Arial" w:cs="Arial"/>
                <w:sz w:val="24"/>
                <w:szCs w:val="24"/>
                <w:vertAlign w:val="superscript"/>
              </w:rPr>
              <w:t>ST</w:t>
            </w:r>
            <w:r w:rsidRPr="00211029">
              <w:rPr>
                <w:rFonts w:ascii="Arial" w:hAnsi="Arial" w:cs="Arial"/>
                <w:sz w:val="24"/>
                <w:szCs w:val="24"/>
              </w:rPr>
              <w:t xml:space="preserve"> APPLICANT</w:t>
            </w:r>
          </w:p>
          <w:p w:rsidR="00FC6147" w:rsidRDefault="00F47CD7" w:rsidP="00341C0F">
            <w:pPr>
              <w:tabs>
                <w:tab w:val="left" w:pos="3564"/>
                <w:tab w:val="left" w:pos="3706"/>
                <w:tab w:val="left" w:pos="4273"/>
              </w:tabs>
              <w:spacing w:line="360" w:lineRule="auto"/>
              <w:jc w:val="both"/>
              <w:rPr>
                <w:rFonts w:ascii="Arial" w:hAnsi="Arial" w:cs="Arial"/>
                <w:sz w:val="24"/>
                <w:szCs w:val="24"/>
              </w:rPr>
            </w:pPr>
            <w:r w:rsidRPr="00211029">
              <w:rPr>
                <w:rFonts w:ascii="Arial" w:hAnsi="Arial" w:cs="Arial"/>
                <w:sz w:val="24"/>
                <w:szCs w:val="24"/>
              </w:rPr>
              <w:t>LIKULANO</w:t>
            </w:r>
            <w:r w:rsidR="00FC6147">
              <w:rPr>
                <w:rFonts w:ascii="Arial" w:hAnsi="Arial" w:cs="Arial"/>
                <w:sz w:val="24"/>
                <w:szCs w:val="24"/>
              </w:rPr>
              <w:t xml:space="preserve"> SAUIYELE JANUARY             2</w:t>
            </w:r>
            <w:r w:rsidR="00FC6147" w:rsidRPr="00FC6147">
              <w:rPr>
                <w:rFonts w:ascii="Arial" w:hAnsi="Arial" w:cs="Arial"/>
                <w:sz w:val="24"/>
                <w:szCs w:val="24"/>
                <w:vertAlign w:val="superscript"/>
              </w:rPr>
              <w:t>ND</w:t>
            </w:r>
            <w:r w:rsidR="00FC6147">
              <w:rPr>
                <w:rFonts w:ascii="Arial" w:hAnsi="Arial" w:cs="Arial"/>
                <w:sz w:val="24"/>
                <w:szCs w:val="24"/>
              </w:rPr>
              <w:t xml:space="preserve"> APPLICANT</w:t>
            </w:r>
          </w:p>
          <w:p w:rsidR="00FC6147" w:rsidRDefault="00FC6147" w:rsidP="00341C0F">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YUJING LI                                                  3</w:t>
            </w:r>
            <w:r w:rsidRPr="00FC6147">
              <w:rPr>
                <w:rFonts w:ascii="Arial" w:hAnsi="Arial" w:cs="Arial"/>
                <w:sz w:val="24"/>
                <w:szCs w:val="24"/>
                <w:vertAlign w:val="superscript"/>
              </w:rPr>
              <w:t>RD</w:t>
            </w:r>
            <w:r>
              <w:rPr>
                <w:rFonts w:ascii="Arial" w:hAnsi="Arial" w:cs="Arial"/>
                <w:sz w:val="24"/>
                <w:szCs w:val="24"/>
              </w:rPr>
              <w:t xml:space="preserve"> APPLICANT</w:t>
            </w:r>
          </w:p>
          <w:p w:rsidR="00FC6147" w:rsidRDefault="00FC6147" w:rsidP="00341C0F">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YIMING XIE                                                4</w:t>
            </w:r>
            <w:r w:rsidRPr="00FC6147">
              <w:rPr>
                <w:rFonts w:ascii="Arial" w:hAnsi="Arial" w:cs="Arial"/>
                <w:sz w:val="24"/>
                <w:szCs w:val="24"/>
                <w:vertAlign w:val="superscript"/>
              </w:rPr>
              <w:t>TH</w:t>
            </w:r>
            <w:r>
              <w:rPr>
                <w:rFonts w:ascii="Arial" w:hAnsi="Arial" w:cs="Arial"/>
                <w:sz w:val="24"/>
                <w:szCs w:val="24"/>
              </w:rPr>
              <w:t xml:space="preserve"> APPLICANT</w:t>
            </w:r>
          </w:p>
          <w:p w:rsidR="00002E9A" w:rsidRDefault="00002E9A" w:rsidP="00002E9A">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02E9A"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 xml:space="preserve">CHIEF EXECUTIVE OFFICER: BIPA </w:t>
            </w:r>
            <w:r w:rsidR="009B2FDE">
              <w:rPr>
                <w:rFonts w:ascii="Arial" w:eastAsia="Times New Roman" w:hAnsi="Arial" w:cs="Arial"/>
                <w:sz w:val="24"/>
                <w:szCs w:val="24"/>
              </w:rPr>
              <w:t xml:space="preserve">      </w:t>
            </w:r>
            <w:r>
              <w:rPr>
                <w:rFonts w:ascii="Arial" w:eastAsia="Times New Roman" w:hAnsi="Arial" w:cs="Arial"/>
                <w:sz w:val="24"/>
                <w:szCs w:val="24"/>
              </w:rPr>
              <w:t>1</w:t>
            </w:r>
            <w:r w:rsidRPr="00FC6147">
              <w:rPr>
                <w:rFonts w:ascii="Arial" w:eastAsia="Times New Roman" w:hAnsi="Arial" w:cs="Arial"/>
                <w:sz w:val="24"/>
                <w:szCs w:val="24"/>
                <w:vertAlign w:val="superscript"/>
              </w:rPr>
              <w:t>ST</w:t>
            </w:r>
            <w:r>
              <w:rPr>
                <w:rFonts w:ascii="Arial" w:eastAsia="Times New Roman" w:hAnsi="Arial" w:cs="Arial"/>
                <w:sz w:val="24"/>
                <w:szCs w:val="24"/>
              </w:rPr>
              <w:t xml:space="preserve"> RESPONDENT</w:t>
            </w:r>
            <w:r w:rsidR="000F1377">
              <w:rPr>
                <w:rFonts w:ascii="Arial" w:eastAsia="Times New Roman" w:hAnsi="Arial" w:cs="Arial"/>
                <w:sz w:val="24"/>
                <w:szCs w:val="24"/>
              </w:rPr>
              <w:t xml:space="preserve">         </w:t>
            </w:r>
            <w:r w:rsidR="00F47CD7">
              <w:rPr>
                <w:rFonts w:ascii="Arial" w:eastAsia="Times New Roman" w:hAnsi="Arial" w:cs="Arial"/>
                <w:sz w:val="24"/>
                <w:szCs w:val="24"/>
              </w:rPr>
              <w:t>CHAIR</w:t>
            </w:r>
            <w:r>
              <w:rPr>
                <w:rFonts w:ascii="Arial" w:eastAsia="Times New Roman" w:hAnsi="Arial" w:cs="Arial"/>
                <w:sz w:val="24"/>
                <w:szCs w:val="24"/>
              </w:rPr>
              <w:t>PERSON: BIPA                          2</w:t>
            </w:r>
            <w:r w:rsidRPr="00FC6147">
              <w:rPr>
                <w:rFonts w:ascii="Arial" w:eastAsia="Times New Roman" w:hAnsi="Arial" w:cs="Arial"/>
                <w:sz w:val="24"/>
                <w:szCs w:val="24"/>
                <w:vertAlign w:val="superscript"/>
              </w:rPr>
              <w:t>ND</w:t>
            </w:r>
            <w:r>
              <w:rPr>
                <w:rFonts w:ascii="Arial" w:eastAsia="Times New Roman" w:hAnsi="Arial" w:cs="Arial"/>
                <w:sz w:val="24"/>
                <w:szCs w:val="24"/>
              </w:rPr>
              <w:t xml:space="preserve"> RESPONDENT</w:t>
            </w:r>
          </w:p>
          <w:p w:rsidR="00FC6147"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GIDEON BENJAMIN SMITH                 3</w:t>
            </w:r>
            <w:r w:rsidRPr="00FC6147">
              <w:rPr>
                <w:rFonts w:ascii="Arial" w:eastAsia="Times New Roman" w:hAnsi="Arial" w:cs="Arial"/>
                <w:sz w:val="24"/>
                <w:szCs w:val="24"/>
                <w:vertAlign w:val="superscript"/>
              </w:rPr>
              <w:t>RD</w:t>
            </w:r>
            <w:r>
              <w:rPr>
                <w:rFonts w:ascii="Arial" w:eastAsia="Times New Roman" w:hAnsi="Arial" w:cs="Arial"/>
                <w:sz w:val="24"/>
                <w:szCs w:val="24"/>
              </w:rPr>
              <w:t xml:space="preserve"> RESPONDENT</w:t>
            </w:r>
          </w:p>
          <w:p w:rsidR="00FC6147"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HINENI INVESTMENTS (PTY) LTD      4</w:t>
            </w:r>
            <w:r w:rsidRPr="00FC6147">
              <w:rPr>
                <w:rFonts w:ascii="Arial" w:eastAsia="Times New Roman" w:hAnsi="Arial" w:cs="Arial"/>
                <w:sz w:val="24"/>
                <w:szCs w:val="24"/>
                <w:vertAlign w:val="superscript"/>
              </w:rPr>
              <w:t>TH</w:t>
            </w:r>
            <w:r>
              <w:rPr>
                <w:rFonts w:ascii="Arial" w:eastAsia="Times New Roman" w:hAnsi="Arial" w:cs="Arial"/>
                <w:sz w:val="24"/>
                <w:szCs w:val="24"/>
              </w:rPr>
              <w:t xml:space="preserve"> RESPONDENT</w:t>
            </w:r>
          </w:p>
          <w:p w:rsidR="00FC6147"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 xml:space="preserve">PROTOCOL SECRETARIAL </w:t>
            </w:r>
          </w:p>
          <w:p w:rsidR="00FC6147"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SERVICE (PTY) LTD                              5</w:t>
            </w:r>
            <w:r w:rsidRPr="00FC6147">
              <w:rPr>
                <w:rFonts w:ascii="Arial" w:eastAsia="Times New Roman" w:hAnsi="Arial" w:cs="Arial"/>
                <w:sz w:val="24"/>
                <w:szCs w:val="24"/>
                <w:vertAlign w:val="superscript"/>
              </w:rPr>
              <w:t>TH</w:t>
            </w:r>
            <w:r>
              <w:rPr>
                <w:rFonts w:ascii="Arial" w:eastAsia="Times New Roman" w:hAnsi="Arial" w:cs="Arial"/>
                <w:sz w:val="24"/>
                <w:szCs w:val="24"/>
              </w:rPr>
              <w:t xml:space="preserve"> RESPONDENT</w:t>
            </w:r>
          </w:p>
          <w:p w:rsidR="00FC6147" w:rsidRDefault="00FC6147" w:rsidP="000F1377">
            <w:pPr>
              <w:spacing w:line="360" w:lineRule="auto"/>
              <w:jc w:val="both"/>
              <w:rPr>
                <w:rFonts w:ascii="Arial" w:eastAsia="Times New Roman" w:hAnsi="Arial" w:cs="Arial"/>
                <w:sz w:val="24"/>
                <w:szCs w:val="24"/>
              </w:rPr>
            </w:pPr>
            <w:r>
              <w:rPr>
                <w:rFonts w:ascii="Arial" w:eastAsia="Times New Roman" w:hAnsi="Arial" w:cs="Arial"/>
                <w:sz w:val="24"/>
                <w:szCs w:val="24"/>
              </w:rPr>
              <w:t xml:space="preserve">ELLIS &amp; PARTNERS </w:t>
            </w:r>
          </w:p>
          <w:p w:rsidR="00002E9A" w:rsidRDefault="00FC6147" w:rsidP="00FC6147">
            <w:pPr>
              <w:spacing w:line="360" w:lineRule="auto"/>
              <w:jc w:val="both"/>
              <w:rPr>
                <w:rFonts w:ascii="Arial" w:eastAsia="Times New Roman" w:hAnsi="Arial" w:cs="Arial"/>
                <w:sz w:val="24"/>
                <w:szCs w:val="24"/>
              </w:rPr>
            </w:pPr>
            <w:r>
              <w:rPr>
                <w:rFonts w:ascii="Arial" w:eastAsia="Times New Roman" w:hAnsi="Arial" w:cs="Arial"/>
                <w:sz w:val="24"/>
                <w:szCs w:val="24"/>
              </w:rPr>
              <w:t>LEGAL PRACTITIONERS                         6</w:t>
            </w:r>
            <w:r w:rsidRPr="00FC6147">
              <w:rPr>
                <w:rFonts w:ascii="Arial" w:eastAsia="Times New Roman" w:hAnsi="Arial" w:cs="Arial"/>
                <w:sz w:val="24"/>
                <w:szCs w:val="24"/>
                <w:vertAlign w:val="superscript"/>
              </w:rPr>
              <w:t>TH</w:t>
            </w:r>
            <w:r>
              <w:rPr>
                <w:rFonts w:ascii="Arial" w:eastAsia="Times New Roman" w:hAnsi="Arial" w:cs="Arial"/>
                <w:sz w:val="24"/>
                <w:szCs w:val="24"/>
              </w:rPr>
              <w:t xml:space="preserve"> RESPONDENT</w:t>
            </w:r>
          </w:p>
          <w:p w:rsidR="00C24DD6" w:rsidRPr="009D12ED" w:rsidRDefault="00C24DD6" w:rsidP="00FC6147">
            <w:pPr>
              <w:spacing w:line="360" w:lineRule="auto"/>
              <w:jc w:val="both"/>
              <w:rPr>
                <w:rFonts w:ascii="Arial" w:eastAsia="Times New Roman" w:hAnsi="Arial" w:cs="Arial"/>
                <w:sz w:val="24"/>
                <w:szCs w:val="24"/>
              </w:rPr>
            </w:pPr>
            <w:r w:rsidRPr="00211029">
              <w:rPr>
                <w:rFonts w:ascii="Arial" w:eastAsia="Times New Roman" w:hAnsi="Arial" w:cs="Arial"/>
                <w:sz w:val="24"/>
                <w:szCs w:val="24"/>
              </w:rPr>
              <w:t>And 7 O</w:t>
            </w:r>
            <w:r w:rsidR="007314A3">
              <w:rPr>
                <w:rFonts w:ascii="Arial" w:eastAsia="Times New Roman" w:hAnsi="Arial" w:cs="Arial"/>
                <w:sz w:val="24"/>
                <w:szCs w:val="24"/>
              </w:rPr>
              <w:t>ther RESPONDENTS</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Default="000F1377" w:rsidP="00E74A40">
            <w:pPr>
              <w:spacing w:line="360" w:lineRule="auto"/>
              <w:jc w:val="both"/>
              <w:rPr>
                <w:rFonts w:ascii="Arial" w:hAnsi="Arial" w:cs="Arial"/>
                <w:sz w:val="24"/>
                <w:szCs w:val="24"/>
                <w:shd w:val="clear" w:color="auto" w:fill="FFFFFF"/>
              </w:rPr>
            </w:pPr>
            <w:r w:rsidRPr="000F1377">
              <w:rPr>
                <w:rFonts w:ascii="Arial" w:hAnsi="Arial" w:cs="Arial"/>
                <w:sz w:val="24"/>
                <w:szCs w:val="24"/>
                <w:shd w:val="clear" w:color="auto" w:fill="FFFFFF"/>
              </w:rPr>
              <w:t>HC-MD-CIV-</w:t>
            </w:r>
            <w:r w:rsidR="00FC6147">
              <w:rPr>
                <w:rFonts w:ascii="Arial" w:hAnsi="Arial" w:cs="Arial"/>
                <w:sz w:val="24"/>
                <w:szCs w:val="24"/>
                <w:shd w:val="clear" w:color="auto" w:fill="FFFFFF"/>
              </w:rPr>
              <w:t>MOT-REV-2022/00330</w:t>
            </w:r>
          </w:p>
          <w:p w:rsidR="00E74A40" w:rsidRPr="00C2633E" w:rsidRDefault="00E74A40" w:rsidP="00E74A40">
            <w:pPr>
              <w:spacing w:line="360" w:lineRule="auto"/>
              <w:jc w:val="both"/>
              <w:rPr>
                <w:rFonts w:ascii="Arial" w:hAnsi="Arial" w:cs="Arial"/>
                <w:sz w:val="24"/>
                <w:szCs w:val="24"/>
                <w:shd w:val="clear" w:color="auto" w:fill="FFFFFF"/>
              </w:rPr>
            </w:pPr>
          </w:p>
        </w:tc>
      </w:tr>
      <w:tr w:rsidR="00CA7995" w:rsidRPr="00CA7995" w:rsidTr="00E74A40">
        <w:trPr>
          <w:trHeight w:val="968"/>
        </w:trPr>
        <w:tc>
          <w:tcPr>
            <w:tcW w:w="6522"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E74A40">
        <w:trPr>
          <w:trHeight w:val="965"/>
        </w:trPr>
        <w:tc>
          <w:tcPr>
            <w:tcW w:w="6522" w:type="dxa"/>
            <w:gridSpan w:val="2"/>
            <w:vMerge w:val="restart"/>
          </w:tcPr>
          <w:p w:rsidR="00B40844" w:rsidRPr="00CA7995" w:rsidRDefault="0068720B" w:rsidP="00937C89">
            <w:pPr>
              <w:spacing w:line="360" w:lineRule="auto"/>
              <w:jc w:val="both"/>
              <w:rPr>
                <w:rFonts w:ascii="Arial" w:hAnsi="Arial" w:cs="Arial"/>
                <w:b/>
                <w:sz w:val="24"/>
                <w:szCs w:val="24"/>
              </w:rPr>
            </w:pPr>
            <w:r>
              <w:rPr>
                <w:rFonts w:ascii="Arial" w:hAnsi="Arial" w:cs="Arial"/>
                <w:b/>
                <w:sz w:val="24"/>
                <w:szCs w:val="24"/>
              </w:rPr>
              <w:t>Coram:</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FC6147" w:rsidP="00C2633E">
            <w:pPr>
              <w:spacing w:line="360" w:lineRule="auto"/>
              <w:jc w:val="both"/>
              <w:rPr>
                <w:rFonts w:ascii="Arial" w:hAnsi="Arial" w:cs="Arial"/>
                <w:sz w:val="24"/>
                <w:szCs w:val="24"/>
              </w:rPr>
            </w:pPr>
            <w:r>
              <w:rPr>
                <w:rFonts w:ascii="Arial" w:hAnsi="Arial" w:cs="Arial"/>
                <w:sz w:val="24"/>
                <w:szCs w:val="24"/>
                <w:lang w:val="en-US"/>
              </w:rPr>
              <w:t>11 May</w:t>
            </w:r>
            <w:r w:rsidR="00002E9A">
              <w:rPr>
                <w:rFonts w:ascii="Arial" w:hAnsi="Arial" w:cs="Arial"/>
                <w:sz w:val="24"/>
                <w:szCs w:val="24"/>
                <w:lang w:val="en-US"/>
              </w:rPr>
              <w:t xml:space="preserve"> 2023</w:t>
            </w:r>
          </w:p>
        </w:tc>
      </w:tr>
      <w:tr w:rsidR="00CA7995" w:rsidRPr="00CA7995" w:rsidTr="00E74A40">
        <w:trPr>
          <w:trHeight w:val="991"/>
        </w:trPr>
        <w:tc>
          <w:tcPr>
            <w:tcW w:w="6522"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FC6147" w:rsidP="00C2633E">
            <w:pPr>
              <w:spacing w:line="360" w:lineRule="auto"/>
              <w:jc w:val="both"/>
              <w:rPr>
                <w:rFonts w:ascii="Arial" w:hAnsi="Arial" w:cs="Arial"/>
                <w:b/>
                <w:sz w:val="24"/>
                <w:szCs w:val="24"/>
              </w:rPr>
            </w:pPr>
            <w:r>
              <w:rPr>
                <w:rFonts w:ascii="Arial" w:hAnsi="Arial" w:cs="Arial"/>
                <w:sz w:val="24"/>
                <w:szCs w:val="24"/>
                <w:lang w:val="en-US"/>
              </w:rPr>
              <w:t xml:space="preserve">9 August </w:t>
            </w:r>
            <w:r w:rsidR="00002E9A">
              <w:rPr>
                <w:rFonts w:ascii="Arial" w:hAnsi="Arial" w:cs="Arial"/>
                <w:sz w:val="24"/>
                <w:szCs w:val="24"/>
                <w:lang w:val="en-US"/>
              </w:rPr>
              <w:t>2023</w:t>
            </w:r>
          </w:p>
        </w:tc>
      </w:tr>
      <w:tr w:rsidR="00CA7995" w:rsidRPr="00CA7995" w:rsidTr="00E74A40">
        <w:trPr>
          <w:trHeight w:val="876"/>
        </w:trPr>
        <w:tc>
          <w:tcPr>
            <w:tcW w:w="10632" w:type="dxa"/>
            <w:gridSpan w:val="3"/>
          </w:tcPr>
          <w:p w:rsidR="00FC6147" w:rsidRDefault="00B40844" w:rsidP="00FC6147">
            <w:pPr>
              <w:spacing w:line="360" w:lineRule="auto"/>
              <w:jc w:val="both"/>
              <w:rPr>
                <w:rFonts w:ascii="Arial" w:hAnsi="Arial" w:cs="Arial"/>
                <w:sz w:val="24"/>
                <w:szCs w:val="24"/>
                <w:shd w:val="clear" w:color="auto" w:fill="FFFFFF"/>
              </w:rPr>
            </w:pPr>
            <w:r w:rsidRPr="00CA7995">
              <w:rPr>
                <w:rFonts w:ascii="Arial" w:hAnsi="Arial" w:cs="Arial"/>
                <w:b/>
                <w:sz w:val="24"/>
                <w:szCs w:val="24"/>
              </w:rPr>
              <w:t xml:space="preserve">Neutral citation: </w:t>
            </w:r>
            <w:r w:rsidR="00466EF2" w:rsidRPr="00466EF2">
              <w:rPr>
                <w:rFonts w:ascii="Arial" w:hAnsi="Arial" w:cs="Arial"/>
                <w:b/>
                <w:sz w:val="24"/>
                <w:szCs w:val="24"/>
              </w:rPr>
              <w:tab/>
            </w:r>
            <w:bookmarkStart w:id="0" w:name="_GoBack"/>
            <w:r w:rsidR="00FC6147">
              <w:rPr>
                <w:rFonts w:ascii="Arial" w:eastAsia="Times New Roman" w:hAnsi="Arial" w:cs="Arial"/>
                <w:i/>
                <w:sz w:val="24"/>
                <w:szCs w:val="24"/>
              </w:rPr>
              <w:t>Xinfeng Investments (Pty) Ltd</w:t>
            </w:r>
            <w:r w:rsidR="00002E9A" w:rsidRPr="00A927F8">
              <w:rPr>
                <w:rFonts w:ascii="Arial" w:eastAsia="Times New Roman" w:hAnsi="Arial" w:cs="Arial"/>
                <w:i/>
                <w:sz w:val="24"/>
                <w:szCs w:val="24"/>
              </w:rPr>
              <w:t xml:space="preserve"> v </w:t>
            </w:r>
            <w:r w:rsidR="00FC6147">
              <w:rPr>
                <w:rFonts w:ascii="Arial" w:eastAsia="Times New Roman" w:hAnsi="Arial" w:cs="Arial"/>
                <w:i/>
                <w:sz w:val="24"/>
                <w:szCs w:val="24"/>
              </w:rPr>
              <w:t xml:space="preserve">Chief Executive Officer: BIPA </w:t>
            </w:r>
            <w:r w:rsidR="00002E9A" w:rsidRPr="007B0507">
              <w:rPr>
                <w:rFonts w:ascii="Arial" w:eastAsia="Times New Roman" w:hAnsi="Arial" w:cs="Arial"/>
                <w:sz w:val="24"/>
                <w:szCs w:val="24"/>
              </w:rPr>
              <w:t>(</w:t>
            </w:r>
            <w:r w:rsidR="00FC6147" w:rsidRPr="000F1377">
              <w:rPr>
                <w:rFonts w:ascii="Arial" w:hAnsi="Arial" w:cs="Arial"/>
                <w:sz w:val="24"/>
                <w:szCs w:val="24"/>
                <w:shd w:val="clear" w:color="auto" w:fill="FFFFFF"/>
              </w:rPr>
              <w:t>HC-MD-CIV-</w:t>
            </w:r>
            <w:r w:rsidR="00FC6147">
              <w:rPr>
                <w:rFonts w:ascii="Arial" w:hAnsi="Arial" w:cs="Arial"/>
                <w:sz w:val="24"/>
                <w:szCs w:val="24"/>
                <w:shd w:val="clear" w:color="auto" w:fill="FFFFFF"/>
              </w:rPr>
              <w:t xml:space="preserve">  </w:t>
            </w:r>
          </w:p>
          <w:p w:rsidR="00B40844" w:rsidRPr="00CA7995" w:rsidRDefault="00FC6147" w:rsidP="00FC6147">
            <w:pPr>
              <w:spacing w:line="360" w:lineRule="auto"/>
              <w:jc w:val="both"/>
              <w:rPr>
                <w:rFonts w:ascii="Arial" w:hAnsi="Arial" w:cs="Arial"/>
                <w:sz w:val="24"/>
                <w:szCs w:val="24"/>
              </w:rPr>
            </w:pPr>
            <w:r>
              <w:rPr>
                <w:rFonts w:ascii="Arial" w:hAnsi="Arial" w:cs="Arial"/>
                <w:sz w:val="24"/>
                <w:szCs w:val="24"/>
                <w:shd w:val="clear" w:color="auto" w:fill="FFFFFF"/>
              </w:rPr>
              <w:t xml:space="preserve">                                MOT-REV-2022/00330</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FE3661">
              <w:rPr>
                <w:rFonts w:ascii="Arial" w:hAnsi="Arial" w:cs="Arial"/>
                <w:sz w:val="24"/>
                <w:szCs w:val="24"/>
              </w:rPr>
              <w:t xml:space="preserve">NAHCMD </w:t>
            </w:r>
            <w:r w:rsidR="00C14AE5" w:rsidRPr="00A53164">
              <w:rPr>
                <w:rFonts w:ascii="Arial" w:hAnsi="Arial" w:cs="Arial"/>
                <w:sz w:val="24"/>
                <w:szCs w:val="24"/>
              </w:rPr>
              <w:t>489</w:t>
            </w:r>
            <w:r w:rsidR="000F1377">
              <w:rPr>
                <w:rFonts w:ascii="Arial" w:hAnsi="Arial" w:cs="Arial"/>
                <w:sz w:val="24"/>
                <w:szCs w:val="24"/>
              </w:rPr>
              <w:t xml:space="preserve"> (</w:t>
            </w:r>
            <w:r>
              <w:rPr>
                <w:rFonts w:ascii="Arial" w:hAnsi="Arial" w:cs="Arial"/>
                <w:sz w:val="24"/>
                <w:szCs w:val="24"/>
              </w:rPr>
              <w:t>9 August</w:t>
            </w:r>
            <w:r w:rsidR="00002E9A">
              <w:rPr>
                <w:rFonts w:ascii="Arial" w:hAnsi="Arial" w:cs="Arial"/>
                <w:sz w:val="24"/>
                <w:szCs w:val="24"/>
              </w:rPr>
              <w:t xml:space="preserve"> 2023)</w:t>
            </w:r>
            <w:bookmarkEnd w:id="0"/>
          </w:p>
        </w:tc>
      </w:tr>
      <w:tr w:rsidR="00002E9A" w:rsidRPr="00CA7995" w:rsidTr="00E74A40">
        <w:trPr>
          <w:trHeight w:val="876"/>
        </w:trPr>
        <w:tc>
          <w:tcPr>
            <w:tcW w:w="10632"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lastRenderedPageBreak/>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E74A40">
        <w:tc>
          <w:tcPr>
            <w:tcW w:w="10632" w:type="dxa"/>
            <w:gridSpan w:val="3"/>
          </w:tcPr>
          <w:p w:rsidR="00B40844" w:rsidRPr="00B47800" w:rsidRDefault="00B40844" w:rsidP="00937C89">
            <w:pPr>
              <w:spacing w:line="360" w:lineRule="auto"/>
              <w:jc w:val="both"/>
              <w:rPr>
                <w:rFonts w:ascii="Arial" w:hAnsi="Arial" w:cs="Arial"/>
                <w:sz w:val="20"/>
                <w:szCs w:val="20"/>
              </w:rPr>
            </w:pPr>
            <w:r w:rsidRPr="00CA7995">
              <w:rPr>
                <w:rFonts w:ascii="Arial" w:hAnsi="Arial" w:cs="Arial"/>
                <w:b/>
                <w:sz w:val="24"/>
                <w:szCs w:val="24"/>
              </w:rPr>
              <w:t>The order:</w:t>
            </w:r>
          </w:p>
          <w:p w:rsidR="0068720B" w:rsidRPr="00211029" w:rsidRDefault="0068720B" w:rsidP="0068720B">
            <w:pPr>
              <w:pStyle w:val="BodyText"/>
              <w:tabs>
                <w:tab w:val="left" w:pos="0"/>
              </w:tabs>
            </w:pPr>
            <w:r>
              <w:t>1.</w:t>
            </w:r>
            <w:r w:rsidRPr="0068720B">
              <w:tab/>
            </w:r>
            <w:r>
              <w:t xml:space="preserve">The </w:t>
            </w:r>
            <w:r w:rsidRPr="00211029">
              <w:t xml:space="preserve">application for </w:t>
            </w:r>
            <w:r w:rsidR="00AB31A2" w:rsidRPr="00211029">
              <w:t xml:space="preserve">the </w:t>
            </w:r>
            <w:r w:rsidRPr="00211029">
              <w:t>review of the allocatur of the taxing officer succeeds.</w:t>
            </w:r>
          </w:p>
          <w:p w:rsidR="0068720B" w:rsidRPr="00211029" w:rsidRDefault="0068720B" w:rsidP="0068720B">
            <w:pPr>
              <w:pStyle w:val="BodyText"/>
              <w:tabs>
                <w:tab w:val="left" w:pos="0"/>
              </w:tabs>
            </w:pPr>
          </w:p>
          <w:p w:rsidR="0068720B" w:rsidRPr="00211029" w:rsidRDefault="0068720B" w:rsidP="0068720B">
            <w:pPr>
              <w:pStyle w:val="BodyText"/>
              <w:tabs>
                <w:tab w:val="left" w:pos="0"/>
              </w:tabs>
            </w:pPr>
            <w:r w:rsidRPr="00211029">
              <w:t>2.</w:t>
            </w:r>
            <w:r w:rsidRPr="00211029">
              <w:tab/>
              <w:t>The ruling of the taxing officer in respect of items 33, 42, 81 and 82 is set aside.</w:t>
            </w:r>
          </w:p>
          <w:p w:rsidR="0068720B" w:rsidRPr="00211029" w:rsidRDefault="0068720B" w:rsidP="0068720B">
            <w:pPr>
              <w:pStyle w:val="BodyText"/>
              <w:tabs>
                <w:tab w:val="left" w:pos="0"/>
              </w:tabs>
            </w:pPr>
          </w:p>
          <w:p w:rsidR="0068720B" w:rsidRDefault="0068720B" w:rsidP="0068720B">
            <w:pPr>
              <w:pStyle w:val="BodyText"/>
              <w:tabs>
                <w:tab w:val="left" w:pos="0"/>
              </w:tabs>
            </w:pPr>
            <w:r w:rsidRPr="00211029">
              <w:t>3.</w:t>
            </w:r>
            <w:r w:rsidRPr="00211029">
              <w:tab/>
              <w:t xml:space="preserve">The matter is remitted </w:t>
            </w:r>
            <w:r w:rsidR="0026055D">
              <w:t xml:space="preserve">to </w:t>
            </w:r>
            <w:r w:rsidRPr="00211029">
              <w:t>t</w:t>
            </w:r>
            <w:r w:rsidR="00211029" w:rsidRPr="00211029">
              <w:t>he</w:t>
            </w:r>
            <w:r w:rsidRPr="00211029">
              <w:t xml:space="preserve"> taxing officer to tax items 33, 81 and 82 of the bill of costs afresh and consider the reasonableness of counsels’ fees in accordance with the Rules of Court.</w:t>
            </w:r>
            <w:r w:rsidR="002F1C70">
              <w:t xml:space="preserve"> </w:t>
            </w:r>
          </w:p>
          <w:p w:rsidR="00211029" w:rsidRDefault="00211029" w:rsidP="0068720B">
            <w:pPr>
              <w:pStyle w:val="BodyText"/>
              <w:tabs>
                <w:tab w:val="left" w:pos="0"/>
              </w:tabs>
            </w:pPr>
          </w:p>
          <w:p w:rsidR="0068720B" w:rsidRDefault="0068720B" w:rsidP="0068720B">
            <w:pPr>
              <w:pStyle w:val="BodyText"/>
              <w:tabs>
                <w:tab w:val="left" w:pos="0"/>
              </w:tabs>
            </w:pPr>
            <w:r>
              <w:t>4.</w:t>
            </w:r>
            <w:r w:rsidRPr="0068720B">
              <w:tab/>
            </w:r>
            <w:r>
              <w:t>No order is made as to costs.</w:t>
            </w:r>
          </w:p>
          <w:p w:rsidR="00CB6B8A" w:rsidRDefault="00CB6B8A" w:rsidP="0068720B">
            <w:pPr>
              <w:pStyle w:val="BodyText"/>
              <w:tabs>
                <w:tab w:val="left" w:pos="0"/>
              </w:tabs>
            </w:pPr>
          </w:p>
          <w:p w:rsidR="00793E9C" w:rsidRDefault="0068720B" w:rsidP="0068720B">
            <w:pPr>
              <w:pStyle w:val="BodyText"/>
              <w:tabs>
                <w:tab w:val="left" w:pos="0"/>
              </w:tabs>
            </w:pPr>
            <w:r>
              <w:t xml:space="preserve">The matter is removed from the roll and regarded </w:t>
            </w:r>
            <w:r w:rsidR="00BE39FA">
              <w:t xml:space="preserve">as </w:t>
            </w:r>
            <w:r>
              <w:t>finali</w:t>
            </w:r>
            <w:r w:rsidR="00BE39FA">
              <w:t>s</w:t>
            </w:r>
            <w:r>
              <w:t>ed.</w:t>
            </w:r>
          </w:p>
          <w:p w:rsidR="00370BDC" w:rsidRPr="00B47800" w:rsidRDefault="00370BDC" w:rsidP="0068720B">
            <w:pPr>
              <w:pStyle w:val="BodyText"/>
              <w:tabs>
                <w:tab w:val="left" w:pos="0"/>
              </w:tabs>
            </w:pPr>
          </w:p>
        </w:tc>
      </w:tr>
      <w:tr w:rsidR="00CA7995" w:rsidRPr="00CA7995" w:rsidTr="00E74A40">
        <w:trPr>
          <w:trHeight w:val="548"/>
        </w:trPr>
        <w:tc>
          <w:tcPr>
            <w:tcW w:w="10632"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t>Reasons for orders:</w:t>
            </w:r>
          </w:p>
        </w:tc>
      </w:tr>
      <w:tr w:rsidR="00CA7995" w:rsidRPr="00CA7995" w:rsidTr="00E74A40">
        <w:tc>
          <w:tcPr>
            <w:tcW w:w="10632" w:type="dxa"/>
            <w:gridSpan w:val="3"/>
          </w:tcPr>
          <w:p w:rsidR="00E74A40" w:rsidRPr="006559FC" w:rsidRDefault="00E74A40" w:rsidP="00E74A40">
            <w:pPr>
              <w:rPr>
                <w:rFonts w:ascii="Arial" w:hAnsi="Arial" w:cs="Arial"/>
                <w:sz w:val="24"/>
                <w:szCs w:val="24"/>
              </w:rPr>
            </w:pPr>
          </w:p>
          <w:p w:rsidR="006559FC" w:rsidRPr="006559FC" w:rsidRDefault="006559FC" w:rsidP="00E74A40">
            <w:pPr>
              <w:rPr>
                <w:rFonts w:ascii="Arial" w:hAnsi="Arial" w:cs="Arial"/>
                <w:sz w:val="24"/>
                <w:szCs w:val="24"/>
              </w:rPr>
            </w:pPr>
          </w:p>
          <w:p w:rsidR="006559FC" w:rsidRDefault="006559FC" w:rsidP="00E74A40">
            <w:pPr>
              <w:rPr>
                <w:rFonts w:ascii="Arial" w:hAnsi="Arial" w:cs="Arial"/>
                <w:sz w:val="24"/>
                <w:szCs w:val="24"/>
              </w:rPr>
            </w:pPr>
            <w:r w:rsidRPr="006559FC">
              <w:rPr>
                <w:rFonts w:ascii="Arial" w:hAnsi="Arial" w:cs="Arial"/>
                <w:sz w:val="24"/>
                <w:szCs w:val="24"/>
              </w:rPr>
              <w:t>Prinsloo J</w:t>
            </w:r>
            <w:r>
              <w:rPr>
                <w:rFonts w:ascii="Arial" w:hAnsi="Arial" w:cs="Arial"/>
                <w:sz w:val="24"/>
                <w:szCs w:val="24"/>
              </w:rPr>
              <w:t>:</w:t>
            </w:r>
          </w:p>
          <w:p w:rsidR="006559FC" w:rsidRPr="006559FC" w:rsidRDefault="006559FC" w:rsidP="00E74A40">
            <w:pPr>
              <w:rPr>
                <w:rFonts w:ascii="Arial" w:hAnsi="Arial" w:cs="Arial"/>
                <w:sz w:val="24"/>
                <w:szCs w:val="24"/>
              </w:rPr>
            </w:pPr>
          </w:p>
          <w:p w:rsidR="00FC6147" w:rsidRPr="00FC6147" w:rsidRDefault="00FC6147" w:rsidP="00FC6147">
            <w:pPr>
              <w:pStyle w:val="Heading1"/>
              <w:spacing w:line="240" w:lineRule="auto"/>
              <w:outlineLvl w:val="0"/>
              <w:rPr>
                <w:lang w:val="en-ZA"/>
              </w:rPr>
            </w:pPr>
            <w:r w:rsidRPr="00FC6147">
              <w:rPr>
                <w:lang w:val="en-ZA"/>
              </w:rPr>
              <w:t>Introduction</w:t>
            </w:r>
          </w:p>
          <w:p w:rsidR="00FC6147" w:rsidRDefault="00FC6147" w:rsidP="00FC6147"/>
          <w:p w:rsidR="00FC6147" w:rsidRPr="00211029" w:rsidRDefault="00FC6147" w:rsidP="00FC6147">
            <w:pPr>
              <w:pStyle w:val="BodyText"/>
              <w:numPr>
                <w:ilvl w:val="0"/>
                <w:numId w:val="11"/>
              </w:numPr>
              <w:tabs>
                <w:tab w:val="clear" w:pos="729"/>
              </w:tabs>
              <w:ind w:left="0" w:firstLine="0"/>
            </w:pPr>
            <w:r>
              <w:t xml:space="preserve">This application is brought in terms of rule 75(1) of the </w:t>
            </w:r>
            <w:r w:rsidR="00A44B6A">
              <w:t>R</w:t>
            </w:r>
            <w:r>
              <w:t xml:space="preserve">ules of </w:t>
            </w:r>
            <w:r w:rsidR="00A44B6A">
              <w:t>C</w:t>
            </w:r>
            <w:r>
              <w:t xml:space="preserve">ourt to review the taxation of costs on the items objected to or disallowed by the taxing officer </w:t>
            </w:r>
            <w:r w:rsidR="00AB31A2" w:rsidRPr="00211029">
              <w:t xml:space="preserve">during </w:t>
            </w:r>
            <w:r w:rsidRPr="00211029">
              <w:t>taxation</w:t>
            </w:r>
            <w:r w:rsidR="00A44B6A">
              <w:t>,</w:t>
            </w:r>
            <w:r w:rsidRPr="00211029">
              <w:t xml:space="preserve"> which was held on 23 November 2022.</w:t>
            </w:r>
          </w:p>
          <w:p w:rsidR="00FC6147" w:rsidRPr="00211029" w:rsidRDefault="00FC6147" w:rsidP="00FC6147">
            <w:pPr>
              <w:pStyle w:val="BodyText"/>
            </w:pPr>
          </w:p>
          <w:p w:rsidR="00FC6147" w:rsidRPr="00211029" w:rsidRDefault="00FC6147" w:rsidP="00FC6147">
            <w:pPr>
              <w:pStyle w:val="BodyText"/>
              <w:numPr>
                <w:ilvl w:val="0"/>
                <w:numId w:val="11"/>
              </w:numPr>
              <w:tabs>
                <w:tab w:val="clear" w:pos="729"/>
              </w:tabs>
              <w:ind w:left="0" w:firstLine="0"/>
            </w:pPr>
            <w:r w:rsidRPr="00211029">
              <w:t>The present case concern</w:t>
            </w:r>
            <w:r w:rsidR="00370BDC" w:rsidRPr="00211029">
              <w:t>s</w:t>
            </w:r>
            <w:r w:rsidRPr="00211029">
              <w:t xml:space="preserve"> a request by the third to the sixth respondent</w:t>
            </w:r>
            <w:r w:rsidR="00370BDC" w:rsidRPr="00211029">
              <w:t>s</w:t>
            </w:r>
            <w:r w:rsidRPr="00211029">
              <w:rPr>
                <w:rStyle w:val="FootnoteReference"/>
              </w:rPr>
              <w:footnoteReference w:id="1"/>
            </w:r>
            <w:r w:rsidRPr="00211029">
              <w:t xml:space="preserve"> for a judge to review the items objected to or disallowed by the taxing officer </w:t>
            </w:r>
            <w:r w:rsidR="00370BDC" w:rsidRPr="00211029">
              <w:t xml:space="preserve">during the </w:t>
            </w:r>
            <w:r w:rsidRPr="00211029">
              <w:t>taxation</w:t>
            </w:r>
            <w:r w:rsidR="00AB31A2" w:rsidRPr="00211029">
              <w:t>.</w:t>
            </w:r>
            <w:r w:rsidRPr="00211029">
              <w:t xml:space="preserve"> The respondents seek to review items 33, 42, 81 and 83 of the applicant’s Bill of Costs. Items 33, 81 and 83 relate to instructed counsel's fees, whereas item 42 also relates to counsel’s fees but specifically to the memorandum of advice prepared by counsel. </w:t>
            </w:r>
          </w:p>
          <w:p w:rsidR="00FC6147" w:rsidRDefault="00FC6147" w:rsidP="00FC6147">
            <w:pPr>
              <w:pStyle w:val="ListParagraph"/>
            </w:pPr>
          </w:p>
          <w:p w:rsidR="00FC6147" w:rsidRDefault="00FC6147" w:rsidP="00FC6147">
            <w:pPr>
              <w:pStyle w:val="BodyText"/>
              <w:numPr>
                <w:ilvl w:val="0"/>
                <w:numId w:val="11"/>
              </w:numPr>
              <w:tabs>
                <w:tab w:val="clear" w:pos="729"/>
              </w:tabs>
              <w:ind w:left="0" w:firstLine="0"/>
            </w:pPr>
            <w:r>
              <w:t xml:space="preserve">The taxing officer had to determine whether the matter before court was of a complex nature and whether the rate charged by </w:t>
            </w:r>
            <w:r w:rsidR="00A44B6A">
              <w:t>s</w:t>
            </w:r>
            <w:r>
              <w:t xml:space="preserve">enior </w:t>
            </w:r>
            <w:r w:rsidR="00A44B6A">
              <w:t>c</w:t>
            </w:r>
            <w:r>
              <w:t xml:space="preserve">ounsel, being N$3500 per hour, as opposed to the allowable maximum or N$1800 stipulated in the rules for party and party costs, would be justified. </w:t>
            </w:r>
          </w:p>
          <w:p w:rsidR="00FC6147" w:rsidRDefault="00FC6147" w:rsidP="00FC6147">
            <w:pPr>
              <w:pStyle w:val="ListParagraph"/>
            </w:pPr>
          </w:p>
          <w:p w:rsidR="00FC6147" w:rsidRDefault="00695E13" w:rsidP="00695E13">
            <w:pPr>
              <w:pStyle w:val="ListParagraph"/>
              <w:tabs>
                <w:tab w:val="left" w:pos="729"/>
              </w:tabs>
              <w:spacing w:line="360" w:lineRule="auto"/>
              <w:ind w:left="0"/>
              <w:jc w:val="both"/>
            </w:pPr>
            <w:r w:rsidRPr="00695E13">
              <w:rPr>
                <w:rFonts w:ascii="Arial" w:hAnsi="Arial" w:cs="Arial"/>
                <w:sz w:val="24"/>
                <w:szCs w:val="24"/>
              </w:rPr>
              <w:lastRenderedPageBreak/>
              <w:t>[4]</w:t>
            </w:r>
            <w:r w:rsidRPr="00695E13">
              <w:rPr>
                <w:rFonts w:ascii="Arial" w:hAnsi="Arial" w:cs="Arial"/>
                <w:sz w:val="24"/>
                <w:szCs w:val="24"/>
              </w:rPr>
              <w:tab/>
            </w:r>
            <w:r w:rsidR="00FC6147" w:rsidRPr="00571421">
              <w:rPr>
                <w:rFonts w:ascii="Arial" w:hAnsi="Arial" w:cs="Arial"/>
                <w:sz w:val="24"/>
                <w:szCs w:val="24"/>
              </w:rPr>
              <w:t xml:space="preserve">The </w:t>
            </w:r>
            <w:r w:rsidR="00FC6147">
              <w:rPr>
                <w:rFonts w:ascii="Arial" w:hAnsi="Arial" w:cs="Arial"/>
                <w:sz w:val="24"/>
                <w:szCs w:val="24"/>
              </w:rPr>
              <w:t>respondents</w:t>
            </w:r>
            <w:r w:rsidR="00FC6147" w:rsidRPr="00571421">
              <w:rPr>
                <w:rFonts w:ascii="Arial" w:hAnsi="Arial" w:cs="Arial"/>
                <w:sz w:val="24"/>
                <w:szCs w:val="24"/>
              </w:rPr>
              <w:t>, being dissatisfied with the ruling of the taxing officer as to items objected to or disallowed requested the taxing officer to state a cas</w:t>
            </w:r>
            <w:r w:rsidR="0068720B">
              <w:rPr>
                <w:rFonts w:ascii="Arial" w:hAnsi="Arial" w:cs="Arial"/>
                <w:sz w:val="24"/>
                <w:szCs w:val="24"/>
              </w:rPr>
              <w:t xml:space="preserve">e for the decision of a judge. </w:t>
            </w:r>
            <w:r w:rsidR="00370BDC" w:rsidRPr="00211029">
              <w:rPr>
                <w:rFonts w:ascii="Arial" w:hAnsi="Arial" w:cs="Arial"/>
                <w:sz w:val="24"/>
                <w:szCs w:val="24"/>
              </w:rPr>
              <w:t>T</w:t>
            </w:r>
            <w:r w:rsidR="00FC6147" w:rsidRPr="00211029">
              <w:rPr>
                <w:rFonts w:ascii="Arial" w:hAnsi="Arial" w:cs="Arial"/>
                <w:sz w:val="24"/>
                <w:szCs w:val="24"/>
              </w:rPr>
              <w:t>he respondents and the applicants had submitted their written contentions in com</w:t>
            </w:r>
            <w:r w:rsidR="00370BDC" w:rsidRPr="00211029">
              <w:rPr>
                <w:rFonts w:ascii="Arial" w:hAnsi="Arial" w:cs="Arial"/>
                <w:sz w:val="24"/>
                <w:szCs w:val="24"/>
              </w:rPr>
              <w:t>pliance with rule 75(4) of the Rules of C</w:t>
            </w:r>
            <w:r w:rsidR="00FC6147" w:rsidRPr="00211029">
              <w:rPr>
                <w:rFonts w:ascii="Arial" w:hAnsi="Arial" w:cs="Arial"/>
                <w:sz w:val="24"/>
                <w:szCs w:val="24"/>
              </w:rPr>
              <w:t>ourt.</w:t>
            </w:r>
            <w:r w:rsidR="00FC6147" w:rsidRPr="00571421">
              <w:rPr>
                <w:rFonts w:ascii="Arial" w:hAnsi="Arial" w:cs="Arial"/>
                <w:sz w:val="24"/>
                <w:szCs w:val="24"/>
              </w:rPr>
              <w:t xml:space="preserve"> </w:t>
            </w:r>
          </w:p>
          <w:p w:rsidR="00FC6147" w:rsidRDefault="00FC6147" w:rsidP="00FC6147">
            <w:pPr>
              <w:pStyle w:val="BodyText"/>
            </w:pPr>
          </w:p>
          <w:p w:rsidR="00FC6147" w:rsidRDefault="00FC6147" w:rsidP="00FC6147">
            <w:pPr>
              <w:pStyle w:val="BodyText"/>
              <w:rPr>
                <w:u w:val="single"/>
              </w:rPr>
            </w:pPr>
            <w:r w:rsidRPr="0092774F">
              <w:rPr>
                <w:u w:val="single"/>
              </w:rPr>
              <w:t>The stated case in terms of rule 75(1) that served before the taxing officer</w:t>
            </w:r>
          </w:p>
          <w:p w:rsidR="00FC6147" w:rsidRPr="0092774F" w:rsidRDefault="00FC6147" w:rsidP="00FC6147">
            <w:pPr>
              <w:pStyle w:val="BodyText"/>
              <w:rPr>
                <w:u w:val="single"/>
              </w:rPr>
            </w:pPr>
          </w:p>
          <w:p w:rsidR="00FC6147" w:rsidRPr="00695E13" w:rsidRDefault="00695E13" w:rsidP="00695E13">
            <w:pPr>
              <w:pStyle w:val="BodyText"/>
              <w:tabs>
                <w:tab w:val="clear" w:pos="729"/>
              </w:tabs>
            </w:pPr>
            <w:r>
              <w:rPr>
                <w:color w:val="212529"/>
                <w:spacing w:val="4"/>
                <w:shd w:val="clear" w:color="auto" w:fill="FFFFFF"/>
              </w:rPr>
              <w:t>[5</w:t>
            </w:r>
            <w:r w:rsidRPr="00695E13">
              <w:rPr>
                <w:color w:val="212529"/>
                <w:spacing w:val="4"/>
                <w:shd w:val="clear" w:color="auto" w:fill="FFFFFF"/>
              </w:rPr>
              <w:t>]</w:t>
            </w:r>
            <w:r w:rsidRPr="0026055D">
              <w:rPr>
                <w:spacing w:val="4"/>
                <w:shd w:val="clear" w:color="auto" w:fill="FFFFFF"/>
              </w:rPr>
              <w:tab/>
            </w:r>
            <w:r w:rsidR="00FC6147" w:rsidRPr="0026055D">
              <w:rPr>
                <w:spacing w:val="4"/>
                <w:shd w:val="clear" w:color="auto" w:fill="FFFFFF"/>
              </w:rPr>
              <w:t xml:space="preserve">In her stated case in terms of rule 75, the taxing </w:t>
            </w:r>
            <w:r w:rsidR="00370BDC" w:rsidRPr="0026055D">
              <w:rPr>
                <w:spacing w:val="4"/>
                <w:shd w:val="clear" w:color="auto" w:fill="FFFFFF"/>
              </w:rPr>
              <w:t xml:space="preserve">officer </w:t>
            </w:r>
            <w:r w:rsidR="00FC6147" w:rsidRPr="0026055D">
              <w:rPr>
                <w:spacing w:val="4"/>
                <w:shd w:val="clear" w:color="auto" w:fill="FFFFFF"/>
              </w:rPr>
              <w:t xml:space="preserve">contended that rule 125(7) allows for a deviation from the tariffs to be employed for party and party costs and from the court’s order it is clear that the court regarded the matter as one of </w:t>
            </w:r>
            <w:r w:rsidR="002F1C70" w:rsidRPr="0026055D">
              <w:rPr>
                <w:spacing w:val="4"/>
                <w:shd w:val="clear" w:color="auto" w:fill="FFFFFF"/>
              </w:rPr>
              <w:t xml:space="preserve">a complex nature </w:t>
            </w:r>
            <w:r w:rsidR="00FC6147" w:rsidRPr="0026055D">
              <w:rPr>
                <w:spacing w:val="4"/>
                <w:shd w:val="clear" w:color="auto" w:fill="FFFFFF"/>
              </w:rPr>
              <w:t xml:space="preserve">and as a result the court order </w:t>
            </w:r>
            <w:r w:rsidR="00370BDC" w:rsidRPr="0026055D">
              <w:rPr>
                <w:spacing w:val="4"/>
                <w:shd w:val="clear" w:color="auto" w:fill="FFFFFF"/>
              </w:rPr>
              <w:t xml:space="preserve">should </w:t>
            </w:r>
            <w:r w:rsidR="00FC6147" w:rsidRPr="0026055D">
              <w:rPr>
                <w:spacing w:val="4"/>
                <w:shd w:val="clear" w:color="auto" w:fill="FFFFFF"/>
              </w:rPr>
              <w:t>include the costs of one instructing and two instructed counsel.</w:t>
            </w:r>
          </w:p>
          <w:p w:rsidR="00695E13" w:rsidRPr="00E039B3" w:rsidRDefault="00695E13" w:rsidP="00695E13">
            <w:pPr>
              <w:pStyle w:val="BodyText"/>
              <w:tabs>
                <w:tab w:val="clear" w:pos="729"/>
              </w:tabs>
            </w:pPr>
          </w:p>
          <w:p w:rsidR="00FC6147" w:rsidRDefault="00695E13" w:rsidP="00695E13">
            <w:pPr>
              <w:pStyle w:val="BodyText"/>
              <w:tabs>
                <w:tab w:val="clear" w:pos="729"/>
              </w:tabs>
            </w:pPr>
            <w:r>
              <w:rPr>
                <w:color w:val="212529"/>
                <w:spacing w:val="4"/>
                <w:shd w:val="clear" w:color="auto" w:fill="FFFFFF"/>
              </w:rPr>
              <w:t>[6]</w:t>
            </w:r>
            <w:r w:rsidRPr="00695E13">
              <w:tab/>
            </w:r>
            <w:r w:rsidR="00FC6147">
              <w:rPr>
                <w:color w:val="212529"/>
                <w:spacing w:val="4"/>
                <w:shd w:val="clear" w:color="auto" w:fill="FFFFFF"/>
              </w:rPr>
              <w:t xml:space="preserve">The taxing officer took the point that the aforementioned order should be read with rule 124(3), which </w:t>
            </w:r>
            <w:r w:rsidR="00FC6147" w:rsidRPr="00211029">
              <w:rPr>
                <w:color w:val="212529"/>
                <w:spacing w:val="4"/>
                <w:shd w:val="clear" w:color="auto" w:fill="FFFFFF"/>
              </w:rPr>
              <w:t>reads ‘</w:t>
            </w:r>
            <w:r w:rsidR="00370BDC" w:rsidRPr="00211029">
              <w:rPr>
                <w:color w:val="212529"/>
                <w:spacing w:val="4"/>
                <w:shd w:val="clear" w:color="auto" w:fill="FFFFFF"/>
              </w:rPr>
              <w:t xml:space="preserve">124 </w:t>
            </w:r>
            <w:r w:rsidR="00FC6147" w:rsidRPr="00211029">
              <w:rPr>
                <w:color w:val="212529"/>
                <w:spacing w:val="4"/>
                <w:shd w:val="clear" w:color="auto" w:fill="FFFFFF"/>
              </w:rPr>
              <w:t>(3)</w:t>
            </w:r>
            <w:r w:rsidR="00FC6147">
              <w:rPr>
                <w:color w:val="212529"/>
                <w:spacing w:val="4"/>
                <w:shd w:val="clear" w:color="auto" w:fill="FFFFFF"/>
              </w:rPr>
              <w:t xml:space="preserve"> In order for the court to make an award of cost against the opposing party to include the cost of an instructing legal practitioner and an instructed legal practitioner it must be satisfied that – (a) the employment of the instructed legal practitioner is reasonable and necessary because of that instructed legal practitioner’s special skill or the complexity of the matter; or..</w:t>
            </w:r>
            <w:r w:rsidR="00FC6147">
              <w:t xml:space="preserve">’. In light thereof, it cannot be disputed that the matter was indeed one of </w:t>
            </w:r>
            <w:r w:rsidR="00370BDC" w:rsidRPr="00211029">
              <w:t>a</w:t>
            </w:r>
            <w:r w:rsidR="00370BDC">
              <w:t xml:space="preserve"> </w:t>
            </w:r>
            <w:r w:rsidR="00FC6147">
              <w:t>complex nature and as a result of the parties’ submissions that if the ruling was that the matter was complex that the rates charged in the bill as far as the counsels’ fees were concerned, would remain.</w:t>
            </w:r>
          </w:p>
          <w:p w:rsidR="00FC6147" w:rsidRDefault="00FC6147" w:rsidP="00FC6147">
            <w:pPr>
              <w:pStyle w:val="BodyText"/>
            </w:pPr>
          </w:p>
          <w:p w:rsidR="00FC6147" w:rsidRDefault="00695E13" w:rsidP="00695E13">
            <w:pPr>
              <w:pStyle w:val="BodyText"/>
              <w:tabs>
                <w:tab w:val="clear" w:pos="729"/>
              </w:tabs>
            </w:pPr>
            <w:r>
              <w:rPr>
                <w:color w:val="212529"/>
                <w:spacing w:val="4"/>
                <w:shd w:val="clear" w:color="auto" w:fill="FFFFFF"/>
              </w:rPr>
              <w:t>[7</w:t>
            </w:r>
            <w:r w:rsidRPr="00695E13">
              <w:rPr>
                <w:color w:val="212529"/>
                <w:spacing w:val="4"/>
                <w:shd w:val="clear" w:color="auto" w:fill="FFFFFF"/>
              </w:rPr>
              <w:t>]</w:t>
            </w:r>
            <w:r w:rsidRPr="00695E13">
              <w:rPr>
                <w:color w:val="212529"/>
                <w:spacing w:val="4"/>
                <w:shd w:val="clear" w:color="auto" w:fill="FFFFFF"/>
              </w:rPr>
              <w:tab/>
            </w:r>
            <w:r w:rsidR="00FC6147">
              <w:rPr>
                <w:color w:val="212529"/>
                <w:spacing w:val="4"/>
                <w:shd w:val="clear" w:color="auto" w:fill="FFFFFF"/>
              </w:rPr>
              <w:t>As a result, the taxing officer resolved that the rate would remain as is on the bill.</w:t>
            </w:r>
            <w:r w:rsidR="00FC6147">
              <w:t xml:space="preserve"> </w:t>
            </w:r>
          </w:p>
          <w:p w:rsidR="00FC6147" w:rsidRDefault="00FC6147" w:rsidP="00FC6147">
            <w:pPr>
              <w:pStyle w:val="ListParagraph"/>
            </w:pPr>
          </w:p>
          <w:p w:rsidR="00FC6147" w:rsidRDefault="00695E13" w:rsidP="00695E13">
            <w:pPr>
              <w:pStyle w:val="BodyText"/>
              <w:tabs>
                <w:tab w:val="clear" w:pos="729"/>
              </w:tabs>
            </w:pPr>
            <w:r>
              <w:t>[8</w:t>
            </w:r>
            <w:r w:rsidRPr="00695E13">
              <w:t>]</w:t>
            </w:r>
            <w:r w:rsidRPr="00695E13">
              <w:tab/>
            </w:r>
            <w:r w:rsidR="00FC6147">
              <w:t xml:space="preserve">With regards to the memorandum of advice, the taxing officer further resolved that it was not clear what the singular charge or the attendance alone might have been and as a result, the taxing officer allowed this item owing to the complexity of the matter. </w:t>
            </w:r>
          </w:p>
          <w:p w:rsidR="00FC6147" w:rsidRPr="00597D68" w:rsidRDefault="00FC6147" w:rsidP="00FC6147">
            <w:pPr>
              <w:rPr>
                <w:rFonts w:ascii="Arial" w:hAnsi="Arial" w:cs="Arial"/>
                <w:sz w:val="24"/>
                <w:szCs w:val="24"/>
              </w:rPr>
            </w:pPr>
          </w:p>
          <w:p w:rsidR="00FC6147" w:rsidRDefault="00FC6147" w:rsidP="00FC6147">
            <w:pPr>
              <w:pStyle w:val="Heading1"/>
              <w:outlineLvl w:val="0"/>
            </w:pPr>
            <w:r w:rsidRPr="000A3D69">
              <w:t>The submissions by the parties</w:t>
            </w:r>
          </w:p>
          <w:p w:rsidR="00FC6147" w:rsidRPr="006B0367" w:rsidRDefault="00FC6147" w:rsidP="00FC6147"/>
          <w:p w:rsidR="00FC6147" w:rsidRDefault="00695E13" w:rsidP="00695E13">
            <w:pPr>
              <w:pStyle w:val="BodyText"/>
              <w:tabs>
                <w:tab w:val="clear" w:pos="729"/>
              </w:tabs>
            </w:pPr>
            <w:r>
              <w:t>[9</w:t>
            </w:r>
            <w:r w:rsidRPr="00695E13">
              <w:t>]</w:t>
            </w:r>
            <w:r w:rsidRPr="00695E13">
              <w:tab/>
            </w:r>
            <w:r w:rsidR="00FC6147">
              <w:t>The respondents disputed the factual basis behind the reasons advanced by the taxing officer and the quantification of the applicant’s junior and senior instructed counsels.</w:t>
            </w:r>
          </w:p>
          <w:p w:rsidR="00FC6147" w:rsidRDefault="00FC6147" w:rsidP="00FC6147">
            <w:pPr>
              <w:pStyle w:val="BodyText"/>
            </w:pPr>
          </w:p>
          <w:p w:rsidR="00FC6147" w:rsidRDefault="00695E13" w:rsidP="00695E13">
            <w:pPr>
              <w:pStyle w:val="BodyText"/>
              <w:tabs>
                <w:tab w:val="clear" w:pos="729"/>
              </w:tabs>
            </w:pPr>
            <w:r>
              <w:t>[10</w:t>
            </w:r>
            <w:r w:rsidRPr="00695E13">
              <w:t>]</w:t>
            </w:r>
            <w:r w:rsidRPr="00695E13">
              <w:tab/>
            </w:r>
            <w:r w:rsidR="00FC6147">
              <w:t>The respondents further deny the taxing officer’s contention that it was agreed d</w:t>
            </w:r>
            <w:r w:rsidR="00370BDC">
              <w:t xml:space="preserve">uring the taxation hearing that, </w:t>
            </w:r>
            <w:r w:rsidR="00FC6147">
              <w:t>if the taxing officer ruled that the matter was of a complex nature</w:t>
            </w:r>
            <w:r w:rsidR="00A44B6A">
              <w:t>,</w:t>
            </w:r>
            <w:r w:rsidR="00FC6147">
              <w:t xml:space="preserve"> the rate of N$3500 per hour </w:t>
            </w:r>
            <w:r w:rsidR="0046352C">
              <w:t xml:space="preserve">must </w:t>
            </w:r>
            <w:r w:rsidR="00FC6147">
              <w:t xml:space="preserve">be justified. The respondents deny that there was such an agreement but </w:t>
            </w:r>
            <w:r w:rsidR="00FC6147">
              <w:lastRenderedPageBreak/>
              <w:t xml:space="preserve">contend that irrespective of what the </w:t>
            </w:r>
            <w:r w:rsidR="00FC6147" w:rsidRPr="00211029">
              <w:t>parties purported</w:t>
            </w:r>
            <w:r w:rsidR="00370BDC" w:rsidRPr="00211029">
              <w:t>ly</w:t>
            </w:r>
            <w:r w:rsidR="00FC6147">
              <w:t xml:space="preserve"> contended the taxing officer still had to apply her discretion and not simply allow 100% of senior counsel’s rate.</w:t>
            </w:r>
            <w:r w:rsidR="0046352C">
              <w:t xml:space="preserve"> </w:t>
            </w:r>
          </w:p>
          <w:p w:rsidR="00FC6147" w:rsidRDefault="00FC6147" w:rsidP="00FC6147">
            <w:pPr>
              <w:pStyle w:val="ListParagraph"/>
            </w:pPr>
          </w:p>
          <w:p w:rsidR="00FC6147" w:rsidRDefault="00695E13" w:rsidP="00695E13">
            <w:pPr>
              <w:pStyle w:val="BodyText"/>
              <w:tabs>
                <w:tab w:val="clear" w:pos="729"/>
              </w:tabs>
            </w:pPr>
            <w:r>
              <w:t>[11</w:t>
            </w:r>
            <w:r w:rsidRPr="00695E13">
              <w:t>]</w:t>
            </w:r>
            <w:r w:rsidRPr="00695E13">
              <w:tab/>
            </w:r>
            <w:r w:rsidR="00FC6147">
              <w:t xml:space="preserve">On the </w:t>
            </w:r>
            <w:r w:rsidR="00FC6147" w:rsidRPr="00211029">
              <w:t xml:space="preserve">rate </w:t>
            </w:r>
            <w:r w:rsidR="002F1C70" w:rsidRPr="00211029">
              <w:t xml:space="preserve">charged </w:t>
            </w:r>
            <w:r w:rsidR="00FC6147" w:rsidRPr="00211029">
              <w:t>for the junior counsel</w:t>
            </w:r>
            <w:r w:rsidR="009D6EF5">
              <w:t>,</w:t>
            </w:r>
            <w:r w:rsidR="00FC6147" w:rsidRPr="00211029">
              <w:t xml:space="preserve"> the respondents submitted that the taxing officer</w:t>
            </w:r>
            <w:r w:rsidR="009D6EF5">
              <w:t>,</w:t>
            </w:r>
            <w:r w:rsidR="00FC6147" w:rsidRPr="00211029">
              <w:t xml:space="preserve"> contrary to Annexure E, section A at para 5 of the rules</w:t>
            </w:r>
            <w:r w:rsidR="009D6EF5">
              <w:t>,</w:t>
            </w:r>
            <w:r w:rsidR="00FC6147" w:rsidRPr="00211029">
              <w:t xml:space="preserve"> which provides </w:t>
            </w:r>
            <w:r w:rsidR="002F1C70" w:rsidRPr="00211029">
              <w:t xml:space="preserve">that </w:t>
            </w:r>
            <w:r w:rsidR="00FC6147" w:rsidRPr="00211029">
              <w:t>where</w:t>
            </w:r>
            <w:r w:rsidR="00FC6147">
              <w:t xml:space="preserve"> fees for more than one instructed legal practitioner is allowed, the fees on taxation for each of the additional instructed legal practitioners so involved may not exceed one half of the fees allowed in respect of the most senior of the instructed legal practitioners. The complaint of the respondents is that in the curre</w:t>
            </w:r>
            <w:r w:rsidR="002F1C70">
              <w:t xml:space="preserve">nt instance, the </w:t>
            </w:r>
            <w:r w:rsidR="002F1C70" w:rsidRPr="00211029">
              <w:t>taxing officer</w:t>
            </w:r>
            <w:r w:rsidR="00FC6147" w:rsidRPr="00211029">
              <w:t xml:space="preserve"> did</w:t>
            </w:r>
            <w:r w:rsidR="00FC6147">
              <w:t xml:space="preserve"> not tax down the junior counsel’s rate to half of the senior counsel’s rate but instead allowed the full rate actually charged by junior counsel. The taxing officer also did not fully deal with this issue in her stated case.</w:t>
            </w:r>
          </w:p>
          <w:p w:rsidR="00FC6147" w:rsidRDefault="00FC6147" w:rsidP="00FC6147">
            <w:pPr>
              <w:pStyle w:val="ListParagraph"/>
            </w:pPr>
          </w:p>
          <w:p w:rsidR="00FC6147" w:rsidRDefault="00695E13" w:rsidP="00695E13">
            <w:pPr>
              <w:pStyle w:val="BodyText"/>
              <w:tabs>
                <w:tab w:val="clear" w:pos="729"/>
              </w:tabs>
            </w:pPr>
            <w:r>
              <w:t>[12</w:t>
            </w:r>
            <w:r w:rsidRPr="00695E13">
              <w:t>]</w:t>
            </w:r>
            <w:r w:rsidRPr="00695E13">
              <w:tab/>
            </w:r>
            <w:r w:rsidR="00FC6147">
              <w:t xml:space="preserve">Lastly, on the issue of the memorandum of advice drawn by senior counsel, the respondents submitted that the approach by the taxing officer in determining this item was flawed. It is submitted on behalf of the respondents that everything was dependent on the complexity of the matter. It is further submitted that the work done by the applicant’s senior counsel for work done in respect of the memorandum of advice cannot be recovered from the respondents on a party and party scale. At the time of drawing the memorandum of advice, the founding affidavit had already been drawn and filed on eJustice. When the respondents’ legal </w:t>
            </w:r>
            <w:r w:rsidR="00FC6147" w:rsidRPr="00211029">
              <w:t xml:space="preserve">practitioner </w:t>
            </w:r>
            <w:r w:rsidR="00370BDC" w:rsidRPr="00211029">
              <w:t xml:space="preserve">who attended the </w:t>
            </w:r>
            <w:r w:rsidR="00FC6147" w:rsidRPr="00211029">
              <w:t>taxation</w:t>
            </w:r>
            <w:r w:rsidR="00FC6147">
              <w:t xml:space="preserve"> requested to inspect the memorandum to determine why the memorandum was requested from senior counsel at that stage of the litigation, he was informed that the memorandum was confidential and access to the document was denied. </w:t>
            </w:r>
          </w:p>
          <w:p w:rsidR="00FC6147" w:rsidRDefault="00FC6147" w:rsidP="00FC6147">
            <w:pPr>
              <w:pStyle w:val="ListParagraph"/>
            </w:pPr>
          </w:p>
          <w:p w:rsidR="00FC6147" w:rsidRDefault="00695E13" w:rsidP="00695E13">
            <w:pPr>
              <w:pStyle w:val="BodyText"/>
              <w:tabs>
                <w:tab w:val="clear" w:pos="729"/>
              </w:tabs>
            </w:pPr>
            <w:r>
              <w:t>[13</w:t>
            </w:r>
            <w:r w:rsidRPr="00695E13">
              <w:t>]</w:t>
            </w:r>
            <w:r w:rsidRPr="00695E13">
              <w:tab/>
            </w:r>
            <w:r w:rsidR="00FC6147">
              <w:t xml:space="preserve">As a result, it is submitted that the costs incurred in connection to the memorandum of advice is incidental or collateral to the litigation. It is </w:t>
            </w:r>
            <w:r w:rsidR="00FC6147" w:rsidRPr="00211029">
              <w:t xml:space="preserve">further </w:t>
            </w:r>
            <w:r w:rsidR="00370BDC" w:rsidRPr="00211029">
              <w:t xml:space="preserve">their argument </w:t>
            </w:r>
            <w:r w:rsidR="00FC6147" w:rsidRPr="00211029">
              <w:t>that</w:t>
            </w:r>
            <w:r w:rsidR="00370BDC" w:rsidRPr="00211029">
              <w:t xml:space="preserve"> requesting</w:t>
            </w:r>
            <w:r w:rsidR="00FC6147" w:rsidRPr="00211029">
              <w:t xml:space="preserve"> the opinion of senior counsel after founding papers had been drawn and before the filing of the respondents’ answering papers relates to an incidental step in the litigation and thus</w:t>
            </w:r>
            <w:r w:rsidR="00370BDC" w:rsidRPr="00211029">
              <w:t xml:space="preserve"> does not qualify for</w:t>
            </w:r>
            <w:r w:rsidR="00FC6147" w:rsidRPr="00211029">
              <w:t xml:space="preserve"> party and party costs.</w:t>
            </w:r>
          </w:p>
          <w:p w:rsidR="00FC6147" w:rsidRDefault="00FC6147" w:rsidP="00FC6147">
            <w:pPr>
              <w:pStyle w:val="ListParagraph"/>
            </w:pPr>
          </w:p>
          <w:p w:rsidR="00FC6147" w:rsidRDefault="00695E13" w:rsidP="00695E13">
            <w:pPr>
              <w:pStyle w:val="BodyText"/>
              <w:tabs>
                <w:tab w:val="clear" w:pos="729"/>
              </w:tabs>
            </w:pPr>
            <w:r w:rsidRPr="00695E13">
              <w:t>[</w:t>
            </w:r>
            <w:r>
              <w:t>1</w:t>
            </w:r>
            <w:r w:rsidRPr="00695E13">
              <w:t>4]</w:t>
            </w:r>
            <w:r w:rsidRPr="00695E13">
              <w:tab/>
            </w:r>
            <w:r w:rsidR="00FC6147">
              <w:t xml:space="preserve">The counsel for the first and the second respondents agreed with the contentions made on behalf of the third to the sixth respondents. </w:t>
            </w:r>
          </w:p>
          <w:p w:rsidR="00FC6147" w:rsidRDefault="00FC6147" w:rsidP="00FC6147">
            <w:pPr>
              <w:pStyle w:val="ListParagraph"/>
            </w:pPr>
          </w:p>
          <w:p w:rsidR="00FC6147" w:rsidRDefault="00695E13" w:rsidP="00695E13">
            <w:pPr>
              <w:pStyle w:val="BodyText"/>
              <w:tabs>
                <w:tab w:val="clear" w:pos="729"/>
              </w:tabs>
            </w:pPr>
            <w:r>
              <w:t>[15</w:t>
            </w:r>
            <w:r w:rsidRPr="00695E13">
              <w:t>]</w:t>
            </w:r>
            <w:r w:rsidRPr="00695E13">
              <w:tab/>
            </w:r>
            <w:r w:rsidR="00FC6147">
              <w:t>The applicants</w:t>
            </w:r>
            <w:r w:rsidR="0026055D">
              <w:t xml:space="preserve"> submitted, as</w:t>
            </w:r>
            <w:r w:rsidR="00FC6147">
              <w:t xml:space="preserve"> opposed to the respondents</w:t>
            </w:r>
            <w:r w:rsidR="0026055D">
              <w:t>,</w:t>
            </w:r>
            <w:r w:rsidR="00FC6147">
              <w:t xml:space="preserve"> that the matter was indeed complex in nature</w:t>
            </w:r>
            <w:r w:rsidR="009D6EF5">
              <w:t>,</w:t>
            </w:r>
            <w:r w:rsidR="00FC6147">
              <w:t xml:space="preserve"> and the taxing officer made the correct decision in allowing the rates charged by the instructed senior and junior counsel. It is submitted that the complexity of the matter can be inferred from the fact that the third to sixth respondents secured foreign counsel who would only be able to appear before our courts upon the Chief Justice issuing a certificate in terms of s 85(2) of </w:t>
            </w:r>
            <w:r w:rsidR="00FC6147">
              <w:lastRenderedPageBreak/>
              <w:t>the Legal Practitioner’s Act 15 of 1995. This s 85(2) certificate, so the submission goes, would only be issued if the Chief Justice or the Judge President is satisfied that, having regard to the complexity or special circumstances of the matter, it is fair and reasonable for a person to obtain the services of a lawyer who has special expertise relating to the matter.</w:t>
            </w:r>
          </w:p>
          <w:p w:rsidR="00FC6147" w:rsidRDefault="00FC6147" w:rsidP="00FC6147">
            <w:pPr>
              <w:pStyle w:val="ListParagraph"/>
            </w:pPr>
          </w:p>
          <w:p w:rsidR="00FC6147" w:rsidRDefault="00695E13" w:rsidP="00695E13">
            <w:pPr>
              <w:pStyle w:val="BodyText"/>
              <w:tabs>
                <w:tab w:val="clear" w:pos="729"/>
              </w:tabs>
            </w:pPr>
            <w:r>
              <w:t>[16</w:t>
            </w:r>
            <w:r w:rsidRPr="00695E13">
              <w:t>]</w:t>
            </w:r>
            <w:r w:rsidRPr="00695E13">
              <w:tab/>
            </w:r>
            <w:r w:rsidR="00FC6147">
              <w:t>With reference to the cost order granted by this court, it is further submitted that the said order should be read in conjunction with rule 124(3)</w:t>
            </w:r>
            <w:r w:rsidR="009D6EF5">
              <w:t>,</w:t>
            </w:r>
            <w:r w:rsidR="00FC6147">
              <w:t xml:space="preserve"> and it is clear from the facts that the matter was of a complex nature which required counsel with special skills to handle the matter. </w:t>
            </w:r>
          </w:p>
          <w:p w:rsidR="00FC6147" w:rsidRDefault="00FC6147" w:rsidP="00FC6147">
            <w:pPr>
              <w:pStyle w:val="ListParagraph"/>
            </w:pPr>
          </w:p>
          <w:p w:rsidR="00FC6147" w:rsidRDefault="00695E13" w:rsidP="00695E13">
            <w:pPr>
              <w:pStyle w:val="BodyText"/>
              <w:tabs>
                <w:tab w:val="clear" w:pos="729"/>
              </w:tabs>
            </w:pPr>
            <w:r>
              <w:t>[17</w:t>
            </w:r>
            <w:r w:rsidRPr="00695E13">
              <w:t>]</w:t>
            </w:r>
            <w:r w:rsidRPr="00695E13">
              <w:tab/>
            </w:r>
            <w:r w:rsidR="00FC6147">
              <w:t xml:space="preserve">On the issue of the memorandum of advice, the applicants submitted that it is common knowledge that such a document requires specialised skills and knowledge. In this regard, the court was referred to </w:t>
            </w:r>
            <w:r w:rsidR="00FC6147" w:rsidRPr="006B0367">
              <w:rPr>
                <w:i/>
              </w:rPr>
              <w:t>Ndjarakana v Minister of Safety and Security</w:t>
            </w:r>
            <w:r w:rsidR="00FC6147">
              <w:t>.</w:t>
            </w:r>
            <w:r w:rsidR="00FC6147">
              <w:rPr>
                <w:rStyle w:val="FootnoteReference"/>
              </w:rPr>
              <w:footnoteReference w:id="2"/>
            </w:r>
            <w:r w:rsidR="0068720B">
              <w:t xml:space="preserve"> </w:t>
            </w:r>
          </w:p>
          <w:p w:rsidR="00FC6147" w:rsidRDefault="00FC6147" w:rsidP="00FC6147">
            <w:pPr>
              <w:pStyle w:val="ListParagraph"/>
            </w:pPr>
          </w:p>
          <w:p w:rsidR="00FC6147" w:rsidRDefault="00695E13" w:rsidP="00695E13">
            <w:pPr>
              <w:pStyle w:val="BodyText"/>
              <w:tabs>
                <w:tab w:val="clear" w:pos="729"/>
              </w:tabs>
            </w:pPr>
            <w:r>
              <w:t>[18</w:t>
            </w:r>
            <w:r w:rsidRPr="00695E13">
              <w:t>]</w:t>
            </w:r>
            <w:r w:rsidRPr="00695E13">
              <w:tab/>
            </w:r>
            <w:r w:rsidR="00FC6147">
              <w:t xml:space="preserve">The applicants concluded </w:t>
            </w:r>
            <w:r w:rsidR="00370BDC" w:rsidRPr="00211029">
              <w:t xml:space="preserve">with the contention </w:t>
            </w:r>
            <w:r w:rsidR="00FC6147" w:rsidRPr="00211029">
              <w:t xml:space="preserve">that the taxing officer was correct in her decision not to determine the singular fee for the memorandum of advice alone, as every </w:t>
            </w:r>
            <w:r w:rsidR="00370BDC" w:rsidRPr="00211029">
              <w:t xml:space="preserve">item </w:t>
            </w:r>
            <w:r w:rsidR="00FC6147" w:rsidRPr="00211029">
              <w:t xml:space="preserve">pertaining to counsels’ fees was dependent on the ruling </w:t>
            </w:r>
            <w:r w:rsidR="00370BDC" w:rsidRPr="00211029">
              <w:t>that the matter is complex.</w:t>
            </w:r>
          </w:p>
          <w:p w:rsidR="00FC6147" w:rsidRDefault="00FC6147" w:rsidP="00FC6147">
            <w:pPr>
              <w:pStyle w:val="ListParagraph"/>
            </w:pPr>
          </w:p>
          <w:p w:rsidR="00695E13" w:rsidRDefault="00FC6147" w:rsidP="0068720B">
            <w:pPr>
              <w:pStyle w:val="BodyText"/>
              <w:rPr>
                <w:u w:val="single"/>
              </w:rPr>
            </w:pPr>
            <w:r w:rsidRPr="0021717F">
              <w:rPr>
                <w:u w:val="single"/>
              </w:rPr>
              <w:t>Discussion</w:t>
            </w:r>
          </w:p>
          <w:p w:rsidR="0068720B" w:rsidRPr="0068720B" w:rsidRDefault="0068720B" w:rsidP="0068720B">
            <w:pPr>
              <w:pStyle w:val="BodyText"/>
              <w:rPr>
                <w:u w:val="single"/>
              </w:rPr>
            </w:pPr>
          </w:p>
          <w:p w:rsidR="00FC6147" w:rsidRPr="00A44B6A" w:rsidRDefault="0036351C" w:rsidP="00695E13">
            <w:pPr>
              <w:pStyle w:val="western"/>
              <w:shd w:val="clear" w:color="auto" w:fill="FFFFFF"/>
              <w:spacing w:before="0" w:beforeAutospacing="0" w:line="360" w:lineRule="auto"/>
              <w:jc w:val="both"/>
              <w:rPr>
                <w:rFonts w:ascii="Arial" w:hAnsi="Arial" w:cs="Arial"/>
                <w:lang w:val="en-ZA"/>
              </w:rPr>
            </w:pPr>
            <w:r>
              <w:rPr>
                <w:rFonts w:ascii="Arial" w:hAnsi="Arial" w:cs="Arial"/>
                <w:color w:val="212529"/>
                <w:lang w:val="en-ZA"/>
              </w:rPr>
              <w:t>[19</w:t>
            </w:r>
            <w:r w:rsidRPr="0036351C">
              <w:rPr>
                <w:rFonts w:ascii="Arial" w:hAnsi="Arial" w:cs="Arial"/>
                <w:color w:val="212529"/>
                <w:lang w:val="en-ZA"/>
              </w:rPr>
              <w:t>]</w:t>
            </w:r>
            <w:r w:rsidRPr="0036351C">
              <w:rPr>
                <w:rFonts w:ascii="Arial" w:hAnsi="Arial" w:cs="Arial"/>
                <w:color w:val="212529"/>
                <w:lang w:val="en-ZA"/>
              </w:rPr>
              <w:tab/>
            </w:r>
            <w:r w:rsidR="00FC6147" w:rsidRPr="00A44B6A">
              <w:rPr>
                <w:rFonts w:ascii="Arial" w:hAnsi="Arial" w:cs="Arial"/>
                <w:lang w:val="en-ZA"/>
              </w:rPr>
              <w:t>In the </w:t>
            </w:r>
            <w:r w:rsidR="00FC6147" w:rsidRPr="00A44B6A">
              <w:rPr>
                <w:rFonts w:ascii="Arial" w:hAnsi="Arial" w:cs="Arial"/>
                <w:i/>
                <w:iCs/>
                <w:lang w:val="en-ZA"/>
              </w:rPr>
              <w:t xml:space="preserve">Hollard Insurance Company of Namibia Limited and Others v </w:t>
            </w:r>
            <w:r w:rsidR="00370BDC" w:rsidRPr="00A44B6A">
              <w:rPr>
                <w:rFonts w:ascii="Arial" w:hAnsi="Arial" w:cs="Arial"/>
                <w:i/>
                <w:iCs/>
                <w:lang w:val="en-ZA"/>
              </w:rPr>
              <w:t>Minister of Finance and Another</w:t>
            </w:r>
            <w:r w:rsidR="00FC6147" w:rsidRPr="00A44B6A">
              <w:rPr>
                <w:rStyle w:val="FootnoteReference"/>
                <w:rFonts w:ascii="Arial" w:hAnsi="Arial" w:cs="Arial"/>
                <w:i/>
                <w:iCs/>
                <w:lang w:val="en-ZA"/>
              </w:rPr>
              <w:footnoteReference w:id="3"/>
            </w:r>
            <w:r w:rsidR="00FC6147" w:rsidRPr="00A44B6A">
              <w:rPr>
                <w:rFonts w:ascii="Arial" w:hAnsi="Arial" w:cs="Arial"/>
                <w:i/>
                <w:iCs/>
                <w:lang w:val="en-ZA"/>
              </w:rPr>
              <w:t xml:space="preserve"> </w:t>
            </w:r>
            <w:r w:rsidR="00FC6147" w:rsidRPr="00A44B6A">
              <w:rPr>
                <w:rFonts w:ascii="Arial" w:hAnsi="Arial" w:cs="Arial"/>
                <w:lang w:val="en-ZA"/>
              </w:rPr>
              <w:t>Claasen J</w:t>
            </w:r>
            <w:r w:rsidR="00776AF1" w:rsidRPr="00A44B6A">
              <w:rPr>
                <w:rFonts w:ascii="Arial" w:hAnsi="Arial" w:cs="Arial"/>
                <w:lang w:val="en-ZA"/>
              </w:rPr>
              <w:t xml:space="preserve">, quoting from </w:t>
            </w:r>
            <w:r w:rsidR="00FC6147" w:rsidRPr="00A44B6A">
              <w:rPr>
                <w:rFonts w:ascii="Arial" w:hAnsi="Arial" w:cs="Arial"/>
                <w:i/>
                <w:iCs/>
                <w:lang w:val="en-ZA"/>
              </w:rPr>
              <w:t>Coetzee v Taxing Master South Gauteng High Court and another</w:t>
            </w:r>
            <w:r w:rsidR="00FC6147" w:rsidRPr="00A44B6A">
              <w:rPr>
                <w:rFonts w:ascii="Arial" w:hAnsi="Arial" w:cs="Arial"/>
                <w:lang w:val="en-ZA"/>
              </w:rPr>
              <w:t> </w:t>
            </w:r>
            <w:bookmarkStart w:id="1" w:name="sdfootnote13anc"/>
            <w:r w:rsidR="00FC6147" w:rsidRPr="00A44B6A">
              <w:rPr>
                <w:rFonts w:ascii="Arial" w:hAnsi="Arial" w:cs="Arial"/>
                <w:vertAlign w:val="superscript"/>
              </w:rPr>
              <w:t>13</w:t>
            </w:r>
            <w:bookmarkEnd w:id="1"/>
            <w:r w:rsidR="00FC6147" w:rsidRPr="00A44B6A">
              <w:rPr>
                <w:rFonts w:ascii="Arial" w:hAnsi="Arial" w:cs="Arial"/>
                <w:lang w:val="en-ZA"/>
              </w:rPr>
              <w:t> stated that:</w:t>
            </w:r>
          </w:p>
          <w:p w:rsidR="00FC6147" w:rsidRPr="00A44B6A" w:rsidRDefault="0068720B" w:rsidP="00FC6147">
            <w:pPr>
              <w:pStyle w:val="NormalWeb"/>
              <w:shd w:val="clear" w:color="auto" w:fill="FFFFFF"/>
              <w:spacing w:before="0" w:beforeAutospacing="0" w:line="360" w:lineRule="auto"/>
              <w:jc w:val="both"/>
              <w:rPr>
                <w:rFonts w:ascii="Arial" w:hAnsi="Arial" w:cs="Arial"/>
                <w:sz w:val="22"/>
                <w:szCs w:val="22"/>
                <w:lang w:val="en-ZA"/>
              </w:rPr>
            </w:pPr>
            <w:r w:rsidRPr="00A44B6A">
              <w:rPr>
                <w:rFonts w:ascii="Arial" w:hAnsi="Arial" w:cs="Arial"/>
                <w:sz w:val="22"/>
                <w:szCs w:val="22"/>
                <w:lang w:val="en-ZA"/>
              </w:rPr>
              <w:tab/>
            </w:r>
            <w:r w:rsidR="00FC6147" w:rsidRPr="00A44B6A">
              <w:rPr>
                <w:rFonts w:ascii="Arial" w:hAnsi="Arial" w:cs="Arial"/>
                <w:sz w:val="22"/>
                <w:szCs w:val="22"/>
                <w:lang w:val="en-ZA"/>
              </w:rPr>
              <w:t>‘Evidently the wide discretion conferred in rule 70(5) is the true fount for any ‘application of the mind’ by a taxing master to the task of fixing a fee. Importantly, so it seems plain to me, the text of the subrule expresses a very clear structure to the approach licensed by the subrule; i.e</w:t>
            </w:r>
            <w:r w:rsidR="00FC6147" w:rsidRPr="00A44B6A">
              <w:rPr>
                <w:rFonts w:ascii="Arial" w:hAnsi="Arial" w:cs="Arial"/>
                <w:sz w:val="22"/>
                <w:szCs w:val="22"/>
                <w:u w:val="single"/>
                <w:lang w:val="en-ZA"/>
              </w:rPr>
              <w:t>. the tariff is the default position, which may be departed from under the conditions prescribed, i.e. ‘extra</w:t>
            </w:r>
            <w:r w:rsidRPr="00A44B6A">
              <w:rPr>
                <w:rFonts w:ascii="Arial" w:hAnsi="Arial" w:cs="Arial"/>
                <w:sz w:val="22"/>
                <w:szCs w:val="22"/>
                <w:u w:val="single"/>
                <w:lang w:val="en-ZA"/>
              </w:rPr>
              <w:t>ordinary or exceptional cases.</w:t>
            </w:r>
            <w:r w:rsidR="00FC6147" w:rsidRPr="00A44B6A">
              <w:rPr>
                <w:rFonts w:ascii="Arial" w:hAnsi="Arial" w:cs="Arial"/>
                <w:sz w:val="22"/>
                <w:szCs w:val="22"/>
                <w:u w:val="single"/>
                <w:lang w:val="en-ZA"/>
              </w:rPr>
              <w:t>’</w:t>
            </w:r>
            <w:r w:rsidR="00FC6147" w:rsidRPr="00A44B6A">
              <w:rPr>
                <w:rFonts w:ascii="Arial" w:hAnsi="Arial" w:cs="Arial"/>
                <w:sz w:val="22"/>
                <w:szCs w:val="22"/>
                <w:lang w:val="en-ZA"/>
              </w:rPr>
              <w:t xml:space="preserve"> Underline</w:t>
            </w:r>
            <w:r w:rsidRPr="00A44B6A">
              <w:rPr>
                <w:rFonts w:ascii="Arial" w:hAnsi="Arial" w:cs="Arial"/>
                <w:sz w:val="22"/>
                <w:szCs w:val="22"/>
                <w:lang w:val="en-ZA"/>
              </w:rPr>
              <w:t>d</w:t>
            </w:r>
            <w:r w:rsidR="00FC6147" w:rsidRPr="00A44B6A">
              <w:rPr>
                <w:rFonts w:ascii="Arial" w:hAnsi="Arial" w:cs="Arial"/>
                <w:sz w:val="22"/>
                <w:szCs w:val="22"/>
                <w:lang w:val="en-ZA"/>
              </w:rPr>
              <w:t xml:space="preserve"> for emphasis.</w:t>
            </w:r>
          </w:p>
          <w:p w:rsidR="00FC6147" w:rsidRPr="00A44B6A" w:rsidRDefault="0036351C" w:rsidP="0036351C">
            <w:pPr>
              <w:pStyle w:val="western"/>
              <w:shd w:val="clear" w:color="auto" w:fill="FFFFFF"/>
              <w:spacing w:before="0" w:beforeAutospacing="0" w:after="0" w:afterAutospacing="0" w:line="360" w:lineRule="auto"/>
              <w:jc w:val="both"/>
              <w:rPr>
                <w:rFonts w:ascii="Arial" w:hAnsi="Arial" w:cs="Arial"/>
                <w:lang w:val="en-ZA"/>
              </w:rPr>
            </w:pPr>
            <w:r w:rsidRPr="00A44B6A">
              <w:rPr>
                <w:rFonts w:ascii="Arial" w:hAnsi="Arial" w:cs="Arial"/>
                <w:lang w:val="en-ZA"/>
              </w:rPr>
              <w:t>[20]</w:t>
            </w:r>
            <w:r w:rsidRPr="00A44B6A">
              <w:rPr>
                <w:rFonts w:ascii="Arial" w:hAnsi="Arial" w:cs="Arial"/>
                <w:lang w:val="en-ZA"/>
              </w:rPr>
              <w:tab/>
            </w:r>
            <w:r w:rsidR="00FC6147" w:rsidRPr="00A44B6A">
              <w:rPr>
                <w:rFonts w:ascii="Arial" w:hAnsi="Arial" w:cs="Arial"/>
                <w:lang w:val="en-ZA"/>
              </w:rPr>
              <w:t xml:space="preserve">Claasen J continued in para 21 of the judgment to state that: </w:t>
            </w:r>
          </w:p>
          <w:p w:rsidR="00FC6147" w:rsidRPr="0083584F" w:rsidRDefault="00FC6147" w:rsidP="00FC6147">
            <w:pPr>
              <w:pStyle w:val="western"/>
              <w:shd w:val="clear" w:color="auto" w:fill="FFFFFF"/>
              <w:spacing w:before="0" w:beforeAutospacing="0" w:after="0" w:afterAutospacing="0" w:line="360" w:lineRule="auto"/>
              <w:jc w:val="both"/>
              <w:rPr>
                <w:rFonts w:ascii="Arial" w:hAnsi="Arial" w:cs="Arial"/>
                <w:color w:val="212529"/>
                <w:lang w:val="en-ZA"/>
              </w:rPr>
            </w:pPr>
          </w:p>
          <w:p w:rsidR="00FC6147" w:rsidRPr="00A44B6A" w:rsidRDefault="00FC6147" w:rsidP="00FC6147">
            <w:pPr>
              <w:pStyle w:val="western"/>
              <w:shd w:val="clear" w:color="auto" w:fill="FFFFFF"/>
              <w:spacing w:before="0" w:beforeAutospacing="0" w:after="0" w:afterAutospacing="0" w:line="360" w:lineRule="auto"/>
              <w:ind w:firstLine="720"/>
              <w:jc w:val="both"/>
              <w:rPr>
                <w:rFonts w:ascii="Arial" w:hAnsi="Arial" w:cs="Arial"/>
                <w:sz w:val="22"/>
                <w:szCs w:val="22"/>
                <w:shd w:val="clear" w:color="auto" w:fill="FFFFFF"/>
              </w:rPr>
            </w:pPr>
            <w:r w:rsidRPr="00A44B6A">
              <w:rPr>
                <w:rFonts w:ascii="Arial" w:hAnsi="Arial" w:cs="Arial"/>
                <w:sz w:val="23"/>
                <w:szCs w:val="23"/>
                <w:shd w:val="clear" w:color="auto" w:fill="FFFFFF"/>
              </w:rPr>
              <w:t>‘</w:t>
            </w:r>
            <w:r w:rsidRPr="00A44B6A">
              <w:rPr>
                <w:rFonts w:ascii="Arial" w:hAnsi="Arial" w:cs="Arial"/>
                <w:sz w:val="22"/>
                <w:szCs w:val="22"/>
                <w:shd w:val="clear" w:color="auto" w:fill="FFFFFF"/>
              </w:rPr>
              <w:t xml:space="preserve">It is implicit in rule 125(7) that a party who intends to rely on this provision has a duty to present relevant factual and legal issues to the taxing officer. During the taxation such an applicant has to tender sufficient reasons in order to satisfy the criteria as set out in this rule. In turn a taxing officer has to </w:t>
            </w:r>
            <w:r w:rsidRPr="00A44B6A">
              <w:rPr>
                <w:rFonts w:ascii="Arial" w:hAnsi="Arial" w:cs="Arial"/>
                <w:sz w:val="22"/>
                <w:szCs w:val="22"/>
                <w:shd w:val="clear" w:color="auto" w:fill="FFFFFF"/>
              </w:rPr>
              <w:lastRenderedPageBreak/>
              <w:t>cumulatively evaluate the relevant factors and may depart from the tariffs in extraordinary or exceptional cases wherein strict adherence to the tariffs will be inequitable.’</w:t>
            </w:r>
          </w:p>
          <w:p w:rsidR="0068720B" w:rsidRDefault="0068720B" w:rsidP="0036351C">
            <w:pPr>
              <w:pStyle w:val="BodyText"/>
              <w:tabs>
                <w:tab w:val="clear" w:pos="729"/>
                <w:tab w:val="left" w:pos="720"/>
                <w:tab w:val="left" w:pos="2268"/>
              </w:tabs>
              <w:rPr>
                <w:color w:val="212529"/>
                <w:shd w:val="clear" w:color="auto" w:fill="FFFFFF"/>
              </w:rPr>
            </w:pPr>
          </w:p>
          <w:p w:rsidR="00FC6147" w:rsidRPr="00416521" w:rsidRDefault="0036351C" w:rsidP="0036351C">
            <w:pPr>
              <w:pStyle w:val="BodyText"/>
              <w:tabs>
                <w:tab w:val="clear" w:pos="729"/>
                <w:tab w:val="left" w:pos="720"/>
                <w:tab w:val="left" w:pos="2268"/>
              </w:tabs>
            </w:pPr>
            <w:r>
              <w:rPr>
                <w:color w:val="212529"/>
                <w:shd w:val="clear" w:color="auto" w:fill="FFFFFF"/>
              </w:rPr>
              <w:t>[21]</w:t>
            </w:r>
            <w:r w:rsidRPr="0036351C">
              <w:rPr>
                <w:color w:val="212529"/>
                <w:shd w:val="clear" w:color="auto" w:fill="FFFFFF"/>
              </w:rPr>
              <w:tab/>
            </w:r>
            <w:r w:rsidR="00FC6147" w:rsidRPr="00416521">
              <w:rPr>
                <w:color w:val="212529"/>
                <w:shd w:val="clear" w:color="auto" w:fill="FFFFFF"/>
              </w:rPr>
              <w:t>The reviewing court would not readily interfere with the discretion of the taxing officer</w:t>
            </w:r>
            <w:r w:rsidR="00FC6147" w:rsidRPr="00416521">
              <w:rPr>
                <w:rStyle w:val="FootnoteReference"/>
                <w:color w:val="212529"/>
                <w:shd w:val="clear" w:color="auto" w:fill="FFFFFF"/>
              </w:rPr>
              <w:footnoteReference w:id="4"/>
            </w:r>
            <w:r w:rsidR="00FC6147" w:rsidRPr="00416521">
              <w:rPr>
                <w:color w:val="212529"/>
                <w:shd w:val="clear" w:color="auto" w:fill="FFFFFF"/>
              </w:rPr>
              <w:t xml:space="preserve"> unless he or she has not exercised </w:t>
            </w:r>
            <w:r w:rsidR="00FC6147" w:rsidRPr="00211029">
              <w:rPr>
                <w:color w:val="212529"/>
                <w:shd w:val="clear" w:color="auto" w:fill="FFFFFF"/>
              </w:rPr>
              <w:t xml:space="preserve">his </w:t>
            </w:r>
            <w:r w:rsidR="00CB6B8A" w:rsidRPr="00211029">
              <w:rPr>
                <w:color w:val="212529"/>
                <w:shd w:val="clear" w:color="auto" w:fill="FFFFFF"/>
              </w:rPr>
              <w:t>or her</w:t>
            </w:r>
            <w:r w:rsidR="00CB6B8A">
              <w:rPr>
                <w:color w:val="212529"/>
                <w:shd w:val="clear" w:color="auto" w:fill="FFFFFF"/>
              </w:rPr>
              <w:t xml:space="preserve"> </w:t>
            </w:r>
            <w:r w:rsidR="00FC6147" w:rsidRPr="00416521">
              <w:rPr>
                <w:color w:val="212529"/>
                <w:shd w:val="clear" w:color="auto" w:fill="FFFFFF"/>
              </w:rPr>
              <w:t>discretion judicially but has done so improperly or has not brought his or her mind to bear upon the question or has acted on a wrong principle.</w:t>
            </w:r>
          </w:p>
          <w:p w:rsidR="00FC6147" w:rsidRPr="00416521" w:rsidRDefault="00FC6147" w:rsidP="00FC6147">
            <w:pPr>
              <w:pStyle w:val="BodyText"/>
              <w:tabs>
                <w:tab w:val="clear" w:pos="729"/>
                <w:tab w:val="left" w:pos="720"/>
                <w:tab w:val="left" w:pos="2268"/>
              </w:tabs>
            </w:pPr>
          </w:p>
          <w:p w:rsidR="00FC6147" w:rsidRPr="0083584F" w:rsidRDefault="0036351C" w:rsidP="0036351C">
            <w:pPr>
              <w:pStyle w:val="BodyText"/>
              <w:tabs>
                <w:tab w:val="clear" w:pos="729"/>
                <w:tab w:val="left" w:pos="720"/>
                <w:tab w:val="left" w:pos="2268"/>
              </w:tabs>
              <w:rPr>
                <w:sz w:val="22"/>
                <w:szCs w:val="22"/>
              </w:rPr>
            </w:pPr>
            <w:r>
              <w:rPr>
                <w:iCs/>
              </w:rPr>
              <w:t>[22]</w:t>
            </w:r>
            <w:r w:rsidRPr="0036351C">
              <w:rPr>
                <w:iCs/>
              </w:rPr>
              <w:tab/>
            </w:r>
            <w:r w:rsidR="00FC6147" w:rsidRPr="0036351C">
              <w:rPr>
                <w:iCs/>
              </w:rPr>
              <w:t>Angula DJP</w:t>
            </w:r>
            <w:r w:rsidR="00FC6147" w:rsidRPr="0036351C">
              <w:t xml:space="preserve"> in </w:t>
            </w:r>
            <w:r w:rsidR="00FC6147" w:rsidRPr="0036351C">
              <w:rPr>
                <w:i/>
                <w:iCs/>
              </w:rPr>
              <w:t>Kamwi v Standard Bank of Namibia Limited</w:t>
            </w:r>
            <w:r w:rsidR="00FC6147" w:rsidRPr="0036351C">
              <w:rPr>
                <w:rStyle w:val="FootnoteReference"/>
              </w:rPr>
              <w:footnoteReference w:id="5"/>
            </w:r>
            <w:r w:rsidR="00FC6147" w:rsidRPr="0036351C">
              <w:t xml:space="preserve"> stated that:</w:t>
            </w:r>
          </w:p>
          <w:p w:rsidR="00FC6147" w:rsidRPr="0083584F" w:rsidRDefault="00FC6147" w:rsidP="00FC6147">
            <w:pPr>
              <w:pStyle w:val="BodyText"/>
              <w:tabs>
                <w:tab w:val="clear" w:pos="729"/>
                <w:tab w:val="left" w:pos="720"/>
                <w:tab w:val="left" w:pos="2268"/>
              </w:tabs>
              <w:ind w:left="720"/>
              <w:rPr>
                <w:sz w:val="22"/>
                <w:szCs w:val="22"/>
              </w:rPr>
            </w:pPr>
          </w:p>
          <w:p w:rsidR="00FC6147" w:rsidRDefault="00FC6147" w:rsidP="00FC6147">
            <w:pPr>
              <w:pStyle w:val="BodyText"/>
              <w:tabs>
                <w:tab w:val="clear" w:pos="729"/>
                <w:tab w:val="left" w:pos="720"/>
                <w:tab w:val="left" w:pos="2268"/>
              </w:tabs>
              <w:rPr>
                <w:sz w:val="22"/>
                <w:szCs w:val="22"/>
              </w:rPr>
            </w:pPr>
            <w:r>
              <w:tab/>
            </w:r>
            <w:r w:rsidRPr="00A6284F">
              <w:rPr>
                <w:sz w:val="22"/>
                <w:szCs w:val="22"/>
              </w:rPr>
              <w:t xml:space="preserve">‘The legal principles applied by the courts, over the years are that: the </w:t>
            </w:r>
            <w:r>
              <w:rPr>
                <w:sz w:val="22"/>
                <w:szCs w:val="22"/>
              </w:rPr>
              <w:t>t</w:t>
            </w:r>
            <w:r w:rsidRPr="00A6284F">
              <w:rPr>
                <w:sz w:val="22"/>
                <w:szCs w:val="22"/>
              </w:rPr>
              <w:t xml:space="preserve">axing </w:t>
            </w:r>
            <w:r>
              <w:rPr>
                <w:sz w:val="22"/>
                <w:szCs w:val="22"/>
              </w:rPr>
              <w:t>o</w:t>
            </w:r>
            <w:r w:rsidRPr="00A6284F">
              <w:rPr>
                <w:sz w:val="22"/>
                <w:szCs w:val="22"/>
              </w:rPr>
              <w:t xml:space="preserve">fficer has a discretion, to be judicially exercised, in allowing or disallowing items on a bill of costs. Such discretion must be exercised reasonably and justly on sound legal principles. In the exercise of such discretion, the </w:t>
            </w:r>
            <w:r>
              <w:rPr>
                <w:sz w:val="22"/>
                <w:szCs w:val="22"/>
              </w:rPr>
              <w:t>t</w:t>
            </w:r>
            <w:r w:rsidRPr="00A6284F">
              <w:rPr>
                <w:sz w:val="22"/>
                <w:szCs w:val="22"/>
              </w:rPr>
              <w:t xml:space="preserve">axing </w:t>
            </w:r>
            <w:r>
              <w:rPr>
                <w:sz w:val="22"/>
                <w:szCs w:val="22"/>
              </w:rPr>
              <w:t>o</w:t>
            </w:r>
            <w:r w:rsidRPr="00A6284F">
              <w:rPr>
                <w:sz w:val="22"/>
                <w:szCs w:val="22"/>
              </w:rPr>
              <w:t xml:space="preserve">fficer must ensure that the unsuccessful litigant is not unduly oppressed by having to pay excessive amount in costs. If the </w:t>
            </w:r>
            <w:r>
              <w:rPr>
                <w:sz w:val="22"/>
                <w:szCs w:val="22"/>
              </w:rPr>
              <w:t>t</w:t>
            </w:r>
            <w:r w:rsidRPr="00A6284F">
              <w:rPr>
                <w:sz w:val="22"/>
                <w:szCs w:val="22"/>
              </w:rPr>
              <w:t xml:space="preserve">axing </w:t>
            </w:r>
            <w:r>
              <w:rPr>
                <w:sz w:val="22"/>
                <w:szCs w:val="22"/>
              </w:rPr>
              <w:t>o</w:t>
            </w:r>
            <w:r w:rsidRPr="00A6284F">
              <w:rPr>
                <w:sz w:val="22"/>
                <w:szCs w:val="22"/>
              </w:rPr>
              <w:t>fficer fails to exercise his discretion correctly, the court has a duty to interfere.’</w:t>
            </w:r>
          </w:p>
          <w:p w:rsidR="00FC6147" w:rsidRDefault="00FC6147" w:rsidP="00FC6147">
            <w:pPr>
              <w:pStyle w:val="ListParagraph"/>
            </w:pPr>
          </w:p>
          <w:p w:rsidR="00FC6147" w:rsidRDefault="0036351C" w:rsidP="00FC6147">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[23]</w:t>
            </w:r>
            <w:r w:rsidRPr="0036351C">
              <w:rPr>
                <w:rFonts w:ascii="Arial" w:hAnsi="Arial" w:cs="Arial"/>
                <w:color w:val="212529"/>
                <w:lang w:val="en-GB"/>
              </w:rPr>
              <w:tab/>
            </w:r>
            <w:r w:rsidR="00FC6147">
              <w:rPr>
                <w:rFonts w:ascii="Arial" w:hAnsi="Arial" w:cs="Arial"/>
                <w:color w:val="212529"/>
                <w:lang w:val="en-GB"/>
              </w:rPr>
              <w:t>Having considered the taxing officer’s stated case</w:t>
            </w:r>
            <w:r w:rsidR="0026055D">
              <w:rPr>
                <w:rFonts w:ascii="Arial" w:hAnsi="Arial" w:cs="Arial"/>
                <w:color w:val="212529"/>
                <w:lang w:val="en-GB"/>
              </w:rPr>
              <w:t>,</w:t>
            </w:r>
            <w:r w:rsidR="00FC6147">
              <w:rPr>
                <w:rFonts w:ascii="Arial" w:hAnsi="Arial" w:cs="Arial"/>
                <w:color w:val="212529"/>
                <w:lang w:val="en-GB"/>
              </w:rPr>
              <w:t xml:space="preserve"> it is clear that</w:t>
            </w:r>
            <w:r w:rsidR="00CB6B8A">
              <w:rPr>
                <w:rFonts w:ascii="Arial" w:hAnsi="Arial" w:cs="Arial"/>
                <w:color w:val="212529"/>
                <w:lang w:val="en-GB"/>
              </w:rPr>
              <w:t xml:space="preserve"> she regarded the order of the C</w:t>
            </w:r>
            <w:r w:rsidR="00FC6147">
              <w:rPr>
                <w:rFonts w:ascii="Arial" w:hAnsi="Arial" w:cs="Arial"/>
                <w:color w:val="212529"/>
                <w:lang w:val="en-GB"/>
              </w:rPr>
              <w:t>ourt and</w:t>
            </w:r>
            <w:r w:rsidR="009D6EF5">
              <w:rPr>
                <w:rFonts w:ascii="Arial" w:hAnsi="Arial" w:cs="Arial"/>
                <w:color w:val="212529"/>
                <w:lang w:val="en-GB"/>
              </w:rPr>
              <w:t>,</w:t>
            </w:r>
            <w:r w:rsidR="00FC6147">
              <w:rPr>
                <w:rFonts w:ascii="Arial" w:hAnsi="Arial" w:cs="Arial"/>
                <w:color w:val="212529"/>
                <w:lang w:val="en-GB"/>
              </w:rPr>
              <w:t xml:space="preserve"> having read </w:t>
            </w:r>
            <w:r w:rsidR="00FC6147" w:rsidRPr="00211029">
              <w:rPr>
                <w:rFonts w:ascii="Arial" w:hAnsi="Arial" w:cs="Arial"/>
                <w:color w:val="212529"/>
                <w:lang w:val="en-GB"/>
              </w:rPr>
              <w:t xml:space="preserve">it </w:t>
            </w:r>
            <w:r w:rsidR="002F1C70" w:rsidRPr="00211029">
              <w:rPr>
                <w:rFonts w:ascii="Arial" w:hAnsi="Arial" w:cs="Arial"/>
                <w:color w:val="212529"/>
                <w:lang w:val="en-GB"/>
              </w:rPr>
              <w:t>together with</w:t>
            </w:r>
            <w:r w:rsidR="002F1C70">
              <w:rPr>
                <w:rFonts w:ascii="Arial" w:hAnsi="Arial" w:cs="Arial"/>
                <w:color w:val="212529"/>
                <w:lang w:val="en-GB"/>
              </w:rPr>
              <w:t xml:space="preserve"> </w:t>
            </w:r>
            <w:r w:rsidR="00FC6147">
              <w:rPr>
                <w:rFonts w:ascii="Arial" w:hAnsi="Arial" w:cs="Arial"/>
                <w:color w:val="212529"/>
                <w:lang w:val="en-GB"/>
              </w:rPr>
              <w:t>rule 123(4)</w:t>
            </w:r>
            <w:r w:rsidR="009D6EF5">
              <w:rPr>
                <w:rFonts w:ascii="Arial" w:hAnsi="Arial" w:cs="Arial"/>
                <w:color w:val="212529"/>
                <w:lang w:val="en-GB"/>
              </w:rPr>
              <w:t>,</w:t>
            </w:r>
            <w:r w:rsidR="00FC6147">
              <w:rPr>
                <w:rFonts w:ascii="Arial" w:hAnsi="Arial" w:cs="Arial"/>
                <w:color w:val="212529"/>
                <w:lang w:val="en-GB"/>
              </w:rPr>
              <w:t xml:space="preserve"> concluded that the matter was complex in nature. </w:t>
            </w:r>
          </w:p>
          <w:p w:rsidR="00BE39FA" w:rsidRPr="00416521" w:rsidRDefault="00BE39FA" w:rsidP="00FC6147">
            <w:pPr>
              <w:pStyle w:val="western"/>
              <w:shd w:val="clear" w:color="auto" w:fill="FFFFFF"/>
              <w:spacing w:before="0" w:beforeAutospacing="0" w:after="0" w:afterAutospacing="0" w:line="360" w:lineRule="auto"/>
              <w:jc w:val="both"/>
              <w:rPr>
                <w:rFonts w:ascii="Arial" w:hAnsi="Arial" w:cs="Arial"/>
                <w:color w:val="212529"/>
                <w:lang w:val="en-GB"/>
              </w:rPr>
            </w:pPr>
          </w:p>
          <w:p w:rsidR="00FC6147" w:rsidRDefault="0036351C" w:rsidP="0036351C">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[24]</w:t>
            </w:r>
            <w:r w:rsidRPr="0036351C">
              <w:rPr>
                <w:rFonts w:ascii="Arial" w:hAnsi="Arial" w:cs="Arial"/>
                <w:color w:val="212529"/>
                <w:lang w:val="en-GB"/>
              </w:rPr>
              <w:tab/>
            </w:r>
            <w:r w:rsidR="00FC6147">
              <w:rPr>
                <w:rFonts w:ascii="Arial" w:hAnsi="Arial" w:cs="Arial"/>
                <w:color w:val="212529"/>
                <w:lang w:val="en-GB"/>
              </w:rPr>
              <w:t>The complaint by the respondents is that even if the matter was complex in nature, which the</w:t>
            </w:r>
            <w:r w:rsidR="00CB6B8A">
              <w:rPr>
                <w:rFonts w:ascii="Arial" w:hAnsi="Arial" w:cs="Arial"/>
                <w:color w:val="212529"/>
                <w:lang w:val="en-GB"/>
              </w:rPr>
              <w:t>y</w:t>
            </w:r>
            <w:r w:rsidR="00FC6147">
              <w:rPr>
                <w:rFonts w:ascii="Arial" w:hAnsi="Arial" w:cs="Arial"/>
                <w:color w:val="212529"/>
                <w:lang w:val="en-GB"/>
              </w:rPr>
              <w:t xml:space="preserve"> dispute, it does not justify the tariff allowed for the instructed counsels. </w:t>
            </w:r>
          </w:p>
          <w:p w:rsidR="00FC6147" w:rsidRDefault="00FC6147" w:rsidP="00FC6147">
            <w:pPr>
              <w:pStyle w:val="ListParagraph"/>
              <w:rPr>
                <w:rFonts w:ascii="Arial" w:hAnsi="Arial" w:cs="Arial"/>
                <w:color w:val="212529"/>
                <w:lang w:val="en-GB"/>
              </w:rPr>
            </w:pPr>
          </w:p>
          <w:p w:rsidR="00FC6147" w:rsidRPr="00836690" w:rsidRDefault="0036351C" w:rsidP="0036351C">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[25]</w:t>
            </w:r>
            <w:r w:rsidRPr="0036351C">
              <w:rPr>
                <w:rFonts w:ascii="Arial" w:hAnsi="Arial" w:cs="Arial"/>
                <w:color w:val="212529"/>
                <w:lang w:val="en-GB"/>
              </w:rPr>
              <w:tab/>
            </w:r>
            <w:r w:rsidR="00FC6147">
              <w:rPr>
                <w:rFonts w:ascii="Arial" w:hAnsi="Arial" w:cs="Arial"/>
                <w:color w:val="212529"/>
                <w:lang w:val="en-GB"/>
              </w:rPr>
              <w:t xml:space="preserve">Rule 124(4) provides that where </w:t>
            </w:r>
            <w:r w:rsidR="00FC6147" w:rsidRPr="00836690">
              <w:rPr>
                <w:rFonts w:ascii="Arial" w:hAnsi="Arial" w:cs="Arial"/>
              </w:rPr>
              <w:t>fees in respect of the employment of more than one instructed legal practitioner are allowed in a party and party bill of costs, the fees so permitted in respect of that additional employed instructed legal practitioner may not exceed one half of those allowed in respect of the most senior instructed legal practitioner employed</w:t>
            </w:r>
            <w:r w:rsidR="00FC6147">
              <w:t>.</w:t>
            </w:r>
          </w:p>
          <w:p w:rsidR="00FC6147" w:rsidRDefault="00FC6147" w:rsidP="00FC6147">
            <w:pPr>
              <w:pStyle w:val="ListParagraph"/>
              <w:rPr>
                <w:rFonts w:ascii="Arial" w:hAnsi="Arial" w:cs="Arial"/>
                <w:color w:val="212529"/>
                <w:lang w:val="en-GB"/>
              </w:rPr>
            </w:pPr>
          </w:p>
          <w:p w:rsidR="00FC6147" w:rsidRDefault="0036351C" w:rsidP="0036351C">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[26]</w:t>
            </w:r>
            <w:r w:rsidRPr="0036351C">
              <w:rPr>
                <w:rFonts w:ascii="Arial" w:hAnsi="Arial" w:cs="Arial"/>
                <w:color w:val="212529"/>
                <w:lang w:val="en-GB"/>
              </w:rPr>
              <w:tab/>
            </w:r>
            <w:r w:rsidR="00FC6147">
              <w:rPr>
                <w:rFonts w:ascii="Arial" w:hAnsi="Arial" w:cs="Arial"/>
                <w:color w:val="212529"/>
                <w:lang w:val="en-GB"/>
              </w:rPr>
              <w:t>When rule 124(4) is read with Annexure E, Sections A and B of the Rules of Court</w:t>
            </w:r>
            <w:r w:rsidR="00BE39FA">
              <w:rPr>
                <w:rFonts w:ascii="Arial" w:hAnsi="Arial" w:cs="Arial"/>
                <w:color w:val="212529"/>
                <w:lang w:val="en-GB"/>
              </w:rPr>
              <w:t>,</w:t>
            </w:r>
            <w:r w:rsidR="00FC6147">
              <w:rPr>
                <w:rFonts w:ascii="Arial" w:hAnsi="Arial" w:cs="Arial"/>
                <w:color w:val="212529"/>
                <w:lang w:val="en-GB"/>
              </w:rPr>
              <w:t xml:space="preserve"> </w:t>
            </w:r>
            <w:r w:rsidR="00CB6B8A" w:rsidRPr="00211029">
              <w:rPr>
                <w:rFonts w:ascii="Arial" w:hAnsi="Arial" w:cs="Arial"/>
                <w:color w:val="212529"/>
                <w:lang w:val="en-GB"/>
              </w:rPr>
              <w:t>it</w:t>
            </w:r>
            <w:r w:rsidR="00CB6B8A">
              <w:rPr>
                <w:rFonts w:ascii="Arial" w:hAnsi="Arial" w:cs="Arial"/>
                <w:color w:val="212529"/>
                <w:lang w:val="en-GB"/>
              </w:rPr>
              <w:t xml:space="preserve"> </w:t>
            </w:r>
            <w:r w:rsidR="00FC6147">
              <w:rPr>
                <w:rFonts w:ascii="Arial" w:hAnsi="Arial" w:cs="Arial"/>
                <w:color w:val="212529"/>
                <w:lang w:val="en-GB"/>
              </w:rPr>
              <w:t xml:space="preserve">is clear that instructed counsel is allowed a maximum of N$1800 per hour (N$18 000 per day) and as a result, the junior instructed counsel would be entitled to a fee of N$900 per hour (N$9000 per day). </w:t>
            </w:r>
          </w:p>
          <w:p w:rsidR="00FC6147" w:rsidRDefault="00FC6147" w:rsidP="00FC6147">
            <w:pPr>
              <w:pStyle w:val="ListParagraph"/>
              <w:rPr>
                <w:rFonts w:ascii="Arial" w:hAnsi="Arial" w:cs="Arial"/>
                <w:color w:val="212529"/>
                <w:lang w:val="en-GB"/>
              </w:rPr>
            </w:pPr>
          </w:p>
          <w:p w:rsidR="00FC6147" w:rsidRDefault="0036351C" w:rsidP="00BE39FA">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[27]</w:t>
            </w:r>
            <w:r>
              <w:t xml:space="preserve"> </w:t>
            </w:r>
            <w:r w:rsidRPr="0036351C">
              <w:rPr>
                <w:rFonts w:ascii="Arial" w:hAnsi="Arial" w:cs="Arial"/>
                <w:color w:val="212529"/>
                <w:lang w:val="en-GB"/>
              </w:rPr>
              <w:tab/>
            </w:r>
            <w:r w:rsidR="00FC6147" w:rsidRPr="00BA3E66">
              <w:rPr>
                <w:rFonts w:ascii="Arial" w:hAnsi="Arial" w:cs="Arial"/>
                <w:color w:val="212529"/>
                <w:lang w:val="en-GB"/>
              </w:rPr>
              <w:t>These amounts are</w:t>
            </w:r>
            <w:r w:rsidR="009D6EF5">
              <w:rPr>
                <w:rFonts w:ascii="Arial" w:hAnsi="Arial" w:cs="Arial"/>
                <w:color w:val="212529"/>
                <w:lang w:val="en-GB"/>
              </w:rPr>
              <w:t>,</w:t>
            </w:r>
            <w:r w:rsidR="00FC6147" w:rsidRPr="00BA3E66">
              <w:rPr>
                <w:rFonts w:ascii="Arial" w:hAnsi="Arial" w:cs="Arial"/>
                <w:color w:val="212529"/>
                <w:lang w:val="en-GB"/>
              </w:rPr>
              <w:t xml:space="preserve"> however</w:t>
            </w:r>
            <w:r w:rsidR="009D6EF5">
              <w:rPr>
                <w:rFonts w:ascii="Arial" w:hAnsi="Arial" w:cs="Arial"/>
                <w:color w:val="212529"/>
                <w:lang w:val="en-GB"/>
              </w:rPr>
              <w:t>,</w:t>
            </w:r>
            <w:r w:rsidR="00FC6147" w:rsidRPr="00BA3E66">
              <w:rPr>
                <w:rFonts w:ascii="Arial" w:hAnsi="Arial" w:cs="Arial"/>
                <w:color w:val="212529"/>
                <w:lang w:val="en-GB"/>
              </w:rPr>
              <w:t xml:space="preserve"> not etched in stone as r</w:t>
            </w:r>
            <w:r w:rsidR="00FC6147" w:rsidRPr="00BA3E66">
              <w:rPr>
                <w:rFonts w:ascii="Arial" w:hAnsi="Arial" w:cs="Arial"/>
                <w:color w:val="212529"/>
                <w:shd w:val="clear" w:color="auto" w:fill="FFFFFF"/>
              </w:rPr>
              <w:t>ule 125(7) clearly provides that the taxing officer may at any time depart from any of the provisions on tariffs in this rule in extraordinary or exceptional cases when strict adherence to the provisions would be inequitable and unfair. Rule 125(7)</w:t>
            </w:r>
            <w:r w:rsidR="00EE09DE">
              <w:rPr>
                <w:rFonts w:ascii="Arial" w:hAnsi="Arial" w:cs="Arial"/>
                <w:color w:val="212529"/>
                <w:shd w:val="clear" w:color="auto" w:fill="FFFFFF"/>
              </w:rPr>
              <w:t>,</w:t>
            </w:r>
            <w:r w:rsidR="00FC6147" w:rsidRPr="00BA3E66">
              <w:rPr>
                <w:rFonts w:ascii="Arial" w:hAnsi="Arial" w:cs="Arial"/>
                <w:color w:val="212529"/>
                <w:shd w:val="clear" w:color="auto" w:fill="FFFFFF"/>
              </w:rPr>
              <w:t xml:space="preserve"> therefore</w:t>
            </w:r>
            <w:r w:rsidR="009D6EF5">
              <w:rPr>
                <w:rFonts w:ascii="Arial" w:hAnsi="Arial" w:cs="Arial"/>
                <w:color w:val="212529"/>
                <w:shd w:val="clear" w:color="auto" w:fill="FFFFFF"/>
              </w:rPr>
              <w:t>,</w:t>
            </w:r>
            <w:r w:rsidR="00FC6147" w:rsidRPr="00BA3E66">
              <w:rPr>
                <w:rFonts w:ascii="Arial" w:hAnsi="Arial" w:cs="Arial"/>
                <w:color w:val="212529"/>
                <w:shd w:val="clear" w:color="auto" w:fill="FFFFFF"/>
              </w:rPr>
              <w:t xml:space="preserve"> allows the taxing officer to go beyond the maximum amount specified in the tariff. </w:t>
            </w:r>
            <w:r w:rsidR="00FC6147" w:rsidRPr="00BA3E66">
              <w:rPr>
                <w:rFonts w:ascii="Arial" w:hAnsi="Arial" w:cs="Arial"/>
                <w:color w:val="212529"/>
                <w:shd w:val="clear" w:color="auto" w:fill="FFFFFF"/>
              </w:rPr>
              <w:lastRenderedPageBreak/>
              <w:t xml:space="preserve">However, the taxing officer must use this discretion judiciously in accordance with the guidelines outlined in rules 125(5) and 125(7). </w:t>
            </w:r>
          </w:p>
          <w:p w:rsidR="0068720B" w:rsidRDefault="0068720B" w:rsidP="0036351C">
            <w:pPr>
              <w:pStyle w:val="western"/>
              <w:shd w:val="clear" w:color="auto" w:fill="FFFFFF"/>
              <w:spacing w:before="0" w:beforeAutospacing="0" w:after="0" w:afterAutospacing="0" w:line="360" w:lineRule="auto"/>
              <w:jc w:val="both"/>
              <w:rPr>
                <w:rFonts w:ascii="Arial" w:hAnsi="Arial" w:cs="Arial"/>
                <w:color w:val="212529"/>
                <w:lang w:val="en-GB"/>
              </w:rPr>
            </w:pPr>
          </w:p>
          <w:p w:rsidR="00FC6147" w:rsidRPr="006C2D89" w:rsidRDefault="0036351C" w:rsidP="0036351C">
            <w:pPr>
              <w:pStyle w:val="western"/>
              <w:shd w:val="clear" w:color="auto" w:fill="FFFFFF"/>
              <w:spacing w:before="0" w:beforeAutospacing="0" w:after="0" w:afterAutospacing="0" w:line="360" w:lineRule="auto"/>
              <w:jc w:val="both"/>
              <w:rPr>
                <w:rFonts w:ascii="Arial" w:hAnsi="Arial" w:cs="Arial"/>
                <w:color w:val="212529"/>
                <w:shd w:val="clear" w:color="auto" w:fill="FFFFFF"/>
              </w:rPr>
            </w:pPr>
            <w:r>
              <w:rPr>
                <w:rFonts w:ascii="Arial" w:hAnsi="Arial" w:cs="Arial"/>
                <w:color w:val="212529"/>
                <w:lang w:val="en-GB"/>
              </w:rPr>
              <w:t>[28]</w:t>
            </w:r>
            <w:r w:rsidRPr="0036351C">
              <w:rPr>
                <w:rFonts w:ascii="Arial" w:hAnsi="Arial" w:cs="Arial"/>
                <w:color w:val="212529"/>
                <w:lang w:val="en-GB"/>
              </w:rPr>
              <w:tab/>
            </w:r>
            <w:r w:rsidR="00FC6147" w:rsidRPr="006C2D89">
              <w:rPr>
                <w:rFonts w:ascii="Arial" w:hAnsi="Arial" w:cs="Arial"/>
                <w:color w:val="212529"/>
                <w:lang w:val="en-GB"/>
              </w:rPr>
              <w:t xml:space="preserve">It is to be noted that the granting of a cost order under rule 124(3) </w:t>
            </w:r>
            <w:r w:rsidR="00FC6147" w:rsidRPr="006C2D89">
              <w:rPr>
                <w:rFonts w:ascii="Arial" w:hAnsi="Arial" w:cs="Arial"/>
              </w:rPr>
              <w:t xml:space="preserve">including the costs of an instructing legal practitioner and an instructed legal practitioner </w:t>
            </w:r>
            <w:r w:rsidR="00FC6147" w:rsidRPr="006C2D89">
              <w:rPr>
                <w:rFonts w:ascii="Arial" w:hAnsi="Arial" w:cs="Arial"/>
                <w:color w:val="212529"/>
                <w:lang w:val="en-GB"/>
              </w:rPr>
              <w:t>does not automatically imply that the taxing officer can depart from the tariff without proper consideration. A deviation must still be justified in terms of rule 124(7).</w:t>
            </w:r>
            <w:r w:rsidR="00FC6147" w:rsidRPr="006C2D89">
              <w:t xml:space="preserve"> </w:t>
            </w:r>
          </w:p>
          <w:p w:rsidR="00FC6147" w:rsidRDefault="00FC6147" w:rsidP="00FC6147">
            <w:pPr>
              <w:pStyle w:val="ListParagraph"/>
              <w:rPr>
                <w:rFonts w:ascii="Arial" w:hAnsi="Arial" w:cs="Arial"/>
                <w:color w:val="212529"/>
                <w:shd w:val="clear" w:color="auto" w:fill="FFFFFF"/>
              </w:rPr>
            </w:pPr>
          </w:p>
          <w:p w:rsidR="00FC6147" w:rsidRDefault="009D12ED" w:rsidP="0036351C">
            <w:pPr>
              <w:pStyle w:val="western"/>
              <w:shd w:val="clear" w:color="auto" w:fill="FFFFFF"/>
              <w:spacing w:before="0" w:beforeAutospacing="0" w:after="0" w:afterAutospacing="0" w:line="360" w:lineRule="auto"/>
              <w:jc w:val="both"/>
              <w:rPr>
                <w:rFonts w:ascii="Arial" w:hAnsi="Arial" w:cs="Arial"/>
                <w:color w:val="212529"/>
                <w:shd w:val="clear" w:color="auto" w:fill="FFFFFF"/>
              </w:rPr>
            </w:pPr>
            <w:r>
              <w:rPr>
                <w:rFonts w:ascii="Arial" w:hAnsi="Arial" w:cs="Arial"/>
                <w:color w:val="212529"/>
                <w:shd w:val="clear" w:color="auto" w:fill="FFFFFF"/>
              </w:rPr>
              <w:t>[29]</w:t>
            </w:r>
            <w:r w:rsidRPr="009D12ED">
              <w:rPr>
                <w:rFonts w:ascii="Arial" w:hAnsi="Arial" w:cs="Arial"/>
                <w:color w:val="212529"/>
                <w:shd w:val="clear" w:color="auto" w:fill="FFFFFF"/>
              </w:rPr>
              <w:tab/>
            </w:r>
            <w:r w:rsidR="00FC6147">
              <w:rPr>
                <w:rFonts w:ascii="Arial" w:hAnsi="Arial" w:cs="Arial"/>
                <w:color w:val="212529"/>
                <w:shd w:val="clear" w:color="auto" w:fill="FFFFFF"/>
              </w:rPr>
              <w:t>The correct approach would be that the taxing officer must still consider whether there are extraordinary or exceptional circumstances to depart from the prescribed tariffs. Even if it is accepted that the matter had been complex in nature</w:t>
            </w:r>
            <w:r w:rsidR="00BE39FA">
              <w:rPr>
                <w:rFonts w:ascii="Arial" w:hAnsi="Arial" w:cs="Arial"/>
                <w:color w:val="212529"/>
                <w:shd w:val="clear" w:color="auto" w:fill="FFFFFF"/>
              </w:rPr>
              <w:t>,</w:t>
            </w:r>
            <w:r w:rsidR="00FC6147">
              <w:rPr>
                <w:rFonts w:ascii="Arial" w:hAnsi="Arial" w:cs="Arial"/>
                <w:color w:val="212529"/>
                <w:shd w:val="clear" w:color="auto" w:fill="FFFFFF"/>
              </w:rPr>
              <w:t xml:space="preserve"> it is necessary for the taxing officer to consider the reasonableness of the counsels’ fees with regard to the complexity of the issues raised.</w:t>
            </w:r>
          </w:p>
          <w:p w:rsidR="009D12ED" w:rsidRDefault="009D12ED" w:rsidP="0036351C">
            <w:pPr>
              <w:pStyle w:val="western"/>
              <w:shd w:val="clear" w:color="auto" w:fill="FFFFFF"/>
              <w:spacing w:before="0" w:beforeAutospacing="0" w:after="0" w:afterAutospacing="0" w:line="360" w:lineRule="auto"/>
              <w:jc w:val="both"/>
              <w:rPr>
                <w:rFonts w:ascii="Arial" w:eastAsiaTheme="minorHAnsi" w:hAnsi="Arial" w:cs="Arial"/>
                <w:color w:val="212529"/>
                <w:sz w:val="22"/>
                <w:szCs w:val="22"/>
                <w:shd w:val="clear" w:color="auto" w:fill="FFFFFF"/>
                <w:lang w:val="en-ZA"/>
              </w:rPr>
            </w:pPr>
          </w:p>
          <w:p w:rsidR="00FC6147" w:rsidRPr="009D12ED" w:rsidRDefault="009D12ED" w:rsidP="0036351C">
            <w:pPr>
              <w:pStyle w:val="western"/>
              <w:shd w:val="clear" w:color="auto" w:fill="FFFFFF"/>
              <w:spacing w:before="0" w:beforeAutospacing="0" w:after="0" w:afterAutospacing="0" w:line="360" w:lineRule="auto"/>
              <w:jc w:val="both"/>
              <w:rPr>
                <w:rFonts w:ascii="Arial" w:hAnsi="Arial" w:cs="Arial"/>
                <w:color w:val="212529"/>
                <w:lang w:val="en-GB"/>
              </w:rPr>
            </w:pPr>
            <w:r w:rsidRPr="009D12ED">
              <w:rPr>
                <w:rFonts w:ascii="Arial" w:eastAsiaTheme="minorHAnsi" w:hAnsi="Arial" w:cs="Arial"/>
                <w:color w:val="212529"/>
                <w:shd w:val="clear" w:color="auto" w:fill="FFFFFF"/>
                <w:lang w:val="en-ZA"/>
              </w:rPr>
              <w:t>[30]</w:t>
            </w:r>
            <w:r w:rsidRPr="009D12ED">
              <w:rPr>
                <w:rFonts w:ascii="Arial" w:eastAsiaTheme="minorHAnsi" w:hAnsi="Arial" w:cs="Arial"/>
                <w:color w:val="212529"/>
                <w:shd w:val="clear" w:color="auto" w:fill="FFFFFF"/>
                <w:lang w:val="en-ZA"/>
              </w:rPr>
              <w:tab/>
            </w:r>
            <w:r w:rsidR="00FC6147" w:rsidRPr="009D12ED">
              <w:rPr>
                <w:rFonts w:ascii="Arial" w:hAnsi="Arial" w:cs="Arial"/>
                <w:color w:val="212529"/>
                <w:shd w:val="clear" w:color="auto" w:fill="FFFFFF"/>
              </w:rPr>
              <w:t xml:space="preserve">In this instance, there was no indication of how the taxing </w:t>
            </w:r>
            <w:r w:rsidR="00CB6B8A">
              <w:rPr>
                <w:rFonts w:ascii="Arial" w:hAnsi="Arial" w:cs="Arial"/>
                <w:color w:val="212529"/>
                <w:shd w:val="clear" w:color="auto" w:fill="FFFFFF"/>
              </w:rPr>
              <w:t>o</w:t>
            </w:r>
            <w:r w:rsidR="00FC6147" w:rsidRPr="009D12ED">
              <w:rPr>
                <w:rFonts w:ascii="Arial" w:hAnsi="Arial" w:cs="Arial"/>
                <w:color w:val="212529"/>
                <w:shd w:val="clear" w:color="auto" w:fill="FFFFFF"/>
              </w:rPr>
              <w:t>fficer arrived at the conclusion of going beyond the prescribed tariffs or why 100% of the instructed junior counsel must be allowed.</w:t>
            </w:r>
          </w:p>
          <w:p w:rsidR="00FC6147" w:rsidRPr="00836690" w:rsidRDefault="00FC6147" w:rsidP="00FC6147">
            <w:pPr>
              <w:pStyle w:val="ListParagraph"/>
              <w:jc w:val="both"/>
              <w:rPr>
                <w:rFonts w:ascii="Arial" w:hAnsi="Arial" w:cs="Arial"/>
                <w:color w:val="212529"/>
                <w:sz w:val="24"/>
                <w:szCs w:val="24"/>
              </w:rPr>
            </w:pPr>
          </w:p>
          <w:p w:rsidR="00FC6147" w:rsidRDefault="009D12ED" w:rsidP="0036351C">
            <w:pPr>
              <w:pStyle w:val="BodyText"/>
              <w:tabs>
                <w:tab w:val="clear" w:pos="729"/>
              </w:tabs>
            </w:pPr>
            <w:r>
              <w:t>[31]</w:t>
            </w:r>
            <w:r w:rsidRPr="009D12ED">
              <w:tab/>
            </w:r>
            <w:r w:rsidR="00FC6147">
              <w:t>On the issue of the memorandum of advice, I do not take issue with the fact that such a memorandum is a document that requires significant legal expertise and skill. The question is whether the respondents can be held liable for the costs of said document.</w:t>
            </w:r>
          </w:p>
          <w:p w:rsidR="00FC6147" w:rsidRDefault="00FC6147" w:rsidP="00FC6147">
            <w:pPr>
              <w:pStyle w:val="ListParagraph"/>
            </w:pPr>
          </w:p>
          <w:p w:rsidR="00FC6147" w:rsidRDefault="009D12ED" w:rsidP="0036351C">
            <w:pPr>
              <w:pStyle w:val="BodyText"/>
              <w:tabs>
                <w:tab w:val="clear" w:pos="729"/>
              </w:tabs>
            </w:pPr>
            <w:r>
              <w:t>[32]</w:t>
            </w:r>
            <w:r w:rsidRPr="009D12ED">
              <w:tab/>
            </w:r>
            <w:r w:rsidR="00FC6147">
              <w:t>The applicant</w:t>
            </w:r>
            <w:r w:rsidR="00EE09DE">
              <w:t>s</w:t>
            </w:r>
            <w:r w:rsidR="00FC6147">
              <w:t xml:space="preserve"> </w:t>
            </w:r>
            <w:r w:rsidR="00EE09DE">
              <w:t>did</w:t>
            </w:r>
            <w:r w:rsidR="00FC6147">
              <w:t xml:space="preserve"> not dispute the respondents' submissions as to the stage of the litigation when the memorandum of advice was drawn, i.e. when the founding aff</w:t>
            </w:r>
            <w:r w:rsidR="0068720B">
              <w:t xml:space="preserve">idavit had already been drawn. </w:t>
            </w:r>
            <w:r w:rsidR="00FC6147">
              <w:t>The respondents were not privy to the contents of this document</w:t>
            </w:r>
            <w:r w:rsidR="00BE39FA">
              <w:t>,</w:t>
            </w:r>
            <w:r w:rsidR="00FC6147">
              <w:t xml:space="preserve"> and I must agree with the respondents that this document appears to be incidental or collateral to the litigation</w:t>
            </w:r>
            <w:r w:rsidR="00EE09DE">
              <w:t>,</w:t>
            </w:r>
            <w:r w:rsidR="00211029">
              <w:t xml:space="preserve"> and the respondents do not qualify for party and party costs</w:t>
            </w:r>
            <w:r w:rsidR="00FC6147">
              <w:t>.</w:t>
            </w:r>
          </w:p>
          <w:p w:rsidR="00FC6147" w:rsidRDefault="00FC6147" w:rsidP="00FC6147">
            <w:pPr>
              <w:pStyle w:val="ListParagraph"/>
            </w:pPr>
          </w:p>
          <w:p w:rsidR="00FC6147" w:rsidRDefault="00FC6147" w:rsidP="00FC6147">
            <w:pPr>
              <w:pStyle w:val="BodyText"/>
              <w:tabs>
                <w:tab w:val="left" w:pos="2115"/>
              </w:tabs>
              <w:rPr>
                <w:u w:val="single"/>
              </w:rPr>
            </w:pPr>
            <w:r w:rsidRPr="00D649FA">
              <w:rPr>
                <w:u w:val="single"/>
              </w:rPr>
              <w:t>Conclusion</w:t>
            </w:r>
          </w:p>
          <w:p w:rsidR="00FC6147" w:rsidRPr="00D649FA" w:rsidRDefault="00FC6147" w:rsidP="00FC6147">
            <w:pPr>
              <w:pStyle w:val="BodyText"/>
              <w:tabs>
                <w:tab w:val="left" w:pos="2115"/>
              </w:tabs>
              <w:rPr>
                <w:u w:val="single"/>
              </w:rPr>
            </w:pPr>
          </w:p>
          <w:p w:rsidR="00FC6147" w:rsidRDefault="009D12ED" w:rsidP="0036351C">
            <w:pPr>
              <w:pStyle w:val="BodyText"/>
              <w:tabs>
                <w:tab w:val="clear" w:pos="729"/>
                <w:tab w:val="left" w:pos="720"/>
                <w:tab w:val="left" w:pos="2268"/>
              </w:tabs>
            </w:pPr>
            <w:r>
              <w:t>[33]</w:t>
            </w:r>
            <w:r w:rsidRPr="009D12ED">
              <w:tab/>
            </w:r>
            <w:r w:rsidR="00FC6147">
              <w:t>For the reasons set out above</w:t>
            </w:r>
            <w:r w:rsidR="009D6EF5">
              <w:t>,</w:t>
            </w:r>
            <w:r w:rsidR="00FC6147">
              <w:t xml:space="preserve"> I am of the view that the taxing officer did not exercise her discretion properly</w:t>
            </w:r>
            <w:r w:rsidR="00EE09DE">
              <w:t>,</w:t>
            </w:r>
            <w:r w:rsidR="00827227">
              <w:t xml:space="preserve"> and </w:t>
            </w:r>
            <w:r w:rsidR="00CB6B8A" w:rsidRPr="00211029">
              <w:t xml:space="preserve">the </w:t>
            </w:r>
            <w:r w:rsidR="00827227" w:rsidRPr="00211029">
              <w:t>review</w:t>
            </w:r>
            <w:r w:rsidR="00827227">
              <w:t xml:space="preserve"> of the </w:t>
            </w:r>
            <w:r w:rsidR="00827227" w:rsidRPr="00204EFD">
              <w:rPr>
                <w:i/>
                <w:iCs/>
              </w:rPr>
              <w:t>allocatur</w:t>
            </w:r>
            <w:r w:rsidR="00827227">
              <w:t xml:space="preserve"> of the taxing officer succeeds. </w:t>
            </w:r>
          </w:p>
          <w:p w:rsidR="00737C3D" w:rsidRPr="0078733C" w:rsidRDefault="00737C3D" w:rsidP="00474C2A">
            <w:pPr>
              <w:tabs>
                <w:tab w:val="left" w:pos="837"/>
              </w:tabs>
              <w:spacing w:line="360" w:lineRule="auto"/>
              <w:jc w:val="both"/>
              <w:rPr>
                <w:rFonts w:ascii="Arial" w:hAnsi="Arial" w:cs="Arial"/>
                <w:sz w:val="24"/>
                <w:szCs w:val="24"/>
              </w:rPr>
            </w:pPr>
          </w:p>
          <w:p w:rsidR="00C04F28" w:rsidRDefault="00A5475B" w:rsidP="00474C2A">
            <w:pPr>
              <w:tabs>
                <w:tab w:val="left" w:pos="837"/>
              </w:tabs>
              <w:spacing w:line="360" w:lineRule="auto"/>
              <w:jc w:val="both"/>
              <w:rPr>
                <w:rFonts w:ascii="Arial" w:hAnsi="Arial" w:cs="Arial"/>
                <w:sz w:val="24"/>
                <w:szCs w:val="24"/>
              </w:rPr>
            </w:pPr>
            <w:r>
              <w:rPr>
                <w:rFonts w:ascii="Arial" w:hAnsi="Arial" w:cs="Arial"/>
                <w:sz w:val="24"/>
                <w:szCs w:val="24"/>
              </w:rPr>
              <w:t>[</w:t>
            </w:r>
            <w:r w:rsidR="00FC6147">
              <w:rPr>
                <w:rFonts w:ascii="Arial" w:hAnsi="Arial" w:cs="Arial"/>
                <w:sz w:val="24"/>
                <w:szCs w:val="24"/>
              </w:rPr>
              <w:t>34</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68720B" w:rsidRDefault="0068720B" w:rsidP="00474C2A">
            <w:pPr>
              <w:tabs>
                <w:tab w:val="left" w:pos="837"/>
              </w:tabs>
              <w:spacing w:line="360" w:lineRule="auto"/>
              <w:jc w:val="both"/>
              <w:rPr>
                <w:rFonts w:ascii="Arial" w:hAnsi="Arial" w:cs="Arial"/>
                <w:sz w:val="24"/>
                <w:szCs w:val="24"/>
              </w:rPr>
            </w:pPr>
          </w:p>
          <w:p w:rsidR="00BE39FA" w:rsidRDefault="00BE39FA" w:rsidP="00474C2A">
            <w:pPr>
              <w:tabs>
                <w:tab w:val="left" w:pos="837"/>
              </w:tabs>
              <w:spacing w:line="360" w:lineRule="auto"/>
              <w:jc w:val="both"/>
              <w:rPr>
                <w:rFonts w:ascii="Arial" w:hAnsi="Arial" w:cs="Arial"/>
                <w:sz w:val="24"/>
                <w:szCs w:val="24"/>
              </w:rPr>
            </w:pPr>
          </w:p>
          <w:p w:rsidR="00BE39FA" w:rsidRDefault="00BE39FA" w:rsidP="00474C2A">
            <w:pPr>
              <w:tabs>
                <w:tab w:val="left" w:pos="837"/>
              </w:tabs>
              <w:spacing w:line="360" w:lineRule="auto"/>
              <w:jc w:val="both"/>
              <w:rPr>
                <w:rFonts w:ascii="Arial" w:hAnsi="Arial" w:cs="Arial"/>
                <w:sz w:val="24"/>
                <w:szCs w:val="24"/>
              </w:rPr>
            </w:pPr>
          </w:p>
          <w:p w:rsidR="00EE09DE" w:rsidRDefault="00EE09DE" w:rsidP="00474C2A">
            <w:pPr>
              <w:tabs>
                <w:tab w:val="left" w:pos="837"/>
              </w:tabs>
              <w:spacing w:line="360" w:lineRule="auto"/>
              <w:jc w:val="both"/>
              <w:rPr>
                <w:rFonts w:ascii="Arial" w:hAnsi="Arial" w:cs="Arial"/>
                <w:sz w:val="24"/>
                <w:szCs w:val="24"/>
              </w:rPr>
            </w:pPr>
          </w:p>
          <w:p w:rsidR="00BE39FA" w:rsidRPr="00CA7995" w:rsidRDefault="00BE39FA" w:rsidP="00474C2A">
            <w:pPr>
              <w:tabs>
                <w:tab w:val="left" w:pos="837"/>
              </w:tabs>
              <w:spacing w:line="360" w:lineRule="auto"/>
              <w:jc w:val="both"/>
              <w:rPr>
                <w:rFonts w:ascii="Arial" w:hAnsi="Arial" w:cs="Arial"/>
                <w:sz w:val="24"/>
                <w:szCs w:val="24"/>
              </w:rPr>
            </w:pPr>
          </w:p>
        </w:tc>
      </w:tr>
      <w:tr w:rsidR="00CA7995" w:rsidRPr="00CA7995" w:rsidTr="00E74A40">
        <w:tc>
          <w:tcPr>
            <w:tcW w:w="5388"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E74A40">
        <w:trPr>
          <w:trHeight w:val="1114"/>
        </w:trPr>
        <w:tc>
          <w:tcPr>
            <w:tcW w:w="5388"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E74A40">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E74A40">
        <w:tc>
          <w:tcPr>
            <w:tcW w:w="5388" w:type="dxa"/>
          </w:tcPr>
          <w:p w:rsidR="00B40844" w:rsidRPr="00CA7995" w:rsidRDefault="00FC6147" w:rsidP="00937C89">
            <w:pPr>
              <w:spacing w:line="360" w:lineRule="auto"/>
              <w:jc w:val="center"/>
              <w:rPr>
                <w:rFonts w:ascii="Arial" w:hAnsi="Arial" w:cs="Arial"/>
                <w:b/>
                <w:sz w:val="24"/>
                <w:szCs w:val="24"/>
              </w:rPr>
            </w:pPr>
            <w:r>
              <w:rPr>
                <w:rFonts w:ascii="Arial" w:hAnsi="Arial" w:cs="Arial"/>
                <w:b/>
                <w:sz w:val="24"/>
                <w:szCs w:val="24"/>
              </w:rPr>
              <w:t>Applicants</w:t>
            </w:r>
          </w:p>
        </w:tc>
        <w:tc>
          <w:tcPr>
            <w:tcW w:w="5244" w:type="dxa"/>
            <w:gridSpan w:val="2"/>
          </w:tcPr>
          <w:p w:rsidR="00B40844" w:rsidRPr="00CA7995" w:rsidRDefault="00FC6147" w:rsidP="00937C89">
            <w:pPr>
              <w:spacing w:line="360" w:lineRule="auto"/>
              <w:jc w:val="center"/>
              <w:rPr>
                <w:rFonts w:ascii="Arial" w:hAnsi="Arial" w:cs="Arial"/>
                <w:b/>
                <w:sz w:val="24"/>
                <w:szCs w:val="24"/>
              </w:rPr>
            </w:pPr>
            <w:r>
              <w:rPr>
                <w:rFonts w:ascii="Arial" w:hAnsi="Arial" w:cs="Arial"/>
                <w:b/>
                <w:sz w:val="24"/>
                <w:szCs w:val="24"/>
              </w:rPr>
              <w:t>Respondents</w:t>
            </w:r>
          </w:p>
        </w:tc>
      </w:tr>
      <w:tr w:rsidR="00CA7995" w:rsidRPr="00CA7995" w:rsidTr="00E74A40">
        <w:tc>
          <w:tcPr>
            <w:tcW w:w="5388" w:type="dxa"/>
          </w:tcPr>
          <w:p w:rsidR="002F1E33" w:rsidRPr="002F1E33" w:rsidRDefault="00FC6147" w:rsidP="00937C89">
            <w:pPr>
              <w:spacing w:line="360" w:lineRule="auto"/>
              <w:jc w:val="center"/>
              <w:rPr>
                <w:rFonts w:ascii="Arial" w:hAnsi="Arial" w:cs="Arial"/>
                <w:sz w:val="24"/>
                <w:szCs w:val="24"/>
              </w:rPr>
            </w:pPr>
            <w:r>
              <w:rPr>
                <w:rFonts w:ascii="Arial" w:hAnsi="Arial" w:cs="Arial"/>
                <w:sz w:val="24"/>
                <w:szCs w:val="24"/>
              </w:rPr>
              <w:t>N Mhata</w:t>
            </w:r>
          </w:p>
          <w:p w:rsidR="002F1E33" w:rsidRDefault="00FC6147" w:rsidP="00937C89">
            <w:pPr>
              <w:spacing w:line="360" w:lineRule="auto"/>
              <w:jc w:val="center"/>
              <w:rPr>
                <w:rFonts w:ascii="Arial" w:hAnsi="Arial" w:cs="Arial"/>
                <w:sz w:val="24"/>
                <w:szCs w:val="24"/>
              </w:rPr>
            </w:pPr>
            <w:r>
              <w:rPr>
                <w:rFonts w:ascii="Arial" w:hAnsi="Arial" w:cs="Arial"/>
                <w:sz w:val="24"/>
                <w:szCs w:val="24"/>
              </w:rPr>
              <w:t xml:space="preserve">Of </w:t>
            </w:r>
          </w:p>
          <w:p w:rsidR="001B06B4" w:rsidRDefault="00FC6147" w:rsidP="001B06B4">
            <w:pPr>
              <w:spacing w:line="360" w:lineRule="auto"/>
              <w:jc w:val="center"/>
              <w:rPr>
                <w:rFonts w:ascii="Arial" w:hAnsi="Arial" w:cs="Arial"/>
                <w:sz w:val="24"/>
                <w:szCs w:val="24"/>
              </w:rPr>
            </w:pPr>
            <w:r>
              <w:rPr>
                <w:rFonts w:ascii="Arial" w:hAnsi="Arial" w:cs="Arial"/>
                <w:sz w:val="24"/>
                <w:szCs w:val="24"/>
              </w:rPr>
              <w:t>Nambili Mhata Legal Practitioners</w:t>
            </w:r>
          </w:p>
          <w:p w:rsidR="00B40844" w:rsidRPr="00D24453" w:rsidRDefault="0078733C" w:rsidP="001B06B4">
            <w:pPr>
              <w:spacing w:line="360" w:lineRule="auto"/>
              <w:jc w:val="center"/>
              <w:rPr>
                <w:rFonts w:ascii="Arial" w:hAnsi="Arial" w:cs="Arial"/>
                <w:sz w:val="24"/>
                <w:szCs w:val="24"/>
              </w:rPr>
            </w:pPr>
            <w:r w:rsidRPr="002F1E33">
              <w:rPr>
                <w:rFonts w:ascii="Arial" w:hAnsi="Arial" w:cs="Arial"/>
                <w:sz w:val="24"/>
                <w:szCs w:val="24"/>
              </w:rPr>
              <w:t xml:space="preserve">Windhoek </w:t>
            </w:r>
          </w:p>
        </w:tc>
        <w:tc>
          <w:tcPr>
            <w:tcW w:w="5244" w:type="dxa"/>
            <w:gridSpan w:val="2"/>
          </w:tcPr>
          <w:p w:rsidR="002F1E33" w:rsidRDefault="00FC6147" w:rsidP="002F1E33">
            <w:pPr>
              <w:spacing w:line="360" w:lineRule="auto"/>
              <w:jc w:val="center"/>
              <w:rPr>
                <w:rFonts w:ascii="Arial" w:hAnsi="Arial" w:cs="Arial"/>
                <w:sz w:val="24"/>
                <w:szCs w:val="24"/>
              </w:rPr>
            </w:pPr>
            <w:r>
              <w:rPr>
                <w:rFonts w:ascii="Arial" w:hAnsi="Arial" w:cs="Arial"/>
                <w:sz w:val="24"/>
                <w:szCs w:val="24"/>
              </w:rPr>
              <w:t>J Visser</w:t>
            </w:r>
          </w:p>
          <w:p w:rsidR="00466EF2" w:rsidRDefault="00466EF2" w:rsidP="002F1E33">
            <w:pPr>
              <w:spacing w:line="360" w:lineRule="auto"/>
              <w:jc w:val="center"/>
              <w:rPr>
                <w:rFonts w:ascii="Arial" w:hAnsi="Arial" w:cs="Arial"/>
                <w:sz w:val="24"/>
                <w:szCs w:val="24"/>
              </w:rPr>
            </w:pPr>
            <w:r>
              <w:rPr>
                <w:rFonts w:ascii="Arial" w:hAnsi="Arial" w:cs="Arial"/>
                <w:sz w:val="24"/>
                <w:szCs w:val="24"/>
              </w:rPr>
              <w:t>of</w:t>
            </w:r>
          </w:p>
          <w:p w:rsidR="001B06B4" w:rsidRDefault="00FC6147" w:rsidP="002F1E33">
            <w:pPr>
              <w:pStyle w:val="BodyText3"/>
            </w:pPr>
            <w:r>
              <w:t>Koep &amp; Partners</w:t>
            </w:r>
          </w:p>
          <w:p w:rsidR="00B40844" w:rsidRDefault="001B06B4" w:rsidP="002F1E33">
            <w:pPr>
              <w:pStyle w:val="BodyText3"/>
            </w:pPr>
            <w:r>
              <w:t>Windhoek</w:t>
            </w:r>
          </w:p>
          <w:p w:rsidR="00FC6147" w:rsidRDefault="00FC6147" w:rsidP="00FC6147">
            <w:pPr>
              <w:pStyle w:val="BodyText3"/>
              <w:jc w:val="left"/>
            </w:pPr>
          </w:p>
          <w:p w:rsidR="00FC6147" w:rsidRDefault="00FC6147" w:rsidP="009D12ED">
            <w:pPr>
              <w:pStyle w:val="BodyText3"/>
            </w:pPr>
            <w:r>
              <w:t>And</w:t>
            </w:r>
          </w:p>
          <w:p w:rsidR="009D12ED" w:rsidRPr="002F1E33" w:rsidRDefault="009D12ED" w:rsidP="009D12ED">
            <w:pPr>
              <w:pStyle w:val="BodyText3"/>
              <w:rPr>
                <w:i/>
              </w:rPr>
            </w:pPr>
          </w:p>
          <w:p w:rsidR="0000513F" w:rsidRDefault="00FD2488" w:rsidP="00937C89">
            <w:pPr>
              <w:spacing w:line="360" w:lineRule="auto"/>
              <w:jc w:val="center"/>
              <w:rPr>
                <w:rFonts w:ascii="Arial" w:hAnsi="Arial" w:cs="Arial"/>
                <w:sz w:val="24"/>
                <w:szCs w:val="24"/>
              </w:rPr>
            </w:pPr>
            <w:r>
              <w:rPr>
                <w:rFonts w:ascii="Arial" w:hAnsi="Arial" w:cs="Arial"/>
                <w:sz w:val="24"/>
                <w:szCs w:val="24"/>
              </w:rPr>
              <w:t>N</w:t>
            </w:r>
            <w:r w:rsidR="00FC6147">
              <w:rPr>
                <w:rFonts w:ascii="Arial" w:hAnsi="Arial" w:cs="Arial"/>
                <w:sz w:val="24"/>
                <w:szCs w:val="24"/>
              </w:rPr>
              <w:t xml:space="preserve"> Marcus </w:t>
            </w:r>
          </w:p>
          <w:p w:rsidR="00FC6147" w:rsidRDefault="00FC6147" w:rsidP="00937C89">
            <w:pPr>
              <w:spacing w:line="360" w:lineRule="auto"/>
              <w:jc w:val="center"/>
              <w:rPr>
                <w:rFonts w:ascii="Arial" w:hAnsi="Arial" w:cs="Arial"/>
                <w:sz w:val="24"/>
                <w:szCs w:val="24"/>
              </w:rPr>
            </w:pPr>
            <w:r>
              <w:rPr>
                <w:rFonts w:ascii="Arial" w:hAnsi="Arial" w:cs="Arial"/>
                <w:sz w:val="24"/>
                <w:szCs w:val="24"/>
              </w:rPr>
              <w:t xml:space="preserve">of </w:t>
            </w:r>
          </w:p>
          <w:p w:rsidR="00FC6147" w:rsidRDefault="00FC6147" w:rsidP="00FC6147">
            <w:pPr>
              <w:spacing w:line="360" w:lineRule="auto"/>
              <w:jc w:val="center"/>
              <w:rPr>
                <w:rFonts w:ascii="Arial" w:hAnsi="Arial" w:cs="Arial"/>
                <w:sz w:val="24"/>
                <w:szCs w:val="24"/>
              </w:rPr>
            </w:pPr>
            <w:r>
              <w:rPr>
                <w:rFonts w:ascii="Arial" w:hAnsi="Arial" w:cs="Arial"/>
                <w:sz w:val="24"/>
                <w:szCs w:val="24"/>
              </w:rPr>
              <w:t>Nixon Marcus Public Law Office</w:t>
            </w:r>
          </w:p>
          <w:p w:rsidR="00FC6147" w:rsidRDefault="00FC6147" w:rsidP="00FC6147">
            <w:pPr>
              <w:spacing w:line="360" w:lineRule="auto"/>
              <w:jc w:val="center"/>
              <w:rPr>
                <w:rFonts w:ascii="Arial" w:hAnsi="Arial" w:cs="Arial"/>
                <w:sz w:val="24"/>
                <w:szCs w:val="24"/>
              </w:rPr>
            </w:pPr>
            <w:r>
              <w:rPr>
                <w:rFonts w:ascii="Arial" w:hAnsi="Arial" w:cs="Arial"/>
                <w:sz w:val="24"/>
                <w:szCs w:val="24"/>
              </w:rPr>
              <w:t>Windhoek</w:t>
            </w:r>
          </w:p>
          <w:p w:rsidR="00FC6147" w:rsidRDefault="00FC6147" w:rsidP="00937C89">
            <w:pPr>
              <w:spacing w:line="360" w:lineRule="auto"/>
              <w:jc w:val="center"/>
              <w:rPr>
                <w:rFonts w:ascii="Arial" w:hAnsi="Arial" w:cs="Arial"/>
                <w:sz w:val="24"/>
                <w:szCs w:val="24"/>
              </w:rPr>
            </w:pPr>
          </w:p>
          <w:p w:rsidR="00FC6147" w:rsidRPr="00CA7995" w:rsidRDefault="00FC6147" w:rsidP="00937C89">
            <w:pPr>
              <w:spacing w:line="360" w:lineRule="auto"/>
              <w:jc w:val="center"/>
              <w:rPr>
                <w:rFonts w:ascii="Arial" w:hAnsi="Arial" w:cs="Arial"/>
                <w:sz w:val="24"/>
                <w:szCs w:val="24"/>
              </w:rPr>
            </w:pP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FE" w:rsidRDefault="00415AFE" w:rsidP="00B40844">
      <w:pPr>
        <w:spacing w:after="0" w:line="240" w:lineRule="auto"/>
      </w:pPr>
      <w:r>
        <w:separator/>
      </w:r>
    </w:p>
  </w:endnote>
  <w:endnote w:type="continuationSeparator" w:id="0">
    <w:p w:rsidR="00415AFE" w:rsidRDefault="00415AFE"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7" w:rsidRPr="00F674F4" w:rsidRDefault="00827227">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FE" w:rsidRDefault="00415AFE" w:rsidP="00B40844">
      <w:pPr>
        <w:spacing w:after="0" w:line="240" w:lineRule="auto"/>
      </w:pPr>
      <w:r>
        <w:separator/>
      </w:r>
    </w:p>
  </w:footnote>
  <w:footnote w:type="continuationSeparator" w:id="0">
    <w:p w:rsidR="00415AFE" w:rsidRDefault="00415AFE" w:rsidP="00B40844">
      <w:pPr>
        <w:spacing w:after="0" w:line="240" w:lineRule="auto"/>
      </w:pPr>
      <w:r>
        <w:continuationSeparator/>
      </w:r>
    </w:p>
  </w:footnote>
  <w:footnote w:id="1">
    <w:p w:rsidR="00827227" w:rsidRPr="00571421" w:rsidRDefault="00827227" w:rsidP="0068720B">
      <w:pPr>
        <w:pStyle w:val="FootnoteText"/>
        <w:spacing w:line="360" w:lineRule="auto"/>
      </w:pPr>
      <w:r>
        <w:rPr>
          <w:rStyle w:val="FootnoteReference"/>
        </w:rPr>
        <w:footnoteRef/>
      </w:r>
      <w:r>
        <w:t xml:space="preserve"> </w:t>
      </w:r>
      <w:r w:rsidRPr="00571421">
        <w:rPr>
          <w:rFonts w:ascii="Arial" w:hAnsi="Arial" w:cs="Arial"/>
        </w:rPr>
        <w:t>I refer to the parties as they were in the main application.</w:t>
      </w:r>
      <w:r>
        <w:t xml:space="preserve"> </w:t>
      </w:r>
    </w:p>
  </w:footnote>
  <w:footnote w:id="2">
    <w:p w:rsidR="00827227" w:rsidRPr="00211029" w:rsidRDefault="00827227" w:rsidP="00695E13">
      <w:pPr>
        <w:pStyle w:val="FootnoteText"/>
        <w:spacing w:line="360" w:lineRule="auto"/>
        <w:jc w:val="both"/>
        <w:rPr>
          <w:rFonts w:ascii="Arial" w:hAnsi="Arial" w:cs="Arial"/>
        </w:rPr>
      </w:pPr>
      <w:r>
        <w:rPr>
          <w:rStyle w:val="FootnoteReference"/>
        </w:rPr>
        <w:footnoteRef/>
      </w:r>
      <w:r>
        <w:t xml:space="preserve"> </w:t>
      </w:r>
      <w:r w:rsidRPr="00695E13">
        <w:rPr>
          <w:rFonts w:ascii="Arial" w:hAnsi="Arial" w:cs="Arial"/>
          <w:i/>
        </w:rPr>
        <w:t>Ndjarakana v Minister of Safety and Security</w:t>
      </w:r>
      <w:r w:rsidRPr="00695E13">
        <w:rPr>
          <w:rFonts w:ascii="Arial" w:hAnsi="Arial" w:cs="Arial"/>
        </w:rPr>
        <w:t xml:space="preserve"> (A 225/2016) [2016] NAHCMD 272 (20 </w:t>
      </w:r>
      <w:r w:rsidRPr="00211029">
        <w:rPr>
          <w:rFonts w:ascii="Arial" w:hAnsi="Arial" w:cs="Arial"/>
        </w:rPr>
        <w:t>September 2016).</w:t>
      </w:r>
    </w:p>
  </w:footnote>
  <w:footnote w:id="3">
    <w:p w:rsidR="00827227" w:rsidRPr="00695E13" w:rsidRDefault="00827227" w:rsidP="00695E13">
      <w:pPr>
        <w:pStyle w:val="FootnoteText"/>
        <w:spacing w:line="360" w:lineRule="auto"/>
        <w:jc w:val="both"/>
        <w:rPr>
          <w:rFonts w:ascii="Arial" w:hAnsi="Arial" w:cs="Arial"/>
        </w:rPr>
      </w:pPr>
      <w:r w:rsidRPr="00211029">
        <w:rPr>
          <w:rStyle w:val="FootnoteReference"/>
          <w:rFonts w:ascii="Arial" w:hAnsi="Arial" w:cs="Arial"/>
        </w:rPr>
        <w:footnoteRef/>
      </w:r>
      <w:r w:rsidRPr="00211029">
        <w:rPr>
          <w:rFonts w:ascii="Arial" w:hAnsi="Arial" w:cs="Arial"/>
        </w:rPr>
        <w:t xml:space="preserve"> </w:t>
      </w:r>
      <w:r w:rsidRPr="00211029">
        <w:rPr>
          <w:rFonts w:ascii="Arial" w:hAnsi="Arial" w:cs="Arial"/>
          <w:i/>
          <w:iCs/>
        </w:rPr>
        <w:t xml:space="preserve">Hollard Insurance Company of Namibia Limited and Others v Minister of Finance and Another </w:t>
      </w:r>
      <w:r w:rsidRPr="00211029">
        <w:rPr>
          <w:rFonts w:ascii="Arial" w:hAnsi="Arial" w:cs="Arial"/>
          <w:iCs/>
        </w:rPr>
        <w:t>(3) (HC-MD-CIV-MOT-REV 2 of 2017) [2020] NAHCMD 32 (31 January 2020) at para 18.</w:t>
      </w:r>
    </w:p>
  </w:footnote>
  <w:footnote w:id="4">
    <w:p w:rsidR="00827227" w:rsidRPr="00416521" w:rsidRDefault="00827227" w:rsidP="00FC6147">
      <w:pPr>
        <w:pStyle w:val="FootnoteText"/>
        <w:spacing w:line="360" w:lineRule="auto"/>
        <w:rPr>
          <w:rFonts w:ascii="Arial" w:hAnsi="Arial" w:cs="Arial"/>
        </w:rPr>
      </w:pPr>
      <w:r w:rsidRPr="00416521">
        <w:rPr>
          <w:rStyle w:val="FootnoteReference"/>
          <w:rFonts w:ascii="Arial" w:hAnsi="Arial" w:cs="Arial"/>
        </w:rPr>
        <w:footnoteRef/>
      </w:r>
      <w:r w:rsidRPr="00416521">
        <w:rPr>
          <w:rFonts w:ascii="Arial" w:hAnsi="Arial" w:cs="Arial"/>
        </w:rPr>
        <w:t xml:space="preserve"> </w:t>
      </w:r>
      <w:r w:rsidRPr="00416521">
        <w:rPr>
          <w:rFonts w:ascii="Arial" w:hAnsi="Arial" w:cs="Arial"/>
          <w:i/>
          <w:iCs/>
          <w:color w:val="212529"/>
          <w:shd w:val="clear" w:color="auto" w:fill="FFFFFF"/>
        </w:rPr>
        <w:t>Afshani v Vaatz</w:t>
      </w:r>
      <w:r w:rsidRPr="00416521">
        <w:rPr>
          <w:rFonts w:ascii="Arial" w:hAnsi="Arial" w:cs="Arial"/>
          <w:color w:val="212529"/>
          <w:shd w:val="clear" w:color="auto" w:fill="FFFFFF"/>
        </w:rPr>
        <w:t> SA 01-2004 </w:t>
      </w:r>
      <w:r w:rsidRPr="00416521">
        <w:rPr>
          <w:rFonts w:ascii="Arial" w:hAnsi="Arial" w:cs="Arial"/>
          <w:shd w:val="clear" w:color="auto" w:fill="FFFFFF"/>
        </w:rPr>
        <w:t>[2007] NASC 18</w:t>
      </w:r>
      <w:r w:rsidRPr="00416521">
        <w:rPr>
          <w:rFonts w:ascii="Arial" w:hAnsi="Arial" w:cs="Arial"/>
          <w:color w:val="212529"/>
          <w:shd w:val="clear" w:color="auto" w:fill="FFFFFF"/>
        </w:rPr>
        <w:t> October 2007.</w:t>
      </w:r>
    </w:p>
  </w:footnote>
  <w:footnote w:id="5">
    <w:p w:rsidR="00827227" w:rsidRPr="00416521" w:rsidRDefault="00827227" w:rsidP="00FC6147">
      <w:pPr>
        <w:pStyle w:val="FootnoteText"/>
        <w:spacing w:line="360" w:lineRule="auto"/>
        <w:rPr>
          <w:rFonts w:ascii="Arial" w:hAnsi="Arial" w:cs="Arial"/>
          <w:lang w:val="en-GB"/>
        </w:rPr>
      </w:pPr>
      <w:r w:rsidRPr="00416521">
        <w:rPr>
          <w:rStyle w:val="FootnoteReference"/>
          <w:rFonts w:ascii="Arial" w:hAnsi="Arial" w:cs="Arial"/>
        </w:rPr>
        <w:footnoteRef/>
      </w:r>
      <w:r w:rsidRPr="00416521">
        <w:rPr>
          <w:rFonts w:ascii="Arial" w:hAnsi="Arial" w:cs="Arial"/>
        </w:rPr>
        <w:t xml:space="preserve"> </w:t>
      </w:r>
      <w:r w:rsidRPr="00416521">
        <w:rPr>
          <w:rFonts w:ascii="Arial" w:hAnsi="Arial" w:cs="Arial"/>
          <w:i/>
          <w:iCs/>
        </w:rPr>
        <w:t>Kamwi v Standard Bank of Namibia Limited</w:t>
      </w:r>
      <w:r w:rsidRPr="00416521">
        <w:rPr>
          <w:rFonts w:ascii="Arial" w:hAnsi="Arial" w:cs="Arial"/>
        </w:rPr>
        <w:t xml:space="preserve"> </w:t>
      </w:r>
      <w:r w:rsidRPr="00416521">
        <w:rPr>
          <w:rFonts w:ascii="Arial" w:hAnsi="Arial" w:cs="Arial"/>
          <w:lang w:val="en-GB"/>
        </w:rPr>
        <w:t>(A 101/2011) [2018] NAHCMD 196 (29 June 2018) at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59610"/>
      <w:docPartObj>
        <w:docPartGallery w:val="Page Numbers (Top of Page)"/>
        <w:docPartUnique/>
      </w:docPartObj>
    </w:sdtPr>
    <w:sdtEndPr>
      <w:rPr>
        <w:noProof/>
      </w:rPr>
    </w:sdtEndPr>
    <w:sdtContent>
      <w:p w:rsidR="00827227" w:rsidRDefault="00827227">
        <w:pPr>
          <w:pStyle w:val="Header"/>
          <w:jc w:val="right"/>
        </w:pPr>
        <w:r>
          <w:fldChar w:fldCharType="begin"/>
        </w:r>
        <w:r>
          <w:instrText xml:space="preserve"> PAGE   \* MERGEFORMAT </w:instrText>
        </w:r>
        <w:r>
          <w:fldChar w:fldCharType="separate"/>
        </w:r>
        <w:r w:rsidR="008A0ED7">
          <w:rPr>
            <w:noProof/>
          </w:rPr>
          <w:t>2</w:t>
        </w:r>
        <w:r>
          <w:rPr>
            <w:noProof/>
          </w:rPr>
          <w:fldChar w:fldCharType="end"/>
        </w:r>
      </w:p>
    </w:sdtContent>
  </w:sdt>
  <w:p w:rsidR="00827227" w:rsidRDefault="00827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A411C6E"/>
    <w:multiLevelType w:val="hybridMultilevel"/>
    <w:tmpl w:val="01BE3AC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917AA"/>
    <w:multiLevelType w:val="hybridMultilevel"/>
    <w:tmpl w:val="23DE46CA"/>
    <w:lvl w:ilvl="0" w:tplc="04FA36EA">
      <w:start w:val="1"/>
      <w:numFmt w:val="decimal"/>
      <w:lvlText w:val="%1."/>
      <w:lvlJc w:val="left"/>
      <w:pPr>
        <w:ind w:left="465" w:hanging="46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D40AA"/>
    <w:multiLevelType w:val="hybridMultilevel"/>
    <w:tmpl w:val="52D6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C3478"/>
    <w:multiLevelType w:val="hybridMultilevel"/>
    <w:tmpl w:val="A18A982C"/>
    <w:lvl w:ilvl="0" w:tplc="C0AABED8">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10"/>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65E38"/>
    <w:rsid w:val="000929C5"/>
    <w:rsid w:val="000A6E7F"/>
    <w:rsid w:val="000C03BB"/>
    <w:rsid w:val="000D09BD"/>
    <w:rsid w:val="000D3C9C"/>
    <w:rsid w:val="000E7B64"/>
    <w:rsid w:val="000F1066"/>
    <w:rsid w:val="000F1377"/>
    <w:rsid w:val="000F39A3"/>
    <w:rsid w:val="000F681E"/>
    <w:rsid w:val="00116AFB"/>
    <w:rsid w:val="001223B7"/>
    <w:rsid w:val="00124C63"/>
    <w:rsid w:val="00152FEA"/>
    <w:rsid w:val="001744E0"/>
    <w:rsid w:val="0018718C"/>
    <w:rsid w:val="001A7411"/>
    <w:rsid w:val="001B06B4"/>
    <w:rsid w:val="001B3825"/>
    <w:rsid w:val="001E097B"/>
    <w:rsid w:val="00202A2E"/>
    <w:rsid w:val="00211029"/>
    <w:rsid w:val="002138AA"/>
    <w:rsid w:val="00217744"/>
    <w:rsid w:val="00224808"/>
    <w:rsid w:val="002317B0"/>
    <w:rsid w:val="0023549A"/>
    <w:rsid w:val="002536EA"/>
    <w:rsid w:val="0026055D"/>
    <w:rsid w:val="0026588D"/>
    <w:rsid w:val="00276736"/>
    <w:rsid w:val="002A4AA3"/>
    <w:rsid w:val="002B38E0"/>
    <w:rsid w:val="002C1EF6"/>
    <w:rsid w:val="002D20C5"/>
    <w:rsid w:val="002E738E"/>
    <w:rsid w:val="002F1C70"/>
    <w:rsid w:val="002F1E33"/>
    <w:rsid w:val="0031523D"/>
    <w:rsid w:val="00322F39"/>
    <w:rsid w:val="00323AAF"/>
    <w:rsid w:val="00323E22"/>
    <w:rsid w:val="00340EA6"/>
    <w:rsid w:val="003413C7"/>
    <w:rsid w:val="00341C0F"/>
    <w:rsid w:val="0035617B"/>
    <w:rsid w:val="0036351C"/>
    <w:rsid w:val="00370BDC"/>
    <w:rsid w:val="00371B8F"/>
    <w:rsid w:val="0038382D"/>
    <w:rsid w:val="00384B95"/>
    <w:rsid w:val="00390806"/>
    <w:rsid w:val="003A18AD"/>
    <w:rsid w:val="003A49EA"/>
    <w:rsid w:val="003C2574"/>
    <w:rsid w:val="003D165C"/>
    <w:rsid w:val="003D3059"/>
    <w:rsid w:val="003D5B62"/>
    <w:rsid w:val="003E6780"/>
    <w:rsid w:val="00404B70"/>
    <w:rsid w:val="00412278"/>
    <w:rsid w:val="00415AFE"/>
    <w:rsid w:val="00426C60"/>
    <w:rsid w:val="00431A65"/>
    <w:rsid w:val="004352E5"/>
    <w:rsid w:val="004358E2"/>
    <w:rsid w:val="00436C2B"/>
    <w:rsid w:val="00463486"/>
    <w:rsid w:val="0046352C"/>
    <w:rsid w:val="004665B1"/>
    <w:rsid w:val="00466B36"/>
    <w:rsid w:val="00466EF2"/>
    <w:rsid w:val="00474C2A"/>
    <w:rsid w:val="00475B7A"/>
    <w:rsid w:val="004907E4"/>
    <w:rsid w:val="004936A7"/>
    <w:rsid w:val="004A1B08"/>
    <w:rsid w:val="004A2D48"/>
    <w:rsid w:val="004A532D"/>
    <w:rsid w:val="004B1755"/>
    <w:rsid w:val="004C1FBF"/>
    <w:rsid w:val="004C646F"/>
    <w:rsid w:val="004E20E9"/>
    <w:rsid w:val="00503F36"/>
    <w:rsid w:val="005060A3"/>
    <w:rsid w:val="0053389D"/>
    <w:rsid w:val="00535F29"/>
    <w:rsid w:val="00536EFF"/>
    <w:rsid w:val="00552964"/>
    <w:rsid w:val="00562322"/>
    <w:rsid w:val="005629DA"/>
    <w:rsid w:val="005676AD"/>
    <w:rsid w:val="00594F6C"/>
    <w:rsid w:val="005A4D90"/>
    <w:rsid w:val="005B532F"/>
    <w:rsid w:val="005B62A0"/>
    <w:rsid w:val="005C0E24"/>
    <w:rsid w:val="005C21D7"/>
    <w:rsid w:val="005C3354"/>
    <w:rsid w:val="005C7B1B"/>
    <w:rsid w:val="005D7BD0"/>
    <w:rsid w:val="005E5F61"/>
    <w:rsid w:val="005F325C"/>
    <w:rsid w:val="005F32EB"/>
    <w:rsid w:val="00610BF1"/>
    <w:rsid w:val="006115E2"/>
    <w:rsid w:val="006559FC"/>
    <w:rsid w:val="00667AD3"/>
    <w:rsid w:val="00672C76"/>
    <w:rsid w:val="0068720B"/>
    <w:rsid w:val="006916C9"/>
    <w:rsid w:val="00695745"/>
    <w:rsid w:val="00695E13"/>
    <w:rsid w:val="006976D9"/>
    <w:rsid w:val="006A0BA4"/>
    <w:rsid w:val="006B7521"/>
    <w:rsid w:val="006C63EF"/>
    <w:rsid w:val="006D0991"/>
    <w:rsid w:val="006D7450"/>
    <w:rsid w:val="006E0FD4"/>
    <w:rsid w:val="00702C62"/>
    <w:rsid w:val="00703171"/>
    <w:rsid w:val="007314A3"/>
    <w:rsid w:val="00736DA4"/>
    <w:rsid w:val="00737C3D"/>
    <w:rsid w:val="00742272"/>
    <w:rsid w:val="00746C0C"/>
    <w:rsid w:val="00766C68"/>
    <w:rsid w:val="00776AF1"/>
    <w:rsid w:val="0078274D"/>
    <w:rsid w:val="0078360C"/>
    <w:rsid w:val="007853D8"/>
    <w:rsid w:val="0078733C"/>
    <w:rsid w:val="00793E9C"/>
    <w:rsid w:val="007950C8"/>
    <w:rsid w:val="00796B9C"/>
    <w:rsid w:val="007B5FB1"/>
    <w:rsid w:val="007D0792"/>
    <w:rsid w:val="007D6C74"/>
    <w:rsid w:val="007E5A59"/>
    <w:rsid w:val="007F68C4"/>
    <w:rsid w:val="008006A3"/>
    <w:rsid w:val="00805692"/>
    <w:rsid w:val="00812409"/>
    <w:rsid w:val="00816D5D"/>
    <w:rsid w:val="00821A0C"/>
    <w:rsid w:val="00827227"/>
    <w:rsid w:val="008275AC"/>
    <w:rsid w:val="00835300"/>
    <w:rsid w:val="0084650C"/>
    <w:rsid w:val="00882F73"/>
    <w:rsid w:val="00890A20"/>
    <w:rsid w:val="00892D9A"/>
    <w:rsid w:val="008A0ED7"/>
    <w:rsid w:val="008A1447"/>
    <w:rsid w:val="008B171D"/>
    <w:rsid w:val="008C2200"/>
    <w:rsid w:val="008E0730"/>
    <w:rsid w:val="008F5871"/>
    <w:rsid w:val="008F59A0"/>
    <w:rsid w:val="0091061F"/>
    <w:rsid w:val="009279BE"/>
    <w:rsid w:val="00937C89"/>
    <w:rsid w:val="009617AA"/>
    <w:rsid w:val="009733A9"/>
    <w:rsid w:val="009919F6"/>
    <w:rsid w:val="00997C11"/>
    <w:rsid w:val="009A7A59"/>
    <w:rsid w:val="009B2B9B"/>
    <w:rsid w:val="009B2FDE"/>
    <w:rsid w:val="009C0487"/>
    <w:rsid w:val="009C35C9"/>
    <w:rsid w:val="009C6F3F"/>
    <w:rsid w:val="009D12ED"/>
    <w:rsid w:val="009D27E8"/>
    <w:rsid w:val="009D6EF5"/>
    <w:rsid w:val="009F3440"/>
    <w:rsid w:val="00A06EFA"/>
    <w:rsid w:val="00A10E40"/>
    <w:rsid w:val="00A15CD1"/>
    <w:rsid w:val="00A22E0F"/>
    <w:rsid w:val="00A26B7B"/>
    <w:rsid w:val="00A3327E"/>
    <w:rsid w:val="00A44B6A"/>
    <w:rsid w:val="00A50F13"/>
    <w:rsid w:val="00A53164"/>
    <w:rsid w:val="00A53FA6"/>
    <w:rsid w:val="00A5475B"/>
    <w:rsid w:val="00A66511"/>
    <w:rsid w:val="00A75ED6"/>
    <w:rsid w:val="00A86B1F"/>
    <w:rsid w:val="00AA3ECB"/>
    <w:rsid w:val="00AB31A2"/>
    <w:rsid w:val="00AC0621"/>
    <w:rsid w:val="00AD72DD"/>
    <w:rsid w:val="00B01B6C"/>
    <w:rsid w:val="00B121EA"/>
    <w:rsid w:val="00B40844"/>
    <w:rsid w:val="00B463CA"/>
    <w:rsid w:val="00B47800"/>
    <w:rsid w:val="00B50C99"/>
    <w:rsid w:val="00B56E34"/>
    <w:rsid w:val="00B5737E"/>
    <w:rsid w:val="00B601AD"/>
    <w:rsid w:val="00B61AC7"/>
    <w:rsid w:val="00B808CB"/>
    <w:rsid w:val="00B845CF"/>
    <w:rsid w:val="00B92DE7"/>
    <w:rsid w:val="00B9407E"/>
    <w:rsid w:val="00BB13F4"/>
    <w:rsid w:val="00BB3273"/>
    <w:rsid w:val="00BC5931"/>
    <w:rsid w:val="00BE31AD"/>
    <w:rsid w:val="00BE39FA"/>
    <w:rsid w:val="00C04F28"/>
    <w:rsid w:val="00C06EB4"/>
    <w:rsid w:val="00C13028"/>
    <w:rsid w:val="00C14AE5"/>
    <w:rsid w:val="00C24DD6"/>
    <w:rsid w:val="00C2633E"/>
    <w:rsid w:val="00C44F65"/>
    <w:rsid w:val="00C73D5D"/>
    <w:rsid w:val="00CA7995"/>
    <w:rsid w:val="00CB6B8A"/>
    <w:rsid w:val="00CC7431"/>
    <w:rsid w:val="00CD62C0"/>
    <w:rsid w:val="00CD653B"/>
    <w:rsid w:val="00CE33A0"/>
    <w:rsid w:val="00CE5E5B"/>
    <w:rsid w:val="00CF31B4"/>
    <w:rsid w:val="00CF413C"/>
    <w:rsid w:val="00D055A3"/>
    <w:rsid w:val="00D113DD"/>
    <w:rsid w:val="00D14EF6"/>
    <w:rsid w:val="00D24453"/>
    <w:rsid w:val="00D25285"/>
    <w:rsid w:val="00D30D4D"/>
    <w:rsid w:val="00D37DAA"/>
    <w:rsid w:val="00D5070E"/>
    <w:rsid w:val="00D547B6"/>
    <w:rsid w:val="00D5786A"/>
    <w:rsid w:val="00D6224D"/>
    <w:rsid w:val="00D80947"/>
    <w:rsid w:val="00D837ED"/>
    <w:rsid w:val="00D91FF4"/>
    <w:rsid w:val="00D960EA"/>
    <w:rsid w:val="00DB5AA2"/>
    <w:rsid w:val="00DD76E7"/>
    <w:rsid w:val="00E0573A"/>
    <w:rsid w:val="00E11E88"/>
    <w:rsid w:val="00E221FD"/>
    <w:rsid w:val="00E22651"/>
    <w:rsid w:val="00E33022"/>
    <w:rsid w:val="00E41BE5"/>
    <w:rsid w:val="00E533BE"/>
    <w:rsid w:val="00E540B7"/>
    <w:rsid w:val="00E62DB3"/>
    <w:rsid w:val="00E74A40"/>
    <w:rsid w:val="00E83C8A"/>
    <w:rsid w:val="00E96F9E"/>
    <w:rsid w:val="00EA2DE2"/>
    <w:rsid w:val="00EB1AE0"/>
    <w:rsid w:val="00EB68B8"/>
    <w:rsid w:val="00EC29B1"/>
    <w:rsid w:val="00ED5B76"/>
    <w:rsid w:val="00ED7008"/>
    <w:rsid w:val="00ED76B2"/>
    <w:rsid w:val="00EE09DE"/>
    <w:rsid w:val="00EE3ECD"/>
    <w:rsid w:val="00EF184A"/>
    <w:rsid w:val="00EF2FFD"/>
    <w:rsid w:val="00F0235A"/>
    <w:rsid w:val="00F05CAB"/>
    <w:rsid w:val="00F0783D"/>
    <w:rsid w:val="00F258A0"/>
    <w:rsid w:val="00F47CD7"/>
    <w:rsid w:val="00F502F0"/>
    <w:rsid w:val="00F62BCA"/>
    <w:rsid w:val="00F65529"/>
    <w:rsid w:val="00F65903"/>
    <w:rsid w:val="00F72231"/>
    <w:rsid w:val="00F7691A"/>
    <w:rsid w:val="00F82EDF"/>
    <w:rsid w:val="00F83A8B"/>
    <w:rsid w:val="00F8480F"/>
    <w:rsid w:val="00F92D04"/>
    <w:rsid w:val="00FA07D9"/>
    <w:rsid w:val="00FB2E9E"/>
    <w:rsid w:val="00FB5F14"/>
    <w:rsid w:val="00FC2237"/>
    <w:rsid w:val="00FC5FC0"/>
    <w:rsid w:val="00FC6147"/>
    <w:rsid w:val="00FC6F2E"/>
    <w:rsid w:val="00FD2488"/>
    <w:rsid w:val="00FD68B7"/>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EB867-1AD5-4CC0-97F7-F8471183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E74A40"/>
    <w:pPr>
      <w:keepNext/>
      <w:spacing w:after="0" w:line="360" w:lineRule="auto"/>
      <w:outlineLvl w:val="0"/>
    </w:pPr>
    <w:rPr>
      <w:rFonts w:ascii="Arial" w:hAnsi="Arial" w:cs="Arial"/>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Legal opinion Footnote Text,HCR: - Footnote text,Footnote Text Char1,Footnote Text Char Char,Footnote Text Char1 Char Char,Footnote Text Char Char Char Char,Footnote Text Char1 Char Char Char Ch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Legal opinion Footnote Text Char,HCR: - Footnote text Char,Footnote Text Char1 Char,Footnote Text Char Char Char,Footnote Text Char1 Char Char Char,Footnote Text Char Char Char Char Char,Footnote Text Char1 Char Char Char Char Char"/>
    <w:basedOn w:val="DefaultParagraphFont"/>
    <w:link w:val="FootnoteText"/>
    <w:uiPriority w:val="99"/>
    <w:rsid w:val="00B40844"/>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Bullet Main"/>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BodyTextIndent2">
    <w:name w:val="Body Text Indent 2"/>
    <w:basedOn w:val="Normal"/>
    <w:link w:val="BodyTextIndent2Char"/>
    <w:uiPriority w:val="99"/>
    <w:unhideWhenUsed/>
    <w:rsid w:val="006C63EF"/>
    <w:pPr>
      <w:spacing w:after="0" w:line="360" w:lineRule="auto"/>
      <w:ind w:left="20" w:hanging="20"/>
      <w:jc w:val="both"/>
    </w:pPr>
    <w:rPr>
      <w:rFonts w:ascii="Arial" w:hAnsi="Arial" w:cs="Arial"/>
    </w:rPr>
  </w:style>
  <w:style w:type="character" w:customStyle="1" w:styleId="BodyTextIndent2Char">
    <w:name w:val="Body Text Indent 2 Char"/>
    <w:basedOn w:val="DefaultParagraphFont"/>
    <w:link w:val="BodyTextIndent2"/>
    <w:uiPriority w:val="99"/>
    <w:rsid w:val="006C63EF"/>
    <w:rPr>
      <w:rFonts w:ascii="Arial" w:hAnsi="Arial" w:cs="Arial"/>
      <w:lang w:val="en-ZA"/>
    </w:rPr>
  </w:style>
  <w:style w:type="paragraph" w:styleId="Header">
    <w:name w:val="header"/>
    <w:basedOn w:val="Normal"/>
    <w:link w:val="HeaderChar"/>
    <w:uiPriority w:val="99"/>
    <w:unhideWhenUsed/>
    <w:rsid w:val="006C6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EF"/>
    <w:rPr>
      <w:lang w:val="en-ZA"/>
    </w:rPr>
  </w:style>
  <w:style w:type="paragraph" w:styleId="BodyText3">
    <w:name w:val="Body Text 3"/>
    <w:basedOn w:val="Normal"/>
    <w:link w:val="BodyText3Char"/>
    <w:uiPriority w:val="99"/>
    <w:unhideWhenUsed/>
    <w:rsid w:val="002F1E33"/>
    <w:pPr>
      <w:spacing w:after="0" w:line="360" w:lineRule="auto"/>
      <w:jc w:val="center"/>
    </w:pPr>
    <w:rPr>
      <w:rFonts w:ascii="Arial" w:hAnsi="Arial" w:cs="Arial"/>
      <w:sz w:val="24"/>
      <w:szCs w:val="24"/>
    </w:rPr>
  </w:style>
  <w:style w:type="character" w:customStyle="1" w:styleId="BodyText3Char">
    <w:name w:val="Body Text 3 Char"/>
    <w:basedOn w:val="DefaultParagraphFont"/>
    <w:link w:val="BodyText3"/>
    <w:uiPriority w:val="99"/>
    <w:rsid w:val="002F1E33"/>
    <w:rPr>
      <w:rFonts w:ascii="Arial" w:hAnsi="Arial" w:cs="Arial"/>
      <w:sz w:val="24"/>
      <w:szCs w:val="24"/>
      <w:lang w:val="en-ZA"/>
    </w:rPr>
  </w:style>
  <w:style w:type="character" w:customStyle="1" w:styleId="ListParagraphChar">
    <w:name w:val="List Paragraph Char"/>
    <w:aliases w:val="Bullet Main Char"/>
    <w:link w:val="ListParagraph"/>
    <w:uiPriority w:val="34"/>
    <w:locked/>
    <w:rsid w:val="00E74A40"/>
    <w:rPr>
      <w:lang w:val="en-ZA"/>
    </w:rPr>
  </w:style>
  <w:style w:type="character" w:customStyle="1" w:styleId="Heading1Char">
    <w:name w:val="Heading 1 Char"/>
    <w:basedOn w:val="DefaultParagraphFont"/>
    <w:link w:val="Heading1"/>
    <w:uiPriority w:val="9"/>
    <w:rsid w:val="00E74A40"/>
    <w:rPr>
      <w:rFonts w:ascii="Arial" w:hAnsi="Arial" w:cs="Arial"/>
      <w:sz w:val="24"/>
      <w:szCs w:val="24"/>
      <w:u w:val="single"/>
    </w:rPr>
  </w:style>
  <w:style w:type="character" w:styleId="Emphasis">
    <w:name w:val="Emphasis"/>
    <w:basedOn w:val="DefaultParagraphFont"/>
    <w:uiPriority w:val="20"/>
    <w:qFormat/>
    <w:rsid w:val="00E74A40"/>
    <w:rPr>
      <w:i/>
      <w:iCs/>
    </w:rPr>
  </w:style>
  <w:style w:type="paragraph" w:customStyle="1" w:styleId="western">
    <w:name w:val="western"/>
    <w:basedOn w:val="Normal"/>
    <w:rsid w:val="00FC61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2023-08-07T18:30:00+00:00</Judgment_x0020_Date>
    <Year xmlns="c1afb1bd-f2fb-40fd-9abb-aea55b4d7662">2023</Year>
  </documentManagement>
</p:properties>
</file>

<file path=customXml/itemProps1.xml><?xml version="1.0" encoding="utf-8"?>
<ds:datastoreItem xmlns:ds="http://schemas.openxmlformats.org/officeDocument/2006/customXml" ds:itemID="{855086A0-03E0-4F02-BB77-568E6E9F7781}"/>
</file>

<file path=customXml/itemProps2.xml><?xml version="1.0" encoding="utf-8"?>
<ds:datastoreItem xmlns:ds="http://schemas.openxmlformats.org/officeDocument/2006/customXml" ds:itemID="{09311A25-3442-4949-842D-AF16FBCDF32B}"/>
</file>

<file path=customXml/itemProps3.xml><?xml version="1.0" encoding="utf-8"?>
<ds:datastoreItem xmlns:ds="http://schemas.openxmlformats.org/officeDocument/2006/customXml" ds:itemID="{1ADA1310-A5DF-4CEB-9534-EF256E62BB33}"/>
</file>

<file path=customXml/itemProps4.xml><?xml version="1.0" encoding="utf-8"?>
<ds:datastoreItem xmlns:ds="http://schemas.openxmlformats.org/officeDocument/2006/customXml" ds:itemID="{E94D5AD8-E6D1-4B30-B9F5-EA68753459FF}"/>
</file>

<file path=docProps/app.xml><?xml version="1.0" encoding="utf-8"?>
<Properties xmlns="http://schemas.openxmlformats.org/officeDocument/2006/extended-properties" xmlns:vt="http://schemas.openxmlformats.org/officeDocument/2006/docPropsVTypes">
  <Template>Normal</Template>
  <TotalTime>1</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Xinfeng Investments (Pty) Ltd v Chief Executive Officer: BIPA (HC-MD-CIV-MOT-REV-2022/00330) [2023] NAHCMD 489 (9 August 2023)</dc:title>
  <dc:subject/>
  <dc:creator>shomany keister</dc:creator>
  <cp:keywords/>
  <dc:description/>
  <cp:lastModifiedBy>Charlet Mokomele</cp:lastModifiedBy>
  <cp:revision>2</cp:revision>
  <cp:lastPrinted>2023-08-09T10:50:00Z</cp:lastPrinted>
  <dcterms:created xsi:type="dcterms:W3CDTF">2023-08-09T13:22:00Z</dcterms:created>
  <dcterms:modified xsi:type="dcterms:W3CDTF">2023-08-09T13:22:00Z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